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75"/>
        </w:trPr>
        <w:tc>
          <w:tcPr>
            <w:tcW w:w="2840" w:type="dxa"/>
            <w:vAlign w:val="bottom"/>
            <w:tcBorders>
              <w:top w:val="single" w:sz="8" w:color="auto"/>
            </w:tcBorders>
          </w:tcPr>
          <w:p>
            <w:pPr>
              <w:spacing w:after="0"/>
              <w:rPr>
                <w:sz w:val="20"/>
                <w:szCs w:val="20"/>
                <w:color w:val="auto"/>
              </w:rPr>
            </w:pPr>
            <w:r>
              <w:rPr>
                <w:rFonts w:ascii="Arial" w:cs="Arial" w:eastAsia="Arial" w:hAnsi="Arial"/>
                <w:sz w:val="4"/>
                <w:szCs w:val="4"/>
                <w:color w:val="auto"/>
              </w:rPr>
              <w:t>a</w:t>
            </w:r>
          </w:p>
        </w:tc>
        <w:tc>
          <w:tcPr>
            <w:tcW w:w="8400" w:type="dxa"/>
            <w:vAlign w:val="bottom"/>
            <w:tcBorders>
              <w:top w:val="single" w:sz="8" w:color="auto"/>
            </w:tcBorders>
          </w:tcPr>
          <w:p>
            <w:pPr>
              <w:ind w:left="2800"/>
              <w:spacing w:after="0"/>
              <w:rPr>
                <w:sz w:val="20"/>
                <w:szCs w:val="20"/>
                <w:color w:val="auto"/>
              </w:rPr>
            </w:pPr>
            <w:r>
              <w:rPr>
                <w:rFonts w:ascii="Arial" w:cs="Arial" w:eastAsia="Arial" w:hAnsi="Arial"/>
                <w:sz w:val="4"/>
                <w:szCs w:val="4"/>
                <w:color w:val="auto"/>
              </w:rPr>
              <w:t>c9</w:t>
            </w:r>
          </w:p>
        </w:tc>
      </w:tr>
    </w:tbl>
    <w:p>
      <w:pPr>
        <w:jc w:val="center"/>
        <w:spacing w:after="0" w:line="230" w:lineRule="auto"/>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Mark One)</w:t>
      </w:r>
    </w:p>
    <w:p>
      <w:pPr>
        <w:spacing w:after="0" w:line="4" w:lineRule="exact"/>
        <w:rPr>
          <w:sz w:val="24"/>
          <w:szCs w:val="24"/>
          <w:color w:val="auto"/>
        </w:rPr>
      </w:pPr>
    </w:p>
    <w:p>
      <w:pPr>
        <w:ind w:right="2920" w:firstLine="8"/>
        <w:spacing w:after="0" w:line="253" w:lineRule="auto"/>
        <w:tabs>
          <w:tab w:leader="none" w:pos="31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ind w:left="320" w:hanging="312"/>
        <w:spacing w:after="0" w:line="201" w:lineRule="auto"/>
        <w:tabs>
          <w:tab w:leader="none" w:pos="320" w:val="left"/>
        </w:tabs>
        <w:numPr>
          <w:ilvl w:val="0"/>
          <w:numId w:val="2"/>
        </w:numPr>
        <w:rPr>
          <w:rFonts w:ascii="MS PGothic" w:cs="MS PGothic" w:eastAsia="MS PGothic" w:hAnsi="MS PGothic"/>
          <w:sz w:val="4"/>
          <w:szCs w:val="4"/>
          <w:color w:val="auto"/>
          <w:highlight w:val="black"/>
        </w:rPr>
      </w:pPr>
      <w:r>
        <w:rPr>
          <w:rFonts w:ascii="Arial" w:cs="Arial" w:eastAsia="Arial" w:hAnsi="Arial"/>
          <w:sz w:val="4"/>
          <w:szCs w:val="4"/>
          <w:b w:val="1"/>
          <w:bCs w:val="1"/>
          <w:color w:val="auto"/>
        </w:rPr>
        <w:t>TRANSITION REPORT PURSUANT TO SECTION 13 OR 15(d) OF THE SECURITIES EXCHANGE ACT OF 1934</w:t>
      </w:r>
    </w:p>
    <w:p>
      <w:pPr>
        <w:spacing w:after="0" w:line="193" w:lineRule="exact"/>
        <w:rPr>
          <w:sz w:val="24"/>
          <w:szCs w:val="24"/>
          <w:color w:val="auto"/>
        </w:rPr>
      </w:pPr>
    </w:p>
    <w:p>
      <w:pPr>
        <w:spacing w:after="0"/>
        <w:tabs>
          <w:tab w:leader="none" w:pos="27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1-12744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MARTIN MARIETTA MATERIALS,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North Carolina</w:t>
            </w:r>
          </w:p>
        </w:tc>
        <w:tc>
          <w:tcPr>
            <w:tcW w:w="2300" w:type="dxa"/>
            <w:vAlign w:val="bottom"/>
          </w:tcPr>
          <w:p>
            <w:pPr>
              <w:spacing w:after="0"/>
              <w:rPr>
                <w:sz w:val="14"/>
                <w:szCs w:val="14"/>
                <w:color w:val="auto"/>
              </w:rPr>
            </w:pPr>
          </w:p>
        </w:tc>
        <w:tc>
          <w:tcPr>
            <w:tcW w:w="3980" w:type="dxa"/>
            <w:vAlign w:val="bottom"/>
            <w:gridSpan w:val="4"/>
          </w:tcPr>
          <w:p>
            <w:pPr>
              <w:jc w:val="right"/>
              <w:ind w:right="2279"/>
              <w:spacing w:after="0"/>
              <w:rPr>
                <w:sz w:val="20"/>
                <w:szCs w:val="20"/>
                <w:color w:val="auto"/>
              </w:rPr>
            </w:pPr>
            <w:r>
              <w:rPr>
                <w:rFonts w:ascii="Arial" w:cs="Arial" w:eastAsia="Arial" w:hAnsi="Arial"/>
                <w:sz w:val="14"/>
                <w:szCs w:val="14"/>
                <w:b w:val="1"/>
                <w:bCs w:val="1"/>
                <w:color w:val="auto"/>
              </w:rPr>
              <w:t>56-1848578</w:t>
            </w:r>
          </w:p>
        </w:tc>
        <w:tc>
          <w:tcPr>
            <w:tcW w:w="0" w:type="dxa"/>
            <w:vAlign w:val="bottom"/>
          </w:tcPr>
          <w:p>
            <w:pPr>
              <w:spacing w:after="0"/>
              <w:rPr>
                <w:sz w:val="1"/>
                <w:szCs w:val="1"/>
                <w:color w:val="auto"/>
              </w:rPr>
            </w:pPr>
          </w:p>
        </w:tc>
      </w:tr>
      <w:tr>
        <w:trPr>
          <w:trHeight w:val="162"/>
        </w:trPr>
        <w:tc>
          <w:tcPr>
            <w:tcW w:w="496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300" w:type="dxa"/>
            <w:vAlign w:val="bottom"/>
          </w:tcPr>
          <w:p>
            <w:pPr>
              <w:spacing w:after="0"/>
              <w:rPr>
                <w:sz w:val="14"/>
                <w:szCs w:val="14"/>
                <w:color w:val="auto"/>
              </w:rPr>
            </w:pPr>
          </w:p>
        </w:tc>
        <w:tc>
          <w:tcPr>
            <w:tcW w:w="3980" w:type="dxa"/>
            <w:vAlign w:val="bottom"/>
            <w:gridSpan w:val="4"/>
          </w:tcPr>
          <w:p>
            <w:pPr>
              <w:jc w:val="center"/>
              <w:ind w:right="1419"/>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62"/>
        </w:trPr>
        <w:tc>
          <w:tcPr>
            <w:tcW w:w="496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4123 Parklake Avenue, Raleigh, North Carolina</w:t>
            </w:r>
          </w:p>
        </w:tc>
        <w:tc>
          <w:tcPr>
            <w:tcW w:w="2300" w:type="dxa"/>
            <w:vAlign w:val="bottom"/>
          </w:tcPr>
          <w:p>
            <w:pPr>
              <w:spacing w:after="0"/>
              <w:rPr>
                <w:sz w:val="14"/>
                <w:szCs w:val="14"/>
                <w:color w:val="auto"/>
              </w:rPr>
            </w:pPr>
          </w:p>
        </w:tc>
        <w:tc>
          <w:tcPr>
            <w:tcW w:w="3980" w:type="dxa"/>
            <w:vAlign w:val="bottom"/>
            <w:gridSpan w:val="4"/>
          </w:tcPr>
          <w:p>
            <w:pPr>
              <w:jc w:val="right"/>
              <w:ind w:right="2459"/>
              <w:spacing w:after="0"/>
              <w:rPr>
                <w:sz w:val="20"/>
                <w:szCs w:val="20"/>
                <w:color w:val="auto"/>
              </w:rPr>
            </w:pPr>
            <w:r>
              <w:rPr>
                <w:rFonts w:ascii="Arial" w:cs="Arial" w:eastAsia="Arial" w:hAnsi="Arial"/>
                <w:sz w:val="14"/>
                <w:szCs w:val="14"/>
                <w:b w:val="1"/>
                <w:bCs w:val="1"/>
                <w:color w:val="auto"/>
              </w:rPr>
              <w:t>27612</w:t>
            </w:r>
          </w:p>
        </w:tc>
        <w:tc>
          <w:tcPr>
            <w:tcW w:w="0" w:type="dxa"/>
            <w:vAlign w:val="bottom"/>
          </w:tcPr>
          <w:p>
            <w:pPr>
              <w:spacing w:after="0"/>
              <w:rPr>
                <w:sz w:val="1"/>
                <w:szCs w:val="1"/>
                <w:color w:val="auto"/>
              </w:rPr>
            </w:pPr>
          </w:p>
        </w:tc>
      </w:tr>
      <w:tr>
        <w:trPr>
          <w:trHeight w:val="196"/>
        </w:trPr>
        <w:tc>
          <w:tcPr>
            <w:tcW w:w="496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(Address of principal executive offices)</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
          </w:tcPr>
          <w:p>
            <w:pPr>
              <w:jc w:val="center"/>
              <w:ind w:right="1819"/>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00" w:type="dxa"/>
            <w:vAlign w:val="bottom"/>
          </w:tcPr>
          <w:p>
            <w:pPr>
              <w:jc w:val="right"/>
              <w:ind w:right="1068"/>
              <w:spacing w:after="0"/>
              <w:rPr>
                <w:sz w:val="20"/>
                <w:szCs w:val="20"/>
                <w:color w:val="auto"/>
              </w:rPr>
            </w:pPr>
            <w:r>
              <w:rPr>
                <w:rFonts w:ascii="Arial" w:cs="Arial" w:eastAsia="Arial" w:hAnsi="Arial"/>
                <w:sz w:val="14"/>
                <w:szCs w:val="14"/>
                <w:b w:val="1"/>
                <w:bCs w:val="1"/>
                <w:color w:val="auto"/>
              </w:rPr>
              <w:t>(919) 781-4550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2"/>
          </w:tcPr>
          <w:p>
            <w:pPr>
              <w:jc w:val="center"/>
              <w:ind w:left="77"/>
              <w:spacing w:after="0"/>
              <w:rPr>
                <w:sz w:val="20"/>
                <w:szCs w:val="20"/>
                <w:color w:val="auto"/>
              </w:rPr>
            </w:pPr>
            <w:r>
              <w:rPr>
                <w:rFonts w:ascii="Arial" w:cs="Arial" w:eastAsia="Arial" w:hAnsi="Arial"/>
                <w:sz w:val="13"/>
                <w:szCs w:val="13"/>
                <w:b w:val="1"/>
                <w:bCs w:val="1"/>
                <w:i w:val="1"/>
                <w:iCs w:val="1"/>
                <w:color w:val="auto"/>
                <w:w w:val="97"/>
              </w:rPr>
              <w:t>(Registrant’s telephone number, including area code)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60" w:type="dxa"/>
            <w:vAlign w:val="bottom"/>
            <w:gridSpan w:val="3"/>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2300" w:type="dxa"/>
            <w:vAlign w:val="bottom"/>
          </w:tcPr>
          <w:p>
            <w:pPr>
              <w:jc w:val="center"/>
              <w:ind w:right="768"/>
              <w:spacing w:after="0"/>
              <w:rPr>
                <w:sz w:val="20"/>
                <w:szCs w:val="20"/>
                <w:color w:val="auto"/>
              </w:rPr>
            </w:pPr>
            <w:r>
              <w:rPr>
                <w:rFonts w:ascii="Arial" w:cs="Arial" w:eastAsia="Arial" w:hAnsi="Arial"/>
                <w:sz w:val="14"/>
                <w:szCs w:val="14"/>
                <w:b w:val="1"/>
                <w:bCs w:val="1"/>
                <w:color w:val="auto"/>
              </w:rPr>
              <w:t>Trading Symbol(s)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72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Common Stock (par value $.01 per share)</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MLM</w:t>
            </w: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153"/>
        </w:trPr>
        <w:tc>
          <w:tcPr>
            <w:tcW w:w="4960" w:type="dxa"/>
            <w:vAlign w:val="bottom"/>
            <w:gridSpan w:val="3"/>
          </w:tcPr>
          <w:p>
            <w:pPr>
              <w:spacing w:after="0" w:line="153" w:lineRule="exact"/>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gridSpan w:val="7"/>
          </w:tcPr>
          <w:p>
            <w:pPr>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862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  YES</w:t>
            </w:r>
          </w:p>
        </w:tc>
        <w:tc>
          <w:tcPr>
            <w:tcW w:w="2620" w:type="dxa"/>
            <w:vAlign w:val="bottom"/>
          </w:tcPr>
          <w:p>
            <w:pPr>
              <w:ind w:left="1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jc w:val="both"/>
        <w:ind w:left="160" w:hanging="149"/>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78" w:lineRule="exact"/>
        <w:rPr>
          <w:sz w:val="24"/>
          <w:szCs w:val="24"/>
          <w:color w:val="auto"/>
        </w:rPr>
      </w:pPr>
    </w:p>
    <w:p>
      <w:pPr>
        <w:jc w:val="both"/>
        <w:ind w:left="160" w:hanging="149"/>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left="160" w:hanging="149"/>
        <w:spacing w:after="0" w:line="24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700"/>
              <w:spacing w:after="0" w:line="168"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3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60"/>
              <w:spacing w:after="0" w:line="168"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3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580" w:type="dxa"/>
            <w:vAlign w:val="bottom"/>
          </w:tcPr>
          <w:p>
            <w:pPr>
              <w:ind w:left="132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left="160" w:hanging="149"/>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left="160" w:hanging="149"/>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160" w:hanging="149"/>
        <w:spacing w:after="0" w:line="18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ind w:left="160" w:hanging="149"/>
        <w:spacing w:after="0" w:line="182"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tabs>
          <w:tab w:leader="none" w:pos="730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Arial Unicode MS" w:cs="Arial Unicode MS" w:eastAsia="Arial Unicode MS" w:hAnsi="Arial Unicode MS"/>
          <w:sz w:val="14"/>
          <w:szCs w:val="14"/>
          <w:color w:val="auto"/>
        </w:rPr>
        <w:t xml:space="preserve">☐ </w:t>
      </w:r>
      <w:r>
        <w:rPr>
          <w:rFonts w:ascii="Arial" w:cs="Arial" w:eastAsia="Arial" w:hAnsi="Arial"/>
          <w:sz w:val="14"/>
          <w:szCs w:val="14"/>
          <w:color w:val="auto"/>
        </w:rPr>
        <w:t>No</w:t>
      </w:r>
      <w:r>
        <w:rPr>
          <w:rFonts w:ascii="Arial Unicode MS" w:cs="Arial Unicode MS" w:eastAsia="Arial Unicode MS" w:hAnsi="Arial Unicode MS"/>
          <w:sz w:val="14"/>
          <w:szCs w:val="14"/>
          <w:color w:val="auto"/>
        </w:rPr>
        <w:t xml:space="preserve">  ☒</w:t>
      </w:r>
    </w:p>
    <w:p>
      <w:pPr>
        <w:spacing w:after="0" w:line="75" w:lineRule="exact"/>
        <w:rPr>
          <w:sz w:val="24"/>
          <w:szCs w:val="24"/>
          <w:color w:val="auto"/>
        </w:rPr>
      </w:pPr>
    </w:p>
    <w:p>
      <w:pPr>
        <w:ind w:left="160" w:hanging="149"/>
        <w:spacing w:after="0" w:line="291" w:lineRule="auto"/>
        <w:rPr>
          <w:sz w:val="20"/>
          <w:szCs w:val="20"/>
          <w:color w:val="auto"/>
        </w:rPr>
      </w:pPr>
      <w:r>
        <w:rPr>
          <w:rFonts w:ascii="Arial" w:cs="Arial" w:eastAsia="Arial" w:hAnsi="Arial"/>
          <w:sz w:val="14"/>
          <w:szCs w:val="14"/>
          <w:color w:val="auto"/>
        </w:rPr>
        <w:t xml:space="preserve">As of June 30, 2025, the last business day of the registrant’s most recently completed second fiscal quarter, the aggregate market value of the registrant’s common stock held by non-affiliates of the registrant was </w:t>
      </w:r>
      <w:r>
        <w:rPr>
          <w:rFonts w:ascii="Arial" w:cs="Arial" w:eastAsia="Arial" w:hAnsi="Arial"/>
          <w:sz w:val="14"/>
          <w:szCs w:val="14"/>
          <w:b w:val="1"/>
          <w:bCs w:val="1"/>
          <w:color w:val="auto"/>
        </w:rPr>
        <w:t>$28,822,918,628</w:t>
      </w:r>
      <w:r>
        <w:rPr>
          <w:rFonts w:ascii="Arial" w:cs="Arial" w:eastAsia="Arial" w:hAnsi="Arial"/>
          <w:sz w:val="14"/>
          <w:szCs w:val="14"/>
          <w:color w:val="auto"/>
        </w:rPr>
        <w:t xml:space="preserve"> based on the closing sale price as reported on the New York Stock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800" w:type="dxa"/>
            <w:vAlign w:val="bottom"/>
            <w:gridSpan w:val="6"/>
          </w:tcPr>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on the latest practicable date.</w:t>
            </w:r>
          </w:p>
        </w:tc>
        <w:tc>
          <w:tcPr>
            <w:tcW w:w="3440" w:type="dxa"/>
            <w:vAlign w:val="bottom"/>
          </w:tcPr>
          <w:p>
            <w:pPr>
              <w:spacing w:after="0"/>
              <w:rPr>
                <w:sz w:val="14"/>
                <w:szCs w:val="14"/>
                <w:color w:val="auto"/>
              </w:rPr>
            </w:pPr>
          </w:p>
        </w:tc>
      </w:tr>
      <w:tr>
        <w:trPr>
          <w:trHeight w:val="171"/>
        </w:trPr>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Class</w:t>
            </w:r>
          </w:p>
        </w:tc>
        <w:tc>
          <w:tcPr>
            <w:tcW w:w="2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Outstanding at February 16, 2026</w:t>
            </w:r>
          </w:p>
        </w:tc>
      </w:tr>
      <w:tr>
        <w:trPr>
          <w:trHeight w:val="190"/>
        </w:trPr>
        <w:tc>
          <w:tcPr>
            <w:tcW w:w="1300" w:type="dxa"/>
            <w:vAlign w:val="bottom"/>
          </w:tcPr>
          <w:p>
            <w:pPr>
              <w:spacing w:after="0"/>
              <w:rPr>
                <w:sz w:val="16"/>
                <w:szCs w:val="16"/>
                <w:color w:val="auto"/>
              </w:rPr>
            </w:pPr>
          </w:p>
        </w:tc>
        <w:tc>
          <w:tcPr>
            <w:tcW w:w="4340" w:type="dxa"/>
            <w:vAlign w:val="bottom"/>
            <w:gridSpan w:val="3"/>
          </w:tcPr>
          <w:p>
            <w:pPr>
              <w:jc w:val="center"/>
              <w:ind w:right="1208"/>
              <w:spacing w:after="0"/>
              <w:rPr>
                <w:sz w:val="20"/>
                <w:szCs w:val="20"/>
                <w:color w:val="auto"/>
              </w:rPr>
            </w:pPr>
            <w:r>
              <w:rPr>
                <w:rFonts w:ascii="Arial" w:cs="Arial" w:eastAsia="Arial" w:hAnsi="Arial"/>
                <w:sz w:val="14"/>
                <w:szCs w:val="14"/>
                <w:b w:val="1"/>
                <w:bCs w:val="1"/>
                <w:color w:val="auto"/>
              </w:rPr>
              <w:t>Common Stock, $.01 par value per share</w:t>
            </w: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40" w:type="dxa"/>
            <w:vAlign w:val="bottom"/>
          </w:tcPr>
          <w:p>
            <w:pPr>
              <w:jc w:val="center"/>
              <w:ind w:right="1988"/>
              <w:spacing w:after="0"/>
              <w:rPr>
                <w:sz w:val="20"/>
                <w:szCs w:val="20"/>
                <w:color w:val="auto"/>
              </w:rPr>
            </w:pPr>
            <w:r>
              <w:rPr>
                <w:rFonts w:ascii="Arial" w:cs="Arial" w:eastAsia="Arial" w:hAnsi="Arial"/>
                <w:sz w:val="14"/>
                <w:szCs w:val="14"/>
                <w:b w:val="1"/>
                <w:bCs w:val="1"/>
                <w:color w:val="auto"/>
              </w:rPr>
              <w:t>60,312,046 shares</w:t>
            </w:r>
          </w:p>
        </w:tc>
      </w:tr>
      <w:tr>
        <w:trPr>
          <w:trHeight w:val="274"/>
        </w:trPr>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340" w:type="dxa"/>
            <w:vAlign w:val="bottom"/>
            <w:gridSpan w:val="3"/>
          </w:tcPr>
          <w:p>
            <w:pPr>
              <w:ind w:left="520"/>
              <w:spacing w:after="0"/>
              <w:rPr>
                <w:sz w:val="20"/>
                <w:szCs w:val="20"/>
                <w:color w:val="auto"/>
              </w:rPr>
            </w:pPr>
            <w:r>
              <w:rPr>
                <w:rFonts w:ascii="Arial" w:cs="Arial" w:eastAsia="Arial" w:hAnsi="Arial"/>
                <w:sz w:val="14"/>
                <w:szCs w:val="14"/>
                <w:b w:val="1"/>
                <w:bCs w:val="1"/>
                <w:color w:val="auto"/>
              </w:rPr>
              <w:t>DOCUMENTS INCORPORATED BY REFERENCE</w:t>
            </w:r>
          </w:p>
        </w:tc>
        <w:tc>
          <w:tcPr>
            <w:tcW w:w="3440" w:type="dxa"/>
            <w:vAlign w:val="bottom"/>
          </w:tcPr>
          <w:p>
            <w:pPr>
              <w:spacing w:after="0"/>
              <w:rPr>
                <w:sz w:val="23"/>
                <w:szCs w:val="23"/>
                <w:color w:val="auto"/>
              </w:rPr>
            </w:pPr>
          </w:p>
        </w:tc>
      </w:tr>
      <w:tr>
        <w:trPr>
          <w:trHeight w:val="178"/>
        </w:trPr>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Document</w:t>
            </w:r>
          </w:p>
        </w:tc>
        <w:tc>
          <w:tcPr>
            <w:tcW w:w="2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Parts Into Which Incorporated</w:t>
            </w:r>
          </w:p>
        </w:tc>
      </w:tr>
      <w:tr>
        <w:trPr>
          <w:trHeight w:val="146"/>
        </w:trPr>
        <w:tc>
          <w:tcPr>
            <w:tcW w:w="5640" w:type="dxa"/>
            <w:vAlign w:val="bottom"/>
            <w:gridSpan w:val="4"/>
          </w:tcPr>
          <w:p>
            <w:pPr>
              <w:spacing w:after="0" w:line="147" w:lineRule="exact"/>
              <w:rPr>
                <w:sz w:val="20"/>
                <w:szCs w:val="20"/>
                <w:color w:val="auto"/>
              </w:rPr>
            </w:pPr>
            <w:r>
              <w:rPr>
                <w:rFonts w:ascii="Arial" w:cs="Arial" w:eastAsia="Arial" w:hAnsi="Arial"/>
                <w:sz w:val="14"/>
                <w:szCs w:val="14"/>
                <w:color w:val="auto"/>
              </w:rPr>
              <w:t>Proxy Statement for the Annual Meeting of Shareholders to be held May 14, 2026</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40" w:type="dxa"/>
            <w:vAlign w:val="bottom"/>
          </w:tcPr>
          <w:p>
            <w:pPr>
              <w:jc w:val="center"/>
              <w:ind w:right="1988"/>
              <w:spacing w:after="0" w:line="147" w:lineRule="exact"/>
              <w:rPr>
                <w:sz w:val="20"/>
                <w:szCs w:val="20"/>
                <w:color w:val="auto"/>
              </w:rPr>
            </w:pPr>
            <w:r>
              <w:rPr>
                <w:rFonts w:ascii="Arial" w:cs="Arial" w:eastAsia="Arial" w:hAnsi="Arial"/>
                <w:sz w:val="14"/>
                <w:szCs w:val="14"/>
                <w:color w:val="auto"/>
              </w:rPr>
              <w:t>Part III</w:t>
            </w:r>
          </w:p>
        </w:tc>
      </w:tr>
      <w:tr>
        <w:trPr>
          <w:trHeight w:val="17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(Proxy Statement)</w:t>
            </w: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r>
      <w:tr>
        <w:trPr>
          <w:trHeight w:val="343"/>
        </w:trPr>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Auditor Firm Id:</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238</w:t>
            </w:r>
          </w:p>
        </w:tc>
        <w:tc>
          <w:tcPr>
            <w:tcW w:w="1400" w:type="dxa"/>
            <w:vAlign w:val="bottom"/>
          </w:tcPr>
          <w:p>
            <w:pPr>
              <w:jc w:val="center"/>
              <w:ind w:left="48"/>
              <w:spacing w:after="0"/>
              <w:rPr>
                <w:sz w:val="20"/>
                <w:szCs w:val="20"/>
                <w:color w:val="auto"/>
              </w:rPr>
            </w:pPr>
            <w:r>
              <w:rPr>
                <w:rFonts w:ascii="Arial" w:cs="Arial" w:eastAsia="Arial" w:hAnsi="Arial"/>
                <w:sz w:val="14"/>
                <w:szCs w:val="14"/>
                <w:b w:val="1"/>
                <w:bCs w:val="1"/>
                <w:color w:val="auto"/>
              </w:rPr>
              <w:t>Auditor Name:</w:t>
            </w:r>
          </w:p>
        </w:tc>
        <w:tc>
          <w:tcPr>
            <w:tcW w:w="2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PricewaterhouseCoopers LLP</w:t>
            </w:r>
          </w:p>
        </w:tc>
        <w:tc>
          <w:tcPr>
            <w:tcW w:w="2060" w:type="dxa"/>
            <w:vAlign w:val="bottom"/>
          </w:tcPr>
          <w:p>
            <w:pPr>
              <w:ind w:left="620"/>
              <w:spacing w:after="0"/>
              <w:rPr>
                <w:sz w:val="20"/>
                <w:szCs w:val="20"/>
                <w:color w:val="auto"/>
              </w:rPr>
            </w:pPr>
            <w:r>
              <w:rPr>
                <w:rFonts w:ascii="Arial" w:cs="Arial" w:eastAsia="Arial" w:hAnsi="Arial"/>
                <w:sz w:val="14"/>
                <w:szCs w:val="14"/>
                <w:b w:val="1"/>
                <w:bCs w:val="1"/>
                <w:color w:val="auto"/>
              </w:rPr>
              <w:t>Auditor Location:</w:t>
            </w:r>
          </w:p>
        </w:tc>
        <w:tc>
          <w:tcPr>
            <w:tcW w:w="3440" w:type="dxa"/>
            <w:vAlign w:val="bottom"/>
          </w:tcPr>
          <w:p>
            <w:pPr>
              <w:ind w:left="280"/>
              <w:spacing w:after="0"/>
              <w:rPr>
                <w:sz w:val="20"/>
                <w:szCs w:val="20"/>
                <w:color w:val="auto"/>
              </w:rPr>
            </w:pPr>
            <w:r>
              <w:rPr>
                <w:rFonts w:ascii="Arial" w:cs="Arial" w:eastAsia="Arial" w:hAnsi="Arial"/>
                <w:sz w:val="14"/>
                <w:szCs w:val="14"/>
                <w:b w:val="1"/>
                <w:bCs w:val="1"/>
                <w:color w:val="auto"/>
              </w:rPr>
              <w:t>Raleigh, North Carolina, United States</w:t>
            </w:r>
          </w:p>
        </w:tc>
      </w:tr>
      <w:tr>
        <w:trPr>
          <w:trHeight w:val="211"/>
        </w:trPr>
        <w:tc>
          <w:tcPr>
            <w:tcW w:w="1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r>
      <w:tr>
        <w:trPr>
          <w:trHeight w:val="1006"/>
        </w:trPr>
        <w:tc>
          <w:tcPr>
            <w:tcW w:w="1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 w:name="page2"/>
    <w:bookmarkEnd w:id="1"/>
    <w:p>
      <w:pPr>
        <w:jc w:val="center"/>
        <w:ind w:right="120"/>
        <w:spacing w:after="0"/>
        <w:rPr>
          <w:sz w:val="20"/>
          <w:szCs w:val="20"/>
          <w:color w:val="auto"/>
        </w:rPr>
      </w:pPr>
      <w:r>
        <w:rPr>
          <w:rFonts w:ascii="Arial" w:cs="Arial" w:eastAsia="Arial" w:hAnsi="Arial"/>
          <w:sz w:val="43"/>
          <w:szCs w:val="43"/>
          <w:color w:val="auto"/>
        </w:rPr>
        <w:t>TABLE OF CONTENTS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Borders>
              <w:bottom w:val="single" w:sz="8" w:color="007DC6"/>
            </w:tcBorders>
          </w:tcPr>
          <w:p>
            <w:pPr>
              <w:spacing w:after="0"/>
              <w:rPr>
                <w:sz w:val="20"/>
                <w:szCs w:val="20"/>
                <w:color w:val="auto"/>
              </w:rPr>
            </w:pPr>
            <w:r>
              <w:rPr>
                <w:rFonts w:ascii="Arial" w:cs="Arial" w:eastAsia="Arial" w:hAnsi="Arial"/>
                <w:sz w:val="20"/>
                <w:szCs w:val="20"/>
                <w:b w:val="1"/>
                <w:bCs w:val="1"/>
                <w:color w:val="007DC6"/>
                <w:w w:val="97"/>
              </w:rPr>
              <w:t>PART I</w:t>
            </w:r>
          </w:p>
        </w:tc>
        <w:tc>
          <w:tcPr>
            <w:tcW w:w="1500" w:type="dxa"/>
            <w:vAlign w:val="bottom"/>
            <w:gridSpan w:val="5"/>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BUSINESS</w:t>
            </w:r>
          </w:p>
        </w:tc>
        <w:tc>
          <w:tcPr>
            <w:tcW w:w="1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00" w:type="dxa"/>
            <w:vAlign w:val="bottom"/>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1A.</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RISK FACTORS</w:t>
            </w: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160" w:type="dxa"/>
            <w:vAlign w:val="bottom"/>
            <w:tcBorders>
              <w:left w:val="single" w:sz="8" w:color="007DC6"/>
            </w:tcBorders>
            <w:shd w:val="clear" w:color="auto" w:fill="007DC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1B.</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UNRESOLVED STAFF COMMENTS</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340" w:type="dxa"/>
            <w:vAlign w:val="bottom"/>
            <w:tcBorders>
              <w:left w:val="single" w:sz="8" w:color="007DC6"/>
            </w:tcBorders>
            <w:gridSpan w:val="2"/>
            <w:shd w:val="clear" w:color="auto" w:fill="007DC6"/>
          </w:tcPr>
          <w:p>
            <w:pPr>
              <w:spacing w:after="0" w:line="20" w:lineRule="exact"/>
              <w:rPr>
                <w:sz w:val="1"/>
                <w:szCs w:val="1"/>
                <w:color w:val="auto"/>
              </w:rPr>
            </w:pPr>
          </w:p>
        </w:tc>
        <w:tc>
          <w:tcPr>
            <w:tcW w:w="360" w:type="dxa"/>
            <w:vAlign w:val="bottom"/>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80" w:type="dxa"/>
            <w:vAlign w:val="bottom"/>
            <w:shd w:val="clear" w:color="auto" w:fill="007DC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1C.</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CYBERSECURITY</w:t>
            </w:r>
          </w:p>
        </w:tc>
        <w:tc>
          <w:tcPr>
            <w:tcW w:w="15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340" w:type="dxa"/>
            <w:vAlign w:val="bottom"/>
            <w:tcBorders>
              <w:left w:val="single" w:sz="8" w:color="007DC6"/>
            </w:tcBorders>
            <w:gridSpan w:val="2"/>
            <w:shd w:val="clear" w:color="auto" w:fill="007DC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2.</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PROPERTIES</w:t>
            </w:r>
          </w:p>
        </w:tc>
        <w:tc>
          <w:tcPr>
            <w:tcW w:w="15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3.</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LEGAL PROCEEDINGS</w:t>
            </w: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4.</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MINE SAFETY DISCLOSURES</w:t>
            </w: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80" w:type="dxa"/>
            <w:vAlign w:val="bottom"/>
            <w:gridSpan w:val="30"/>
          </w:tcPr>
          <w:p>
            <w:pPr>
              <w:spacing w:after="0"/>
              <w:rPr>
                <w:sz w:val="20"/>
                <w:szCs w:val="20"/>
                <w:color w:val="auto"/>
              </w:rPr>
            </w:pPr>
            <w:r>
              <w:rPr>
                <w:rFonts w:ascii="Arial" w:cs="Arial" w:eastAsia="Arial" w:hAnsi="Arial"/>
                <w:sz w:val="20"/>
                <w:szCs w:val="20"/>
                <w:b w:val="1"/>
                <w:bCs w:val="1"/>
                <w:color w:val="007DC6"/>
              </w:rPr>
              <w:t>INFORMATION ABOUT OUR EXECUTIVE OFFICERS</w:t>
            </w: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85"/>
        </w:trPr>
        <w:tc>
          <w:tcPr>
            <w:tcW w:w="720" w:type="dxa"/>
            <w:vAlign w:val="bottom"/>
            <w:tcBorders>
              <w:top w:val="single" w:sz="8" w:color="007DC6"/>
              <w:bottom w:val="single" w:sz="8" w:color="007DC6"/>
            </w:tcBorders>
            <w:gridSpan w:val="2"/>
          </w:tcPr>
          <w:p>
            <w:pPr>
              <w:spacing w:after="0"/>
              <w:rPr>
                <w:sz w:val="20"/>
                <w:szCs w:val="20"/>
                <w:color w:val="auto"/>
              </w:rPr>
            </w:pPr>
            <w:r>
              <w:rPr>
                <w:rFonts w:ascii="Arial" w:cs="Arial" w:eastAsia="Arial" w:hAnsi="Arial"/>
                <w:sz w:val="20"/>
                <w:szCs w:val="20"/>
                <w:b w:val="1"/>
                <w:bCs w:val="1"/>
                <w:color w:val="007DC6"/>
                <w:w w:val="98"/>
              </w:rPr>
              <w:t>PART II</w:t>
            </w:r>
          </w:p>
        </w:tc>
        <w:tc>
          <w:tcPr>
            <w:tcW w:w="1440" w:type="dxa"/>
            <w:vAlign w:val="bottom"/>
            <w:tcBorders>
              <w:top w:val="single" w:sz="8" w:color="007DC6"/>
            </w:tcBorders>
            <w:gridSpan w:val="4"/>
          </w:tcPr>
          <w:p>
            <w:pPr>
              <w:spacing w:after="0"/>
              <w:rPr>
                <w:sz w:val="24"/>
                <w:szCs w:val="24"/>
                <w:color w:val="auto"/>
              </w:rPr>
            </w:pPr>
          </w:p>
        </w:tc>
        <w:tc>
          <w:tcPr>
            <w:tcW w:w="80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20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5.</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MARKET FOR REGISTRANT’S COMMON EQUITY, RELATED STOCKHOLDER MATTERS AND</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60" w:type="dxa"/>
            <w:vAlign w:val="bottom"/>
            <w:tcBorders>
              <w:top w:val="single" w:sz="8" w:color="007DC6"/>
            </w:tcBorders>
            <w:gridSpan w:val="20"/>
          </w:tcPr>
          <w:p>
            <w:pPr>
              <w:spacing w:after="0" w:line="169" w:lineRule="exact"/>
              <w:rPr>
                <w:sz w:val="20"/>
                <w:szCs w:val="20"/>
                <w:color w:val="auto"/>
              </w:rPr>
            </w:pPr>
            <w:r>
              <w:rPr>
                <w:rFonts w:ascii="Arial" w:cs="Arial" w:eastAsia="Arial" w:hAnsi="Arial"/>
                <w:sz w:val="16"/>
                <w:szCs w:val="16"/>
                <w:b w:val="1"/>
                <w:bCs w:val="1"/>
                <w:color w:val="007DC6"/>
              </w:rPr>
              <w:t>ISSUER PURCHASES OF EQUITY SECURITIES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100" w:type="dxa"/>
            <w:vAlign w:val="bottom"/>
            <w:gridSpan w:val="3"/>
            <w:shd w:val="clear" w:color="auto" w:fill="007DC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6.</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RESERVED</w:t>
            </w:r>
          </w:p>
        </w:tc>
        <w:tc>
          <w:tcPr>
            <w:tcW w:w="15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860" w:type="dxa"/>
            <w:vAlign w:val="bottom"/>
            <w:gridSpan w:val="2"/>
            <w:shd w:val="clear" w:color="auto" w:fill="007DC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7.</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MANAGEMENT’S DISCUSSION AND ANALYSIS OF FINANCIAL CONDITION AND RESULTS OF</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300" w:type="dxa"/>
            <w:vAlign w:val="bottom"/>
            <w:gridSpan w:val="4"/>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112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880" w:type="dxa"/>
            <w:vAlign w:val="bottom"/>
            <w:shd w:val="clear" w:color="auto" w:fill="007DC6"/>
          </w:tcPr>
          <w:p>
            <w:pPr>
              <w:spacing w:after="0" w:line="20" w:lineRule="exact"/>
              <w:rPr>
                <w:sz w:val="1"/>
                <w:szCs w:val="1"/>
                <w:color w:val="auto"/>
              </w:rPr>
            </w:pPr>
          </w:p>
        </w:tc>
        <w:tc>
          <w:tcPr>
            <w:tcW w:w="660" w:type="dxa"/>
            <w:vAlign w:val="bottom"/>
            <w:gridSpan w:val="2"/>
            <w:shd w:val="clear" w:color="auto" w:fill="007DC6"/>
          </w:tcPr>
          <w:p>
            <w:pPr>
              <w:spacing w:after="0" w:line="20" w:lineRule="exact"/>
              <w:rPr>
                <w:sz w:val="1"/>
                <w:szCs w:val="1"/>
                <w:color w:val="auto"/>
              </w:rPr>
            </w:pPr>
          </w:p>
        </w:tc>
        <w:tc>
          <w:tcPr>
            <w:tcW w:w="20" w:type="dxa"/>
            <w:vAlign w:val="bottom"/>
            <w:shd w:val="clear" w:color="auto" w:fill="007DC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60" w:type="dxa"/>
            <w:vAlign w:val="bottom"/>
            <w:gridSpan w:val="22"/>
          </w:tcPr>
          <w:p>
            <w:pPr>
              <w:spacing w:after="0" w:line="169" w:lineRule="exact"/>
              <w:rPr>
                <w:sz w:val="20"/>
                <w:szCs w:val="20"/>
                <w:color w:val="auto"/>
              </w:rPr>
            </w:pPr>
            <w:r>
              <w:rPr>
                <w:rFonts w:ascii="Arial" w:cs="Arial" w:eastAsia="Arial" w:hAnsi="Arial"/>
                <w:sz w:val="16"/>
                <w:szCs w:val="16"/>
                <w:b w:val="1"/>
                <w:bCs w:val="1"/>
                <w:color w:val="007DC6"/>
              </w:rPr>
              <w:t>OPERATIONS</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tcBorders>
              <w:left w:val="single" w:sz="8" w:color="007DC6"/>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7A.</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QUANTITATIVE AND QUALITATIVE DISCLOSURES ABOUT MARKET RISK</w:t>
            </w:r>
          </w:p>
        </w:tc>
        <w:tc>
          <w:tcPr>
            <w:tcW w:w="156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300" w:type="dxa"/>
            <w:vAlign w:val="bottom"/>
            <w:gridSpan w:val="4"/>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112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8.</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FINANCIAL STATEMENTS AND SUPPLEMENTARY DATA</w:t>
            </w:r>
          </w:p>
        </w:tc>
        <w:tc>
          <w:tcPr>
            <w:tcW w:w="15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300" w:type="dxa"/>
            <w:vAlign w:val="bottom"/>
            <w:gridSpan w:val="4"/>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9.</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CHANGES IN AND DISAGREEMENTS WITH ACCOUNTANTS ON ACCOUNTING AND FINANCIAL</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tcBorders>
              <w:left w:val="single" w:sz="8" w:color="007DC6"/>
            </w:tcBorders>
            <w:gridSpan w:val="3"/>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300" w:type="dxa"/>
            <w:vAlign w:val="bottom"/>
            <w:gridSpan w:val="4"/>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1340" w:type="dxa"/>
            <w:vAlign w:val="bottom"/>
            <w:gridSpan w:val="2"/>
            <w:shd w:val="clear" w:color="auto" w:fill="007DC6"/>
          </w:tcPr>
          <w:p>
            <w:pPr>
              <w:spacing w:after="0" w:line="20" w:lineRule="exact"/>
              <w:rPr>
                <w:sz w:val="1"/>
                <w:szCs w:val="1"/>
                <w:color w:val="auto"/>
              </w:rPr>
            </w:pPr>
          </w:p>
        </w:tc>
        <w:tc>
          <w:tcPr>
            <w:tcW w:w="1100" w:type="dxa"/>
            <w:vAlign w:val="bottom"/>
            <w:gridSpan w:val="2"/>
            <w:shd w:val="clear" w:color="auto" w:fill="007DC6"/>
          </w:tcPr>
          <w:p>
            <w:pPr>
              <w:spacing w:after="0" w:line="20" w:lineRule="exact"/>
              <w:rPr>
                <w:sz w:val="1"/>
                <w:szCs w:val="1"/>
                <w:color w:val="auto"/>
              </w:rPr>
            </w:pPr>
          </w:p>
        </w:tc>
        <w:tc>
          <w:tcPr>
            <w:tcW w:w="660" w:type="dxa"/>
            <w:vAlign w:val="bottom"/>
            <w:gridSpan w:val="2"/>
            <w:shd w:val="clear" w:color="auto" w:fill="007DC6"/>
          </w:tcPr>
          <w:p>
            <w:pPr>
              <w:spacing w:after="0" w:line="20" w:lineRule="exact"/>
              <w:rPr>
                <w:sz w:val="1"/>
                <w:szCs w:val="1"/>
                <w:color w:val="auto"/>
              </w:rPr>
            </w:pPr>
          </w:p>
        </w:tc>
        <w:tc>
          <w:tcPr>
            <w:tcW w:w="140" w:type="dxa"/>
            <w:vAlign w:val="bottom"/>
            <w:gridSpan w:val="2"/>
            <w:shd w:val="clear" w:color="auto" w:fill="007DC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380" w:type="dxa"/>
            <w:vAlign w:val="bottom"/>
            <w:gridSpan w:val="23"/>
          </w:tcPr>
          <w:p>
            <w:pPr>
              <w:spacing w:after="0" w:line="169" w:lineRule="exact"/>
              <w:rPr>
                <w:sz w:val="20"/>
                <w:szCs w:val="20"/>
                <w:color w:val="auto"/>
              </w:rPr>
            </w:pPr>
            <w:r>
              <w:rPr>
                <w:rFonts w:ascii="Arial" w:cs="Arial" w:eastAsia="Arial" w:hAnsi="Arial"/>
                <w:sz w:val="16"/>
                <w:szCs w:val="16"/>
                <w:b w:val="1"/>
                <w:bCs w:val="1"/>
                <w:color w:val="007DC6"/>
              </w:rPr>
              <w:t>DISCLOSURE</w:t>
            </w:r>
          </w:p>
        </w:tc>
        <w:tc>
          <w:tcPr>
            <w:tcW w:w="1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020" w:type="dxa"/>
            <w:vAlign w:val="bottom"/>
            <w:gridSpan w:val="3"/>
            <w:shd w:val="clear" w:color="auto" w:fill="007DC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9A.</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CONTROLS AND PROCEDURES</w:t>
            </w:r>
          </w:p>
        </w:tc>
        <w:tc>
          <w:tcPr>
            <w:tcW w:w="156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20" w:type="dxa"/>
            <w:vAlign w:val="bottom"/>
            <w:gridSpan w:val="6"/>
            <w:shd w:val="clear" w:color="auto" w:fill="007DC6"/>
          </w:tcPr>
          <w:p>
            <w:pPr>
              <w:spacing w:after="0" w:line="20" w:lineRule="exact"/>
              <w:rPr>
                <w:sz w:val="1"/>
                <w:szCs w:val="1"/>
                <w:color w:val="auto"/>
              </w:rPr>
            </w:pPr>
          </w:p>
        </w:tc>
        <w:tc>
          <w:tcPr>
            <w:tcW w:w="40" w:type="dxa"/>
            <w:vAlign w:val="bottom"/>
            <w:tcBorders>
              <w:right w:val="single" w:sz="8" w:color="007DC6"/>
            </w:tcBorders>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200" w:type="dxa"/>
            <w:vAlign w:val="bottom"/>
            <w:tcBorders>
              <w:left w:val="single" w:sz="8" w:color="007DC6"/>
            </w:tcBorders>
            <w:shd w:val="clear" w:color="auto" w:fill="007DC6"/>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9B.</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OTHER INFORMATION</w:t>
            </w:r>
          </w:p>
        </w:tc>
        <w:tc>
          <w:tcPr>
            <w:tcW w:w="15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20" w:type="dxa"/>
            <w:vAlign w:val="bottom"/>
            <w:gridSpan w:val="6"/>
            <w:shd w:val="clear" w:color="auto" w:fill="007DC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9C.</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DISCLOSURE REGARDING FOREIGN JURISDICTIONS THAT PREVENT INSPECTIONS</w:t>
            </w:r>
          </w:p>
        </w:tc>
        <w:tc>
          <w:tcPr>
            <w:tcW w:w="15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412"/>
        </w:trPr>
        <w:tc>
          <w:tcPr>
            <w:tcW w:w="2160" w:type="dxa"/>
            <w:vAlign w:val="bottom"/>
            <w:gridSpan w:val="6"/>
          </w:tcPr>
          <w:p>
            <w:pPr>
              <w:spacing w:after="0"/>
              <w:rPr>
                <w:sz w:val="20"/>
                <w:szCs w:val="20"/>
                <w:color w:val="auto"/>
              </w:rPr>
            </w:pPr>
            <w:r>
              <w:rPr>
                <w:rFonts w:ascii="Arial" w:cs="Arial" w:eastAsia="Arial" w:hAnsi="Arial"/>
                <w:sz w:val="20"/>
                <w:szCs w:val="20"/>
                <w:b w:val="1"/>
                <w:bCs w:val="1"/>
                <w:color w:val="007DC6"/>
              </w:rPr>
              <w:t>PART III</w:t>
            </w:r>
          </w:p>
        </w:tc>
        <w:tc>
          <w:tcPr>
            <w:tcW w:w="80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20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200" w:type="dxa"/>
            <w:vAlign w:val="bottom"/>
            <w:tcBorders>
              <w:top w:val="single" w:sz="8" w:color="007DC6"/>
            </w:tcBorders>
          </w:tcPr>
          <w:p>
            <w:pPr>
              <w:spacing w:after="0"/>
              <w:rPr>
                <w:sz w:val="24"/>
                <w:szCs w:val="24"/>
                <w:color w:val="auto"/>
              </w:rPr>
            </w:pPr>
          </w:p>
        </w:tc>
        <w:tc>
          <w:tcPr>
            <w:tcW w:w="38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12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880" w:type="dxa"/>
            <w:vAlign w:val="bottom"/>
            <w:tcBorders>
              <w:top w:val="single" w:sz="8" w:color="007DC6"/>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6"/>
        </w:trPr>
        <w:tc>
          <w:tcPr>
            <w:tcW w:w="760" w:type="dxa"/>
            <w:vAlign w:val="bottom"/>
            <w:tcBorders>
              <w:top w:val="single" w:sz="8" w:color="007DC6"/>
            </w:tcBorders>
            <w:gridSpan w:val="3"/>
          </w:tcPr>
          <w:p>
            <w:pPr>
              <w:ind w:left="40"/>
              <w:spacing w:after="0"/>
              <w:rPr>
                <w:sz w:val="20"/>
                <w:szCs w:val="20"/>
                <w:color w:val="auto"/>
              </w:rPr>
            </w:pPr>
            <w:r>
              <w:rPr>
                <w:rFonts w:ascii="Arial" w:cs="Arial" w:eastAsia="Arial" w:hAnsi="Arial"/>
                <w:sz w:val="16"/>
                <w:szCs w:val="16"/>
                <w:b w:val="1"/>
                <w:bCs w:val="1"/>
                <w:color w:val="auto"/>
              </w:rPr>
              <w:t>ITEM 10.</w:t>
            </w:r>
          </w:p>
        </w:tc>
        <w:tc>
          <w:tcPr>
            <w:tcW w:w="1400" w:type="dxa"/>
            <w:vAlign w:val="bottom"/>
            <w:gridSpan w:val="3"/>
          </w:tcPr>
          <w:p>
            <w:pPr>
              <w:spacing w:after="0"/>
              <w:rPr>
                <w:sz w:val="20"/>
                <w:szCs w:val="20"/>
                <w:color w:val="auto"/>
              </w:rPr>
            </w:pP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DIRECTORS, EXECUTIVE OFFICERS AND CORPORATE GOVERNANCE</w:t>
            </w: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60" w:type="dxa"/>
            <w:vAlign w:val="bottom"/>
            <w:tcBorders>
              <w:right w:val="single" w:sz="8" w:color="007DC6"/>
            </w:tcBorders>
            <w:gridSpan w:val="7"/>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1500" w:type="dxa"/>
            <w:vAlign w:val="bottom"/>
            <w:tcBorders>
              <w:left w:val="single" w:sz="8" w:color="007DC6"/>
            </w:tcBorders>
            <w:gridSpan w:val="5"/>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1340" w:type="dxa"/>
            <w:vAlign w:val="bottom"/>
            <w:gridSpan w:val="2"/>
            <w:shd w:val="clear" w:color="auto" w:fill="007DC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11.</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EXECUTIVE COMPENSATION</w:t>
            </w: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60" w:type="dxa"/>
            <w:vAlign w:val="bottom"/>
            <w:tcBorders>
              <w:right w:val="single" w:sz="8" w:color="007DC6"/>
            </w:tcBorders>
            <w:gridSpan w:val="7"/>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220" w:type="dxa"/>
            <w:vAlign w:val="bottom"/>
            <w:shd w:val="clear" w:color="auto" w:fill="007DC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12.</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SECURITY OWNERSHIP OF CERTAIN BENEFICIAL OWNERS AND MANAGEMENT AND RELATED</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60" w:type="dxa"/>
            <w:vAlign w:val="bottom"/>
            <w:tcBorders>
              <w:right w:val="single" w:sz="8" w:color="007DC6"/>
            </w:tcBorders>
            <w:gridSpan w:val="7"/>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1720" w:type="dxa"/>
            <w:vAlign w:val="bottom"/>
            <w:gridSpan w:val="6"/>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3100" w:type="dxa"/>
            <w:vAlign w:val="bottom"/>
            <w:gridSpan w:val="6"/>
            <w:shd w:val="clear" w:color="auto" w:fill="007DC6"/>
          </w:tcPr>
          <w:p>
            <w:pPr>
              <w:spacing w:after="0" w:line="20" w:lineRule="exact"/>
              <w:rPr>
                <w:sz w:val="1"/>
                <w:szCs w:val="1"/>
                <w:color w:val="auto"/>
              </w:rPr>
            </w:pPr>
          </w:p>
        </w:tc>
        <w:tc>
          <w:tcPr>
            <w:tcW w:w="280" w:type="dxa"/>
            <w:vAlign w:val="bottom"/>
            <w:gridSpan w:val="3"/>
            <w:shd w:val="clear" w:color="auto" w:fill="007DC6"/>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520" w:type="dxa"/>
            <w:vAlign w:val="bottom"/>
            <w:gridSpan w:val="24"/>
          </w:tcPr>
          <w:p>
            <w:pPr>
              <w:spacing w:after="0" w:line="169" w:lineRule="exact"/>
              <w:rPr>
                <w:sz w:val="20"/>
                <w:szCs w:val="20"/>
                <w:color w:val="auto"/>
              </w:rPr>
            </w:pPr>
            <w:r>
              <w:rPr>
                <w:rFonts w:ascii="Arial" w:cs="Arial" w:eastAsia="Arial" w:hAnsi="Arial"/>
                <w:sz w:val="16"/>
                <w:szCs w:val="16"/>
                <w:b w:val="1"/>
                <w:bCs w:val="1"/>
                <w:color w:val="007DC6"/>
              </w:rPr>
              <w:t>STOCKHOLDER MATTERS</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60" w:type="dxa"/>
            <w:vAlign w:val="bottom"/>
            <w:tcBorders>
              <w:right w:val="single" w:sz="8" w:color="007DC6"/>
            </w:tcBorders>
            <w:gridSpan w:val="7"/>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13.</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CERTAIN RELATIONSHIPS AND RELATED TRANSACTIONS, AND DIRECTOR INDEPENDENCE</w:t>
            </w: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right w:val="single" w:sz="8" w:color="007DC6"/>
            </w:tcBorders>
          </w:tcPr>
          <w:p>
            <w:pPr>
              <w:spacing w:after="0" w:line="20" w:lineRule="exact"/>
              <w:rPr>
                <w:sz w:val="1"/>
                <w:szCs w:val="1"/>
                <w:color w:val="auto"/>
              </w:rPr>
            </w:pPr>
          </w:p>
        </w:tc>
        <w:tc>
          <w:tcPr>
            <w:tcW w:w="1760" w:type="dxa"/>
            <w:vAlign w:val="bottom"/>
            <w:tcBorders>
              <w:right w:val="single" w:sz="8" w:color="007DC6"/>
            </w:tcBorders>
            <w:gridSpan w:val="7"/>
            <w:shd w:val="clear" w:color="auto" w:fill="007DC6"/>
          </w:tcPr>
          <w:p>
            <w:pPr>
              <w:spacing w:after="0" w:line="20" w:lineRule="exact"/>
              <w:rPr>
                <w:sz w:val="1"/>
                <w:szCs w:val="1"/>
                <w:color w:val="auto"/>
              </w:rPr>
            </w:pPr>
          </w:p>
        </w:tc>
        <w:tc>
          <w:tcPr>
            <w:tcW w:w="2000" w:type="dxa"/>
            <w:vAlign w:val="bottom"/>
            <w:gridSpan w:val="7"/>
            <w:shd w:val="clear" w:color="auto" w:fill="007DC6"/>
          </w:tcPr>
          <w:p>
            <w:pPr>
              <w:spacing w:after="0" w:line="20" w:lineRule="exact"/>
              <w:rPr>
                <w:sz w:val="1"/>
                <w:szCs w:val="1"/>
                <w:color w:val="auto"/>
              </w:rPr>
            </w:pPr>
          </w:p>
        </w:tc>
        <w:tc>
          <w:tcPr>
            <w:tcW w:w="380" w:type="dxa"/>
            <w:vAlign w:val="bottom"/>
            <w:shd w:val="clear" w:color="auto" w:fill="007DC6"/>
          </w:tcPr>
          <w:p>
            <w:pPr>
              <w:spacing w:after="0" w:line="20" w:lineRule="exact"/>
              <w:rPr>
                <w:sz w:val="1"/>
                <w:szCs w:val="1"/>
                <w:color w:val="auto"/>
              </w:rPr>
            </w:pPr>
          </w:p>
        </w:tc>
        <w:tc>
          <w:tcPr>
            <w:tcW w:w="3100" w:type="dxa"/>
            <w:vAlign w:val="bottom"/>
            <w:gridSpan w:val="6"/>
            <w:shd w:val="clear" w:color="auto" w:fill="007DC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14.</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PRINCIPAL ACCOUNTANT FEES AND SERVICES</w:t>
            </w: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98"/>
        </w:trPr>
        <w:tc>
          <w:tcPr>
            <w:tcW w:w="2160" w:type="dxa"/>
            <w:vAlign w:val="bottom"/>
            <w:gridSpan w:val="6"/>
          </w:tcPr>
          <w:p>
            <w:pPr>
              <w:spacing w:after="0"/>
              <w:rPr>
                <w:sz w:val="20"/>
                <w:szCs w:val="20"/>
                <w:color w:val="auto"/>
              </w:rPr>
            </w:pPr>
            <w:r>
              <w:rPr>
                <w:rFonts w:ascii="Arial" w:cs="Arial" w:eastAsia="Arial" w:hAnsi="Arial"/>
                <w:sz w:val="20"/>
                <w:szCs w:val="20"/>
                <w:b w:val="1"/>
                <w:bCs w:val="1"/>
                <w:color w:val="007DC6"/>
              </w:rPr>
              <w:t>PART IV</w:t>
            </w:r>
          </w:p>
        </w:tc>
        <w:tc>
          <w:tcPr>
            <w:tcW w:w="80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20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200" w:type="dxa"/>
            <w:vAlign w:val="bottom"/>
            <w:tcBorders>
              <w:top w:val="single" w:sz="8" w:color="007DC6"/>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780" w:type="dxa"/>
            <w:vAlign w:val="bottom"/>
            <w:tcBorders>
              <w:top w:val="single" w:sz="8" w:color="007DC6"/>
            </w:tcBorders>
            <w:gridSpan w:val="4"/>
          </w:tcPr>
          <w:p>
            <w:pPr>
              <w:ind w:left="40"/>
              <w:spacing w:after="0"/>
              <w:rPr>
                <w:sz w:val="20"/>
                <w:szCs w:val="20"/>
                <w:color w:val="auto"/>
              </w:rPr>
            </w:pPr>
            <w:r>
              <w:rPr>
                <w:rFonts w:ascii="Arial" w:cs="Arial" w:eastAsia="Arial" w:hAnsi="Arial"/>
                <w:sz w:val="16"/>
                <w:szCs w:val="16"/>
                <w:b w:val="1"/>
                <w:bCs w:val="1"/>
                <w:color w:val="auto"/>
              </w:rPr>
              <w:t>ITEM 15.</w:t>
            </w:r>
          </w:p>
        </w:tc>
        <w:tc>
          <w:tcPr>
            <w:tcW w:w="1380" w:type="dxa"/>
            <w:vAlign w:val="bottom"/>
            <w:gridSpan w:val="2"/>
          </w:tcPr>
          <w:p>
            <w:pPr>
              <w:spacing w:after="0"/>
              <w:rPr>
                <w:sz w:val="20"/>
                <w:szCs w:val="20"/>
                <w:color w:val="auto"/>
              </w:rPr>
            </w:pPr>
          </w:p>
        </w:tc>
        <w:tc>
          <w:tcPr>
            <w:tcW w:w="4140" w:type="dxa"/>
            <w:vAlign w:val="bottom"/>
            <w:tcBorders>
              <w:bottom w:val="single" w:sz="8" w:color="007DC6"/>
            </w:tcBorders>
            <w:gridSpan w:val="15"/>
          </w:tcPr>
          <w:p>
            <w:pPr>
              <w:spacing w:after="0"/>
              <w:rPr>
                <w:sz w:val="20"/>
                <w:szCs w:val="20"/>
                <w:color w:val="auto"/>
              </w:rPr>
            </w:pPr>
            <w:r>
              <w:rPr>
                <w:rFonts w:ascii="Arial" w:cs="Arial" w:eastAsia="Arial" w:hAnsi="Arial"/>
                <w:sz w:val="16"/>
                <w:szCs w:val="16"/>
                <w:b w:val="1"/>
                <w:bCs w:val="1"/>
                <w:color w:val="007DC6"/>
              </w:rPr>
              <w:t>EXHIBITS AND FINANCIAL STATEMENT SCHEDULES</w:t>
            </w:r>
          </w:p>
        </w:tc>
        <w:tc>
          <w:tcPr>
            <w:tcW w:w="3380" w:type="dxa"/>
            <w:vAlign w:val="bottom"/>
            <w:gridSpan w:val="9"/>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6"/>
        </w:trPr>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rPr>
              <w:t>ITEM 16.</w:t>
            </w:r>
          </w:p>
        </w:tc>
        <w:tc>
          <w:tcPr>
            <w:tcW w:w="7520" w:type="dxa"/>
            <w:vAlign w:val="bottom"/>
            <w:gridSpan w:val="24"/>
          </w:tcPr>
          <w:p>
            <w:pPr>
              <w:spacing w:after="0"/>
              <w:rPr>
                <w:sz w:val="20"/>
                <w:szCs w:val="20"/>
                <w:color w:val="auto"/>
              </w:rPr>
            </w:pPr>
            <w:r>
              <w:rPr>
                <w:rFonts w:ascii="Arial" w:cs="Arial" w:eastAsia="Arial" w:hAnsi="Arial"/>
                <w:sz w:val="16"/>
                <w:szCs w:val="16"/>
                <w:b w:val="1"/>
                <w:bCs w:val="1"/>
                <w:color w:val="007DC6"/>
              </w:rPr>
              <w:t>FORM 10-K SUMMARY</w:t>
            </w:r>
          </w:p>
        </w:tc>
        <w:tc>
          <w:tcPr>
            <w:tcW w:w="15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85"/>
        </w:trPr>
        <w:tc>
          <w:tcPr>
            <w:tcW w:w="2160" w:type="dxa"/>
            <w:vAlign w:val="bottom"/>
            <w:gridSpan w:val="6"/>
          </w:tcPr>
          <w:p>
            <w:pPr>
              <w:spacing w:after="0"/>
              <w:rPr>
                <w:sz w:val="20"/>
                <w:szCs w:val="20"/>
                <w:color w:val="auto"/>
              </w:rPr>
            </w:pPr>
            <w:r>
              <w:rPr>
                <w:rFonts w:ascii="Arial" w:cs="Arial" w:eastAsia="Arial" w:hAnsi="Arial"/>
                <w:sz w:val="20"/>
                <w:szCs w:val="20"/>
                <w:b w:val="1"/>
                <w:bCs w:val="1"/>
                <w:color w:val="007DC6"/>
              </w:rPr>
              <w:t>SIGNATURES</w:t>
            </w:r>
          </w:p>
        </w:tc>
        <w:tc>
          <w:tcPr>
            <w:tcW w:w="80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6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472"/>
        </w:trPr>
        <w:tc>
          <w:tcPr>
            <w:tcW w:w="660" w:type="dxa"/>
            <w:vAlign w:val="bottom"/>
            <w:tcBorders>
              <w:top w:val="single" w:sz="8" w:color="007DC6"/>
              <w:bottom w:val="single" w:sz="8" w:color="9A9A9A"/>
            </w:tcBorders>
          </w:tcPr>
          <w:p>
            <w:pPr>
              <w:spacing w:after="0"/>
              <w:rPr>
                <w:sz w:val="24"/>
                <w:szCs w:val="24"/>
                <w:color w:val="auto"/>
              </w:rPr>
            </w:pPr>
          </w:p>
        </w:tc>
        <w:tc>
          <w:tcPr>
            <w:tcW w:w="60" w:type="dxa"/>
            <w:vAlign w:val="bottom"/>
            <w:tcBorders>
              <w:top w:val="single" w:sz="8" w:color="007DC6"/>
              <w:bottom w:val="single" w:sz="8" w:color="9A9A9A"/>
            </w:tcBorders>
          </w:tcPr>
          <w:p>
            <w:pPr>
              <w:spacing w:after="0"/>
              <w:rPr>
                <w:sz w:val="24"/>
                <w:szCs w:val="24"/>
                <w:color w:val="auto"/>
              </w:rPr>
            </w:pPr>
          </w:p>
        </w:tc>
        <w:tc>
          <w:tcPr>
            <w:tcW w:w="40" w:type="dxa"/>
            <w:vAlign w:val="bottom"/>
            <w:tcBorders>
              <w:top w:val="single" w:sz="8" w:color="007DC6"/>
              <w:bottom w:val="single" w:sz="8" w:color="9A9A9A"/>
            </w:tcBorders>
          </w:tcPr>
          <w:p>
            <w:pPr>
              <w:spacing w:after="0"/>
              <w:rPr>
                <w:sz w:val="24"/>
                <w:szCs w:val="24"/>
                <w:color w:val="auto"/>
              </w:rPr>
            </w:pPr>
          </w:p>
        </w:tc>
        <w:tc>
          <w:tcPr>
            <w:tcW w:w="20" w:type="dxa"/>
            <w:vAlign w:val="bottom"/>
            <w:tcBorders>
              <w:top w:val="single" w:sz="8" w:color="007DC6"/>
              <w:bottom w:val="single" w:sz="8" w:color="9A9A9A"/>
            </w:tcBorders>
          </w:tcPr>
          <w:p>
            <w:pPr>
              <w:spacing w:after="0"/>
              <w:rPr>
                <w:sz w:val="24"/>
                <w:szCs w:val="24"/>
                <w:color w:val="auto"/>
              </w:rPr>
            </w:pPr>
          </w:p>
        </w:tc>
        <w:tc>
          <w:tcPr>
            <w:tcW w:w="520" w:type="dxa"/>
            <w:vAlign w:val="bottom"/>
            <w:tcBorders>
              <w:top w:val="single" w:sz="8" w:color="007DC6"/>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 BUSINESS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General</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Martin Marietta Materials, Inc. (the Company or Martin Marietta) is a leading natural resource-based building materials company. The Company supplies aggregates (crushed stone, sand and gravel) through its network of approximately 400 quarries, mines and distribution yards in 28 states, Canada and The Bahamas. In 2025, aggregates generated 88% of the Company’s total reportable segment gross profit. As of December 31, 2025, Martin Marietta also provides other building materials, namely, cement, ready mixed concrete, asphalt and paving services in targeted markets where the Company has a notable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operations are reported collectively as the “Building Materials business”.</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also operates a Specialties business (formerly known as the Magnesia Specialties business) with production facilities located in Michigan, Ohio, Nevada, North Carolina, Indiana and Pennsylvania. The Specialties business produces high-purity natural and synthetic magnesia-based products, including magnesium sulfate, magnesium oxide and magnesium hydroxide, that are used in environmental, industrial, agricultural, construction, consumer and specialty applications. The Specialties business also produces dolomitic lime, which is sold primarily to external customers for use in steel production and soil stabilization, and is also used internally as a raw material input in synthetic magnesia production. Specialties’ products are shipped to customers domestically and worldwide.</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was formed in 1993 as a North Carolina corporation to succeed the operations of the materials group of the organization that is now known as Lockheed Martin Corporation. An initial public offering of a portion of the Company’s common stock was completed in 1994, followed in 1996 by a tax-free exchange transaction resulting in all of the Company’s common stock becoming publicly traded. Since its initial public offering, the Company has completed over 100 acquisitions, as well as a number of strategic dispositions, strengthening and expanding its aggregates-led presence in the building materials marketplace.</w:t>
      </w:r>
    </w:p>
    <w:p>
      <w:pPr>
        <w:spacing w:after="0" w:line="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12, 2024, the Company acquired Albert Frei &amp; Sons, Inc., a leading aggregates producer in Colorado. This acquisition added more than 60 years (at current production levels) of high-quality, hard rock reserves, strengthening the Company's aggregates platform in the Denver metropolitan area and improving service to new and existing customers.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February 9, 2024, the Company completed the sale of its South Texas cement business and certain of its related ready mixed concrete operations to CRH Americas Materials, Inc., a subsidiary of CRH plc, for $2.1 billion in cash. The divested facilities included the Hunter cement plant in New Braunfels, Texas, related cement distribution terminals and 20 ready mixed concrete plants serving the Austin and San Antonio region. This divestiture optimized the Company's portfolio and product mix and provided proceeds that were used to consummate the Blue Water Industries LLC acquisition discussed below. The transaction resulted in a pretax gain of $1.3 billion. The historical financial results of the divested operations and the gain on divestiture were reported in continuing operations for the West Group.</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April 5, 2024, the Company completed the acquisition of 20 active aggregates operations in Alabama, South Carolina, South Florida, Tennessee and Virginia from affiliates of Blue Water Industries LLC (BWI Southeast) for $2.05 billion in cash. The BWI Southeast acquisition complemented Martin Marietta’s existing geographic footprint in the southeast region by expanding into new growth platforms in target markets, including Tennessee and South Florida.</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During October 2024, the Company acquired pure aggregates assets in South Florida and Southern California. In December 2024, the Company completed an aggregates-led, bolt-on acquisition in West Texas.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25, 2025, the Company acquired Premier Magnesia, LLC (Premier), a privately-owned producer and distributor of magnesia-based products. Premier is the largest producer of natural magnesite and magnesium sulfate, or Epsom salt, in the United States, with facilities in Nevada, North Carolina, Indiana and Pennsylvania. This transaction expanded the Company's product portfolio and enhanced its domestic magnesia mineral reserves and chemical processing capabilities.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August 3, 2025, the Company entered into a definitive agreement with Quikrete Holdings, Inc. (QUIKRETE) for the exchange of certain assets. Under the terms of the agreement, Martin Marietta would receive aggregates facilities producing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 w:name="page4"/>
    <w:bookmarkEnd w:id="3"/>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approximately 20 million tons annually across Virginia, Missouri, Kansas and Vancouver, British Columbia, and cash proceeds. In exchange, QUIKRETE would receive the Company’s Midlothian cement plant, related cement distribution terminals, Texas ready mixed concrete assets and certain nonoperating land. The aggregates facilities to be acquired will complement Martin Marietta’s existing geographic footprint in its Central Division and establish new growth platforms in key target markets, including Virginia and the Pacific Northwest. The divesture of its sole cement business and remaining Texas ready mixed concrete operations will optimize the Company's portfolio and product mix and preserve balance sheet capacity to pursue pure-play aggregates opportunities. The Company’s Midlothian cement plant, related cement distribution terminals and Texas ready mixed concrete plants, which are reported in the West Group, meet the criteria for classification as held for sale and their associated financial results qualify as discontinued operations. Accordingly, the Company has recast historical financial information, unless otherwise noted, to reflect this classification for all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On December 19, 2025, the Company completed an aggregates-led, bolt-on acquisition in Minnesota.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Business Segment Information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 conducts its Building Materials business for continuing operations through two reportable segments, organized by geography: the East Group and the West Group. The East Group provides aggregates and asphalt products. The West Group provides aggregates, ready mixed concrete, asphalt and paving services. The Company’s Specialties business is reported as a separate segment and includes its magnesia-based products and dolomitic lime businesses. For more information on the organization and geographic areas of the Company’s business segments, see </w:t>
      </w:r>
      <w:r>
        <w:rPr>
          <w:rFonts w:ascii="Arial" w:cs="Arial" w:eastAsia="Arial" w:hAnsi="Arial"/>
          <w:sz w:val="18"/>
          <w:szCs w:val="18"/>
          <w:u w:val="single" w:color="auto"/>
          <w:color w:val="007DC6"/>
        </w:rPr>
        <w:t>Note A: Accounting Policies</w:t>
      </w:r>
      <w:r>
        <w:rPr>
          <w:rFonts w:ascii="Arial" w:cs="Arial" w:eastAsia="Arial" w:hAnsi="Arial"/>
          <w:sz w:val="18"/>
          <w:szCs w:val="18"/>
          <w:color w:val="auto"/>
        </w:rPr>
        <w:t xml:space="preserve"> and </w:t>
      </w:r>
      <w:r>
        <w:rPr>
          <w:rFonts w:ascii="Arial" w:cs="Arial" w:eastAsia="Arial" w:hAnsi="Arial"/>
          <w:sz w:val="18"/>
          <w:szCs w:val="18"/>
          <w:u w:val="single" w:color="auto"/>
          <w:color w:val="007DC6"/>
        </w:rPr>
        <w:t>Note O: Segments</w:t>
      </w:r>
      <w:r>
        <w:rPr>
          <w:rFonts w:ascii="Arial" w:cs="Arial" w:eastAsia="Arial" w:hAnsi="Arial"/>
          <w:sz w:val="18"/>
          <w:szCs w:val="18"/>
          <w:color w:val="auto"/>
        </w:rPr>
        <w:t xml:space="preserve"> of the </w:t>
      </w:r>
      <w:r>
        <w:rPr>
          <w:rFonts w:ascii="Arial" w:cs="Arial" w:eastAsia="Arial" w:hAnsi="Arial"/>
          <w:sz w:val="18"/>
          <w:szCs w:val="18"/>
          <w:u w:val="single" w:color="auto"/>
          <w:color w:val="007DC6"/>
        </w:rPr>
        <w:t>Notes to Financial Statements</w:t>
      </w:r>
      <w:r>
        <w:rPr>
          <w:rFonts w:ascii="Arial" w:cs="Arial" w:eastAsia="Arial" w:hAnsi="Arial"/>
          <w:sz w:val="18"/>
          <w:szCs w:val="18"/>
          <w:color w:val="auto"/>
        </w:rPr>
        <w:t xml:space="preserve"> of the Company’s consolidated financial statements, which appear in </w:t>
      </w:r>
      <w:r>
        <w:rPr>
          <w:rFonts w:ascii="Arial" w:cs="Arial" w:eastAsia="Arial" w:hAnsi="Arial"/>
          <w:sz w:val="18"/>
          <w:szCs w:val="18"/>
          <w:u w:val="single" w:color="auto"/>
          <w:color w:val="007DC6"/>
        </w:rPr>
        <w:t>Item 8, Financial Statements and Supplementary Data</w:t>
      </w:r>
      <w:r>
        <w:rPr>
          <w:rFonts w:ascii="Arial" w:cs="Arial" w:eastAsia="Arial" w:hAnsi="Arial"/>
          <w:sz w:val="18"/>
          <w:szCs w:val="18"/>
          <w:color w:val="auto"/>
        </w:rPr>
        <w:t xml:space="preserve"> of this Annual Report on Form 10-K (this Form 10-K), all of which are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-281940</wp:posOffset>
            </wp:positionV>
            <wp:extent cx="4805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5045"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-153035</wp:posOffset>
            </wp:positionV>
            <wp:extent cx="2760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Building Materials Business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profitability of the Building Materials business, which serves customers in the construction marketplace, is sensitive to national, regional and local economic conditions and construction cyclicality, which are in turn affected by fluctuations in public-sector infrastructure funding; interest rates; access to capital markets; and demographic, geographic, employment and population dynamics. The heavy-side construction business is conducted outdoors, as are a significant portion of the Building Materials business’ operations. Therefore, weather patterns, seasonal changes and other climate-related conditions, including precipitation, flooding, hurricanes, snowstorms, extreme hot and cold temperatures, wildfires, earthquakes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 and excessive heat.</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Building Materials business markets its products primarily to the construction industry, with 37% of its 2025 aggregates shipments sold to customers for use in highway and other public infrastructure projects and the balance of its shipments sold primarily to customers for nonresidential and residential construction projects. The Company believes the business’ mix of public sector-related shipments lessens the impacts of fluctuations in nonresidential and residential, or private-sector, construction spending. Funding of public infrastructure, historically the Company’s largest end-use market, is discussed in greater detail under </w:t>
      </w:r>
      <w:r>
        <w:rPr>
          <w:rFonts w:ascii="Arial" w:cs="Arial" w:eastAsia="Arial" w:hAnsi="Arial"/>
          <w:sz w:val="18"/>
          <w:szCs w:val="18"/>
          <w:u w:val="single" w:color="auto"/>
          <w:color w:val="007DC6"/>
        </w:rPr>
        <w:t>Building Materials Business’ Key Considerations—Public</w:t>
      </w:r>
      <w:r>
        <w:rPr>
          <w:rFonts w:ascii="Arial" w:cs="Arial" w:eastAsia="Arial" w:hAnsi="Arial"/>
          <w:sz w:val="18"/>
          <w:szCs w:val="18"/>
          <w:color w:val="auto"/>
        </w:rPr>
        <w:t xml:space="preserve"> </w:t>
      </w:r>
      <w:r>
        <w:rPr>
          <w:rFonts w:ascii="Arial" w:cs="Arial" w:eastAsia="Arial" w:hAnsi="Arial"/>
          <w:sz w:val="18"/>
          <w:szCs w:val="18"/>
          <w:u w:val="single" w:color="auto"/>
          <w:color w:val="007DC6"/>
        </w:rPr>
        <w:t>Infrastructure</w:t>
      </w:r>
      <w:r>
        <w:rPr>
          <w:rFonts w:ascii="Arial" w:cs="Arial" w:eastAsia="Arial" w:hAnsi="Arial"/>
          <w:sz w:val="18"/>
          <w:szCs w:val="18"/>
          <w:color w:val="007DC6"/>
        </w:rPr>
        <w:t xml:space="preserve"> </w:t>
      </w:r>
      <w:r>
        <w:rPr>
          <w:rFonts w:ascii="Arial" w:cs="Arial" w:eastAsia="Arial" w:hAnsi="Arial"/>
          <w:sz w:val="18"/>
          <w:szCs w:val="18"/>
          <w:color w:val="000000"/>
        </w:rPr>
        <w:t>in</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7, Management’s Discussion and Analysis of Financial Condition and Results of Operations</w:t>
      </w:r>
      <w:r>
        <w:rPr>
          <w:rFonts w:ascii="Arial" w:cs="Arial" w:eastAsia="Arial" w:hAnsi="Arial"/>
          <w:sz w:val="18"/>
          <w:szCs w:val="18"/>
          <w:color w:val="007DC6"/>
        </w:rPr>
        <w:t xml:space="preserve"> </w:t>
      </w:r>
      <w:r>
        <w:rPr>
          <w:rFonts w:ascii="Arial" w:cs="Arial" w:eastAsia="Arial" w:hAnsi="Arial"/>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-156845</wp:posOffset>
            </wp:positionV>
            <wp:extent cx="2990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0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57029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935" cy="8255"/>
                    </a:xfrm>
                    <a:prstGeom prst="rect">
                      <a:avLst/>
                    </a:prstGeom>
                    <a:noFill/>
                  </pic:spPr>
                </pic:pic>
              </a:graphicData>
            </a:graphic>
          </wp:anchor>
        </w:drawing>
      </w:r>
    </w:p>
    <w:p>
      <w:pPr>
        <w:spacing w:after="0" w:line="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Building Materials business covers a wide geographic area. The ten-largest revenue-generating states (Texas, North Carolina, Colorado, California, Georgia, Florida, South Carolina, Arizona, Iowa and Minnesota) accounted for 76% of the Building Materials business’ revenues from continuing operations in 2025. The Building Materials business is accordingly affected from time to time by the economies in these regions and has been adversely affected in part by episodic recessions and weaknesses in these economies and may be affected by future economic downturns, recessions or inflationary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Aggregates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Aggregates, consisting of crushed stone, sand and gravel, are an engineered, granular material manufactured to specific sizes, grades and chemistry for use primarily in construction applications. The Company’s operations consist primarily of open pit quarries; however, the Company is the largest operator of underground aggregates mines in the United States, with 13 active underground mines located in the East Group.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 w:name="page5"/>
    <w:bookmarkEnd w:id="4"/>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Natural aggregates sources can be found in relatively homogeneous deposits in certain areas of the United States. Proximity of quarry facilities to customers’ plants, construction sites or long-haul transportation corridors is an important factor in competition for the sale of aggregates products. Generally, the distance shipments travel by truck from a given quarry is limited because the cost of transporting processed aggregates to customers is high relative to the price of the product itself. The Company’s distribution system mainly uses trucks, but also has access to rail and waterborne networks where the per-mile unit costs of transporting aggregates are lower.</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distribution network moves aggregates materials from certain domestic and offshore sources via its long-haul rail and waterborne distribution network to markets where aggregates supply is limited due to geological constraints. The Company’s rail network primarily serves its Texas, Southeast and Gulf Coast markets, while the Company’s locations in The Bahamas and Nova Scotia transport materials via oceangoing ships to primarily serve the East Coast and Gulf Coast markets. The Company’s strategic focus includes acquiring distribution facilities and port locations to offload and sell transported material. As of December 31, 2025, the Company’s aggregates distribution facilities consisted of 89 distribution yards.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rail-based distribution network, coupled with the extensive use of rail service, increases the Company’s dependence on and exposure to railroad performance, including track congestion, crew availability, railcar availability, locomotive availability and the ability to negotiate favorable railroad shipping contracts. The waterborne distribution network also increases the Company’s exposure to certain risks, including, among other items, meeting minimum tonnage requirements of shipping contracts, demurrage costs, fuel costs, ship availability and weather disruptions. The Company has agreements with shipping companies to provide vessels to transport its aggregates to various coastal ports.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generally acquires contiguous property around existing quarry locations. Such parcels can serve as buffer property or additional mineral reserves, assuming the underlying geology supports economical aggregates mining. In either instance, the acquisition of additional property around an existing quarry typically allows the expansion of the quarry footprint and extension of quarry life. Some locations having limited reserves may be unable to expand.</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Due to the nature of the indigenous aggregates supply in the midwestern United States, a long-term capital focus for the Company is underground limestone aggregates mines. Production costs are generally higher at underground mines than surface quarries because the depth of the aggregates deposits and the access to the reserves result in higher costs related to development, explosives and depreciation costs. However, these locations often possess marketplace transportation advantages that can lead to higher average selling prices than more distant surface quarries.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construction aggregates industry has been consolidating, and the Company has actively participated in the industry’s consolidation. The Company’s Board of Directors and management continue to review and monitor the Company’s long-term strategic plans, commonly referred to as SOAR (</w:t>
      </w:r>
      <w:r>
        <w:rPr>
          <w:rFonts w:ascii="Arial" w:cs="Arial" w:eastAsia="Arial" w:hAnsi="Arial"/>
          <w:sz w:val="18"/>
          <w:szCs w:val="18"/>
          <w:u w:val="single" w:color="auto"/>
          <w:color w:val="auto"/>
        </w:rPr>
        <w:t>S</w:t>
      </w:r>
      <w:r>
        <w:rPr>
          <w:rFonts w:ascii="Arial" w:cs="Arial" w:eastAsia="Arial" w:hAnsi="Arial"/>
          <w:sz w:val="18"/>
          <w:szCs w:val="18"/>
          <w:color w:val="auto"/>
        </w:rPr>
        <w:t xml:space="preserve">trategic </w:t>
      </w:r>
      <w:r>
        <w:rPr>
          <w:rFonts w:ascii="Arial" w:cs="Arial" w:eastAsia="Arial" w:hAnsi="Arial"/>
          <w:sz w:val="18"/>
          <w:szCs w:val="18"/>
          <w:u w:val="single" w:color="auto"/>
          <w:color w:val="auto"/>
        </w:rPr>
        <w:t>O</w:t>
      </w:r>
      <w:r>
        <w:rPr>
          <w:rFonts w:ascii="Arial" w:cs="Arial" w:eastAsia="Arial" w:hAnsi="Arial"/>
          <w:sz w:val="18"/>
          <w:szCs w:val="18"/>
          <w:color w:val="auto"/>
        </w:rPr>
        <w:t xml:space="preserve">perating </w:t>
      </w:r>
      <w:r>
        <w:rPr>
          <w:rFonts w:ascii="Arial" w:cs="Arial" w:eastAsia="Arial" w:hAnsi="Arial"/>
          <w:sz w:val="18"/>
          <w:szCs w:val="18"/>
          <w:u w:val="single" w:color="auto"/>
          <w:color w:val="auto"/>
        </w:rPr>
        <w:t>A</w:t>
      </w:r>
      <w:r>
        <w:rPr>
          <w:rFonts w:ascii="Arial" w:cs="Arial" w:eastAsia="Arial" w:hAnsi="Arial"/>
          <w:sz w:val="18"/>
          <w:szCs w:val="18"/>
          <w:color w:val="auto"/>
        </w:rPr>
        <w:t xml:space="preserve">nalysis and </w:t>
      </w:r>
      <w:r>
        <w:rPr>
          <w:rFonts w:ascii="Arial" w:cs="Arial" w:eastAsia="Arial" w:hAnsi="Arial"/>
          <w:sz w:val="18"/>
          <w:szCs w:val="18"/>
          <w:u w:val="single" w:color="auto"/>
          <w:color w:val="auto"/>
        </w:rPr>
        <w:t>R</w:t>
      </w:r>
      <w:r>
        <w:rPr>
          <w:rFonts w:ascii="Arial" w:cs="Arial" w:eastAsia="Arial" w:hAnsi="Arial"/>
          <w:sz w:val="18"/>
          <w:szCs w:val="18"/>
          <w:color w:val="auto"/>
        </w:rPr>
        <w:t>eview), which include assessing portfolio optimization strategies such as business combinations and arrangements with other companies engaged in similar businesses, investing in internal expansion projects in high-growth markets, divesting businesses or nonoperating assets that are not core or do not further management’s strategy and pursuing new opportunities in the Company’s existing markets or new markets. Acquisition opportunities include public companies, public company carve-outs and private sponsor-owned and family-owned businesses, as well as asset swaps and divestitures from companies executing their strategic plans, rationalizing non-core assets and repairing financially-constrained balance sheets. When acquired, new locations sometimes do not satisfy the Company’s internal safety, maintenance, pit development or other standards, and may require additional investments before benefits of the acquisitions are fully realized.</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believes its aggregates reserves are sufficient to permit production at present operational levels for the foreseeable future. The Company does not anticipate any significant difficulty in accessing reserves used for production. The Company’s aggregates reserves at December 31, 2025 average approximately 85 years, based on the 2025 annual production level. However, certain locations may be subject to limited reserves and may not be able to expand. Moreover, environmental, zoning and land use regulations will likely make it more difficult for the Company to expand its existing quarries or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generally sells its aggregates upon receipt of customer orders or requests. The Company generally maintains inventories of aggregates products in sufficient quantities to meet customer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Other Building Materials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Cement is the basic agent used to bind aggregates, sand and water in the production of ready mixed concrete. Similar to aggregates, cement is used in infrastructure projects, nonresidential and residential construction, and the railroad, agricultural, utility and environmental industries. Consequently, the cement industry is cyclical and dependent on the strength of the construction sector. As of December 31, 2025, the Company has one production facility in Midlothian, Texas, south of Dallas/Fort Worth, which produces Portland and specialty cements, and which is reported as discontinued operations. The Company's cement operation generally delivers its products upon receipt of customer orders or requests. Inventory for products is generally maintained in sufficient quantities to meet customers' rapid delivery requirements. Clinker is the intermediate product in cement production, and the Texas production facility has an annual clinker capacity of 2.4 million tons. The Company completed a finishing capacity expansion project at the Midlothian plant in August 2024, which provided 0.45 million tons of incremental annual cement production capacity. Further, the Company has converted its Midlothian plant to manufacture a less carbon-intensive Portland limestone cement, known as Type 1L, which has been approved by the Texas Department of Transportation and allows the production of more cement with less clinker. The Company's Midlothian cement business and related cement distribution terminals are classified as assets held for sale in connection with the pending QUIKRETE transaction.</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Ready mixed concrete is measured in cubic yards and specifically batched or produced for customers’ construction projects and then typically transported by mixer trucks and poured at the project site. The aggregates used for ready mixed concrete are a washed material with limited amounts of fines (such as dirt and clay) as well as natural or manufactured sand. As of December 31, 2025, the Company operated 67 ready mixed concrete plants in Arizona and Texas, of which the 58 plants located in Texas are classified as assets held for sale as part of the pending QUIKRETE transaction.</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Asphalt is typically used in surfacing roads and parking lots and consists of aggregates and liquid asphalt, or bitumen (the binding medium). Like ready mixed concrete, each asphalt batch is produced to customer specifications. As of December 31, 2025, the Company operated 45 asphalt plants in Arizona, California, Colorado and Minnesota. The Company also offers paving services in Colorado. Market dynamics for these downstream product lines include a highly competitive environment and lower barriers to entry compared with aggregates and cement.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Results for the other building materials operations are affected by volatile factors, including energy-related costs, operating efficiencies and weather, to a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Specialties Business</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Specialties business produces and sells dolomitic lime from its Woodville, Ohio facility and manufactures high-purity natural and synthetic magnesia-based products, including magnesium sulfate, magnesium oxide and magnesium hydroxide, that serve environmental, industrial, agricultural, construction, consumer and specialty applications at its Manistee, Michigan; Woodville, Ohio; Gabbs, Nevada; Waynesville, North Carolina; Greendale, Indiana; and Aspers, Pennsylvania facilities. These magnesia-based products have varying uses, including flame retardants, wastewater treatment, pulp and paper production and other specialty applications. In 2025, 67% of Specialties’ revenues were attributable to magnesia-based products, 32% to lime, and 1% to stone sold as construction aggregates.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Specialties generally delivers its products upon receipt of customer orders or requests. Inventory is generally maintained in sufficient quantities to meet customers' rapid delivery requirements. Dolomitic lime products sold to external customers are used primarily by the steel industry. Accordingly, a portion of the revenues and profitability of the Specialties business is affected by the steel industry's production and inventory trends, which are influenced by factors such as rates of consumer consumption, the flow of offshore imports and broader economic conditions.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raw materials used in the Specialties business are dolomitic limestone, magnesium-rich brine and magnesite. Management believes that its reserves of dolomitic limestone, brine and magnesite are sufficient to permit production at the current operational levels for the foreseeable future.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Specialties business, a significant portion of costs is of a fixed or semi-fixed nature. The production process requires the use of natural gas, coal and petroleum coke. Therefore, fluctuations in their pricing directly affect operating results.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 w:name="page7"/>
    <w:bookmarkEnd w:id="6"/>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high fixed costs, low-capacity utilization can negatively affect the segment’s results from operations, while providing a high degree of operating leverage in periods of high-capacity utilization. Management has shifted the strategic focus of the magnesia-based business to grow and diversify the specialty product portfolio to reliably produce at volume levels that support efficient operations, as these products are less dependent on the steel industry than the dolomitic lime product line. Management expects future organic profit growth to result from increased pricing, commercialization of new products, entry into new or adjacent markets and optimization of overall product mix.</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Specialties business is highly dependent on rail transportation, particularly for movement of dolomitic lime from Woodville to Manistee, magnesite from Gabbs to processing plants in North Carolina, Indiana and Pennsylvania and direct customer shipments of dolomitic lime and magnesia-based products from Woodville, Manistee and Gabbs. The segment can be affected by the specific transportation and other risks and uncertainties outlined under </w:t>
      </w:r>
      <w:r>
        <w:rPr>
          <w:rFonts w:ascii="Arial" w:cs="Arial" w:eastAsia="Arial" w:hAnsi="Arial"/>
          <w:sz w:val="18"/>
          <w:szCs w:val="18"/>
          <w:u w:val="single" w:color="auto"/>
          <w:color w:val="007DC6"/>
        </w:rPr>
        <w:t>Item 1A, Risk Factors</w:t>
      </w:r>
      <w:r>
        <w:rPr>
          <w:rFonts w:ascii="Arial" w:cs="Arial" w:eastAsia="Arial" w:hAnsi="Arial"/>
          <w:sz w:val="18"/>
          <w:szCs w:val="18"/>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-31115</wp:posOffset>
            </wp:positionV>
            <wp:extent cx="1092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Patents and Trademarks</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January 31, 2026, the Company owns, has the right to use, or has pending applications for patents issued or pending in the United States and various foreign jurisdictions, as well as trademarks related to its business. The Company believes that its rights under its existing patents, patent applications and trademarks are of value to its operations; however, no one individual patent or trademark, or combination thereof, is material to the conduct of the Company’s business as a whole.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Customers</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products are sold principally to commercial customers in private industry. Although large amounts of construction materials are used in public works projects, relatively insignificant sales are made directly to federal, state, county or municipal governments, or their agencies. No material part of the business as a whole, or of any segment of the Company, is dependent upon a single customer or upon a few customers. The loss of any single customer would not have a material adverse effect on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Competition</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nature of the Company’s competition varies among its products due to the widely differing amounts of capital necessary to build and maintain production facilities. Crushed stone production from quarries or mines and sand and gravel production by dredging or otherwise are moderately capital intensive. Producing ready mixed concrete involves relatively low capital investment to build a concrete batching plant and acquire delivery trucks. Accordingly, certain market dynamics result in lower barriers to entry in some concrete markets. As a result, depending on the local market, the Company may face competition from small producers as well as large, vertically-integrated companies with facilities in many markets.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operates in a highly fragmented industry, including large, public companies and a significant number of small privately-held companies. In 2025, other publicly traded companies among the ten-largest U.S. aggregates producers included the following:</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Amrize Ltd.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Arcosa, Inc.</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CEMEX S.A.B. de C.V.</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CRH plc</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Heidelberg Materials AG</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Holcim Ltd.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Knife River Corporation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Vulcan Materials Company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localized nature of the industry resulting from the high cost of transportation relative to the price of the product, the Building Materials business primarily operates in smaller, distinct geographic areas with varying market characteristics. The Company believes that its ability to transport materials by rail and waterborne vessels has enhanced its competitive position in the building materials industry.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 w:name="page8"/>
    <w:bookmarkEnd w:id="7"/>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Specialties business competes with various companies across different geographic and product areas principally on the basis of quality, price, technological advances and technical support for its products. While the revenues of the Specialties business in 2025 were predominantly domestic, a portion was derived from customers located outside the United States.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Environmental and Governmental Regulations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Overview</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operations are subject to and affected by federal, state and local laws, rules and regulations relating to zoning, land use, mining, air emissions (including carbon dioxide and other greenhouse gases), water use, allocation and discharges, waste management, noise and dust exposure control, reclamation and other environmental, health and safety, and regulatory requirements. Certain of the Company’s operations may occasionally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Environmental Compliance and Costs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regularly monitors and reviews its operations, procedures and policies for compliance with existing laws, rules and regulations, changes in interpretations of existing laws and enforcement policies, newly adopted laws and anticipated legal developments that could affect its operations, including with respect to climate change. The Company has a full-time team of environmental engineers and managers that perform these responsibilities.</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direct costs of ongoing environmental compliance were approximately $46 million in 2025 and $58 million in 2024 and are related to the Company’s environmental staff, ongoing monitoring costs for various matters (including those matters disclosed in this Form 10-K) and asset retirement costs. Capitalized costs related to environmental control facilities were $19 million in 2025 and are expected to be approximately $20 million in both 2026 and 2027. The Company’s capital expenditures for environmental matters were not material to its results of operations or financial condition in 2025 and 2024. However, the Company’s expenditures for environmental matters generally have increased over time and are likely to continue to increase in the future.</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Despite the Company’s compliance efforts, the risk of environmental liability is inherent in the Company’s businesses, and environmental liabilities could have a material adverse effect on the Company in the future. Complying with governmental and environmental regulations did not have and is not expected to have a material effect on the Company’s capital expenditures, earnings or competitive position, other than as discussed in this section.</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applicable environmental requirements are satisfied through procedures that the Company adopts as best practices in the ordinary course of its business. For example, plant equipment that is used to crush aggregates products may, in the ordinary course of operations, include an attached water spray bar that is used to clean the stone. The water spray bar also serves as a dust control mechanism that complies with applicable environmental laws. The Company does not separate the portion of the cost, depreciation and other financial information relating to the water spray bar that is attributable only to environmental purposes, because such an allocation would be arbitrary. The incremental portion of such operating costs that is attributable to environmental compliance rather than best operating practices is impractical to quantify. Accordingly, the Company records costs in that category when incurred as operating expenses.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Consistent with other cement producers, the Company’s cement operation produces varying quantities of cement kiln dust (CKD). This production by-product consists of fine-grained, solid, highly alkaline material removed from cement kiln exhaust gas by air pollution control devices. Because much of the CKD is unreacted raw materials, it is generally permissible to recycle the CKD back into the production process, and large amounts often are treated in such manner. CKD that is not returned to the production process or sold as a separate product is disposed in landfills. CKD is currently exempted from federal hazardous waste regulations under Subtitle C of the Resource Conservation and Recovery Act.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their attendant regulations are complex and are subject to challenges and new interpretations by regulators and the courts. In addition, new laws are also enacted from time to time. It is often difficult to accurately and fully quantify the costs to comply with new rules until it is determined to which type of operations they will apply and the manner in which they will be implemented is more accurately defined. This process typically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 w:name="page9"/>
    <w:bookmarkEnd w:id="8"/>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 satisfied in conjunction with equipment replacement or expansion that also benefit operating efficiencies or capacities and carry significantly higher costs.</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Management believes that its current accrual for environmental costs is reasonable, although those amounts may increase or decrease depending on the impact of applicable rules as they are finalized or amended from time to time and changes in facts and circumstances. The Company believes that its operations and facilities, both owned or leased, are in substantial compliance with applicable laws and regulations and any potential noncompliance is not likely to have a material adverse effect on the Company’s operations or financial condition. See </w:t>
      </w:r>
      <w:r>
        <w:rPr>
          <w:rFonts w:ascii="Arial" w:cs="Arial" w:eastAsia="Arial" w:hAnsi="Arial"/>
          <w:sz w:val="18"/>
          <w:szCs w:val="18"/>
          <w:u w:val="single" w:color="auto"/>
          <w:color w:val="007DC6"/>
        </w:rPr>
        <w:t>Legal</w:t>
      </w:r>
      <w:r>
        <w:rPr>
          <w:rFonts w:ascii="Arial" w:cs="Arial" w:eastAsia="Arial" w:hAnsi="Arial"/>
          <w:sz w:val="18"/>
          <w:szCs w:val="18"/>
          <w:color w:val="auto"/>
        </w:rPr>
        <w:t xml:space="preserve"> </w:t>
      </w:r>
      <w:r>
        <w:rPr>
          <w:rFonts w:ascii="Arial" w:cs="Arial" w:eastAsia="Arial" w:hAnsi="Arial"/>
          <w:sz w:val="18"/>
          <w:szCs w:val="18"/>
          <w:u w:val="single" w:color="auto"/>
          <w:color w:val="007DC6"/>
        </w:rPr>
        <w:t>Proceedings</w:t>
      </w:r>
      <w:r>
        <w:rPr>
          <w:rFonts w:ascii="Arial" w:cs="Arial" w:eastAsia="Arial" w:hAnsi="Arial"/>
          <w:sz w:val="18"/>
          <w:szCs w:val="18"/>
          <w:color w:val="007DC6"/>
        </w:rPr>
        <w:t xml:space="preserve"> </w:t>
      </w:r>
      <w:r>
        <w:rPr>
          <w:rFonts w:ascii="Arial" w:cs="Arial" w:eastAsia="Arial" w:hAnsi="Arial"/>
          <w:sz w:val="18"/>
          <w:szCs w:val="18"/>
          <w:color w:val="000000"/>
        </w:rPr>
        <w:t>under Item 3 of this Form 10-K,</w:t>
      </w:r>
      <w:r>
        <w:rPr>
          <w:rFonts w:ascii="Arial" w:cs="Arial" w:eastAsia="Arial" w:hAnsi="Arial"/>
          <w:sz w:val="18"/>
          <w:szCs w:val="18"/>
          <w:color w:val="007DC6"/>
        </w:rPr>
        <w:t xml:space="preserve"> Note N: Commitments and Contingencies </w:t>
      </w:r>
      <w:r>
        <w:rPr>
          <w:rFonts w:ascii="Arial" w:cs="Arial" w:eastAsia="Arial" w:hAnsi="Arial"/>
          <w:sz w:val="18"/>
          <w:szCs w:val="18"/>
          <w:color w:val="000000"/>
        </w:rPr>
        <w:t>of the</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Notes to Financial Statements</w:t>
      </w:r>
      <w:r>
        <w:rPr>
          <w:rFonts w:ascii="Arial" w:cs="Arial" w:eastAsia="Arial" w:hAnsi="Arial"/>
          <w:sz w:val="18"/>
          <w:szCs w:val="18"/>
          <w:color w:val="007DC6"/>
        </w:rPr>
        <w:t xml:space="preserve"> </w:t>
      </w:r>
      <w:r>
        <w:rPr>
          <w:rFonts w:ascii="Arial" w:cs="Arial" w:eastAsia="Arial" w:hAnsi="Arial"/>
          <w:sz w:val="18"/>
          <w:szCs w:val="18"/>
          <w:color w:val="000000"/>
        </w:rPr>
        <w:t>of the</w:t>
      </w:r>
      <w:r>
        <w:rPr>
          <w:rFonts w:ascii="Arial" w:cs="Arial" w:eastAsia="Arial" w:hAnsi="Arial"/>
          <w:sz w:val="18"/>
          <w:szCs w:val="18"/>
          <w:color w:val="007DC6"/>
        </w:rPr>
        <w:t xml:space="preserve"> </w:t>
      </w:r>
      <w:r>
        <w:rPr>
          <w:rFonts w:ascii="Arial" w:cs="Arial" w:eastAsia="Arial" w:hAnsi="Arial"/>
          <w:sz w:val="18"/>
          <w:szCs w:val="18"/>
          <w:color w:val="000000"/>
        </w:rPr>
        <w:t xml:space="preserve">Company’s consolidated financial statements included under </w:t>
      </w:r>
      <w:r>
        <w:rPr>
          <w:rFonts w:ascii="Arial" w:cs="Arial" w:eastAsia="Arial" w:hAnsi="Arial"/>
          <w:sz w:val="18"/>
          <w:szCs w:val="18"/>
          <w:u w:val="single" w:color="auto"/>
          <w:color w:val="007DC6"/>
        </w:rPr>
        <w:t>Item 8, Financial Statements and Supplemental Data</w:t>
      </w:r>
      <w:r>
        <w:rPr>
          <w:rFonts w:ascii="Arial" w:cs="Arial" w:eastAsia="Arial" w:hAnsi="Arial"/>
          <w:sz w:val="18"/>
          <w:szCs w:val="18"/>
          <w:color w:val="000000"/>
        </w:rPr>
        <w:t xml:space="preserve"> of this Form 10-K, and the </w:t>
      </w:r>
      <w:r>
        <w:rPr>
          <w:rFonts w:ascii="Arial" w:cs="Arial" w:eastAsia="Arial" w:hAnsi="Arial"/>
          <w:sz w:val="18"/>
          <w:szCs w:val="18"/>
          <w:u w:val="single" w:color="auto"/>
          <w:color w:val="007DC6"/>
        </w:rPr>
        <w:t>Environmental Regulation and Litigation</w:t>
      </w:r>
      <w:r>
        <w:rPr>
          <w:rFonts w:ascii="Arial" w:cs="Arial" w:eastAsia="Arial" w:hAnsi="Arial"/>
          <w:sz w:val="18"/>
          <w:szCs w:val="18"/>
          <w:color w:val="007DC6"/>
        </w:rPr>
        <w:t xml:space="preserve"> </w:t>
      </w:r>
      <w:r>
        <w:rPr>
          <w:rFonts w:ascii="Arial" w:cs="Arial" w:eastAsia="Arial" w:hAnsi="Arial"/>
          <w:sz w:val="18"/>
          <w:szCs w:val="18"/>
          <w:color w:val="000000"/>
        </w:rPr>
        <w:t>section included under</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7, Management’s Discussion and Analysis of Financial Condition and</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Results of Operations</w:t>
      </w:r>
      <w:r>
        <w:rPr>
          <w:rFonts w:ascii="Arial" w:cs="Arial" w:eastAsia="Arial" w:hAnsi="Arial"/>
          <w:sz w:val="18"/>
          <w:szCs w:val="18"/>
          <w:color w:val="007DC6"/>
        </w:rPr>
        <w:t xml:space="preserve"> </w:t>
      </w:r>
      <w:r>
        <w:rPr>
          <w:rFonts w:ascii="Arial" w:cs="Arial" w:eastAsia="Arial" w:hAnsi="Arial"/>
          <w:sz w:val="18"/>
          <w:szCs w:val="18"/>
          <w:color w:val="000000"/>
        </w:rPr>
        <w:t>of this Form 10-K. However, future events, such as changes in or modified interpretations of existing laws and</w:t>
      </w:r>
      <w:r>
        <w:rPr>
          <w:rFonts w:ascii="Arial" w:cs="Arial" w:eastAsia="Arial" w:hAnsi="Arial"/>
          <w:sz w:val="18"/>
          <w:szCs w:val="18"/>
          <w:color w:val="007DC6"/>
        </w:rPr>
        <w:t xml:space="preserve"> </w:t>
      </w:r>
      <w:r>
        <w:rPr>
          <w:rFonts w:ascii="Arial" w:cs="Arial" w:eastAsia="Arial" w:hAnsi="Arial"/>
          <w:sz w:val="18"/>
          <w:szCs w:val="18"/>
          <w:color w:val="000000"/>
        </w:rPr>
        <w:t>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-798830</wp:posOffset>
            </wp:positionV>
            <wp:extent cx="279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635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00" cy="825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-670560</wp:posOffset>
            </wp:positionV>
            <wp:extent cx="4315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5460" cy="889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-541655</wp:posOffset>
            </wp:positionV>
            <wp:extent cx="26739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3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278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11417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Mine Safety and Land Reclamation</w:t>
      </w:r>
    </w:p>
    <w:p>
      <w:pPr>
        <w:spacing w:after="0" w:line="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mining, production and distribution facilities for aggregates, cement, ready mixed concrete and asphalt must comply with air quality, water quality and other environmental regulations, zoning and special use permitting requirements, applicable mining regulations, and federal health and safety requirements. As the Company develops and acquires new production and distribution facilities, the Company works closely with local authorities during the zoning and permitting processes to design new quarries, mines, production and distribution facilities in such a way as to minimize disturbances. The Company frequently acquires large tracts of land so that quarry, mine, production and distribution facilities can be situated at a substantial distance from surrounding property owners. Also, in certain markets, the Company’s ability to transport material by rail or water allows it to locate its facilities further away from residential areas. The Company has established policies designed to minimize disturbances to surrounding property owners from its operations.</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is the case with other similarly situated companies,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(MSHA) and the Occupational Safety and Health Administration (OSHA)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required levels. The Company, through safety information sheets and other means, also communicates appropriate warnings and cautions its employees and customers about the risks associated with excessive, prolonged inhalation of mineral dust in general and crystalline silica in particular.</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Company is generally required by state or local laws, or pursuant to the terms of an applicable lease, to reclaim quarry sites after use. Future reclamation costs are estimated using statutory reclamation requirements and management’s experience and knowledge in the industry, and are discounted to their present value using a credit-adjusted, risk-free interest rate. The future reclamation costs are not offset by potential recoveries. For additional information regarding compliance with legal requirements, see </w:t>
      </w:r>
      <w:r>
        <w:rPr>
          <w:rFonts w:ascii="Arial" w:cs="Arial" w:eastAsia="Arial" w:hAnsi="Arial"/>
          <w:sz w:val="18"/>
          <w:szCs w:val="18"/>
          <w:u w:val="single" w:color="auto"/>
          <w:color w:val="007DC6"/>
        </w:rPr>
        <w:t>Note N: 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07DC6"/>
        </w:rPr>
        <w:t>Contingencies</w:t>
      </w:r>
      <w:r>
        <w:rPr>
          <w:rFonts w:ascii="Arial" w:cs="Arial" w:eastAsia="Arial" w:hAnsi="Arial"/>
          <w:sz w:val="18"/>
          <w:szCs w:val="18"/>
          <w:color w:val="007DC6"/>
        </w:rPr>
        <w:t xml:space="preserve"> </w:t>
      </w:r>
      <w:r>
        <w:rPr>
          <w:rFonts w:ascii="Arial" w:cs="Arial" w:eastAsia="Arial" w:hAnsi="Arial"/>
          <w:sz w:val="18"/>
          <w:szCs w:val="18"/>
          <w:color w:val="000000"/>
        </w:rPr>
        <w:t>of the</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Notes to Financial Statements</w:t>
      </w:r>
      <w:r>
        <w:rPr>
          <w:rFonts w:ascii="Arial" w:cs="Arial" w:eastAsia="Arial" w:hAnsi="Arial"/>
          <w:sz w:val="18"/>
          <w:szCs w:val="18"/>
          <w:color w:val="007DC6"/>
        </w:rPr>
        <w:t xml:space="preserve"> </w:t>
      </w:r>
      <w:r>
        <w:rPr>
          <w:rFonts w:ascii="Arial" w:cs="Arial" w:eastAsia="Arial" w:hAnsi="Arial"/>
          <w:sz w:val="18"/>
          <w:szCs w:val="18"/>
          <w:color w:val="000000"/>
        </w:rPr>
        <w:t>of the Company’s consolidated financial statements included in</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8, Financial</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Statements and Supplemental Data</w:t>
      </w:r>
      <w:r>
        <w:rPr>
          <w:rFonts w:ascii="Arial" w:cs="Arial" w:eastAsia="Arial" w:hAnsi="Arial"/>
          <w:sz w:val="18"/>
          <w:szCs w:val="18"/>
          <w:color w:val="007DC6"/>
        </w:rPr>
        <w:t xml:space="preserve"> </w:t>
      </w:r>
      <w:r>
        <w:rPr>
          <w:rFonts w:ascii="Arial" w:cs="Arial" w:eastAsia="Arial" w:hAnsi="Arial"/>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5650865</wp:posOffset>
            </wp:positionH>
            <wp:positionV relativeFrom="paragraph">
              <wp:posOffset>-285115</wp:posOffset>
            </wp:positionV>
            <wp:extent cx="14833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2751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1455"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-156845</wp:posOffset>
            </wp:positionV>
            <wp:extent cx="889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1803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3400" cy="8890"/>
                    </a:xfrm>
                    <a:prstGeom prst="rect">
                      <a:avLst/>
                    </a:prstGeom>
                    <a:noFill/>
                  </pic:spPr>
                </pic:pic>
              </a:graphicData>
            </a:graphic>
          </wp:anchor>
        </w:drawing>
      </w:r>
    </w:p>
    <w:p>
      <w:pPr>
        <w:spacing w:after="0" w:line="5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performs reclamation activities on an ongoing basis, as an integral part of the normal quarrying process, that may reduce the ultimate reclamation obligations. For example, the perimeter and interior walls of an open pit quarry are sloped and benched as they are developed to prevent erosion and provide stabilization. This sloping and benching meets both safety regulations required by MSHA for ongoing operations as well as final reclamation requirements. Therefore, these types of activities are included in normal operating costs and are not a part of the asset retirement obligation. Reclaimed quarry sites owned by the Company are from time to time available for sale, typically for commercial development or use as water reservoirs, or have been converted for recreational use by the local community.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Sustainability Risks and Opportunities</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The Board and management have identified certain risks related to a lower-carbon economy, risks related to the physical impacts of climate change and other climate-related opportunities.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 w:name="page10"/>
    <w:bookmarkEnd w:id="9"/>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00B0F0"/>
        </w:rPr>
        <w:t xml:space="preserve">Board Oversight and the Role of Management </w:t>
      </w:r>
      <w:r>
        <w:rPr>
          <w:rFonts w:ascii="Arial" w:cs="Arial" w:eastAsia="Arial" w:hAnsi="Arial"/>
          <w:sz w:val="17"/>
          <w:szCs w:val="17"/>
          <w:color w:val="000000"/>
        </w:rPr>
        <w:t>The Board of Directors has an essential role in determining the Company's strategic</w:t>
      </w:r>
      <w:r>
        <w:rPr>
          <w:rFonts w:ascii="Arial" w:cs="Arial" w:eastAsia="Arial" w:hAnsi="Arial"/>
          <w:sz w:val="20"/>
          <w:szCs w:val="20"/>
          <w:i w:val="1"/>
          <w:iCs w:val="1"/>
          <w:color w:val="00B0F0"/>
        </w:rPr>
        <w:t xml:space="preserve"> </w:t>
      </w:r>
      <w:r>
        <w:rPr>
          <w:rFonts w:ascii="Arial" w:cs="Arial" w:eastAsia="Arial" w:hAnsi="Arial"/>
          <w:sz w:val="17"/>
          <w:szCs w:val="17"/>
          <w:color w:val="000000"/>
        </w:rPr>
        <w:t>priorities, and sustainability matters are an integral part of its governance and oversight of the business. In 1994, the Company established an Ethics, Environment, Safety and Health (EESH) Committee, which currently meets at least four times annually. The EESH Committee receives reports directly from management relating to environmental, safety, ethics and other sustainability matters, including greenhouse gas (GHG) emissions, reviews input and engagement with investors on these matters, and monitors the Company's compliance with environmental, health and safety laws and regulations, as well as its public reporting and disclosure with respect to sustainability risks and opportunities and other environmental issues. The EESH Committee reports to the full Board.</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Several other Board committees also have overlapping responsibility for sustainability matters. These include the Audit Committee, which reviews significant environmental matters and assesses the potential risks and liabilities they may pose to its business, and the Management Development and Compensation Committee, which reviews management's performance against its sustainability goals and considers those achievements in determining incentive compensation. While the Board oversees Martin Marietta's risk management, the executive officers are responsible for the day-to-day risk management processes, and management receives at least quarterly updates from operating personnel directly responsible for compliance relating to EESH matters. Management believes this division of responsibilities is the most effective approach for addressing the risks facing the Company.</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also has a Head of Sustainability, who reports directly to the General Counsel on environmental and other sustainability matters. The Company believes the above approach has been effective in integrating sustainability as a core element of its 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Transition Risks</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The Company's sustainability risk management framework is designed to identify various transition risks, including policy and legal risks, technology risks, market risks and reputation risks, associated with a lower-carbon economy.</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00B0F0"/>
        </w:rPr>
        <w:t xml:space="preserve">Policy and Legal Risks </w:t>
      </w:r>
      <w:r>
        <w:rPr>
          <w:rFonts w:ascii="Arial" w:cs="Arial" w:eastAsia="Arial" w:hAnsi="Arial"/>
          <w:sz w:val="17"/>
          <w:szCs w:val="17"/>
          <w:color w:val="000000"/>
        </w:rPr>
        <w:t>Federal, state and local authorities continue to propose and implement climate-related requirements, including</w:t>
      </w:r>
      <w:r>
        <w:rPr>
          <w:rFonts w:ascii="Arial" w:cs="Arial" w:eastAsia="Arial" w:hAnsi="Arial"/>
          <w:sz w:val="20"/>
          <w:szCs w:val="20"/>
          <w:i w:val="1"/>
          <w:iCs w:val="1"/>
          <w:color w:val="00B0F0"/>
        </w:rPr>
        <w:t xml:space="preserve"> </w:t>
      </w:r>
      <w:r>
        <w:rPr>
          <w:rFonts w:ascii="Arial" w:cs="Arial" w:eastAsia="Arial" w:hAnsi="Arial"/>
          <w:sz w:val="17"/>
          <w:szCs w:val="17"/>
          <w:color w:val="000000"/>
        </w:rPr>
        <w:t>limits on GHG emissions, the use of alternative fuels, carbon credits (such as a cap-and-trade system), carbon taxes, mandatory GHG monitoring, reporting and assurance, and disclosure of climate-related risks and transition plans. For example, in the United States, the United States Environmental Protection Agency (USEPA) has adopted a rule mandating large emitters of GHGs to report those emissions.</w:t>
      </w:r>
    </w:p>
    <w:p>
      <w:pPr>
        <w:spacing w:after="0" w:line="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manufacturing operations of the Company’s Specialties business release carbon dioxide, methane and nitrous oxides during the production of lime, magnesium oxide and hydroxide products. The Company’s Manistee and Woodville facilities, as well as its cement plant in Texas, filed annual reports of their GHG emissions in accordance with the USEPA reporting rule. The primary business and operations of the Company, however, including its aggregates, ready mixed concrete and asphalt and paving product lines, are not considered “major” sources of GHG emissions subject to the USEPA reporting rule. Most of the GHG emissions from aggregates plant operations are tailpipe emissions from mobile sources, such as haul trucks, loaders and excavators.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cement plant and its Woodville, Ohio and Manistee, Michigan Specialties plants are subject to comprehensive regulations with respect to GHG emissions and hold Title V Permits, and its cement plant and Woodville plant are also subject to the U.S. Clean Air Act's Prevention of Significant Deterioration (PSD) requirements, which require a permit program for certain new or modified sources of emissions. Although several large-scale projects for carbon capture are in the development phase, no technologies or methods of operation for reducing or capturing GHGs have been proven commercially viable at scale, other than improvements in fuel efficiency.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 w:name="page11"/>
    <w:bookmarkEnd w:id="10"/>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future modifications to the Company's facilities require PSD review for other pollutants, GHG permitting requirements may be triggered and may require significant additional costs, which the Company would expect to be passed on to customers. It is not currently possible to estimate the cost of any such future requirements. In addition, the USEPA and the U.S. Supreme Court have taken different positions with respect to the USEPA's authority to make rules in these and other areas, creating uncertainty regarding future regulatory obligations.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cement operation, like those of other cement producers, requires combustion of significant amounts of fuel to generate high kiln temperatures and creates carbon dioxide as a product of the calcination process, which is presently an unavoidable step in making clinker, the essential component for cement production. Accordingly, the Company continues to closely monitor GHG regulations and legislation and its potential impact on the Company's cement business, financial condition and product demand. The Company anticipates that any increased operating costs or taxes relating to GHG emission limitations at the Woodville lime plant or Midlothian cement plant would be passed on to customers.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magnesium oxide products produced at the Manistee and Gabbs operations, however, compete against other products that, due to the form and/or structure of the source material, require less energy in the calcination process, resulting in the generation of fewer GHGs per ton of production. The Manistee and Gabbs facilities may be required to absorb additional costs, including for taxes or capital investments, to maintain competitive pricing in those markets.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cement produced by the Company’s cement operation, like other U.S. producers, is subject to strict limits set by the U.S. Department of Transportation (USDOT) and other agencies, including those relating to “clinker substitution”, or the replacement of ground clinker in cement with alternate materials such as pozzolan, slag and fly ash, which has implications for the Company’s fuel use and efforts to reduce GHG emissions from its cement operations. For example, various industry associations are engaged in an effort requesting the USDOT and other agencies to further revise their standards allowing for greater rates of clinker substitution, like the rates currently permitted for European cement producers. If higher rates of substitution and blending are, in fact, permitted in the future, the result is likely to be both reduced clinker and power consumption in cement production, which would, in turn, reduce GHGs emitted in connection with each ton of cement produced in the United States.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continued its rollout of Portland Limestone Cement (PLC) with more than 90% of its Type I/II customers converted to the PLC product. PLC has reduced the GHG footprint of the Company's cement product line more than 10%.</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States where the Company operates may adopt additional or more stringent requirements, such as market-based emissions programs, mandated use of alternative fuels, or climate-disclosure regimes which could add measurement, verification/assurance, reporting, and compliance costs and increase potential enforcement exposure.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Compliance with current or future climate-related rules could require capital investments, changes in operating practices, procurement of emissions allowances or credits, or participation in carbon markets. Given the various regulatory uncertainties, the Company cannot reasonably predict the costs of any future compliance requirements. Nonetheless, the Company does not believe it will have a material adverse effect on the financial condition or results of the operations of either the Specialties business or Building Materials business.</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00B0F0"/>
        </w:rPr>
        <w:t xml:space="preserve">Technology Risks </w:t>
      </w:r>
      <w:r>
        <w:rPr>
          <w:rFonts w:ascii="Arial" w:cs="Arial" w:eastAsia="Arial" w:hAnsi="Arial"/>
          <w:sz w:val="17"/>
          <w:szCs w:val="17"/>
          <w:color w:val="000000"/>
        </w:rPr>
        <w:t>Consideration of the impact of technology is integrated into the Company’s risk management process. The Company has</w:t>
      </w:r>
      <w:r>
        <w:rPr>
          <w:rFonts w:ascii="Arial" w:cs="Arial" w:eastAsia="Arial" w:hAnsi="Arial"/>
          <w:sz w:val="20"/>
          <w:szCs w:val="20"/>
          <w:i w:val="1"/>
          <w:iCs w:val="1"/>
          <w:color w:val="00B0F0"/>
        </w:rPr>
        <w:t xml:space="preserve"> </w:t>
      </w:r>
      <w:r>
        <w:rPr>
          <w:rFonts w:ascii="Arial" w:cs="Arial" w:eastAsia="Arial" w:hAnsi="Arial"/>
          <w:sz w:val="17"/>
          <w:szCs w:val="17"/>
          <w:color w:val="000000"/>
        </w:rPr>
        <w:t>adopted a corporate-wide sustainability risk-management strategy, which has resulted in multiple initiatives to identify and implement or evaluate GHG reduction processes and technologies that also improve operational efficiencies, including: using alternative fuels such as biodiesel; reducing overall fuel use by converting from quarry trucks to conveyor systems; rightsizing quarry haul trucks to align with production levels to reduce the number of required trips; replacing older railcars with more efficient, high-capacity models that reduce the number of required trips; adding rail capacity in lieu of truck movements; and installing state-of-the-art emissions control equipment at the Company’s Woodville lime plant and tire processing systems for fuel at the Company’s cement plant.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Midlothian cement plant was recognized by the USEPA as a high-performing, energy-efficient facility following investments in innovative air pollution control technologies and usage of alternative fuels. The road to Net Zero for the Company and the broader industry requires operational changes, investments in sustainable energy, and in some cases, technology that is not yet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 w:name="page12"/>
    <w:bookmarkEnd w:id="11"/>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continues to monitor various pilot projects being conducted relating to the development of carbon capture technology; however, no technologies or methods of operation for reducing or capturing GHGs from cement manufacture have been proven commercially viable at full-scale production, other than improvements in fuel efficiency. While awaiting further development of carbon capture technology, the Company has invested heavily and continues to look for opportunities to invest in its sustainability practices.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00B0F0"/>
        </w:rPr>
        <w:t xml:space="preserve">Market Risks </w:t>
      </w:r>
      <w:r>
        <w:rPr>
          <w:rFonts w:ascii="Arial" w:cs="Arial" w:eastAsia="Arial" w:hAnsi="Arial"/>
          <w:sz w:val="17"/>
          <w:szCs w:val="17"/>
          <w:color w:val="000000"/>
        </w:rPr>
        <w:t>The nature of the Company’s competition varies among its products due to the differing amounts of capital necessary to build</w:t>
      </w:r>
      <w:r>
        <w:rPr>
          <w:rFonts w:ascii="Arial" w:cs="Arial" w:eastAsia="Arial" w:hAnsi="Arial"/>
          <w:sz w:val="20"/>
          <w:szCs w:val="20"/>
          <w:i w:val="1"/>
          <w:iCs w:val="1"/>
          <w:color w:val="00B0F0"/>
        </w:rPr>
        <w:t xml:space="preserve"> </w:t>
      </w:r>
      <w:r>
        <w:rPr>
          <w:rFonts w:ascii="Arial" w:cs="Arial" w:eastAsia="Arial" w:hAnsi="Arial"/>
          <w:sz w:val="17"/>
          <w:szCs w:val="17"/>
          <w:color w:val="000000"/>
        </w:rPr>
        <w:t>and maintain production facilities and can be influenced by sustainability risks and opportunities particularly with respect to the Company’s small-but-strategic heritage cement business. Most domestic cement producers are owned by large non-U.S. companies operating in multiple international markets that report their results (including sustainability and emissions-related metrics) on a worldwide consolidated basis.</w:t>
      </w:r>
    </w:p>
    <w:p>
      <w:pPr>
        <w:spacing w:after="0" w:line="2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subject to U.S. environmental regulations and there are critical regulatory differences between the U.S. and the European Union and differing calculation methodologies for carbon intensity calculations, blending and fuel choice that result in meaningful differences in the makeup of corresponding end-products and reported emissions metrics. Those differences, in turn, make like-for-like comparisons of the emissions performance of non-U.S. companies with the performance of the Company's heritage cement business challenging. To the extent that investors or consumers decide to use worldwide comparisons of these metrics in making investment and purchase decisions, the Company could be at a competitive disadvantage.</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Geography is critically important when assessing market attractiveness and growth opportunities for the Company. Attractive geographies generally exhibit (a) population growth and/or high-population density, both of which are drivers of heavy-side building materials consumption; (b) business and employment diversity, drivers of greater economic stability, and (c) a superior state financial position, a driver of public infrastructure investment. All of these factors can be impacted by weather patterns.</w:t>
      </w:r>
    </w:p>
    <w:p>
      <w:pPr>
        <w:spacing w:after="0" w:line="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00B0F0"/>
        </w:rPr>
        <w:t xml:space="preserve">Reputation </w:t>
      </w:r>
      <w:r>
        <w:rPr>
          <w:rFonts w:ascii="Arial" w:cs="Arial" w:eastAsia="Arial" w:hAnsi="Arial"/>
          <w:sz w:val="17"/>
          <w:szCs w:val="17"/>
          <w:color w:val="000000"/>
        </w:rPr>
        <w:t>Disruptions to the Company’s operations and to its customers' transportation activities resulting from weather-related risks could</w:t>
      </w:r>
      <w:r>
        <w:rPr>
          <w:rFonts w:ascii="Arial" w:cs="Arial" w:eastAsia="Arial" w:hAnsi="Arial"/>
          <w:sz w:val="20"/>
          <w:szCs w:val="20"/>
          <w:i w:val="1"/>
          <w:iCs w:val="1"/>
          <w:color w:val="00B0F0"/>
        </w:rPr>
        <w:t xml:space="preserve"> </w:t>
      </w:r>
      <w:r>
        <w:rPr>
          <w:rFonts w:ascii="Arial" w:cs="Arial" w:eastAsia="Arial" w:hAnsi="Arial"/>
          <w:sz w:val="17"/>
          <w:szCs w:val="17"/>
          <w:color w:val="000000"/>
        </w:rPr>
        <w:t>adversely impact the Company’s reputation and result in additional costs to the Company. Any failure or perceived failure to achieve or accurately report on the Company's current or future sustainability commitments, including its GHG reduction and net-zero ambition and targets, and any differences between its commitments and those of any companies to which the Company is compared, could harm the Company's reputation, adversely affect its ability to effectively compete (including as a result of the disclosure of proprietary information regarding its plants or changes in its ability to raise capital), adversely affect its recruitment and retention efforts and expose the Company to potential legal liability.</w:t>
      </w:r>
    </w:p>
    <w:p>
      <w:pPr>
        <w:spacing w:after="0" w:line="2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the Company is committed to pursuing its sustainability objectives, there is no assurance that it will achieve any of its sustainability goals or commitments, that low- or non-carbon-based energy sources and technologies required to meet long-term emissions reductions in some of the sectors in which it operates will be available at scale in the United States on an economically feasible basis or that its suppliers can meet sustainability, emissions reductions and other standards that are required by current or future laws or established by its investors and other stakeholders. Failure to meet these commitments could result in reputational harm to the Company and changes regarding sustainability risk management and practices may result in higher regulatory and compliance risks and costs. Any violations of law (including environmental law) or improper conduct could damage the Company's reputation.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00B0F0"/>
        </w:rPr>
        <w:t xml:space="preserve">Physical Impacts </w:t>
      </w:r>
      <w:r>
        <w:rPr>
          <w:rFonts w:ascii="Arial" w:cs="Arial" w:eastAsia="Arial" w:hAnsi="Arial"/>
          <w:sz w:val="17"/>
          <w:szCs w:val="17"/>
          <w:color w:val="000000"/>
        </w:rPr>
        <w:t>In addition to impacts from increased regulation, seasonal weather patterns and adverse weather can create physical</w:t>
      </w:r>
      <w:r>
        <w:rPr>
          <w:rFonts w:ascii="Arial" w:cs="Arial" w:eastAsia="Arial" w:hAnsi="Arial"/>
          <w:sz w:val="20"/>
          <w:szCs w:val="20"/>
          <w:i w:val="1"/>
          <w:iCs w:val="1"/>
          <w:color w:val="00B0F0"/>
        </w:rPr>
        <w:t xml:space="preserve"> </w:t>
      </w:r>
      <w:r>
        <w:rPr>
          <w:rFonts w:ascii="Arial" w:cs="Arial" w:eastAsia="Arial" w:hAnsi="Arial"/>
          <w:sz w:val="17"/>
          <w:szCs w:val="17"/>
          <w:color w:val="000000"/>
        </w:rPr>
        <w:t>impacts that could have adverse effects on the Company’s operations or financial condition. Physical impacts may include disruptions in production and/or regional supply, product distribution networks and customer demand due to major storm events and shifts in regional rainfall and temperature patterns and intensities, as well as flooding from sea level changes.</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production and shipment levels for the Building Materials business correlate with general construction activity, which occurs outdoors and, as a result, is affected by erratic weather patterns, seasonal changes and other unusual or unexpected weather-related conditions that can significantly affect that business. In the Company's other building materials operations, the physical impacts of weather may result in disruptions to its operations or its customers’ transportation activities, including impacts on production capabilities and capacities, supply chain interruptions and project delays that can impact the Company's reputation and result in additional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 w:name="page13"/>
    <w:bookmarkEnd w:id="12"/>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Excessive rainfall and other severe weather jeopardize production, shipments and profitability in all markets served by the Company in its Building Materials business. In addition, inclement weather can reduce the useful life of an asset. In particular, the Company’s operations in coastal markets near the Atlantic Ocean and Gulf Coast and in The Bahamas are exposed to hurricanes and tropical storms. The Company also faces risks from Pacific storms. Recent years have brought elevated levels of precipitation to the United States, particularly to Texas and the southeastern United States, notably the Carolinas, Florida and Georgia, where such conditions have affected the Company’s facilities.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Company's California operations face risks from wildfires, mudslides and water-use restrictions during periods of severe drought. An insufficient supply of water for the Company's operations in those areas could impact production. While reconstruction activities may offset some or most of the financial impacts on sales and demand, any of these events could have a material adverse effect on the Company’s business and operations.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the Company's footprint of quarries and aggregates facilities has grown nationwide, management believes it has bolstered resilience in its operations by maintaining a geographically diverse business and distribution network that is increasingly able to adjust to local disruptions and source materials from different facilities. In addition, because the Company transports aggregates products by various methods, including rail and water, it may be able to mitigate supply or transportation issues in any location caused by severe weather or disruptions in any transport modality.</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00B0F0"/>
        </w:rPr>
        <w:t xml:space="preserve">Sustainability Opportunities </w:t>
      </w:r>
      <w:r>
        <w:rPr>
          <w:rFonts w:ascii="Arial" w:cs="Arial" w:eastAsia="Arial" w:hAnsi="Arial"/>
          <w:sz w:val="17"/>
          <w:szCs w:val="17"/>
          <w:color w:val="000000"/>
        </w:rPr>
        <w:t>Notwithstanding the foregoing risks and uncertainties relating to climate change, there may also be</w:t>
      </w:r>
      <w:r>
        <w:rPr>
          <w:rFonts w:ascii="Arial" w:cs="Arial" w:eastAsia="Arial" w:hAnsi="Arial"/>
          <w:sz w:val="20"/>
          <w:szCs w:val="20"/>
          <w:i w:val="1"/>
          <w:iCs w:val="1"/>
          <w:color w:val="00B0F0"/>
        </w:rPr>
        <w:t xml:space="preserve"> </w:t>
      </w:r>
      <w:r>
        <w:rPr>
          <w:rFonts w:ascii="Arial" w:cs="Arial" w:eastAsia="Arial" w:hAnsi="Arial"/>
          <w:sz w:val="17"/>
          <w:szCs w:val="17"/>
          <w:color w:val="000000"/>
        </w:rPr>
        <w:t>opportunities for the Company to increase its business or revenues through sustainability opportunities. For example, warm and/or moderate temperatures in March and November allow the construction season to start earlier and end later, respectively, which could have meaningfully positive impacts on the Company’s first- and fourth-quarter results, respectively.</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a regulatory standpoint, the $1.2 trillion Infrastructure Investment and Jobs Act (IIJ Act), which was signed into law in November 2021, provides billions of dollars in new funding for roads, bridges and other major infrastructure projects which require aggregates for construction. New public transit and clean energy projects that address climate change may also result in increased demand for the Company's products. Other opportunities are likely to result from the passing of the IIJ Act and $24 billion of voter-approved state and local transportation-related 2025 ballot initiatives, all of which will fund infrastructure growth, repair and development.</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the Company’s magnesium hydroxide products are used to increase fuel efficiency in various industries, including both coal- and gas-fired electricity generation, and its chemical-grade, high-calcium limestone is used as a desulfurization material in utility plants, all of which has a direct impact on reducing energy use and GHG emissions by more GHG-intense companies. Finally, the desire for sustainable building solutions has led to greater recognition of the benefits of concrete construction in the effort to move to a circular economy through innovative products, longevity and recyclability, and increased demand for green construction projects would have a direct impact on the Company’s cement and concrete business.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Land Management</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owns approximately 180,000 acres of land, the vast majority of which is used in connection with active facilities. The Company regularly reviews its land holdings to determine their highest and best use based on its management's expertise and strategic objectives. Land holdings that do not have economically recoverable reserves for current or future mining or are otherwise not in locations that complement the Company’s operating facilities are considered candidates for sale or development for sale.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Human Capital Resources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January 31, 2026, the Company has approximately 9,600 employees, of which approximately 7,100 are hourly employees and approximately 2,500 are salaried employees. Approximately 1,200 hourly employees (13% of the Company’s employees) are represented by labor unions, representing 13% of the Building Materials business’ hourly employees and 59% of the Specialties segment’s hourly employees. The Company’s principal union contracts for the Specialties business cover employees at the Woodville, Ohio, lime plant, the Manistee, Michigan, synthetic magnesia plant and the Gabbs, Nevada, magnesia mine and processing plant. The Woodville, Manistee and Gabbs collective bargaining agreements expire in June 2026, August 2027 and June 2028, respectively. The Company believes it has good relations with its employees, including its unionized workforce.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3" w:name="page14"/>
    <w:bookmarkEnd w:id="13"/>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Management believes the Company’s success depends on its ability to attract, develop and retain key personnel. Martin Marietta offers a comprehensive benefits package that includes: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compensation;</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401(k) with Company match;</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Company-funded qualified pension plan;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Employee stock purchase plan (described in more detail below);</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Medical (PPO and HDHP/HSA plan options);</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Dental and vision coverage;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Prescription drug coverage;</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Flexible spending accounts;</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Paid holidays and generous paid time off;</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Educational/tuition assistance plan (described in more detail below);</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Employee discount program;</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Adoption assistance program;</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Life, AD&amp;D and disability insurance;</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Employee assistance program; and</w:t>
      </w:r>
    </w:p>
    <w:p>
      <w:pPr>
        <w:spacing w:after="0" w:line="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Wellness programs.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its ongoing efforts to promote employee financial wellness and enhance company-provided benefits, the Company launched the Martin Marietta Employee Stock Purchase Plan (ESPP) in 2025. Available to all U.S.-based employees, the ESPP provides a valuable opportunity to invest in Martin Marietta through the purchase of company stock at a 15% discount.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oversees various employee initiatives to develop its employees and the Management Development and Compensation Committee regularly reviews the compensation and development programs to achieve those objectives. The Company offers many training and development opportunities, including the following:</w:t>
      </w:r>
    </w:p>
    <w:p>
      <w:pPr>
        <w:spacing w:after="0" w:line="7" w:lineRule="exact"/>
        <w:rPr>
          <w:sz w:val="20"/>
          <w:szCs w:val="20"/>
          <w:color w:val="auto"/>
        </w:rPr>
      </w:pPr>
    </w:p>
    <w:p>
      <w:pPr>
        <w:ind w:left="760" w:hanging="378"/>
        <w:spacing w:after="0" w:line="265"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On-the-job training in the field and through the Company's Martin Marietta University, an interactive learning management system that serves as the gateway to a variety of valuable learning resources that support employee development;</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management associate program which provides entry-level opportunities for finance, human resources, engineering, geology or STEM graduates in the aggregates industry. This is a 12-to-18-month on-the-job training that allows recent college graduates to jump-start their career by gaining cross-functional experience and developing transferable skills at an accelerated pace. The program includes job rotations, training and executive mentorship;</w:t>
      </w:r>
    </w:p>
    <w:p>
      <w:pPr>
        <w:spacing w:after="0" w:line="14"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 Educational Assistance Program available for undergraduate and graduate degrees as well as individual vocational, undergraduate or graduate courses specifically related to an employee’s field;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partnership with the University of North Carolina to provide a Leadership Program for senior managers;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partnership with North Carolina State University to provide a Leadership Program for managers;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 internal job board, as well as communications, reminding employees about this resource;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robust performance review process.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Workplace health and safety is one of the Company’s core values. The Company's Guardian Angel safety program reinforces that every employee has the right, and the obligation, to stop any unsafe condition and that zero safety incidents is achievable. It includes the notion that every employee acts as a wingman for other employees, helping to identify and address conditions that could create unsafe situations. The Company-wide safety performance achieved the ninth consecutive year of world class or better lost-time incident rate and the fifth consecutive year for total injury incidence rate.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addition to safety, the Company is committed to fostering an inclusive, engaged workplace that supports talent development, collaboration and long-term retention. The Company has long been committed to assuring that inclusion and engagement are ingrained in Martin Marietta’s culture and values. Doing so supports the Company's employer brand — </w:t>
      </w:r>
      <w:r>
        <w:rPr>
          <w:rFonts w:ascii="Arial" w:cs="Arial" w:eastAsia="Arial" w:hAnsi="Arial"/>
          <w:sz w:val="18"/>
          <w:szCs w:val="18"/>
          <w:color w:val="007DC6"/>
        </w:rPr>
        <w:t>ONE</w:t>
      </w:r>
      <w:r>
        <w:rPr>
          <w:rFonts w:ascii="Arial" w:cs="Arial" w:eastAsia="Arial" w:hAnsi="Arial"/>
          <w:sz w:val="18"/>
          <w:szCs w:val="18"/>
          <w:color w:val="auto"/>
        </w:rPr>
        <w:t>, which brings together its employees’ unique perspectives, experiences and talents to evolve a shared vision and future.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4" w:name="page15"/>
    <w:bookmarkEnd w:id="14"/>
    <w:p>
      <w:pPr>
        <w:ind w:left="906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supports three employee resource groups — Military and Veterans Community, Multicultural Employee Resource Group (MERGE) and Women Who Build — that provide opportunities for all employees to share their varied perspectives and experiences, grow their internal networks, develop their careers and give back to their communities. The Company also has expanded its academic outreach by partnering with Raleigh, North Carolina-based Shaw University to broaden awareness of career opportunities and strengthen its future talent pipeline.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Available Information</w:t>
      </w:r>
    </w:p>
    <w:p>
      <w:pPr>
        <w:spacing w:after="0" w:line="54"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Company maintains an internet address at www.martinmarietta.com. The Company makes available free of charge through its internet website its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 K, and amendments to those reports, if any, filed or furnished pursuant to Section 13(a) or 15(d) of the Securities Exchange Act of 1934, as amended (Exchange Act), which are available as soon as reasonably possible after they are submitted to the Securities and Exchange Commission (SEC). You can access the Company’s filings with the SEC through the SEC website at www.sec.gov or through the Company's website, and the Company strongly encourages you to do so. Martin Marietta routinely posts information that may be important to investors on its website at www.ir.martinmarietta.com, and it uses this website address as a means of disclosing material information to the public in a broad, non-exclusionary manner for purposes of the SEC’s Regulation Fair Disclosure (Reg FD). The contents of the Company's website are not incorporated by reference in this Form 10-K and shall not be deemed “filed” under the Securities Exchange Act of 1934, as amended. The Company undertakes no obligation to update any statements herein for revisions or changes after the filing date of this Form 10-K other than as required by law.</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has adopted a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that applies to all of its Board of Directors, officers and employees. The Company’s code of ethics is available on the Company’s website www.martinmarietta.com. The Company will disclose on its internet website any waivers of or amendments to its code of ethics as it applies to its directors and executive officers.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 has adopted a set of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to address matters of fundamental importance relating to the corporate governance of the Company, including director qualifications and responsibilities, responsibilities of key board committees, director compensation and similar matters. Each of the Audit Committee, the Management Development and Compensation Committee, and the Nominating and Corporate Governance Committee of the Board of Directors has adopted a written charter addressing various matters of importance relating to each committee, including the committee’s purposes and responsibilities, an annual performance evaluation of each committee and similar matters. These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and the charters of each of these committees, are available on the Company’s website at www.martinmarietta.com.</w:t>
      </w:r>
    </w:p>
    <w:p>
      <w:pPr>
        <w:spacing w:after="0" w:line="77"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Form 10</w:t>
      </w:r>
      <w:r>
        <w:rPr>
          <w:rFonts w:ascii="MS PGothic" w:cs="MS PGothic" w:eastAsia="MS PGothic" w:hAnsi="MS PGothic"/>
          <w:sz w:val="18"/>
          <w:szCs w:val="18"/>
          <w:color w:val="auto"/>
        </w:rPr>
        <w:t>‑</w:t>
      </w:r>
      <w:r>
        <w:rPr>
          <w:rFonts w:ascii="Arial" w:cs="Arial" w:eastAsia="Arial" w:hAnsi="Arial"/>
          <w:sz w:val="18"/>
          <w:szCs w:val="18"/>
          <w:color w:val="auto"/>
        </w:rPr>
        <w:t>K. The Company’s Chief Executive Officer is also required to certify to the New York Stock Exchange each year that he is not aware of any violation by the Company of the New York Stock Exchange corporate governance listing standards.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 RISK FACTORS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investment in Martin Marietta common stock or debt securities involves risks and uncertainties. You should consider the following factors carefully, in addition to the other information contained in this Form 10-K, before deciding to purchase or otherwise trade the Company’s securities.</w:t>
      </w:r>
    </w:p>
    <w:p>
      <w:pPr>
        <w:spacing w:after="0" w:line="61"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This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r>
      <w:r>
        <w:rPr>
          <w:rFonts w:ascii="MS PGothic" w:cs="MS PGothic" w:eastAsia="MS PGothic" w:hAnsi="MS PGothic"/>
          <w:sz w:val="18"/>
          <w:szCs w:val="18"/>
          <w:color w:val="auto"/>
        </w:rPr>
        <w:t>‑</w:t>
      </w:r>
      <w:r>
        <w:rPr>
          <w:rFonts w:ascii="Arial" w:cs="Arial" w:eastAsia="Arial" w:hAnsi="Arial"/>
          <w:sz w:val="18"/>
          <w:szCs w:val="18"/>
          <w:color w:val="auto"/>
        </w:rPr>
        <w:t>K and in other publications may turn out to be wrong.</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the Company's forward-looking statements and actual performance.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 other than as required by law.</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For a discussion identifying some important factors that could cause actual results to vary materially from those anticipated in the forward-looking statements, see the factors listed below, along with the discussion of </w:t>
      </w:r>
      <w:r>
        <w:rPr>
          <w:rFonts w:ascii="Arial" w:cs="Arial" w:eastAsia="Arial" w:hAnsi="Arial"/>
          <w:sz w:val="18"/>
          <w:szCs w:val="18"/>
          <w:u w:val="single" w:color="auto"/>
          <w:color w:val="007DC6"/>
        </w:rPr>
        <w:t>Competition</w:t>
      </w:r>
      <w:r>
        <w:rPr>
          <w:rFonts w:ascii="Arial" w:cs="Arial" w:eastAsia="Arial" w:hAnsi="Arial"/>
          <w:sz w:val="18"/>
          <w:szCs w:val="18"/>
          <w:color w:val="auto"/>
        </w:rPr>
        <w:t xml:space="preserve"> under Item 1 of this Form 10-K, </w:t>
      </w:r>
      <w:r>
        <w:rPr>
          <w:rFonts w:ascii="Arial" w:cs="Arial" w:eastAsia="Arial" w:hAnsi="Arial"/>
          <w:sz w:val="18"/>
          <w:szCs w:val="18"/>
          <w:u w:val="single" w:color="auto"/>
          <w:color w:val="007DC6"/>
        </w:rPr>
        <w:t>Management’s</w:t>
      </w:r>
      <w:r>
        <w:rPr>
          <w:rFonts w:ascii="Arial" w:cs="Arial" w:eastAsia="Arial" w:hAnsi="Arial"/>
          <w:sz w:val="18"/>
          <w:szCs w:val="18"/>
          <w:color w:val="auto"/>
        </w:rPr>
        <w:t xml:space="preserve"> </w:t>
      </w:r>
      <w:r>
        <w:rPr>
          <w:rFonts w:ascii="Arial" w:cs="Arial" w:eastAsia="Arial" w:hAnsi="Arial"/>
          <w:sz w:val="18"/>
          <w:szCs w:val="18"/>
          <w:u w:val="single" w:color="auto"/>
          <w:color w:val="007DC6"/>
        </w:rPr>
        <w:t>Discussion and Analysis of Financial Condition and Results of Operations</w:t>
      </w:r>
      <w:r>
        <w:rPr>
          <w:rFonts w:ascii="Arial" w:cs="Arial" w:eastAsia="Arial" w:hAnsi="Arial"/>
          <w:sz w:val="18"/>
          <w:szCs w:val="18"/>
          <w:color w:val="007DC6"/>
        </w:rPr>
        <w:t xml:space="preserve"> </w:t>
      </w:r>
      <w:r>
        <w:rPr>
          <w:rFonts w:ascii="Arial" w:cs="Arial" w:eastAsia="Arial" w:hAnsi="Arial"/>
          <w:sz w:val="18"/>
          <w:szCs w:val="18"/>
          <w:color w:val="000000"/>
        </w:rPr>
        <w:t>under Item 7 of this Form 10-K, and</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Note A: Accounting Policies</w:t>
      </w:r>
      <w:r>
        <w:rPr>
          <w:rFonts w:ascii="Arial" w:cs="Arial" w:eastAsia="Arial" w:hAnsi="Arial"/>
          <w:sz w:val="18"/>
          <w:szCs w:val="18"/>
          <w:color w:val="007DC6"/>
        </w:rPr>
        <w:t xml:space="preserve"> </w:t>
      </w:r>
      <w:r>
        <w:rPr>
          <w:rFonts w:ascii="Arial" w:cs="Arial" w:eastAsia="Arial" w:hAnsi="Arial"/>
          <w:sz w:val="18"/>
          <w:szCs w:val="18"/>
          <w:color w:val="000000"/>
        </w:rPr>
        <w:t xml:space="preserve">and </w:t>
      </w:r>
      <w:r>
        <w:rPr>
          <w:rFonts w:ascii="Arial" w:cs="Arial" w:eastAsia="Arial" w:hAnsi="Arial"/>
          <w:sz w:val="18"/>
          <w:szCs w:val="18"/>
          <w:u w:val="single" w:color="auto"/>
          <w:color w:val="007DC6"/>
        </w:rPr>
        <w:t>Note N: Commitments and Contingencies</w:t>
      </w:r>
      <w:r>
        <w:rPr>
          <w:rFonts w:ascii="Arial" w:cs="Arial" w:eastAsia="Arial" w:hAnsi="Arial"/>
          <w:sz w:val="18"/>
          <w:szCs w:val="18"/>
          <w:color w:val="000000"/>
        </w:rPr>
        <w:t xml:space="preserve"> of the </w:t>
      </w:r>
      <w:r>
        <w:rPr>
          <w:rFonts w:ascii="Arial" w:cs="Arial" w:eastAsia="Arial" w:hAnsi="Arial"/>
          <w:sz w:val="18"/>
          <w:szCs w:val="18"/>
          <w:color w:val="007DC6"/>
        </w:rPr>
        <w:t>Notes to Financial Statements</w:t>
      </w:r>
      <w:r>
        <w:rPr>
          <w:rFonts w:ascii="Arial" w:cs="Arial" w:eastAsia="Arial" w:hAnsi="Arial"/>
          <w:sz w:val="18"/>
          <w:szCs w:val="18"/>
          <w:color w:val="000000"/>
        </w:rPr>
        <w:t xml:space="preserve"> of the Company’s consolidated financial statements included under </w:t>
      </w:r>
      <w:r>
        <w:rPr>
          <w:rFonts w:ascii="Arial" w:cs="Arial" w:eastAsia="Arial" w:hAnsi="Arial"/>
          <w:sz w:val="18"/>
          <w:szCs w:val="18"/>
          <w:u w:val="single" w:color="auto"/>
          <w:color w:val="007DC6"/>
        </w:rPr>
        <w:t>Item 8, Financial Statements and Supplemental Data</w:t>
      </w:r>
      <w:r>
        <w:rPr>
          <w:rFonts w:ascii="Arial" w:cs="Arial" w:eastAsia="Arial" w:hAnsi="Arial"/>
          <w:sz w:val="18"/>
          <w:szCs w:val="18"/>
          <w:color w:val="000000"/>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-415290</wp:posOffset>
            </wp:positionV>
            <wp:extent cx="609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600" cy="889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-415290</wp:posOffset>
            </wp:positionV>
            <wp:extent cx="749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9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377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75075" cy="889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-287020</wp:posOffset>
            </wp:positionV>
            <wp:extent cx="1429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9385"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-158115</wp:posOffset>
            </wp:positionV>
            <wp:extent cx="4146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46550" cy="8890"/>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-29845</wp:posOffset>
            </wp:positionV>
            <wp:extent cx="26739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398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Industry Risk Factors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Our business depends on construction activity, which is cyclical and sensitive to macroeconomic, funding and operating conditions.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Demand for our construction materials is inherently cyclical and may decline or become more volatile due to economic and political uncertainty, elevated interest rates and inflation, reduced housing affordability, lower private nonresidential investment, or tightening credit conditions that delay, downsize, or cancel projects. Our products are used in public infrastructure projects, which include the construction, maintenance and improvement of highways, streets, roads, bridges, schools and similar projects. Public infrastructure activity depends on federal, state, and local budgets and letting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projects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sell most of our aggregates (our primary business) and our cement products to the construction industry and, therefore, our results depend on that industry’s strength. Because our businesses depend on construction spending, which can be cyclical, our profits are sensitive to national, regional and local economic conditions and the intensity of the underlying spending 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6" w:name="page17"/>
    <w:bookmarkEnd w:id="16"/>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aggregates and cement products.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combined accounted for 58% of aggregates shipments in 2025, could occur if companies and consumers are unable to obtain financing for construction projects or if consumer confidence continues to be eroded or affected by economic uncertainty.</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If federal defense budgets are reduced, appropriations are delayed, base realignments occur or military construction and related projects are deferred or canceled, construction activity on or near affected installations may slow, resulting in lower shipments and increased pricing pressure in the surrounding local markets. Similarly, energy-sector cyclicality can materially impact construction demand, particularly in Texas and other energy-intensive regions.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shipments profitability could be adversely affected.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Widespread declines in aggregates pricing could adversely affect our business, financial condition, and results of operations.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spacing w:after="0" w:line="1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Reduced demand across residential, nonresidential, or public infrastructure markets;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deferrals of bid lettings;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Excess industry capacity in a local market, new market entrants, imports or long-haul supply;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Product and geographic mix shifting towards lower-value stone, shorter haul lengths or smaller jobs;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specifications that reduce value differentiation;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Contract structures that limit or delay price adjustments, particularly when input costs remain elevated;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pass through increases in delivered costs on a timely or complete basis, resulting in price-cost spread compression.</w:t>
      </w:r>
    </w:p>
    <w:p>
      <w:pPr>
        <w:spacing w:after="0" w:line="11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There is no assurance that market prices will stabilize or improve when demand recovers. Prolonged or widespread price declines, especially if accompanied by reduced shipments, could lower margins and cash flows, reduce returns on invested capital, negatively affect the carrying value of long-lived assets or goodwill, limit capital available for growth and increase the risk of not meeting financial covenants.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Our Building Materials business is seasonal and sensitive to weather and climate-related conditions that can significantly disrupt operations, shipments and demand.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heavy-side construction business is conducted outdoors. Accordingly, our production, distribution, and customer demand are affected by seasonal weather patterns and adverse weather. Adverse weather conditions, including hurricanes and tropical storms, extreme temperatures, snow, heavy or sustained rainfall, wildfires and earthquakes, reduce construction activity, restrict the demand for our products and impede our ability to efficiently transport material. Severe events can close or damage transportation networks or constrain logistics capacity, slowing our ability to move materials and increasing delivered costs.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constrain production. Production and shipment levels of the Building Materials business’ products follow activity in the construction industry, which typically is strongest in the spring, summer and fall. Because of the weather’s effect on the construction industry’s activity, the production and shipment levels for our Building Materials business, including all of our aggregates-related downstream operations, vary by quarter. The second and third quarters are generally subject to heavy precipitation, and, thus, are more profitable if precipitation is lighter. The first 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7" w:name="page18"/>
    <w:bookmarkEnd w:id="17"/>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fourth quarters, which are subject to the impacts of winter weather, are generally the least profitable, but can be more profitable if the impact of winter weather is less severe. 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 The physical impacts described above may be exacerbated by the effects of climate change over time.</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Competition and Growth Risk Factors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Our Building Materials business depends on identifying, acquiring, permitting and developing quality aggregates reserves within an economic haul radius and our ability to mine and transport those reserves.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 We try to meet this challenge by identifying and permitting sites prior to economic expansion, buying more land around our existing quarries to increase our mineral reserves, developing underground mines, and expanding a distribution network that transports aggregates products by various methods, including rail and water. Even when deposits are identified, we may be unable to obtain or renew necessary land-use approvals, environmental permits, or other governmental authorizations on acceptable terms or timelines, or at all. If we are unable to timely replace reserves accessible to our markets, obtain or maintain required permits and approvals, secure necessary property and access rights on acceptable terms, or economically transport materials to demand centers, our ability to serve customers and our results of operations could be adversely affected.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Our future growth depends in part on disciplined acquisitions and strategic investments, and we may use shares of our common stock as consideration.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 Suitable targets may be scarce and sellers may prefer structures or terms that increase complexity or risk. There is no assurance that we will identify opportunities that meet our return thresholds or that, if completed, such transactions will generate expected cash flows or strategic benefits within anticipated time frames.</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Proposed acquisitions are subject to risks and uncertainties before closing. Our diligence may not identify all risks, including environmental liabilities, geologic or reserve quality, title, access constraints, water or power availability, legacy tax or legal exposures, labor and workforce issues, or cybersecurity vulnerabilities. Transactions may require antitrust and other regulatory approvals and could be delayed, conditioned, or prohibited. Required divestitures or other remedies can reduce expected benefits. Target businesses may depend on permits, licenses, mineral or water rights, easements, leases, or other approvals that must be transferred, renewed, or re-issued; these processes can be uncertain, time-consuming and costly. Volatile debt and equity market conditions, interest-rate movements, and changes in our credit ratings can affect the availability and cost of financing.</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may finance transactions with cash, debt, equity or a combination of such consideration. Using our common stock – whether as acquisition consideration or for related capital raises – can dilute existing shareholders and cause the price of our stock to decline, and market volatility between signing and closing can affect the value delivered to sellers or the economics of the transaction. Debt financing increases interest expense and financial leverage and may reduce flexibility under our debt covenants and capital-allocation priorities. Joint ventures and minority investments can involve governance constraints, differing strategic objectives or disputes that limit our ability to direct operations or realize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Integrating acquired businesses may be more difficult, costly, or time-consuming than expected, and we may not realize anticipated benefits.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successful history of business acquisitions and combinations and integration of these businesses into our heritage operations. However, in connection with the integration of any other business that we acquire, there is a risk that we will not be able to achieve such integration in a successful manner or on the time schedule we have projected or in a way that will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8" w:name="page19"/>
    <w:bookmarkEnd w:id="18"/>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achieve the level of synergies, cost savings or operating efficiencies we forecast from the acquisition. Integration requires the alignment of cultures, safety and operating practices, internal controls, information technology and cybersecurity, procurement, logistics networks, and sales and pricing processes. We may not realize our expected cost or revenue strategies due to customer or supplier reactions, regulatory or permitting limits, or market changes.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Any significant business acquisition or combination we might choose to undertake may require that we devote significant management attention and resources to preparing for and then integrating our business practices and operations. Based on our history, we believe we will be successful in this integration process. Nevertheless, we may fail to realize some of the anticipated benefits of any potential acquisition or other business combination that we pursue in the future if the integration process takes longer or is more costly than expected. Potential difficulties we may encounter in the integration process include the following:</w:t>
      </w:r>
    </w:p>
    <w:p>
      <w:pPr>
        <w:spacing w:after="0" w:line="14" w:lineRule="exact"/>
        <w:rPr>
          <w:sz w:val="20"/>
          <w:szCs w:val="20"/>
          <w:color w:val="auto"/>
        </w:rPr>
      </w:pPr>
    </w:p>
    <w:p>
      <w:pPr>
        <w:jc w:val="both"/>
        <w:ind w:left="7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w:t>
      </w:r>
    </w:p>
    <w:p>
      <w:pPr>
        <w:spacing w:after="0" w:line="8"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retain key employees or align cultures, compensation, safety practices, and operating disciplines, which can impair performance;</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reactions from customers or suppliers, including loss of business, pricing pressure, or renegotiation of terms, as well as change-of-control, consent, or exclusivity provisions that restrict our ability to integrate or rationalize product and customer portfolios;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dependencies on transition services arrangements and the timely separation and migration of enterprise systems, ERPs, and data;</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defects in information technology integration, cybersecurity controls, or data privacy compliance can disrupt operations, increase costs, or expose us to cyber incidents;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transferring, renewing, or aligning permits, licenses, mineral or water rights, leases, easements, and other approvals;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site-specific environmental, geologic, or title conditions may limit operating plans or increase capital and operating costs;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the combined operations;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integration of personnel;</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creation of uniform standards, internal controls, procedures, policies and information systems;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discovery of previously unknown liabilities and unforeseen increased expenses, delays or regulatory issues associated with integrating the remaining operations; and</w:t>
      </w:r>
    </w:p>
    <w:p>
      <w:pPr>
        <w:spacing w:after="0" w:line="1"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shortfalls at business units as a result of the diversion of management attention caused by completing the remaining integration of the operations.</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b w:val="1"/>
          <w:bCs w:val="1"/>
          <w:i w:val="1"/>
          <w:iCs w:val="1"/>
          <w:color w:val="4EAD8A"/>
        </w:rPr>
        <w:t>Acquisitions and divestitures may not occur on expected terms or timelines, may be more costly or complex than anticipated, and may not deliver expected benefits.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pursuing our business strategy, we conduct discussions, evaluate opportunities and enter into acquisition and divestiture agreements. Transaction activity involves execution, regulatory, and operational risks that could reduce or delay expected benefits or create additional costs and liabilities:</w:t>
      </w:r>
    </w:p>
    <w:p>
      <w:pPr>
        <w:spacing w:after="0" w:line="7"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required regulatory approvals and/or required financing on favorable terms;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satisfy closing conditions;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a satisfactory return on our investment;</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retain key personnel of acquired businesses;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difficulty in integrating new employees, business systems and technology;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due diligence process may not identify compliance issues or other liabilities that are in existence at the time of our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9" w:name="page20"/>
    <w:bookmarkEnd w:id="19"/>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bring the acquired business up to our expected levels of safety standards as quickly as anticipated;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difficulty entering into new geographic markets in which we are not experienced; or</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the customers and partners of acquired businesses following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Divestitures also involve significant challenges and risks, including risks that:</w:t>
      </w:r>
    </w:p>
    <w:p>
      <w:pPr>
        <w:spacing w:after="0" w:line="5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required regulatory approvals or our counterparties may not obtain required financing on favorable terms;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 time and attention may be diverted to businesses held for sale;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write off certain assets, including those relating to goodwill and other intangibles;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difficulties in the separation of operations;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key employees.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complete transactions on acceptable terms in a timely manner , or realize expected benefits, our business, financial condition, and results of operations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Economic, Political and Legal Risk Factors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Changes in laws, regulations, and enforcement practices, including zoning, land use, the environment, health and safety, as well as litigation relating to these matters, affect our businesses. Our operations expose us to the risk of material environmental liabilities.</w:t>
      </w:r>
    </w:p>
    <w:p>
      <w:pPr>
        <w:jc w:val="both"/>
        <w:spacing w:after="0" w:line="238" w:lineRule="auto"/>
        <w:rPr>
          <w:sz w:val="20"/>
          <w:szCs w:val="20"/>
          <w:color w:val="auto"/>
        </w:rPr>
      </w:pPr>
      <w:r>
        <w:rPr>
          <w:rFonts w:ascii="Arial" w:cs="Arial" w:eastAsia="Arial" w:hAnsi="Arial"/>
          <w:sz w:val="18"/>
          <w:szCs w:val="18"/>
          <w:color w:val="auto"/>
        </w:rPr>
        <w:t>Many federal, state and local requirements governing zoning, land use, air emissions (including carbon dioxide and other greenhouse gases), water use, allocation and discharges, waste management, noise and dust control, blasting, mining, land reclamation and other environmental, health and safety matters govern our operations. Many of our operations require permits,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or restrict development or expansion of our sites. If we cannot obtain, renew, or maintain required approvals on acceptable terms and schedules, we may be forced to curtail production, delay projects, or cease operations at affected facilities. Certain of our operations may from time to time involve the use of substances that are classified as toxic or hazardous within the meaning of these laws and regulations.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fines or personal injury or damages claims, which could have an adverse impact on our operations and profitability.</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could be substantial or which could result in restrictions on our operations or delays in obtaining required permits or other approvals. Because future regulatory actions and enforcement priorities are uncertain, we may be unable to predict or fully mitigate their impact on our results.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 equipment and manufacturing machinery. We are also subject to Mine Safety and Health Administration (MSHA) and Occupational Safety and Health Administration (OSHA) requirements for worker health and safety.</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Failure to comply with applicable laws, regulations, permits, or orders, or adverse changes in those requirements or their enforcement, could result in fines, penalties, operational restrictions, mandated capital projects, denial or revocation of</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0" w:name="page21"/>
    <w:bookmarkEnd w:id="20"/>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permits, reputational damage, and increased costs, any of which could adversely affect our business, financial condition, and results of operations.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Litigation and other legal proceedings are inherent in our operations and could result in significant costs or liabilities.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negative effect on our Company. Even when we believe we have meritorious defenses or when we are seeking legal remedies, legal proceedings can be costly and time-consuming, divert management attention, and create reputational risk.</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Legislation, regulation, and policy initiatives addressing climate change and the transition to a low-carbon economy may increase our costs, constrain operations, or alter customer demand, which could adversely impact our business and financial results.</w:t>
      </w:r>
    </w:p>
    <w:p>
      <w:pPr>
        <w:jc w:val="both"/>
        <w:spacing w:after="0"/>
        <w:rPr>
          <w:sz w:val="20"/>
          <w:szCs w:val="20"/>
          <w:color w:val="auto"/>
        </w:rPr>
      </w:pPr>
      <w:r>
        <w:rPr>
          <w:rFonts w:ascii="Arial" w:cs="Arial" w:eastAsia="Arial" w:hAnsi="Arial"/>
          <w:sz w:val="18"/>
          <w:szCs w:val="18"/>
          <w:color w:val="auto"/>
        </w:rPr>
        <w:t>Federal, state, and local authorities continue to propose and implement climate-related requirements, including greenhouse gas (GHG) emissions limits, the use of alternative fuels, carbon credits (such as a cap-and-trade system), carbon taxes, mandatory GHG monitoring, reporting, and assurance, and disclosure of climate-related risks and transition plans. Our cement plant and our Woodville, Ohio and Manistee, Michigan Specialties plants are strictly regulated with respect to GHG emissions and hold Title V Permits under USEPA regulations, and our cement plant and Woodville plant are also subject to the U.S. Clean Air Act’s Prevention of Significant Deterioration (PSD) requirements which require a permit program for certain new or modified sources of emissions. If future modifications to our Specialties or cement facilities require PSD review for other pollutants, GHG permitting requirements may also be triggered, which could require us to incur significant additional costs. It is not possible, however, to estimate the cost of any future requirements at this time.</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although our aggregates, ready mixed concrete, asphalt and paving operations are not considered “major” sources of GHG emissions subject to the USEPA reporting rule, any additional regulatory restrictions on emissions of GHGs imposed by the USEPA would likely impact our magnesia-based chemicals operations in Woodville, Ohio and Manistee, Michigan, as well as our cement operation in Texas, which in 2025 filed annual reports of GHG emissions as required by the USEPA reporting rule. We may not be able to recover any increased operating costs, taxes or capital investments (other than with respect to any carbon reduction or capture technologies) relating to GHG emission limitations at those plants from our customers in order to remain competitive in pricing in the relevant markets. Our businesses also are dependent on reliable sources of energy and fuels. We could incur increased costs or disruptions in our operations if climate change legislation and regulation (including regulatory changes with respect to alternative fuel use) or severe weather affect the price or availability of purchased energy or fuels or other materials used in our operations.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States where we operate may adopt additional or more stringent requirements, such as market-based emissions programs, mandated use of alternative fuels, or climate-disclosure regimes which could add measurement, verification / assurance, reporting, and compliance costs and increase potential enforcement exposure.</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the operations of either the Specialties business or Building Materials business, in light of the various regulatory uncertainties, the Company cannot presently predict the costs of any future compliance requirements. We continue to monitor GHG regulations and legislation and its potential impact on our business, financial condition and product demand.</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b w:val="1"/>
          <w:bCs w:val="1"/>
          <w:i w:val="1"/>
          <w:iCs w:val="1"/>
          <w:color w:val="4EAD8A"/>
        </w:rPr>
        <w:t>Sustained high or rising interest may reduce construction demand, increase our financing costs, and adversely affect our results of operations and financial condition.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businesses are sensitive to interest-rate and credit conditions because a substantial portion of demand for our products is tied to the construction markets. Therefore, our business in these industries may experience declines from sustained high or rising interest rates and cost increases.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Notably, demand in the residential construction market in which we sell our aggregates products is affected by interest rates. While the Federal Reserve lowered interest rates several times during 2025, they remain above the current rate of inflation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1" w:name="page22"/>
    <w:bookmarkEnd w:id="21"/>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resulting in continued restrictive monetary policy. Sustained high interest rates may affect our business in an adverse manner.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Rising interest rates could also result in disruptions in the credit markets, which could affect our business.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Changes in tax laws, interpretations, enforcement practices, and our business mix could increase our effective income tax rate, reduce deferred tax assets, or otherwise adversely affect our results of operations and cash flows.</w:t>
      </w:r>
    </w:p>
    <w:p>
      <w:pPr>
        <w:jc w:val="both"/>
        <w:spacing w:after="0" w:line="253" w:lineRule="auto"/>
        <w:rPr>
          <w:sz w:val="20"/>
          <w:szCs w:val="20"/>
          <w:color w:val="auto"/>
        </w:rPr>
      </w:pPr>
      <w:r>
        <w:rPr>
          <w:rFonts w:ascii="Arial" w:cs="Arial" w:eastAsia="Arial" w:hAnsi="Arial"/>
          <w:sz w:val="18"/>
          <w:szCs w:val="18"/>
          <w:color w:val="auto"/>
        </w:rPr>
        <w:t>Our effective tax rate is influenced by many factors, including changes in federal, state and local laws and regulations, administrative guidance and court decisions. Because tax rules are complex and change over time our effective tax rate and cash taxes may be volatile and difficult to predict and may be influenced by the following factors among others:</w:t>
      </w:r>
    </w:p>
    <w:p>
      <w:pPr>
        <w:spacing w:after="0" w:line="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governmental authorities increasing tax rates or eliminating deductions, particularly the depletion deduction;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earnings from depletable versus non-depletable businesses;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jurisdictions in which earnings are taxed;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resolution of issues arising from tax audits with various tax authorities;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valuation of our deferred tax assets and liabilities;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adjustments to estimated taxes upon finalization of various tax returns;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availability of tax credits;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stock-based compensation;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write-off of nondeductible goodwill resulting from divestitures or impairments;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audits, examinations or litigation;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tax laws;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interpretation of tax laws and/or administrative practices.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our net earnings and free cash flow for future periods.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Investor and stakeholder focus on climate change and sustainability matters and any related reporting obligations may increase our costs and impact our businesses.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 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2" w:name="page23"/>
    <w:bookmarkEnd w:id="22"/>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investors and other stakeholders. Failure to meet these commitments could result in reputational harm to our Company and changes regarding climate risk management and practices may result in higher regulatory and compliance risks and costs.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Public health events including outbreaks of disease, epidemics, or pandemics, or fears of such an event and related governmental, societal and market responses could adversely affect our operations, demand for our products, costs, and financial results.</w:t>
      </w:r>
    </w:p>
    <w:p>
      <w:pPr>
        <w:jc w:val="both"/>
        <w:spacing w:after="0" w:line="239" w:lineRule="auto"/>
        <w:rPr>
          <w:sz w:val="20"/>
          <w:szCs w:val="20"/>
          <w:color w:val="auto"/>
        </w:rPr>
      </w:pPr>
      <w:r>
        <w:rPr>
          <w:rFonts w:ascii="Arial" w:cs="Arial" w:eastAsia="Arial" w:hAnsi="Arial"/>
          <w:sz w:val="18"/>
          <w:szCs w:val="18"/>
          <w:color w:val="auto"/>
        </w:rPr>
        <w:t>Our businesses could be negatively impacted by the widespread outbreak of an illness or other communicable disease, or any other public health crisis that results in economic and trade disruptions. Public health threats can negatively impact economic activity, consumer confidence and discretionary spending, and overall market conditions and these conditions could have an impact on our Company to the extent that they occur in regions where our Building Materials business principally operates.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We actively monitor public health situations as part of our health and safety measures to comply with federal, state and local mandates and to protect the health and safety of our employees. We may take further actions that alter our business operations, including any that may be required by federal, state or local authorities or that we determine are in the best interests of our employees, customers, suppliers, vendors, communities and other stakeholders as we adapt to public health events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Personnel Risks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Labor disputes could disrupt operations of our businesses.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Labor unions represented 13% of the hourly employees of our Building Materials business and 59% of the hourly employees of our Specialties business as of December 31, 2025. Our collective bargaining agreements for employees of our Specialties business at the Woodville, Ohio lime plant, the Manistee, Michigan synthetic magnesia plant and the Gabbs, Nevada magnesia mine and processing plant expire in June 2026, August 2027 and June 2028, respectively.</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Disputes with our trade unions, or the inability to renew our labor agreements, could lead to work stoppages or other actions that could disrupt our businesses, raise costs and reduce revenues and earnings from the affected locations.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 actions by our suppliers, contractors, railroads, ports, trucking firms, or other logistics providers may interrupt inbound materials or outbound deliveries, increase delivered costs, or require us to source alternatives. Tight labor markets, especially for skilled trades and licensed commercial drivers, can constrain operating days, raise turnover and training costs, and delay maintenance or capital projects.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we are unable to maintain stable labor relations, renew agreements on acceptable terms, staff operations adequately, or mitigate third-party labor disruptions, our production, shipments, costs and results of operations could be adversely affected.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We depend on the recruitment and retention of qualified personnel, and our failure to attract and retain such personnel could adversely affect our business, disrupt our operations or increase costs.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 w:name="page24"/>
    <w:bookmarkEnd w:id="23"/>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and strategy execution. Failure to ensure effective transfer of knowledge and smooth transitions involving key employees could hinder our strategic planning and execution.</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b w:val="1"/>
          <w:bCs w:val="1"/>
          <w:i w:val="1"/>
          <w:iCs w:val="1"/>
          <w:color w:val="4EAD8A"/>
        </w:rPr>
        <w:t>Our reputation, ability to do business and results of operations could be impaired by improper conduct by any of our employees, agents or business partners.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regulation under a wide variety of U.S. federal and state and some non-U.S. laws, regulations and policies, including laws related to anticorruption, antibribery, export and import compliance, antitrust and money laundering, due to our operations.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Financial, Accounting and Cost Management Risk Factors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business requires significant and sustained capital investment; delays, cost increases, or underperformance on capital projects, or constraints on funding, could adversely affect our operations, competitiveness, and financial results.</w:t>
      </w:r>
    </w:p>
    <w:p>
      <w:pPr>
        <w:jc w:val="both"/>
        <w:spacing w:after="0" w:line="239" w:lineRule="auto"/>
        <w:rPr>
          <w:sz w:val="20"/>
          <w:szCs w:val="20"/>
          <w:color w:val="auto"/>
        </w:rPr>
      </w:pPr>
      <w:r>
        <w:rPr>
          <w:rFonts w:ascii="Arial" w:cs="Arial" w:eastAsia="Arial" w:hAnsi="Arial"/>
          <w:sz w:val="18"/>
          <w:szCs w:val="18"/>
          <w:color w:val="auto"/>
        </w:rPr>
        <w:t>The property and machinery needed to produce our products are very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Unexpected equipment failures or extended outages can further increase repair spending and parts consumption.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Unexpected equipment failures, catastrophic events and scheduled maintenance may lead to production curtailments or shutdowns.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manufacturing processes are dependent upon critical pieces of equipment, such as our kilns and finishing mills. This equipment, on occasion, is out of service as a result of planned or unplanned maintenance,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cement and dolomitic lime production facilities. In 2025, our cement and Specialties operations incurred shutdown costs of $23 million and $8 million, respectively. Any significant interruption in production capability may require us to make significant capital expenditures to remedy problems or damage as well as cause us to lose revenue due to lost production time.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 w:name="page25"/>
    <w:bookmarkEnd w:id="24"/>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earnings are affected by the application of accounting standards and our critical accounting policies, which involve subjective judgments and estimates by our management. Our estimates and assumptions could be wrong.</w:t>
      </w:r>
    </w:p>
    <w:p>
      <w:pPr>
        <w:jc w:val="both"/>
        <w:spacing w:after="0" w:line="247" w:lineRule="auto"/>
        <w:rPr>
          <w:sz w:val="20"/>
          <w:szCs w:val="20"/>
          <w:color w:val="auto"/>
        </w:rPr>
      </w:pPr>
      <w:r>
        <w:rPr>
          <w:rFonts w:ascii="Arial" w:cs="Arial" w:eastAsia="Arial" w:hAnsi="Arial"/>
          <w:sz w:val="18"/>
          <w:szCs w:val="18"/>
          <w:color w:val="auto"/>
        </w:rPr>
        <w:t>The accounting standards we use in preparing our financial statements are often complex and require that we make significant estimates and assumptions in interpreting and applying those standards. These estimates and assumptions involve matters that are inherently uncertain and require subjective and complex judgments. If we used different estimates and assumptions or used different ways to determine these estimates, our financial results could differ.</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While we believe our estimates and assumptions are appropriate, we could be wrong. Accordingly, our financial results could be different, either higher or lower. We urge you to read </w:t>
      </w:r>
      <w:r>
        <w:rPr>
          <w:rFonts w:ascii="Arial" w:cs="Arial" w:eastAsia="Arial" w:hAnsi="Arial"/>
          <w:sz w:val="18"/>
          <w:szCs w:val="18"/>
          <w:u w:val="single" w:color="auto"/>
          <w:color w:val="007DC6"/>
        </w:rPr>
        <w:t>Critical Accounting Policies and Estimates</w:t>
      </w:r>
      <w:r>
        <w:rPr>
          <w:rFonts w:ascii="Arial" w:cs="Arial" w:eastAsia="Arial" w:hAnsi="Arial"/>
          <w:sz w:val="18"/>
          <w:szCs w:val="18"/>
          <w:color w:val="auto"/>
        </w:rPr>
        <w:t xml:space="preserve"> included under </w:t>
      </w:r>
      <w:r>
        <w:rPr>
          <w:rFonts w:ascii="Arial" w:cs="Arial" w:eastAsia="Arial" w:hAnsi="Arial"/>
          <w:sz w:val="18"/>
          <w:szCs w:val="18"/>
          <w:u w:val="single" w:color="auto"/>
          <w:color w:val="007DC6"/>
        </w:rPr>
        <w:t>Item 7, Management’s Discussion and</w:t>
      </w:r>
      <w:r>
        <w:rPr>
          <w:rFonts w:ascii="Arial" w:cs="Arial" w:eastAsia="Arial" w:hAnsi="Arial"/>
          <w:sz w:val="18"/>
          <w:szCs w:val="18"/>
          <w:color w:val="auto"/>
        </w:rPr>
        <w:t xml:space="preserve"> </w:t>
      </w:r>
      <w:r>
        <w:rPr>
          <w:rFonts w:ascii="Arial" w:cs="Arial" w:eastAsia="Arial" w:hAnsi="Arial"/>
          <w:sz w:val="18"/>
          <w:szCs w:val="18"/>
          <w:u w:val="single" w:color="auto"/>
          <w:color w:val="007DC6"/>
        </w:rPr>
        <w:t>Analysis of Financial Condition and Results of Operations</w:t>
      </w:r>
      <w:r>
        <w:rPr>
          <w:rFonts w:ascii="Arial" w:cs="Arial" w:eastAsia="Arial" w:hAnsi="Arial"/>
          <w:sz w:val="18"/>
          <w:szCs w:val="18"/>
          <w:color w:val="007DC6"/>
        </w:rPr>
        <w:t xml:space="preserve"> </w:t>
      </w:r>
      <w:r>
        <w:rPr>
          <w:rFonts w:ascii="Arial" w:cs="Arial" w:eastAsia="Arial" w:hAnsi="Arial"/>
          <w:sz w:val="18"/>
          <w:szCs w:val="18"/>
          <w:color w:val="000000"/>
        </w:rPr>
        <w:t>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-163195</wp:posOffset>
            </wp:positionV>
            <wp:extent cx="1953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53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2908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08935"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The adoption of new accounting standards may affect our financial results.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of the standards as compared with the prior periods, or require retrospective application changing results reported for prior periods. We urge you to read about our accounting policies and new accounting pronouncements in </w:t>
      </w:r>
      <w:r>
        <w:rPr>
          <w:rFonts w:ascii="Arial" w:cs="Arial" w:eastAsia="Arial" w:hAnsi="Arial"/>
          <w:sz w:val="18"/>
          <w:szCs w:val="18"/>
          <w:u w:val="single" w:color="auto"/>
          <w:color w:val="007DC6"/>
        </w:rPr>
        <w:t>Note A: Accounting Policies</w:t>
      </w:r>
      <w:r>
        <w:rPr>
          <w:rFonts w:ascii="Arial" w:cs="Arial" w:eastAsia="Arial" w:hAnsi="Arial"/>
          <w:sz w:val="18"/>
          <w:szCs w:val="18"/>
          <w:color w:val="auto"/>
        </w:rPr>
        <w:t xml:space="preserve"> of our consolidated financial statements included under </w:t>
      </w:r>
      <w:r>
        <w:rPr>
          <w:rFonts w:ascii="Arial" w:cs="Arial" w:eastAsia="Arial" w:hAnsi="Arial"/>
          <w:sz w:val="18"/>
          <w:szCs w:val="18"/>
          <w:u w:val="single" w:color="auto"/>
          <w:color w:val="007DC6"/>
        </w:rPr>
        <w:t>Item 8, Financial Statements and Supplementary Data</w:t>
      </w:r>
      <w:r>
        <w:rPr>
          <w:rFonts w:ascii="Arial" w:cs="Arial" w:eastAsia="Arial" w:hAnsi="Arial"/>
          <w:sz w:val="18"/>
          <w:szCs w:val="18"/>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-158115</wp:posOffset>
            </wp:positionV>
            <wp:extent cx="14890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-29845</wp:posOffset>
            </wp:positionV>
            <wp:extent cx="27432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Impairment charges could have a material adverse effect on our financial results.</w:t>
      </w:r>
    </w:p>
    <w:p>
      <w:pPr>
        <w:spacing w:after="0" w:line="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Goodwill and other certain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for the difference.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Credit-market stress and tighter financing conditions could reduce construction demand, slow customer payments, constrain our liquidity, and increase our cost of capital.</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Demand for aggregates products, particularly in the infrastructure construction market, has historically been negatively affected by federal and state budget challenges and uncertainty over future highway funding levels. Further, delays to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recessionary construction economy can also increase the likelihood we will not be able to collect all our accounts receivable from our customers.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5" w:name="page26"/>
    <w:bookmarkEnd w:id="25"/>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access to and cost of capital may be adversely affected.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be required to obtain financing in order to fund certain strategic acquisitions, if they arise, or to refinance our outstanding debt or for other corporate purposes. It is possible a large strategic acquisition would require that we issue new equity and debt securities in order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 interest expense, reduced covenant flexibility, or ratings pressure,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Specialties business faces currency risks from its overseas activities.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Specialties business sells some of its products outside the United States. Therefore, the operations of the Specialties business are affected from time to time by the fluctuating values of the currency exchange rates of the countries in which it does business in relation to the value of the U.S. Dollar. The business tries to mitigate the short-term effects of currency exchange rates by denominating sales in the U.S. Dollar. This still leaves the business subject to certain risks, depending on the strength of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ready-mixed concrete, asphalt and paving operations present additional risks to our business.</w:t>
      </w:r>
    </w:p>
    <w:p>
      <w:pPr>
        <w:spacing w:after="0" w:line="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a number of factors beyond our control, which can cause our actual costs to materially exceed the costs estimated at the time of our original bid. These same issues and risks can also impact some of our contracts in our asphalt and ready mixed concrete operations. These risks are somewhat mitigated by the fact that a majority of our road paving contracts are for short-term projects. Our ready mixed concrete and asphalt and paving operations typically generate lower profit margins than our aggregates and cement operations due to potentially volatile input costs, highly competitive market dynamics and lower barriers to entry.</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Investment returns on our pension assets may be lower than expected, or interest rates may decline, requiring us to make significant additional cash contributions to our benefit plans.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portion of our current and former employees has accrued benefits under our defined benefit pension plans. Requirements for funding our pension plan liabilities are based on a number of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6" w:name="page27"/>
    <w:bookmarkEnd w:id="26"/>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Suppliers, Raw Materials and Energy Costs Risk Factors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Volatility or shortages in fuel, energy and raw materials can increase costs, disrupt operations, and adversely affect our results.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businesses require a continued supply of diesel fuel, natural gas, coal, petroleum coke and other energy. Prices and availability for these inputs are influenced by global and regional supply-demand dynamics, refining and generation capacity, weather and other physical risks, transportation and labor constraints, geopolitics and trade policy, regulatory changes and supplier operating issues. These factors can cause rapid, significant, and uneven price movements across our footprint and may limit supply in one or more markets. Our financial results have historically been affected by the short supply or high costs of these fuels and energy. Changes in energy costs also affect the prices that we pay for related supplies, including explosives, conveyor belting and tires. While we can contract for some fuels and sources of energy, such as fixed-price supply contracts for natural gas,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Even where supply is available, our delivered costs can rise due to logistics constraints. Limited availability or higher rates for trucks and licensed drivers, rail service and cars, port capacity, or pipeline interruptions can delay deliveries, reduce operating days, or force us to source from higher-cost alternatives. Utility interruptions or curtailments (electricity, natural gas, or water) can further constrain output or alter our product and geographic mix, particularly at energy-intensive facilities.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Cement production requires large amounts of energy, including electricity and fossil fuels. Therefore, the cost of energy is one of our largest expenses. Prices for energy are subject to market forces largely beyond our control and can be volatile. Cost increases that we are unable to pass through to the customer in the form of price increases for our products or disruption of the uninterrupted supply of fuel and electricity could adversely affect us. Accordingly, energy cost volatility can adversely affect the financial results of our cement business. The Midlothian cement operation has fixed-price agreements for a portion of its anticipated 2026 coal, electricity and natural gas needs.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Similarly, our downstream operations also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prices for these raw materials.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Cement is sensitive to supply and price volatility.</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Cement competition is often based primarily on price, which is highly sensitive to changes in supply and demand. Prices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decline. We cannot be assured that prices for our cement products will not decline in the future or that such decline will not have a material adverse effect on our cement product line.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Specialties business depends in part on the steel industry and the supply of reasonably priced fuels.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Specialties business sells some of its products to companies in the steel industry. Accordingly, this business is dependent, in part, on the strength of the cyclical steel industry. Our Specialties business also requires significant amounts of natural gas, coal and petroleum coke, and financial results are negatively affected by increases in fuel prices or shortages. Our Specialties business has fixed-price agreements for 34% of its anticipated 2026 coal, petroleum coke and natural gas needs.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Cyber and Information Security Risk Factors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We depend on information technology; cybersecurity, data-protection, and systems-reliability risks — including at our third party vendors — could disrupt operations, compromise data, increase costs, or otherwise adversely affect our business and results.</w:t>
      </w:r>
    </w:p>
    <w:p>
      <w:pPr>
        <w:jc w:val="both"/>
        <w:spacing w:after="0"/>
        <w:rPr>
          <w:sz w:val="20"/>
          <w:szCs w:val="20"/>
          <w:color w:val="auto"/>
        </w:rPr>
      </w:pPr>
      <w:r>
        <w:rPr>
          <w:rFonts w:ascii="Arial" w:cs="Arial" w:eastAsia="Arial" w:hAnsi="Arial"/>
          <w:sz w:val="18"/>
          <w:szCs w:val="18"/>
          <w:color w:val="auto"/>
        </w:rPr>
        <w:t>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 Cyber threats are rapidly evolving as threat actors have become increasingly sophisticated and carry out direct large-scale, complex attacks against a company and are reportedly using artificial intelligence to increase the virulence of attacks. In addition, we have relied on our information technology infrastructure to support remote work from time to time and may need to do so in the future, which can increase cyber risks. We are not able to anticipate or prevent all such attacks and could be held liable for any resulting material security breach or data loss. In addition, it is not always possible to deter or detect misconduct by employees or third-party vendors.</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we have experienced attacks to breach the security of our information technology systems, we are not aware that we have experienced a material cybersecurity incident during the 2025 fiscal year. Breaches of our technology systems and those of acquired companies, or those of our vendors and customers, whether from circumvention of security systems, denial-of-service attacks or other cyber-attacks, hacking, “phishing” or "quishing"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and certain products and services, or disruption of other business operations. Furthermore, any such breaches could 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our products that rely on technology and internet connectivity can expose our Company to product and other liability risk and reputational harm. Measures that we take to avoid, detect, mitigate or recover from material incidents may be insufficient, circumvented, or may become ineffective.</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invested and continue to invest in risk management and information security and data privacy measures in order to protect our systems and data, including employee training, organizational investments, incident response plans, table 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best efforts, we are not fully insulated from data breaches and system disruptions. In addition, we are subject to complex and evolving laws, rules and regulations related to cybersecurity. These laws or regulations may be subject to uncertain or inconsistent interpretations and enforcement.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material breaches of cybersecurity, including the accidental loss, inadvertent disclosure or unapproved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 The report, rumor or assumption regarding a potential breach may have similar results, even if no breach has been attempted or occurred. Any of the foregoing may have a material adverse effect on our business, operating results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Delays or interruptions in shipping products of our businesses could affect our operations.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Transportation logistics play an important role in allowing us to supply products to our customers, whether by road, rail or water.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8" w:name="page29"/>
    <w:bookmarkEnd w:id="28"/>
    <w:p>
      <w:pPr>
        <w:ind w:left="86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transport our products or fuels at a reasonable cost, which could lead to interruptions or slowdowns in our businesses or increases in our costs.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agreements with shipping companies to provide ships to transport our aggregates products from our Bahamas and Nova Scotia operations to various coastal ports that expire in 2026 and 2027, respectively. Our inability to renew these agreements or enter into new ones with other shipping companies could affect our ability to transport our products.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of our products are distributed by barges along rivers in Ohio and West Virginia. We may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4EAD8A"/>
        </w:rPr>
        <w:t>Our articles of incorporation and bylaws and North Carolina law may inhibit a change in control that you may favor.</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1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establish the terms of, and issue, preferred stock without shareholder approval;</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our shareholders may remove directors only for cause;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our shareholders to call special meetings of shareholders;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super-majority shareholder approval requirements for business combination transactions with certain five percent shareholders; and</w:t>
      </w:r>
    </w:p>
    <w:p>
      <w:pPr>
        <w:spacing w:after="0" w:line="62"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nominations for election to our board or for proposing matters that can be acted upon by our shareholders at shareholder meetings.</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Additionally, the occurrence of certain change-of-control events could result in an event of default under certain of our existing or future debt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 UNRESOLVED STAFF COMMENTS</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There are no unresolved written comments that were received from the staff of the SEC one hundred and eighty (180) days or more before the end of the Company's fiscal year relating to its periodic or current reports under the Exchange Act.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1C – Cybersecurity</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1C – CYBERSECURITY</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Risk Management and Strategy</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Martin Marietta prioritizes the management of cybersecurity risk and the protection of information across the enterprise by embedding data protection and cybersecurity risk management in its operations. The Company’s processes for assessing, identifying and managing material risks from cybersecurity threats have been integrated into the Company’s overall risk management system and processes.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foundation of this approach, the Company has implemented a layered governance framework designed to assess, identify and manage cybersecurity risks. Martin Marietta’s cybersecurity policies encompass incident response procedures and information security. To develop these policies and procedures, the Company monitors privacy and cybersecurity laws, regulations and guidance applicable thereto, as well as proposed privacy and cybersecurity laws, regulations, guidance and emerging risks. The Company partners with leading cybersecurity firms and organizations, utilizing third-party technology and expertise, to monitor and evaluate the performance and effectiveness of its cybersecurity controls and defenses and to supplement the expertise that the Company’s security managers possess. Furthermore, the Company conducts assessments of information technology and cybersecurity third-party providers during the initial review process and periodically thereafter.</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563C1"/>
        </w:rPr>
        <w:t>Item 1A, Risk Factors</w:t>
      </w:r>
      <w:r>
        <w:rPr>
          <w:rFonts w:ascii="Arial" w:cs="Arial" w:eastAsia="Arial" w:hAnsi="Arial"/>
          <w:sz w:val="18"/>
          <w:szCs w:val="18"/>
          <w:color w:val="auto"/>
        </w:rPr>
        <w:t xml:space="preserve"> of this Form 10-K, the Company faces risks from cybersecurity threats that could have a material adverse effect on its business, including its business strategy, results of operations or financial condition. While the Company has experienced attacks on the security of its information technology systems to date, management is not aware that the Company has experienced a material cybersecurity incident during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-417195</wp:posOffset>
            </wp:positionV>
            <wp:extent cx="11347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Governance</w:t>
      </w:r>
    </w:p>
    <w:p>
      <w:pPr>
        <w:spacing w:after="0" w:line="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its overall risk management approach, the Company prioritizes the identification and management of cybersecurity risk at several levels, including Board oversight, day-to-day executive risk management and employee training. The Audit Committee, comprised of independent directors from the Board, oversees the Board’s responsibilities relating to the operational risks, including information technology risks, business continuity and data security, of the Company. The Audit Committee is informed of such risks through quarterly reports from the Senior Vice President, Chief Information Officer (CIO), who oversees the implementation and compliance with information security standards and mitigation of cybersecurity related risks, assesses and manages the cyber risk management program, determines when third-party cybersecurity experts should be consulted, and informs senior management regarding the prevention, detection, mitigation and remediation of cybersecurity incidents with the support of the cybersecurity incident management team.</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cybersecurity incident management team has decades of experience selecting, deploying and operating cybersecurity technologies, initiatives and processes as well as managing enterprise risk. The Incident Response Leadership Committee, which includes senior executives across the Company, is alerted as appropriate to cybersecurity incidents, and the CIO is responsible for communicating to the Audit Committee regarding the activities of the Incident Response Leadership Committee, as appropriate. The CIO has over 20 years of experience in information technology and business operations. He holds a Master of Business Administration and a Bachelor of Engineering, along with various business and strategic leadership certificates.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Vice President (VP), Infrastructure and Security, who reports directly to the CIO, is responsible for day-to-day assessment and management of cybersecurity risk and the Company’s cybersecurity incident management team and acts as a chief information security officer. The VP, Infrastructure and Security has 39 years of information technology experience, including 23 years of experience in information security. Additionally, he holds various information technology certificates, including Certified Information Systems Security Professional and Certified Information Security Manager certificates.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holds annual employee trainings on cybersecurity, conducts phishing tests and generally seeks to promote awareness of cybersecurity risk through communication and education initiatives.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 PROPERTIES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Building Materials Business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December 31, 2025, the Company processed or shipped aggregates from 400 quarries, mines and distribution yards in 28 states, Canada and The Bahamas. No individual quarry or mine is material to the Company’s business or financial condition. The Company’s aggregates reserves, on average, represent approximately 85 years at the 2025 annual production level. However, certain locations may be subject to more limited reserves and may not be able to expand. As of December 31, 2025, the Company operated 89 aggregates distribution yards.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total, aggregates locations (quarries, mines and distribution yards) include 194 located on land owned by the Company free of major encumbrances, 126 on leased land, 64 on land owned in part and leased in part and 16 on facilities neither owned nor leased where raw materials are removed pursuant to contractual agreements.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as of December 31, 2025, the Company processed and shipped ready mixed concrete and asphalt products from 112 properties in five states, of which 86 are located on land owned by the Company free of major encumbrances, 24 are on leased land and two are on land owned in part and leased in part. Of this total, 58 ready mixed concrete plants located in Texas are classified as assets held for sale as of December 31, 2025.</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An overview of the Company’s quarrying and mining operations is included in </w:t>
      </w:r>
      <w:r>
        <w:rPr>
          <w:rFonts w:ascii="Arial" w:cs="Arial" w:eastAsia="Arial" w:hAnsi="Arial"/>
          <w:sz w:val="18"/>
          <w:szCs w:val="18"/>
          <w:u w:val="single" w:color="auto"/>
          <w:color w:val="007DC6"/>
        </w:rPr>
        <w:t>Business—Building Materials Business</w:t>
      </w:r>
      <w:r>
        <w:rPr>
          <w:rFonts w:ascii="Arial" w:cs="Arial" w:eastAsia="Arial" w:hAnsi="Arial"/>
          <w:sz w:val="18"/>
          <w:szCs w:val="18"/>
          <w:color w:val="auto"/>
        </w:rPr>
        <w:t xml:space="preserve"> and </w:t>
      </w:r>
      <w:r>
        <w:rPr>
          <w:rFonts w:ascii="Arial" w:cs="Arial" w:eastAsia="Arial" w:hAnsi="Arial"/>
          <w:sz w:val="18"/>
          <w:szCs w:val="18"/>
          <w:u w:val="single" w:color="auto"/>
          <w:color w:val="007DC6"/>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007DC6"/>
        </w:rPr>
        <w:t>Environmental and Governmental Regulations</w:t>
      </w:r>
      <w:r>
        <w:rPr>
          <w:rFonts w:ascii="Arial" w:cs="Arial" w:eastAsia="Arial" w:hAnsi="Arial"/>
          <w:sz w:val="18"/>
          <w:szCs w:val="18"/>
          <w:color w:val="007DC6"/>
        </w:rPr>
        <w:t xml:space="preserve"> </w:t>
      </w:r>
      <w:r>
        <w:rPr>
          <w:rFonts w:ascii="Arial" w:cs="Arial" w:eastAsia="Arial" w:hAnsi="Arial"/>
          <w:sz w:val="18"/>
          <w:szCs w:val="18"/>
          <w:color w:val="000000"/>
        </w:rPr>
        <w:t>included in</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1, Business</w:t>
      </w:r>
      <w:r>
        <w:rPr>
          <w:rFonts w:ascii="Arial" w:cs="Arial" w:eastAsia="Arial" w:hAnsi="Arial"/>
          <w:sz w:val="18"/>
          <w:szCs w:val="18"/>
          <w:color w:val="007DC6"/>
        </w:rPr>
        <w:t xml:space="preserve"> </w:t>
      </w:r>
      <w:r>
        <w:rPr>
          <w:rFonts w:ascii="Arial" w:cs="Arial" w:eastAsia="Arial" w:hAnsi="Arial"/>
          <w:sz w:val="18"/>
          <w:szCs w:val="18"/>
          <w:color w:val="000000"/>
        </w:rPr>
        <w:t>of this Form 10-K, which is incorporated herein by reference. The</w:t>
      </w:r>
      <w:r>
        <w:rPr>
          <w:rFonts w:ascii="Arial" w:cs="Arial" w:eastAsia="Arial" w:hAnsi="Arial"/>
          <w:sz w:val="18"/>
          <w:szCs w:val="18"/>
          <w:color w:val="007DC6"/>
        </w:rPr>
        <w:t xml:space="preserve"> </w:t>
      </w:r>
      <w:r>
        <w:rPr>
          <w:rFonts w:ascii="Arial" w:cs="Arial" w:eastAsia="Arial" w:hAnsi="Arial"/>
          <w:sz w:val="18"/>
          <w:szCs w:val="18"/>
          <w:color w:val="000000"/>
        </w:rPr>
        <w:t>following map presents the locations of these quarries and underground mines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5345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1" w:name="page32"/>
    <w:bookmarkEnd w:id="31"/>
    <w:p>
      <w:pPr>
        <w:ind w:left="89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Mineral reserves and mineral resources for the Company’s aggregates and cement businesses have been prepared in accordance with the disclosure requirements of subpart 1300 of U.S. Securities and Exchange Commission Regulation S-K. Mineral resources represent concentrations or occurrences of material of economic interest in or on the Earth's crust in such form, grade or quality, and quantity that there are reasonable prospects for economic extraction. A mineral resource is a reasonable estimate of mineralization, considering relevant factors such as cut-off grade, likely mining dimensions, location or continuity, that, with the assumed and justifiable technical and economic conditions, is likely to, in whole or in part, become economically extractable. A measured mineral resource is that part of the mineral resource for which quantity and grade or quality are estimated on the basis of conclusive geological evidence and sampling in sufficient detail to support detailed extraction planning and final evaluation of the economic viability of the deposit to be quarried or mined. An indicated mineral resource is that part of a mineral resource for which quantity and grade or quality are estimated on the basis of adequate geological evidence and sampling in sufficient detail to support mine planning and evaluation of the economic viability of the deposit of the material to be quarried or mined. Inferred mineral resources are that part of a mineral resource for which quantity and grade or quality are estimated on the basis of limited geological evidence and sampling.</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mineral reserve is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 A probable mineral reserve is the economically mineable part of an indicated and, in some cases, a measured mineral resource. A proven mineral reserve is the economically mineable part of a measured mineral resource and results only from the conversion of a measured mineral resource. The Company estimates proven and probable mineral reserves based on the results of drilling and testing completed by or under the supervision of qualified persons.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uses various exploratory drilling methods, depending on the type of deposit, to estimate mineral reserves that are economically mineable. The extent of drilling varies depending on the complexity of the mineral deposit and whether the location is a potential new site (greensite), an existing location or a potential acquisition. More extensive drilling is performed for potential greensites and acquisitions, and, in certain cases, the Company may rely on existing geological data or results of prior drilling by reputable third parties. Subsequent to drilling, selected drill samples are tested by an accredited laboratory for soundness, abrasion resistance and other physical properties relevant to the aggregates industry. If the mineral reserves meet the Company’s standards and are economically mineable, they are either leased or purchased. Once in operation, routine quality control testing is performed to ensure the quality grade of aggregates continues to meet specifications.</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determining the amount of reserves, evaluations are completed by or under the supervision of qualified Company personnel using industry best practices and internal controls defined by the Company. Reserve estimates represent net tons after consideration of applicable losses incurred during mining and plant processing. The Company’s policy is to exclude from reserve estimates the portions of a mineral deposit that are not available due to property boundaries, set-backs and plant configurations, as deemed appropriate when estimating reserves. The Company uses the same methods of analysis to evaluate and estimate the amount of its mineral reserves used in the cement manufacturing process for its cement operations as it does for its aggregates operations. For additional information on the Company’s assessment of reserves, see </w:t>
      </w:r>
      <w:r>
        <w:rPr>
          <w:rFonts w:ascii="Arial" w:cs="Arial" w:eastAsia="Arial" w:hAnsi="Arial"/>
          <w:sz w:val="18"/>
          <w:szCs w:val="18"/>
          <w:u w:val="single" w:color="auto"/>
          <w:color w:val="007DC6"/>
        </w:rPr>
        <w:t>Management’s Discussion and Analysis of Financial Condition and Results of Operations – Other Financial Information -</w:t>
      </w:r>
      <w:r>
        <w:rPr>
          <w:rFonts w:ascii="Arial" w:cs="Arial" w:eastAsia="Arial" w:hAnsi="Arial"/>
          <w:sz w:val="18"/>
          <w:szCs w:val="18"/>
          <w:color w:val="auto"/>
        </w:rPr>
        <w:t xml:space="preserve"> </w:t>
      </w:r>
      <w:r>
        <w:rPr>
          <w:rFonts w:ascii="Arial" w:cs="Arial" w:eastAsia="Arial" w:hAnsi="Arial"/>
          <w:sz w:val="18"/>
          <w:szCs w:val="18"/>
          <w:u w:val="single" w:color="auto"/>
          <w:color w:val="007DC6"/>
        </w:rPr>
        <w:t>Critical Accounting Policies and Estimates - Property, Plant and Equipment</w:t>
      </w:r>
      <w:r>
        <w:rPr>
          <w:rFonts w:ascii="Arial" w:cs="Arial" w:eastAsia="Arial" w:hAnsi="Arial"/>
          <w:sz w:val="18"/>
          <w:szCs w:val="18"/>
          <w:color w:val="007DC6"/>
        </w:rPr>
        <w:t xml:space="preserve"> </w:t>
      </w:r>
      <w:r>
        <w:rPr>
          <w:rFonts w:ascii="Arial" w:cs="Arial" w:eastAsia="Arial" w:hAnsi="Arial"/>
          <w:sz w:val="18"/>
          <w:szCs w:val="18"/>
          <w:color w:val="000000"/>
        </w:rPr>
        <w:t>included under</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7, Management’s Discussion and Analysis of</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Financial Condition and Results of Operations</w:t>
      </w:r>
      <w:r>
        <w:rPr>
          <w:rFonts w:ascii="Arial" w:cs="Arial" w:eastAsia="Arial" w:hAnsi="Arial"/>
          <w:sz w:val="18"/>
          <w:szCs w:val="18"/>
          <w:color w:val="007DC6"/>
        </w:rPr>
        <w:t xml:space="preserve"> </w:t>
      </w:r>
      <w:r>
        <w:rPr>
          <w:rFonts w:ascii="Arial" w:cs="Arial" w:eastAsia="Arial" w:hAnsi="Arial"/>
          <w:sz w:val="18"/>
          <w:szCs w:val="18"/>
          <w:color w:val="000000"/>
        </w:rPr>
        <w:t>of this Form 10-K. While the mineral reserve and resource classification categories (proven</w:t>
      </w:r>
      <w:r>
        <w:rPr>
          <w:rFonts w:ascii="Arial" w:cs="Arial" w:eastAsia="Arial" w:hAnsi="Arial"/>
          <w:sz w:val="18"/>
          <w:szCs w:val="18"/>
          <w:color w:val="007DC6"/>
        </w:rPr>
        <w:t xml:space="preserve"> </w:t>
      </w:r>
      <w:r>
        <w:rPr>
          <w:rFonts w:ascii="Arial" w:cs="Arial" w:eastAsia="Arial" w:hAnsi="Arial"/>
          <w:sz w:val="18"/>
          <w:szCs w:val="18"/>
          <w:color w:val="000000"/>
        </w:rPr>
        <w:t>and probable) identify relative confidence of reserve estimates, there is inherent risk associated with such estimates. The Company bases estimates on the information known at the time of determination and regularly reevaluates reserves whenever new information indicates a material change in reserves at one of the Company’s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-668655</wp:posOffset>
            </wp:positionV>
            <wp:extent cx="6379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79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27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23672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general, quarry and mining facilities must comply with air quality, water quality, noise regulations, zoning and special-use permitting requirements, applicable mining regulations, and federal health and safety requirements. As new quarry and mining sites are located and acquired, the Company works closely with local authorities during the zoning and permitting processes to design new quarries and mines in such a way as to minimize disturbances. The Company frequently acquires large tracts of land so that quarry, mine and production facilities can be situated substantial distances from surrounding property owners.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Set forth in the tables below are the Company’s estimates as of December 31, 2025 of proven and probable mineral reserves of aggregates (crushed stone and sand and gravel) and measured, indicated and inferred mineral resources of aggregates (exclusive of proven and probable reserves), shown on a geographic division basis. The East Division includes Alabama, Florida, Georgia, Maryland, North Carolina, Pennsylvania, South Carolina, Tennessee, Virginia, Canada and The Bahamas. The Central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2" w:name="page33"/>
    <w:bookmarkEnd w:id="32"/>
    <w:p>
      <w:pPr>
        <w:ind w:left="8980"/>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Division includes Indiana, Iowa, Kansas, Kentucky, Minnesota, Missouri, Nebraska, Ohio, Tennessee and West Virginia. The Southwest Division includes Arkansas, Louisiana, Oklahoma and Texas. The West Division includes Arizona, California, Colorado, Utah, Washington and Wyoming. The reserve estimates shown were determined to be economically mineable using a reasonable and justifiable price for salable product based on the average selling price for the year ended December 31, 2024 with respect to each division for each product category of aggregates resources. The Company’s estimate of resources and reserves of aggregates shown in the tables below includes resources and reserves that would be devoted for use in the Company’s cement product line and Specialties business.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Summary Mineral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center"/>
        <w:spacing w:after="0" w:line="199" w:lineRule="auto"/>
        <w:rPr>
          <w:sz w:val="20"/>
          <w:szCs w:val="20"/>
          <w:color w:val="auto"/>
        </w:rPr>
      </w:pPr>
      <w:r>
        <w:rPr>
          <w:rFonts w:ascii="Arial" w:cs="Arial" w:eastAsia="Arial" w:hAnsi="Arial"/>
          <w:sz w:val="14"/>
          <w:szCs w:val="14"/>
          <w:b w:val="1"/>
          <w:bCs w:val="1"/>
          <w:color w:val="FFFFFF"/>
        </w:rPr>
        <w:t>At End of Fiscal Year Ended December 31, 2025</w:t>
      </w:r>
      <w:r>
        <w:rPr>
          <w:rFonts w:ascii="Arial" w:cs="Arial" w:eastAsia="Arial" w:hAnsi="Arial"/>
          <w:sz w:val="19"/>
          <w:szCs w:val="19"/>
          <w:b w:val="1"/>
          <w:bCs w:val="1"/>
          <w:color w:val="FFFFFF"/>
          <w:vertAlign w:val="superscript"/>
        </w:rPr>
        <w:t>1,2</w:t>
      </w:r>
    </w:p>
    <w:tbl>
      <w:tblPr>
        <w:tblLayout w:type="fixed"/>
        <w:tblInd w:w="0" w:type="dxa"/>
        <w:tblCellMar>
          <w:top w:w="0" w:type="dxa"/>
          <w:left w:w="0" w:type="dxa"/>
          <w:bottom w:w="0" w:type="dxa"/>
          <w:right w:w="0" w:type="dxa"/>
        </w:tblCellMar>
      </w:tblPr>
      <w:tr>
        <w:trPr>
          <w:trHeight w:val="153"/>
        </w:trPr>
        <w:tc>
          <w:tcPr>
            <w:tcW w:w="1540" w:type="dxa"/>
            <w:vAlign w:val="bottom"/>
            <w:tcBorders>
              <w:right w:val="single" w:sz="8" w:color="007CBA"/>
            </w:tcBorders>
            <w:shd w:val="clear" w:color="auto" w:fill="007CBA"/>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FFFFFF"/>
              </w:rPr>
              <w:t>Measured + Indicated Mineral</w:t>
            </w: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40" w:type="dxa"/>
            <w:vAlign w:val="bottom"/>
            <w:tcBorders>
              <w:right w:val="single" w:sz="8" w:color="007CBA"/>
            </w:tcBorders>
            <w:shd w:val="clear" w:color="auto" w:fill="007CBA"/>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4"/>
                <w:szCs w:val="14"/>
                <w:b w:val="1"/>
                <w:bCs w:val="1"/>
                <w:color w:val="FFFFFF"/>
              </w:rPr>
              <w:t>Measured Mineral Resources</w:t>
            </w:r>
          </w:p>
        </w:tc>
        <w:tc>
          <w:tcPr>
            <w:tcW w:w="2440" w:type="dxa"/>
            <w:vAlign w:val="bottom"/>
            <w:gridSpan w:val="2"/>
          </w:tcPr>
          <w:p>
            <w:pPr>
              <w:ind w:left="240"/>
              <w:spacing w:after="0"/>
              <w:rPr>
                <w:sz w:val="20"/>
                <w:szCs w:val="20"/>
                <w:color w:val="auto"/>
              </w:rPr>
            </w:pPr>
            <w:r>
              <w:rPr>
                <w:rFonts w:ascii="Arial" w:cs="Arial" w:eastAsia="Arial" w:hAnsi="Arial"/>
                <w:sz w:val="14"/>
                <w:szCs w:val="14"/>
                <w:b w:val="1"/>
                <w:bCs w:val="1"/>
                <w:color w:val="FFFFFF"/>
              </w:rPr>
              <w:t>Indicated Mineral Resources</w:t>
            </w:r>
          </w:p>
        </w:tc>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Resources</w:t>
            </w:r>
          </w:p>
        </w:tc>
        <w:tc>
          <w:tcPr>
            <w:tcW w:w="2320" w:type="dxa"/>
            <w:vAlign w:val="bottom"/>
            <w:gridSpan w:val="2"/>
          </w:tcPr>
          <w:p>
            <w:pPr>
              <w:ind w:left="220"/>
              <w:spacing w:after="0"/>
              <w:rPr>
                <w:sz w:val="20"/>
                <w:szCs w:val="20"/>
                <w:color w:val="auto"/>
              </w:rPr>
            </w:pPr>
            <w:r>
              <w:rPr>
                <w:rFonts w:ascii="Arial" w:cs="Arial" w:eastAsia="Arial" w:hAnsi="Arial"/>
                <w:sz w:val="14"/>
                <w:szCs w:val="14"/>
                <w:b w:val="1"/>
                <w:bCs w:val="1"/>
                <w:color w:val="FFFFFF"/>
              </w:rPr>
              <w:t>Inferred Mineral Resources</w:t>
            </w:r>
          </w:p>
        </w:tc>
        <w:tc>
          <w:tcPr>
            <w:tcW w:w="0" w:type="dxa"/>
            <w:vAlign w:val="bottom"/>
          </w:tcPr>
          <w:p>
            <w:pPr>
              <w:spacing w:after="0"/>
              <w:rPr>
                <w:sz w:val="1"/>
                <w:szCs w:val="1"/>
                <w:color w:val="auto"/>
              </w:rPr>
            </w:pPr>
          </w:p>
        </w:tc>
      </w:tr>
      <w:tr>
        <w:trPr>
          <w:trHeight w:val="117"/>
        </w:trPr>
        <w:tc>
          <w:tcPr>
            <w:tcW w:w="1540" w:type="dxa"/>
            <w:vAlign w:val="bottom"/>
            <w:tcBorders>
              <w:right w:val="single" w:sz="8" w:color="007CBA"/>
            </w:tcBorders>
            <w:shd w:val="clear" w:color="auto" w:fill="007CBA"/>
          </w:tcPr>
          <w:p>
            <w:pPr>
              <w:spacing w:after="0"/>
              <w:rPr>
                <w:sz w:val="10"/>
                <w:szCs w:val="10"/>
                <w:color w:val="auto"/>
              </w:rPr>
            </w:pPr>
          </w:p>
        </w:tc>
        <w:tc>
          <w:tcPr>
            <w:tcW w:w="1200" w:type="dxa"/>
            <w:vAlign w:val="bottom"/>
            <w:tcBorders>
              <w:right w:val="single" w:sz="8" w:color="007CBA"/>
            </w:tcBorders>
            <w:shd w:val="clear" w:color="auto" w:fill="007CBA"/>
          </w:tcPr>
          <w:p>
            <w:pPr>
              <w:jc w:val="right"/>
              <w:ind w:right="429"/>
              <w:spacing w:after="0" w:line="117" w:lineRule="exact"/>
              <w:rPr>
                <w:sz w:val="20"/>
                <w:szCs w:val="20"/>
                <w:color w:val="auto"/>
              </w:rPr>
            </w:pPr>
            <w:r>
              <w:rPr>
                <w:rFonts w:ascii="Arial" w:cs="Arial" w:eastAsia="Arial" w:hAnsi="Arial"/>
                <w:sz w:val="13"/>
                <w:szCs w:val="13"/>
                <w:b w:val="1"/>
                <w:bCs w:val="1"/>
                <w:color w:val="FFFFFF"/>
              </w:rPr>
              <w:t>Tons</w:t>
            </w:r>
          </w:p>
        </w:tc>
        <w:tc>
          <w:tcPr>
            <w:tcW w:w="1080" w:type="dxa"/>
            <w:vAlign w:val="bottom"/>
            <w:tcBorders>
              <w:right w:val="single" w:sz="8" w:color="007CBA"/>
            </w:tcBorders>
            <w:vMerge w:val="restart"/>
            <w:shd w:val="clear" w:color="auto" w:fill="007CBA"/>
          </w:tcPr>
          <w:p>
            <w:pPr>
              <w:ind w:left="40"/>
              <w:spacing w:after="0"/>
              <w:rPr>
                <w:sz w:val="20"/>
                <w:szCs w:val="20"/>
                <w:color w:val="auto"/>
              </w:rPr>
            </w:pPr>
            <w:r>
              <w:rPr>
                <w:rFonts w:ascii="Arial" w:cs="Arial" w:eastAsia="Arial" w:hAnsi="Arial"/>
                <w:sz w:val="13"/>
                <w:szCs w:val="13"/>
                <w:b w:val="1"/>
                <w:bCs w:val="1"/>
                <w:color w:val="FFFFFF"/>
                <w:w w:val="96"/>
              </w:rPr>
              <w:t>Grades/Qualities</w:t>
            </w:r>
          </w:p>
        </w:tc>
        <w:tc>
          <w:tcPr>
            <w:tcW w:w="1360" w:type="dxa"/>
            <w:vAlign w:val="bottom"/>
            <w:tcBorders>
              <w:right w:val="single" w:sz="8" w:color="007CBA"/>
            </w:tcBorders>
            <w:shd w:val="clear" w:color="auto" w:fill="007CBA"/>
          </w:tcPr>
          <w:p>
            <w:pPr>
              <w:jc w:val="right"/>
              <w:ind w:right="529"/>
              <w:spacing w:after="0" w:line="117" w:lineRule="exact"/>
              <w:rPr>
                <w:sz w:val="20"/>
                <w:szCs w:val="20"/>
                <w:color w:val="auto"/>
              </w:rPr>
            </w:pPr>
            <w:r>
              <w:rPr>
                <w:rFonts w:ascii="Arial" w:cs="Arial" w:eastAsia="Arial" w:hAnsi="Arial"/>
                <w:sz w:val="13"/>
                <w:szCs w:val="13"/>
                <w:b w:val="1"/>
                <w:bCs w:val="1"/>
                <w:color w:val="FFFFFF"/>
              </w:rPr>
              <w:t>Tons</w:t>
            </w:r>
          </w:p>
        </w:tc>
        <w:tc>
          <w:tcPr>
            <w:tcW w:w="1080" w:type="dxa"/>
            <w:vAlign w:val="bottom"/>
            <w:tcBorders>
              <w:right w:val="single" w:sz="8" w:color="007CBA"/>
            </w:tcBorders>
            <w:vMerge w:val="restart"/>
            <w:shd w:val="clear" w:color="auto" w:fill="007CBA"/>
          </w:tcPr>
          <w:p>
            <w:pPr>
              <w:ind w:left="40"/>
              <w:spacing w:after="0"/>
              <w:rPr>
                <w:sz w:val="20"/>
                <w:szCs w:val="20"/>
                <w:color w:val="auto"/>
              </w:rPr>
            </w:pPr>
            <w:r>
              <w:rPr>
                <w:rFonts w:ascii="Arial" w:cs="Arial" w:eastAsia="Arial" w:hAnsi="Arial"/>
                <w:sz w:val="13"/>
                <w:szCs w:val="13"/>
                <w:b w:val="1"/>
                <w:bCs w:val="1"/>
                <w:color w:val="FFFFFF"/>
                <w:w w:val="96"/>
              </w:rPr>
              <w:t>Grades/Qualities</w:t>
            </w:r>
          </w:p>
        </w:tc>
        <w:tc>
          <w:tcPr>
            <w:tcW w:w="1520" w:type="dxa"/>
            <w:vAlign w:val="bottom"/>
            <w:tcBorders>
              <w:right w:val="single" w:sz="8" w:color="007CBA"/>
            </w:tcBorders>
            <w:shd w:val="clear" w:color="auto" w:fill="007CBA"/>
          </w:tcPr>
          <w:p>
            <w:pPr>
              <w:jc w:val="right"/>
              <w:ind w:right="589"/>
              <w:spacing w:after="0" w:line="117" w:lineRule="exact"/>
              <w:rPr>
                <w:sz w:val="20"/>
                <w:szCs w:val="20"/>
                <w:color w:val="auto"/>
              </w:rPr>
            </w:pPr>
            <w:r>
              <w:rPr>
                <w:rFonts w:ascii="Arial" w:cs="Arial" w:eastAsia="Arial" w:hAnsi="Arial"/>
                <w:sz w:val="13"/>
                <w:szCs w:val="13"/>
                <w:b w:val="1"/>
                <w:bCs w:val="1"/>
                <w:color w:val="FFFFFF"/>
              </w:rPr>
              <w:t>Tons</w:t>
            </w:r>
          </w:p>
        </w:tc>
        <w:tc>
          <w:tcPr>
            <w:tcW w:w="1140" w:type="dxa"/>
            <w:vAlign w:val="bottom"/>
            <w:tcBorders>
              <w:right w:val="single" w:sz="8" w:color="007CBA"/>
            </w:tcBorders>
            <w:vMerge w:val="restart"/>
            <w:shd w:val="clear" w:color="auto" w:fill="007CBA"/>
          </w:tcPr>
          <w:p>
            <w:pPr>
              <w:ind w:left="60"/>
              <w:spacing w:after="0"/>
              <w:rPr>
                <w:sz w:val="20"/>
                <w:szCs w:val="20"/>
                <w:color w:val="auto"/>
              </w:rPr>
            </w:pPr>
            <w:r>
              <w:rPr>
                <w:rFonts w:ascii="Arial" w:cs="Arial" w:eastAsia="Arial" w:hAnsi="Arial"/>
                <w:sz w:val="13"/>
                <w:szCs w:val="13"/>
                <w:b w:val="1"/>
                <w:bCs w:val="1"/>
                <w:color w:val="FFFFFF"/>
              </w:rPr>
              <w:t>Grades/Qualities</w:t>
            </w:r>
          </w:p>
        </w:tc>
        <w:tc>
          <w:tcPr>
            <w:tcW w:w="1140" w:type="dxa"/>
            <w:vAlign w:val="bottom"/>
            <w:tcBorders>
              <w:right w:val="single" w:sz="8" w:color="007CBA"/>
            </w:tcBorders>
            <w:shd w:val="clear" w:color="auto" w:fill="007CBA"/>
          </w:tcPr>
          <w:p>
            <w:pPr>
              <w:jc w:val="right"/>
              <w:ind w:right="409"/>
              <w:spacing w:after="0" w:line="117" w:lineRule="exact"/>
              <w:rPr>
                <w:sz w:val="20"/>
                <w:szCs w:val="20"/>
                <w:color w:val="auto"/>
              </w:rPr>
            </w:pPr>
            <w:r>
              <w:rPr>
                <w:rFonts w:ascii="Arial" w:cs="Arial" w:eastAsia="Arial" w:hAnsi="Arial"/>
                <w:sz w:val="13"/>
                <w:szCs w:val="13"/>
                <w:b w:val="1"/>
                <w:bCs w:val="1"/>
                <w:color w:val="FFFFFF"/>
              </w:rPr>
              <w:t>Tons</w:t>
            </w:r>
          </w:p>
        </w:tc>
        <w:tc>
          <w:tcPr>
            <w:tcW w:w="11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Grades/Qualities</w:t>
            </w:r>
          </w:p>
        </w:tc>
        <w:tc>
          <w:tcPr>
            <w:tcW w:w="0" w:type="dxa"/>
            <w:vAlign w:val="bottom"/>
          </w:tcPr>
          <w:p>
            <w:pPr>
              <w:spacing w:after="0"/>
              <w:rPr>
                <w:sz w:val="1"/>
                <w:szCs w:val="1"/>
                <w:color w:val="auto"/>
              </w:rPr>
            </w:pPr>
          </w:p>
        </w:tc>
      </w:tr>
      <w:tr>
        <w:trPr>
          <w:trHeight w:val="153"/>
        </w:trPr>
        <w:tc>
          <w:tcPr>
            <w:tcW w:w="1540" w:type="dxa"/>
            <w:vAlign w:val="bottom"/>
            <w:tcBorders>
              <w:right w:val="single" w:sz="8" w:color="007CBA"/>
            </w:tcBorders>
            <w:shd w:val="clear" w:color="auto" w:fill="007CBA"/>
          </w:tcPr>
          <w:p>
            <w:pPr>
              <w:spacing w:after="0"/>
              <w:rPr>
                <w:sz w:val="13"/>
                <w:szCs w:val="13"/>
                <w:color w:val="auto"/>
              </w:rPr>
            </w:pPr>
          </w:p>
        </w:tc>
        <w:tc>
          <w:tcPr>
            <w:tcW w:w="1200" w:type="dxa"/>
            <w:vAlign w:val="bottom"/>
            <w:tcBorders>
              <w:right w:val="single" w:sz="8" w:color="007CBA"/>
            </w:tcBorders>
            <w:shd w:val="clear" w:color="auto" w:fill="007CBA"/>
          </w:tcPr>
          <w:p>
            <w:pPr>
              <w:jc w:val="right"/>
              <w:ind w:right="149"/>
              <w:spacing w:after="0"/>
              <w:rPr>
                <w:sz w:val="20"/>
                <w:szCs w:val="20"/>
                <w:color w:val="auto"/>
              </w:rPr>
            </w:pPr>
            <w:r>
              <w:rPr>
                <w:rFonts w:ascii="Arial" w:cs="Arial" w:eastAsia="Arial" w:hAnsi="Arial"/>
                <w:sz w:val="13"/>
                <w:szCs w:val="13"/>
                <w:b w:val="1"/>
                <w:bCs w:val="1"/>
                <w:color w:val="FFFFFF"/>
              </w:rPr>
              <w:t>(in thousands)</w:t>
            </w:r>
          </w:p>
        </w:tc>
        <w:tc>
          <w:tcPr>
            <w:tcW w:w="1080" w:type="dxa"/>
            <w:vAlign w:val="bottom"/>
            <w:tcBorders>
              <w:right w:val="single" w:sz="8" w:color="007CBA"/>
            </w:tcBorders>
            <w:vMerge w:val="continue"/>
            <w:shd w:val="clear" w:color="auto" w:fill="007CBA"/>
          </w:tcPr>
          <w:p>
            <w:pPr>
              <w:spacing w:after="0"/>
              <w:rPr>
                <w:sz w:val="13"/>
                <w:szCs w:val="13"/>
                <w:color w:val="auto"/>
              </w:rPr>
            </w:pPr>
          </w:p>
        </w:tc>
        <w:tc>
          <w:tcPr>
            <w:tcW w:w="1360" w:type="dxa"/>
            <w:vAlign w:val="bottom"/>
            <w:tcBorders>
              <w:right w:val="single" w:sz="8" w:color="007CBA"/>
            </w:tcBorders>
            <w:shd w:val="clear" w:color="auto" w:fill="007CBA"/>
          </w:tcPr>
          <w:p>
            <w:pPr>
              <w:jc w:val="right"/>
              <w:ind w:right="249"/>
              <w:spacing w:after="0"/>
              <w:rPr>
                <w:sz w:val="20"/>
                <w:szCs w:val="20"/>
                <w:color w:val="auto"/>
              </w:rPr>
            </w:pPr>
            <w:r>
              <w:rPr>
                <w:rFonts w:ascii="Arial" w:cs="Arial" w:eastAsia="Arial" w:hAnsi="Arial"/>
                <w:sz w:val="13"/>
                <w:szCs w:val="13"/>
                <w:b w:val="1"/>
                <w:bCs w:val="1"/>
                <w:color w:val="FFFFFF"/>
              </w:rPr>
              <w:t>(in thousands)</w:t>
            </w:r>
          </w:p>
        </w:tc>
        <w:tc>
          <w:tcPr>
            <w:tcW w:w="1080" w:type="dxa"/>
            <w:vAlign w:val="bottom"/>
            <w:tcBorders>
              <w:right w:val="single" w:sz="8" w:color="007CBA"/>
            </w:tcBorders>
            <w:vMerge w:val="continue"/>
            <w:shd w:val="clear" w:color="auto" w:fill="007CBA"/>
          </w:tcPr>
          <w:p>
            <w:pPr>
              <w:spacing w:after="0"/>
              <w:rPr>
                <w:sz w:val="13"/>
                <w:szCs w:val="13"/>
                <w:color w:val="auto"/>
              </w:rPr>
            </w:pPr>
          </w:p>
        </w:tc>
        <w:tc>
          <w:tcPr>
            <w:tcW w:w="1520" w:type="dxa"/>
            <w:vAlign w:val="bottom"/>
            <w:tcBorders>
              <w:right w:val="single" w:sz="8" w:color="007CBA"/>
            </w:tcBorders>
            <w:shd w:val="clear" w:color="auto" w:fill="007CBA"/>
          </w:tcPr>
          <w:p>
            <w:pPr>
              <w:jc w:val="right"/>
              <w:ind w:right="309"/>
              <w:spacing w:after="0"/>
              <w:rPr>
                <w:sz w:val="20"/>
                <w:szCs w:val="20"/>
                <w:color w:val="auto"/>
              </w:rPr>
            </w:pPr>
            <w:r>
              <w:rPr>
                <w:rFonts w:ascii="Arial" w:cs="Arial" w:eastAsia="Arial" w:hAnsi="Arial"/>
                <w:sz w:val="13"/>
                <w:szCs w:val="13"/>
                <w:b w:val="1"/>
                <w:bCs w:val="1"/>
                <w:color w:val="FFFFFF"/>
              </w:rPr>
              <w:t>(in thousands)</w:t>
            </w:r>
          </w:p>
        </w:tc>
        <w:tc>
          <w:tcPr>
            <w:tcW w:w="1140" w:type="dxa"/>
            <w:vAlign w:val="bottom"/>
            <w:tcBorders>
              <w:right w:val="single" w:sz="8" w:color="007CBA"/>
            </w:tcBorders>
            <w:vMerge w:val="continue"/>
            <w:shd w:val="clear" w:color="auto" w:fill="007CBA"/>
          </w:tcPr>
          <w:p>
            <w:pPr>
              <w:spacing w:after="0"/>
              <w:rPr>
                <w:sz w:val="13"/>
                <w:szCs w:val="13"/>
                <w:color w:val="auto"/>
              </w:rPr>
            </w:pPr>
          </w:p>
        </w:tc>
        <w:tc>
          <w:tcPr>
            <w:tcW w:w="1140" w:type="dxa"/>
            <w:vAlign w:val="bottom"/>
            <w:tcBorders>
              <w:right w:val="single" w:sz="8" w:color="007CBA"/>
            </w:tcBorders>
            <w:shd w:val="clear" w:color="auto" w:fill="007CBA"/>
          </w:tcPr>
          <w:p>
            <w:pPr>
              <w:jc w:val="right"/>
              <w:ind w:right="129"/>
              <w:spacing w:after="0"/>
              <w:rPr>
                <w:sz w:val="20"/>
                <w:szCs w:val="20"/>
                <w:color w:val="auto"/>
              </w:rPr>
            </w:pPr>
            <w:r>
              <w:rPr>
                <w:rFonts w:ascii="Arial" w:cs="Arial" w:eastAsia="Arial" w:hAnsi="Arial"/>
                <w:sz w:val="13"/>
                <w:szCs w:val="13"/>
                <w:b w:val="1"/>
                <w:bCs w:val="1"/>
                <w:color w:val="FFFFFF"/>
              </w:rPr>
              <w:t>(in thousands)</w:t>
            </w:r>
          </w:p>
        </w:tc>
        <w:tc>
          <w:tcPr>
            <w:tcW w:w="1180" w:type="dxa"/>
            <w:vAlign w:val="bottom"/>
            <w:tcBorders>
              <w:right w:val="single" w:sz="8" w:color="007CBA"/>
            </w:tcBorders>
            <w:vMerge w:val="continue"/>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tcPr>
          <w:p>
            <w:pPr>
              <w:spacing w:after="0"/>
              <w:rPr>
                <w:sz w:val="20"/>
                <w:szCs w:val="20"/>
                <w:color w:val="auto"/>
              </w:rPr>
            </w:pPr>
            <w:r>
              <w:rPr>
                <w:rFonts w:ascii="Arial" w:cs="Arial" w:eastAsia="Arial" w:hAnsi="Arial"/>
                <w:sz w:val="14"/>
                <w:szCs w:val="14"/>
                <w:b w:val="1"/>
                <w:bCs w:val="1"/>
                <w:color w:val="auto"/>
              </w:rPr>
              <w:t>Crushed Stone</w:t>
            </w:r>
          </w:p>
        </w:tc>
        <w:tc>
          <w:tcPr>
            <w:tcW w:w="1200" w:type="dxa"/>
            <w:vAlign w:val="bottom"/>
            <w:tcBorders>
              <w:right w:val="single" w:sz="8" w:color="007CBA"/>
            </w:tcBorders>
          </w:tcPr>
          <w:p>
            <w:pPr>
              <w:spacing w:after="0"/>
              <w:rPr>
                <w:sz w:val="14"/>
                <w:szCs w:val="14"/>
                <w:color w:val="auto"/>
              </w:rPr>
            </w:pPr>
          </w:p>
        </w:tc>
        <w:tc>
          <w:tcPr>
            <w:tcW w:w="1080" w:type="dxa"/>
            <w:vAlign w:val="bottom"/>
            <w:tcBorders>
              <w:right w:val="single" w:sz="8" w:color="007CBA"/>
            </w:tcBorders>
          </w:tcPr>
          <w:p>
            <w:pPr>
              <w:spacing w:after="0"/>
              <w:rPr>
                <w:sz w:val="14"/>
                <w:szCs w:val="14"/>
                <w:color w:val="auto"/>
              </w:rPr>
            </w:pPr>
          </w:p>
        </w:tc>
        <w:tc>
          <w:tcPr>
            <w:tcW w:w="1360" w:type="dxa"/>
            <w:vAlign w:val="bottom"/>
            <w:tcBorders>
              <w:right w:val="single" w:sz="8" w:color="007CBA"/>
            </w:tcBorders>
          </w:tcPr>
          <w:p>
            <w:pPr>
              <w:spacing w:after="0"/>
              <w:rPr>
                <w:sz w:val="14"/>
                <w:szCs w:val="14"/>
                <w:color w:val="auto"/>
              </w:rPr>
            </w:pPr>
          </w:p>
        </w:tc>
        <w:tc>
          <w:tcPr>
            <w:tcW w:w="1080" w:type="dxa"/>
            <w:vAlign w:val="bottom"/>
            <w:tcBorders>
              <w:right w:val="single" w:sz="8" w:color="007CBA"/>
            </w:tcBorders>
          </w:tcPr>
          <w:p>
            <w:pPr>
              <w:spacing w:after="0"/>
              <w:rPr>
                <w:sz w:val="14"/>
                <w:szCs w:val="14"/>
                <w:color w:val="auto"/>
              </w:rPr>
            </w:pPr>
          </w:p>
        </w:tc>
        <w:tc>
          <w:tcPr>
            <w:tcW w:w="152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East Division</w:t>
            </w:r>
          </w:p>
        </w:tc>
        <w:tc>
          <w:tcPr>
            <w:tcW w:w="120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144,299</w:t>
            </w:r>
          </w:p>
        </w:tc>
        <w:tc>
          <w:tcPr>
            <w:tcW w:w="1080" w:type="dxa"/>
            <w:vAlign w:val="bottom"/>
            <w:tcBorders>
              <w:right w:val="single" w:sz="8" w:color="007CBA"/>
            </w:tcBorders>
            <w:shd w:val="clear" w:color="auto" w:fill="DEEBF7"/>
          </w:tcPr>
          <w:p>
            <w:pPr>
              <w:ind w:left="40"/>
              <w:spacing w:after="0"/>
              <w:rPr>
                <w:sz w:val="20"/>
                <w:szCs w:val="20"/>
                <w:color w:val="auto"/>
              </w:rPr>
            </w:pPr>
            <w:r>
              <w:rPr>
                <w:rFonts w:ascii="Arial" w:cs="Arial" w:eastAsia="Arial" w:hAnsi="Arial"/>
                <w:sz w:val="14"/>
                <w:szCs w:val="14"/>
                <w:color w:val="auto"/>
              </w:rPr>
              <w:t>Crushed Stone</w:t>
            </w:r>
          </w:p>
        </w:tc>
        <w:tc>
          <w:tcPr>
            <w:tcW w:w="136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256,650</w:t>
            </w:r>
          </w:p>
        </w:tc>
        <w:tc>
          <w:tcPr>
            <w:tcW w:w="1080" w:type="dxa"/>
            <w:vAlign w:val="bottom"/>
            <w:tcBorders>
              <w:right w:val="single" w:sz="8" w:color="007CBA"/>
            </w:tcBorders>
            <w:shd w:val="clear" w:color="auto" w:fill="DEEBF7"/>
          </w:tcPr>
          <w:p>
            <w:pPr>
              <w:ind w:left="40"/>
              <w:spacing w:after="0"/>
              <w:rPr>
                <w:sz w:val="20"/>
                <w:szCs w:val="20"/>
                <w:color w:val="auto"/>
              </w:rPr>
            </w:pPr>
            <w:r>
              <w:rPr>
                <w:rFonts w:ascii="Arial" w:cs="Arial" w:eastAsia="Arial" w:hAnsi="Arial"/>
                <w:sz w:val="14"/>
                <w:szCs w:val="14"/>
                <w:color w:val="auto"/>
              </w:rPr>
              <w:t>Crushed Stone</w:t>
            </w:r>
          </w:p>
        </w:tc>
        <w:tc>
          <w:tcPr>
            <w:tcW w:w="152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400,949</w:t>
            </w:r>
          </w:p>
        </w:tc>
        <w:tc>
          <w:tcPr>
            <w:tcW w:w="1140" w:type="dxa"/>
            <w:vAlign w:val="bottom"/>
            <w:tcBorders>
              <w:right w:val="single" w:sz="8" w:color="007CBA"/>
            </w:tcBorders>
            <w:shd w:val="clear" w:color="auto" w:fill="DEEBF7"/>
          </w:tcPr>
          <w:p>
            <w:pPr>
              <w:ind w:left="80"/>
              <w:spacing w:after="0"/>
              <w:rPr>
                <w:sz w:val="20"/>
                <w:szCs w:val="20"/>
                <w:color w:val="auto"/>
              </w:rPr>
            </w:pPr>
            <w:r>
              <w:rPr>
                <w:rFonts w:ascii="Arial" w:cs="Arial" w:eastAsia="Arial" w:hAnsi="Arial"/>
                <w:sz w:val="14"/>
                <w:szCs w:val="14"/>
                <w:color w:val="auto"/>
              </w:rPr>
              <w:t>Crushed Stone</w:t>
            </w:r>
          </w:p>
        </w:tc>
        <w:tc>
          <w:tcPr>
            <w:tcW w:w="114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802,837</w:t>
            </w:r>
          </w:p>
        </w:tc>
        <w:tc>
          <w:tcPr>
            <w:tcW w:w="1180" w:type="dxa"/>
            <w:vAlign w:val="bottom"/>
            <w:tcBorders>
              <w:right w:val="single" w:sz="8" w:color="DEEBF7"/>
            </w:tcBorders>
            <w:shd w:val="clear" w:color="auto" w:fill="DEEBF7"/>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Central Division</w:t>
            </w:r>
          </w:p>
        </w:tc>
        <w:tc>
          <w:tcPr>
            <w:tcW w:w="12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208</w:t>
            </w:r>
          </w:p>
        </w:tc>
        <w:tc>
          <w:tcPr>
            <w:tcW w:w="1080" w:type="dxa"/>
            <w:vAlign w:val="bottom"/>
            <w:tcBorders>
              <w:right w:val="single" w:sz="8" w:color="007CBA"/>
            </w:tcBorders>
          </w:tcPr>
          <w:p>
            <w:pPr>
              <w:ind w:left="40"/>
              <w:spacing w:after="0"/>
              <w:rPr>
                <w:sz w:val="20"/>
                <w:szCs w:val="20"/>
                <w:color w:val="auto"/>
              </w:rPr>
            </w:pPr>
            <w:r>
              <w:rPr>
                <w:rFonts w:ascii="Arial" w:cs="Arial" w:eastAsia="Arial" w:hAnsi="Arial"/>
                <w:sz w:val="14"/>
                <w:szCs w:val="14"/>
                <w:color w:val="auto"/>
              </w:rPr>
              <w:t>Crushed Stone</w:t>
            </w:r>
          </w:p>
        </w:tc>
        <w:tc>
          <w:tcPr>
            <w:tcW w:w="13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103,638</w:t>
            </w:r>
          </w:p>
        </w:tc>
        <w:tc>
          <w:tcPr>
            <w:tcW w:w="1080" w:type="dxa"/>
            <w:vAlign w:val="bottom"/>
            <w:tcBorders>
              <w:right w:val="single" w:sz="8" w:color="007CBA"/>
            </w:tcBorders>
          </w:tcPr>
          <w:p>
            <w:pPr>
              <w:ind w:left="40"/>
              <w:spacing w:after="0"/>
              <w:rPr>
                <w:sz w:val="20"/>
                <w:szCs w:val="20"/>
                <w:color w:val="auto"/>
              </w:rPr>
            </w:pPr>
            <w:r>
              <w:rPr>
                <w:rFonts w:ascii="Arial" w:cs="Arial" w:eastAsia="Arial" w:hAnsi="Arial"/>
                <w:sz w:val="14"/>
                <w:szCs w:val="14"/>
                <w:color w:val="auto"/>
              </w:rPr>
              <w:t>Crushed Stone</w:t>
            </w:r>
          </w:p>
        </w:tc>
        <w:tc>
          <w:tcPr>
            <w:tcW w:w="15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103,846</w:t>
            </w:r>
          </w:p>
        </w:tc>
        <w:tc>
          <w:tcPr>
            <w:tcW w:w="11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Crushed Stone</w:t>
            </w:r>
          </w:p>
        </w:tc>
        <w:tc>
          <w:tcPr>
            <w:tcW w:w="11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31,197</w:t>
            </w:r>
          </w:p>
        </w:tc>
        <w:tc>
          <w:tcPr>
            <w:tcW w:w="1180" w:type="dxa"/>
            <w:vAlign w:val="bottom"/>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Southwest Division</w:t>
            </w:r>
          </w:p>
        </w:tc>
        <w:tc>
          <w:tcPr>
            <w:tcW w:w="120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40"/>
              <w:spacing w:after="0"/>
              <w:rPr>
                <w:sz w:val="20"/>
                <w:szCs w:val="20"/>
                <w:color w:val="auto"/>
              </w:rPr>
            </w:pPr>
            <w:r>
              <w:rPr>
                <w:rFonts w:ascii="Arial" w:cs="Arial" w:eastAsia="Arial" w:hAnsi="Arial"/>
                <w:sz w:val="14"/>
                <w:szCs w:val="14"/>
                <w:color w:val="auto"/>
              </w:rPr>
              <w:t>Crushed Stone</w:t>
            </w:r>
          </w:p>
        </w:tc>
        <w:tc>
          <w:tcPr>
            <w:tcW w:w="136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40"/>
              <w:spacing w:after="0"/>
              <w:rPr>
                <w:sz w:val="20"/>
                <w:szCs w:val="20"/>
                <w:color w:val="auto"/>
              </w:rPr>
            </w:pPr>
            <w:r>
              <w:rPr>
                <w:rFonts w:ascii="Arial" w:cs="Arial" w:eastAsia="Arial" w:hAnsi="Arial"/>
                <w:sz w:val="14"/>
                <w:szCs w:val="14"/>
                <w:color w:val="auto"/>
              </w:rPr>
              <w:t>Crushed Stone</w:t>
            </w:r>
          </w:p>
        </w:tc>
        <w:tc>
          <w:tcPr>
            <w:tcW w:w="152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007CBA"/>
            </w:tcBorders>
            <w:shd w:val="clear" w:color="auto" w:fill="DEEBF7"/>
          </w:tcPr>
          <w:p>
            <w:pPr>
              <w:ind w:left="80"/>
              <w:spacing w:after="0"/>
              <w:rPr>
                <w:sz w:val="20"/>
                <w:szCs w:val="20"/>
                <w:color w:val="auto"/>
              </w:rPr>
            </w:pPr>
            <w:r>
              <w:rPr>
                <w:rFonts w:ascii="Arial" w:cs="Arial" w:eastAsia="Arial" w:hAnsi="Arial"/>
                <w:sz w:val="14"/>
                <w:szCs w:val="14"/>
                <w:color w:val="auto"/>
              </w:rPr>
              <w:t>Crushed Stone</w:t>
            </w:r>
          </w:p>
        </w:tc>
        <w:tc>
          <w:tcPr>
            <w:tcW w:w="114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DEEBF7"/>
            </w:tcBorders>
            <w:shd w:val="clear" w:color="auto" w:fill="DEEBF7"/>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West Division</w:t>
            </w: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61,320</w:t>
            </w: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Crushed Stone</w:t>
            </w:r>
          </w:p>
        </w:tc>
        <w:tc>
          <w:tcPr>
            <w:tcW w:w="1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15,572</w:t>
            </w: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Crushed Stone</w:t>
            </w:r>
          </w:p>
        </w:tc>
        <w:tc>
          <w:tcPr>
            <w:tcW w:w="1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76,892</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Crushed Stone</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3,312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right w:val="single" w:sz="8" w:color="DEEBF7"/>
            </w:tcBorders>
            <w:shd w:val="clear" w:color="auto" w:fill="DEEBF7"/>
          </w:tcPr>
          <w:p>
            <w:pPr>
              <w:spacing w:after="0" w:line="155" w:lineRule="exact"/>
              <w:rPr>
                <w:sz w:val="20"/>
                <w:szCs w:val="20"/>
                <w:color w:val="auto"/>
              </w:rPr>
            </w:pPr>
            <w:r>
              <w:rPr>
                <w:rFonts w:ascii="Arial" w:cs="Arial" w:eastAsia="Arial" w:hAnsi="Arial"/>
                <w:sz w:val="14"/>
                <w:szCs w:val="14"/>
                <w:color w:val="auto"/>
              </w:rPr>
              <w:t>Total crushed stone</w:t>
            </w:r>
          </w:p>
        </w:tc>
        <w:tc>
          <w:tcPr>
            <w:tcW w:w="120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205,827</w:t>
            </w:r>
          </w:p>
        </w:tc>
        <w:tc>
          <w:tcPr>
            <w:tcW w:w="1080" w:type="dxa"/>
            <w:vAlign w:val="bottom"/>
            <w:tcBorders>
              <w:bottom w:val="single" w:sz="8" w:color="auto"/>
              <w:right w:val="single" w:sz="8" w:color="DEEBF7"/>
            </w:tcBorders>
            <w:shd w:val="clear" w:color="auto" w:fill="DEEBF7"/>
          </w:tcPr>
          <w:p>
            <w:pPr>
              <w:spacing w:after="0"/>
              <w:rPr>
                <w:sz w:val="13"/>
                <w:szCs w:val="13"/>
                <w:color w:val="auto"/>
              </w:rPr>
            </w:pPr>
          </w:p>
        </w:tc>
        <w:tc>
          <w:tcPr>
            <w:tcW w:w="136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375,860</w:t>
            </w:r>
          </w:p>
        </w:tc>
        <w:tc>
          <w:tcPr>
            <w:tcW w:w="1080" w:type="dxa"/>
            <w:vAlign w:val="bottom"/>
            <w:tcBorders>
              <w:bottom w:val="single" w:sz="8" w:color="auto"/>
              <w:right w:val="single" w:sz="8" w:color="DEEBF7"/>
            </w:tcBorders>
            <w:shd w:val="clear" w:color="auto" w:fill="DEEBF7"/>
          </w:tcPr>
          <w:p>
            <w:pPr>
              <w:spacing w:after="0"/>
              <w:rPr>
                <w:sz w:val="13"/>
                <w:szCs w:val="13"/>
                <w:color w:val="auto"/>
              </w:rPr>
            </w:pPr>
          </w:p>
        </w:tc>
        <w:tc>
          <w:tcPr>
            <w:tcW w:w="152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581,687</w:t>
            </w:r>
          </w:p>
        </w:tc>
        <w:tc>
          <w:tcPr>
            <w:tcW w:w="1140" w:type="dxa"/>
            <w:vAlign w:val="bottom"/>
            <w:tcBorders>
              <w:bottom w:val="single" w:sz="8" w:color="auto"/>
              <w:right w:val="single" w:sz="8" w:color="DEEBF7"/>
            </w:tcBorders>
            <w:shd w:val="clear" w:color="auto" w:fill="DEEBF7"/>
          </w:tcPr>
          <w:p>
            <w:pPr>
              <w:spacing w:after="0"/>
              <w:rPr>
                <w:sz w:val="13"/>
                <w:szCs w:val="13"/>
                <w:color w:val="auto"/>
              </w:rPr>
            </w:pPr>
          </w:p>
        </w:tc>
        <w:tc>
          <w:tcPr>
            <w:tcW w:w="114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837,346</w:t>
            </w:r>
          </w:p>
        </w:tc>
        <w:tc>
          <w:tcPr>
            <w:tcW w:w="1180" w:type="dxa"/>
            <w:vAlign w:val="bottom"/>
            <w:tcBorders>
              <w:bottom w:val="single" w:sz="8" w:color="auto"/>
              <w:right w:val="single" w:sz="8" w:color="DEEBF7"/>
            </w:tcBorders>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b w:val="1"/>
                <w:bCs w:val="1"/>
                <w:color w:val="auto"/>
              </w:rPr>
              <w:t>Sand &amp; Gravel</w:t>
            </w:r>
          </w:p>
        </w:tc>
        <w:tc>
          <w:tcPr>
            <w:tcW w:w="1200" w:type="dxa"/>
            <w:vAlign w:val="bottom"/>
            <w:tcBorders>
              <w:right w:val="single" w:sz="8" w:color="007CBA"/>
            </w:tcBorders>
          </w:tcPr>
          <w:p>
            <w:pPr>
              <w:spacing w:after="0"/>
              <w:rPr>
                <w:sz w:val="13"/>
                <w:szCs w:val="13"/>
                <w:color w:val="auto"/>
              </w:rPr>
            </w:pPr>
          </w:p>
        </w:tc>
        <w:tc>
          <w:tcPr>
            <w:tcW w:w="1080" w:type="dxa"/>
            <w:vAlign w:val="bottom"/>
            <w:tcBorders>
              <w:right w:val="single" w:sz="8" w:color="007CBA"/>
            </w:tcBorders>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1080" w:type="dxa"/>
            <w:vAlign w:val="bottom"/>
            <w:tcBorders>
              <w:right w:val="single" w:sz="8" w:color="007CBA"/>
            </w:tcBorders>
          </w:tcPr>
          <w:p>
            <w:pPr>
              <w:spacing w:after="0"/>
              <w:rPr>
                <w:sz w:val="13"/>
                <w:szCs w:val="13"/>
                <w:color w:val="auto"/>
              </w:rPr>
            </w:pPr>
          </w:p>
        </w:tc>
        <w:tc>
          <w:tcPr>
            <w:tcW w:w="1520" w:type="dxa"/>
            <w:vAlign w:val="bottom"/>
            <w:tcBorders>
              <w:right w:val="single" w:sz="8" w:color="007CBA"/>
            </w:tcBorders>
          </w:tcPr>
          <w:p>
            <w:pPr>
              <w:spacing w:after="0"/>
              <w:rPr>
                <w:sz w:val="13"/>
                <w:szCs w:val="13"/>
                <w:color w:val="auto"/>
              </w:rPr>
            </w:pPr>
          </w:p>
        </w:tc>
        <w:tc>
          <w:tcPr>
            <w:tcW w:w="1140" w:type="dxa"/>
            <w:vAlign w:val="bottom"/>
            <w:tcBorders>
              <w:right w:val="single" w:sz="8" w:color="007CBA"/>
            </w:tcBorders>
          </w:tcPr>
          <w:p>
            <w:pPr>
              <w:spacing w:after="0"/>
              <w:rPr>
                <w:sz w:val="13"/>
                <w:szCs w:val="13"/>
                <w:color w:val="auto"/>
              </w:rPr>
            </w:pPr>
          </w:p>
        </w:tc>
        <w:tc>
          <w:tcPr>
            <w:tcW w:w="1140" w:type="dxa"/>
            <w:vAlign w:val="bottom"/>
            <w:tcBorders>
              <w:right w:val="single" w:sz="8" w:color="007CBA"/>
            </w:tcBorders>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East Division</w:t>
            </w:r>
          </w:p>
        </w:tc>
        <w:tc>
          <w:tcPr>
            <w:tcW w:w="120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60"/>
              <w:spacing w:after="0"/>
              <w:rPr>
                <w:sz w:val="20"/>
                <w:szCs w:val="20"/>
                <w:color w:val="auto"/>
              </w:rPr>
            </w:pPr>
            <w:r>
              <w:rPr>
                <w:rFonts w:ascii="Arial" w:cs="Arial" w:eastAsia="Arial" w:hAnsi="Arial"/>
                <w:sz w:val="14"/>
                <w:szCs w:val="14"/>
                <w:color w:val="auto"/>
              </w:rPr>
              <w:t>Sand &amp; Gravel</w:t>
            </w:r>
          </w:p>
        </w:tc>
        <w:tc>
          <w:tcPr>
            <w:tcW w:w="136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60"/>
              <w:spacing w:after="0"/>
              <w:rPr>
                <w:sz w:val="20"/>
                <w:szCs w:val="20"/>
                <w:color w:val="auto"/>
              </w:rPr>
            </w:pPr>
            <w:r>
              <w:rPr>
                <w:rFonts w:ascii="Arial" w:cs="Arial" w:eastAsia="Arial" w:hAnsi="Arial"/>
                <w:sz w:val="14"/>
                <w:szCs w:val="14"/>
                <w:color w:val="auto"/>
              </w:rPr>
              <w:t>Sand &amp; Gravel</w:t>
            </w:r>
          </w:p>
        </w:tc>
        <w:tc>
          <w:tcPr>
            <w:tcW w:w="152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007CBA"/>
            </w:tcBorders>
            <w:shd w:val="clear" w:color="auto" w:fill="DEEBF7"/>
          </w:tcPr>
          <w:p>
            <w:pPr>
              <w:ind w:left="80"/>
              <w:spacing w:after="0"/>
              <w:rPr>
                <w:sz w:val="20"/>
                <w:szCs w:val="20"/>
                <w:color w:val="auto"/>
              </w:rPr>
            </w:pPr>
            <w:r>
              <w:rPr>
                <w:rFonts w:ascii="Arial" w:cs="Arial" w:eastAsia="Arial" w:hAnsi="Arial"/>
                <w:sz w:val="14"/>
                <w:szCs w:val="14"/>
                <w:color w:val="auto"/>
              </w:rPr>
              <w:t>Sand &amp; Gravel</w:t>
            </w:r>
          </w:p>
        </w:tc>
        <w:tc>
          <w:tcPr>
            <w:tcW w:w="114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11,270</w:t>
            </w:r>
          </w:p>
        </w:tc>
        <w:tc>
          <w:tcPr>
            <w:tcW w:w="1180" w:type="dxa"/>
            <w:vAlign w:val="bottom"/>
            <w:tcBorders>
              <w:right w:val="single" w:sz="8" w:color="007CBA"/>
            </w:tcBorders>
            <w:shd w:val="clear" w:color="auto" w:fill="DEEBF7"/>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Central Division</w:t>
            </w:r>
          </w:p>
        </w:tc>
        <w:tc>
          <w:tcPr>
            <w:tcW w:w="12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2,206</w:t>
            </w:r>
          </w:p>
        </w:tc>
        <w:tc>
          <w:tcPr>
            <w:tcW w:w="1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Sand &amp; Gravel</w:t>
            </w:r>
          </w:p>
        </w:tc>
        <w:tc>
          <w:tcPr>
            <w:tcW w:w="13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41,347</w:t>
            </w:r>
          </w:p>
        </w:tc>
        <w:tc>
          <w:tcPr>
            <w:tcW w:w="1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Sand &amp; Gravel</w:t>
            </w:r>
          </w:p>
        </w:tc>
        <w:tc>
          <w:tcPr>
            <w:tcW w:w="15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43,553</w:t>
            </w:r>
          </w:p>
        </w:tc>
        <w:tc>
          <w:tcPr>
            <w:tcW w:w="11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Sand &amp; Gravel</w:t>
            </w:r>
          </w:p>
        </w:tc>
        <w:tc>
          <w:tcPr>
            <w:tcW w:w="11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14,159</w:t>
            </w:r>
          </w:p>
        </w:tc>
        <w:tc>
          <w:tcPr>
            <w:tcW w:w="11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5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Southwest Division</w:t>
            </w:r>
          </w:p>
        </w:tc>
        <w:tc>
          <w:tcPr>
            <w:tcW w:w="120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60"/>
              <w:spacing w:after="0"/>
              <w:rPr>
                <w:sz w:val="20"/>
                <w:szCs w:val="20"/>
                <w:color w:val="auto"/>
              </w:rPr>
            </w:pPr>
            <w:r>
              <w:rPr>
                <w:rFonts w:ascii="Arial" w:cs="Arial" w:eastAsia="Arial" w:hAnsi="Arial"/>
                <w:sz w:val="14"/>
                <w:szCs w:val="14"/>
                <w:color w:val="auto"/>
              </w:rPr>
              <w:t>Sand &amp; Gravel</w:t>
            </w:r>
          </w:p>
        </w:tc>
        <w:tc>
          <w:tcPr>
            <w:tcW w:w="136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07CBA"/>
            </w:tcBorders>
            <w:shd w:val="clear" w:color="auto" w:fill="DEEBF7"/>
          </w:tcPr>
          <w:p>
            <w:pPr>
              <w:ind w:left="60"/>
              <w:spacing w:after="0"/>
              <w:rPr>
                <w:sz w:val="20"/>
                <w:szCs w:val="20"/>
                <w:color w:val="auto"/>
              </w:rPr>
            </w:pPr>
            <w:r>
              <w:rPr>
                <w:rFonts w:ascii="Arial" w:cs="Arial" w:eastAsia="Arial" w:hAnsi="Arial"/>
                <w:sz w:val="14"/>
                <w:szCs w:val="14"/>
                <w:color w:val="auto"/>
              </w:rPr>
              <w:t>Sand &amp; Gravel</w:t>
            </w:r>
          </w:p>
        </w:tc>
        <w:tc>
          <w:tcPr>
            <w:tcW w:w="152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007CBA"/>
            </w:tcBorders>
            <w:shd w:val="clear" w:color="auto" w:fill="DEEBF7"/>
          </w:tcPr>
          <w:p>
            <w:pPr>
              <w:ind w:left="80"/>
              <w:spacing w:after="0"/>
              <w:rPr>
                <w:sz w:val="20"/>
                <w:szCs w:val="20"/>
                <w:color w:val="auto"/>
              </w:rPr>
            </w:pPr>
            <w:r>
              <w:rPr>
                <w:rFonts w:ascii="Arial" w:cs="Arial" w:eastAsia="Arial" w:hAnsi="Arial"/>
                <w:sz w:val="14"/>
                <w:szCs w:val="14"/>
                <w:color w:val="auto"/>
              </w:rPr>
              <w:t>Sand &amp; Gravel</w:t>
            </w:r>
          </w:p>
        </w:tc>
        <w:tc>
          <w:tcPr>
            <w:tcW w:w="114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shd w:val="clear" w:color="auto" w:fill="DEEBF7"/>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West Division</w:t>
            </w: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68,839</w:t>
            </w: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Sand &amp; Gravel</w:t>
            </w:r>
          </w:p>
        </w:tc>
        <w:tc>
          <w:tcPr>
            <w:tcW w:w="1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125,091</w:t>
            </w: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Sand &amp; Gravel</w:t>
            </w:r>
          </w:p>
        </w:tc>
        <w:tc>
          <w:tcPr>
            <w:tcW w:w="1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193,930</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Sand &amp; Gravel</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181717"/>
            </w:tcBorders>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right w:val="single" w:sz="8" w:color="DEEBF7"/>
            </w:tcBorders>
            <w:shd w:val="clear" w:color="auto" w:fill="DEEBF7"/>
          </w:tcPr>
          <w:p>
            <w:pPr>
              <w:spacing w:after="0" w:line="155" w:lineRule="exact"/>
              <w:rPr>
                <w:sz w:val="20"/>
                <w:szCs w:val="20"/>
                <w:color w:val="auto"/>
              </w:rPr>
            </w:pPr>
            <w:r>
              <w:rPr>
                <w:rFonts w:ascii="Arial" w:cs="Arial" w:eastAsia="Arial" w:hAnsi="Arial"/>
                <w:sz w:val="14"/>
                <w:szCs w:val="14"/>
                <w:color w:val="auto"/>
              </w:rPr>
              <w:t>Total sand &amp; gravel</w:t>
            </w:r>
          </w:p>
        </w:tc>
        <w:tc>
          <w:tcPr>
            <w:tcW w:w="120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71,045</w:t>
            </w:r>
          </w:p>
        </w:tc>
        <w:tc>
          <w:tcPr>
            <w:tcW w:w="1080" w:type="dxa"/>
            <w:vAlign w:val="bottom"/>
            <w:tcBorders>
              <w:bottom w:val="single" w:sz="8" w:color="auto"/>
              <w:right w:val="single" w:sz="8" w:color="DEEBF7"/>
            </w:tcBorders>
            <w:shd w:val="clear" w:color="auto" w:fill="DEEBF7"/>
          </w:tcPr>
          <w:p>
            <w:pPr>
              <w:spacing w:after="0"/>
              <w:rPr>
                <w:sz w:val="13"/>
                <w:szCs w:val="13"/>
                <w:color w:val="auto"/>
              </w:rPr>
            </w:pPr>
          </w:p>
        </w:tc>
        <w:tc>
          <w:tcPr>
            <w:tcW w:w="136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166,438</w:t>
            </w:r>
          </w:p>
        </w:tc>
        <w:tc>
          <w:tcPr>
            <w:tcW w:w="1080" w:type="dxa"/>
            <w:vAlign w:val="bottom"/>
            <w:tcBorders>
              <w:bottom w:val="single" w:sz="8" w:color="auto"/>
              <w:right w:val="single" w:sz="8" w:color="DEEBF7"/>
            </w:tcBorders>
            <w:shd w:val="clear" w:color="auto" w:fill="DEEBF7"/>
          </w:tcPr>
          <w:p>
            <w:pPr>
              <w:spacing w:after="0"/>
              <w:rPr>
                <w:sz w:val="13"/>
                <w:szCs w:val="13"/>
                <w:color w:val="auto"/>
              </w:rPr>
            </w:pPr>
          </w:p>
        </w:tc>
        <w:tc>
          <w:tcPr>
            <w:tcW w:w="152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237,483</w:t>
            </w:r>
          </w:p>
        </w:tc>
        <w:tc>
          <w:tcPr>
            <w:tcW w:w="1140" w:type="dxa"/>
            <w:vAlign w:val="bottom"/>
            <w:tcBorders>
              <w:bottom w:val="single" w:sz="8" w:color="auto"/>
              <w:right w:val="single" w:sz="8" w:color="DEEBF7"/>
            </w:tcBorders>
            <w:shd w:val="clear" w:color="auto" w:fill="DEEBF7"/>
          </w:tcPr>
          <w:p>
            <w:pPr>
              <w:spacing w:after="0"/>
              <w:rPr>
                <w:sz w:val="13"/>
                <w:szCs w:val="13"/>
                <w:color w:val="auto"/>
              </w:rPr>
            </w:pPr>
          </w:p>
        </w:tc>
        <w:tc>
          <w:tcPr>
            <w:tcW w:w="1140" w:type="dxa"/>
            <w:vAlign w:val="bottom"/>
            <w:tcBorders>
              <w:bottom w:val="single" w:sz="8" w:color="auto"/>
              <w:right w:val="single" w:sz="8" w:color="DEEBF7"/>
            </w:tcBorders>
            <w:shd w:val="clear" w:color="auto" w:fill="DEEBF7"/>
          </w:tcPr>
          <w:p>
            <w:pPr>
              <w:jc w:val="right"/>
              <w:ind w:right="49"/>
              <w:spacing w:after="0" w:line="155" w:lineRule="exact"/>
              <w:rPr>
                <w:sz w:val="20"/>
                <w:szCs w:val="20"/>
                <w:color w:val="auto"/>
              </w:rPr>
            </w:pPr>
            <w:r>
              <w:rPr>
                <w:rFonts w:ascii="Arial" w:cs="Arial" w:eastAsia="Arial" w:hAnsi="Arial"/>
                <w:sz w:val="14"/>
                <w:szCs w:val="14"/>
                <w:color w:val="auto"/>
              </w:rPr>
              <w:t>25,429</w:t>
            </w:r>
          </w:p>
        </w:tc>
        <w:tc>
          <w:tcPr>
            <w:tcW w:w="1180" w:type="dxa"/>
            <w:vAlign w:val="bottom"/>
            <w:tcBorders>
              <w:bottom w:val="single" w:sz="8" w:color="181717"/>
              <w:right w:val="single" w:sz="8" w:color="DEEBF7"/>
            </w:tcBorders>
            <w:shd w:val="clear" w:color="auto" w:fill="DEEBF7"/>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-869315</wp:posOffset>
            </wp:positionV>
            <wp:extent cx="33655" cy="248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-869315</wp:posOffset>
            </wp:positionV>
            <wp:extent cx="34290" cy="248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-869315</wp:posOffset>
            </wp:positionV>
            <wp:extent cx="34290" cy="248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-869315</wp:posOffset>
            </wp:positionV>
            <wp:extent cx="33655" cy="248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-869315</wp:posOffset>
            </wp:positionV>
            <wp:extent cx="33655"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-869315</wp:posOffset>
            </wp:positionV>
            <wp:extent cx="34290" cy="248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-869315</wp:posOffset>
            </wp:positionV>
            <wp:extent cx="33655" cy="2482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-869315</wp:posOffset>
            </wp:positionV>
            <wp:extent cx="33655" cy="248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-234950</wp:posOffset>
            </wp:positionV>
            <wp:extent cx="3365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-234950</wp:posOffset>
            </wp:positionV>
            <wp:extent cx="33655" cy="248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-234950</wp:posOffset>
            </wp:positionV>
            <wp:extent cx="34290" cy="248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-234950</wp:posOffset>
            </wp:positionV>
            <wp:extent cx="34290" cy="248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-234950</wp:posOffset>
            </wp:positionV>
            <wp:extent cx="33655" cy="2482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-234950</wp:posOffset>
            </wp:positionV>
            <wp:extent cx="33655" cy="248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-234950</wp:posOffset>
            </wp:positionV>
            <wp:extent cx="34290" cy="248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-234950</wp:posOffset>
            </wp:positionV>
            <wp:extent cx="33655" cy="248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-234950</wp:posOffset>
            </wp:positionV>
            <wp:extent cx="33655" cy="248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24828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Summary Mineral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spacing w:after="0" w:line="199" w:lineRule="auto"/>
        <w:rPr>
          <w:sz w:val="20"/>
          <w:szCs w:val="20"/>
          <w:color w:val="auto"/>
        </w:rPr>
      </w:pPr>
      <w:r>
        <w:rPr>
          <w:rFonts w:ascii="Arial" w:cs="Arial" w:eastAsia="Arial" w:hAnsi="Arial"/>
          <w:sz w:val="14"/>
          <w:szCs w:val="14"/>
          <w:b w:val="1"/>
          <w:bCs w:val="1"/>
          <w:color w:val="FFFFFF"/>
        </w:rPr>
        <w:t xml:space="preserve">At End of Fiscal Year Ended December 31, 2025 </w:t>
      </w:r>
      <w:r>
        <w:rPr>
          <w:rFonts w:ascii="Arial" w:cs="Arial" w:eastAsia="Arial" w:hAnsi="Arial"/>
          <w:sz w:val="19"/>
          <w:szCs w:val="19"/>
          <w:b w:val="1"/>
          <w:bCs w:val="1"/>
          <w:color w:val="FFFFFF"/>
          <w:vertAlign w:val="superscript"/>
        </w:rPr>
        <w:t>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Borders>
              <w:right w:val="single" w:sz="8" w:color="007CBA"/>
            </w:tcBorders>
            <w:shd w:val="clear" w:color="auto" w:fill="007CBA"/>
          </w:tcPr>
          <w:p>
            <w:pPr>
              <w:spacing w:after="0"/>
              <w:rPr>
                <w:sz w:val="14"/>
                <w:szCs w:val="14"/>
                <w:color w:val="auto"/>
              </w:rPr>
            </w:pPr>
          </w:p>
        </w:tc>
        <w:tc>
          <w:tcPr>
            <w:tcW w:w="2860" w:type="dxa"/>
            <w:vAlign w:val="bottom"/>
            <w:gridSpan w:val="2"/>
          </w:tcPr>
          <w:p>
            <w:pPr>
              <w:ind w:left="560"/>
              <w:spacing w:after="0"/>
              <w:rPr>
                <w:sz w:val="20"/>
                <w:szCs w:val="20"/>
                <w:color w:val="auto"/>
              </w:rPr>
            </w:pPr>
            <w:r>
              <w:rPr>
                <w:rFonts w:ascii="Arial" w:cs="Arial" w:eastAsia="Arial" w:hAnsi="Arial"/>
                <w:sz w:val="14"/>
                <w:szCs w:val="14"/>
                <w:b w:val="1"/>
                <w:bCs w:val="1"/>
                <w:color w:val="FFFFFF"/>
              </w:rPr>
              <w:t>Proven Mineral Reserves</w:t>
            </w:r>
          </w:p>
        </w:tc>
        <w:tc>
          <w:tcPr>
            <w:tcW w:w="3080" w:type="dxa"/>
            <w:vAlign w:val="bottom"/>
            <w:gridSpan w:val="2"/>
          </w:tcPr>
          <w:p>
            <w:pPr>
              <w:ind w:left="620"/>
              <w:spacing w:after="0"/>
              <w:rPr>
                <w:sz w:val="20"/>
                <w:szCs w:val="20"/>
                <w:color w:val="auto"/>
              </w:rPr>
            </w:pPr>
            <w:r>
              <w:rPr>
                <w:rFonts w:ascii="Arial" w:cs="Arial" w:eastAsia="Arial" w:hAnsi="Arial"/>
                <w:sz w:val="14"/>
                <w:szCs w:val="14"/>
                <w:b w:val="1"/>
                <w:bCs w:val="1"/>
                <w:color w:val="FFFFFF"/>
              </w:rPr>
              <w:t>Probable Mineral Reserves</w:t>
            </w:r>
          </w:p>
        </w:tc>
        <w:tc>
          <w:tcPr>
            <w:tcW w:w="3360" w:type="dxa"/>
            <w:vAlign w:val="bottom"/>
            <w:gridSpan w:val="2"/>
          </w:tcPr>
          <w:p>
            <w:pPr>
              <w:ind w:left="880"/>
              <w:spacing w:after="0"/>
              <w:rPr>
                <w:sz w:val="20"/>
                <w:szCs w:val="20"/>
                <w:color w:val="auto"/>
              </w:rPr>
            </w:pPr>
            <w:r>
              <w:rPr>
                <w:rFonts w:ascii="Arial" w:cs="Arial" w:eastAsia="Arial" w:hAnsi="Arial"/>
                <w:sz w:val="14"/>
                <w:szCs w:val="14"/>
                <w:b w:val="1"/>
                <w:bCs w:val="1"/>
                <w:color w:val="FFFFFF"/>
              </w:rPr>
              <w:t>Total Mineral Reserves</w:t>
            </w:r>
          </w:p>
        </w:tc>
        <w:tc>
          <w:tcPr>
            <w:tcW w:w="0" w:type="dxa"/>
            <w:vAlign w:val="bottom"/>
          </w:tcPr>
          <w:p>
            <w:pPr>
              <w:spacing w:after="0"/>
              <w:rPr>
                <w:sz w:val="1"/>
                <w:szCs w:val="1"/>
                <w:color w:val="auto"/>
              </w:rPr>
            </w:pPr>
          </w:p>
        </w:tc>
      </w:tr>
      <w:tr>
        <w:trPr>
          <w:trHeight w:val="117"/>
        </w:trPr>
        <w:tc>
          <w:tcPr>
            <w:tcW w:w="1940" w:type="dxa"/>
            <w:vAlign w:val="bottom"/>
            <w:tcBorders>
              <w:right w:val="single" w:sz="8" w:color="007CBA"/>
            </w:tcBorders>
            <w:shd w:val="clear" w:color="auto" w:fill="007CBA"/>
          </w:tcPr>
          <w:p>
            <w:pPr>
              <w:spacing w:after="0"/>
              <w:rPr>
                <w:sz w:val="10"/>
                <w:szCs w:val="10"/>
                <w:color w:val="auto"/>
              </w:rPr>
            </w:pPr>
          </w:p>
        </w:tc>
        <w:tc>
          <w:tcPr>
            <w:tcW w:w="1480" w:type="dxa"/>
            <w:vAlign w:val="bottom"/>
            <w:tcBorders>
              <w:right w:val="single" w:sz="8" w:color="007CBA"/>
            </w:tcBorders>
            <w:shd w:val="clear" w:color="auto" w:fill="007CBA"/>
          </w:tcPr>
          <w:p>
            <w:pPr>
              <w:jc w:val="right"/>
              <w:ind w:right="569"/>
              <w:spacing w:after="0" w:line="117" w:lineRule="exact"/>
              <w:rPr>
                <w:sz w:val="20"/>
                <w:szCs w:val="20"/>
                <w:color w:val="auto"/>
              </w:rPr>
            </w:pPr>
            <w:r>
              <w:rPr>
                <w:rFonts w:ascii="Arial" w:cs="Arial" w:eastAsia="Arial" w:hAnsi="Arial"/>
                <w:sz w:val="13"/>
                <w:szCs w:val="13"/>
                <w:b w:val="1"/>
                <w:bCs w:val="1"/>
                <w:color w:val="FFFFFF"/>
              </w:rPr>
              <w:t>Tons</w:t>
            </w:r>
          </w:p>
        </w:tc>
        <w:tc>
          <w:tcPr>
            <w:tcW w:w="1380" w:type="dxa"/>
            <w:vAlign w:val="bottom"/>
            <w:tcBorders>
              <w:right w:val="single" w:sz="8" w:color="007CBA"/>
            </w:tcBorders>
            <w:vMerge w:val="restart"/>
            <w:shd w:val="clear" w:color="auto" w:fill="007CBA"/>
          </w:tcPr>
          <w:p>
            <w:pPr>
              <w:ind w:left="200"/>
              <w:spacing w:after="0"/>
              <w:rPr>
                <w:sz w:val="20"/>
                <w:szCs w:val="20"/>
                <w:color w:val="auto"/>
              </w:rPr>
            </w:pPr>
            <w:r>
              <w:rPr>
                <w:rFonts w:ascii="Arial" w:cs="Arial" w:eastAsia="Arial" w:hAnsi="Arial"/>
                <w:sz w:val="13"/>
                <w:szCs w:val="13"/>
                <w:b w:val="1"/>
                <w:bCs w:val="1"/>
                <w:color w:val="FFFFFF"/>
              </w:rPr>
              <w:t>Grades/Qualities</w:t>
            </w:r>
          </w:p>
        </w:tc>
        <w:tc>
          <w:tcPr>
            <w:tcW w:w="1680" w:type="dxa"/>
            <w:vAlign w:val="bottom"/>
            <w:tcBorders>
              <w:right w:val="single" w:sz="8" w:color="007CBA"/>
            </w:tcBorders>
            <w:shd w:val="clear" w:color="auto" w:fill="007CBA"/>
          </w:tcPr>
          <w:p>
            <w:pPr>
              <w:jc w:val="right"/>
              <w:ind w:right="669"/>
              <w:spacing w:after="0" w:line="117" w:lineRule="exact"/>
              <w:rPr>
                <w:sz w:val="20"/>
                <w:szCs w:val="20"/>
                <w:color w:val="auto"/>
              </w:rPr>
            </w:pPr>
            <w:r>
              <w:rPr>
                <w:rFonts w:ascii="Arial" w:cs="Arial" w:eastAsia="Arial" w:hAnsi="Arial"/>
                <w:sz w:val="13"/>
                <w:szCs w:val="13"/>
                <w:b w:val="1"/>
                <w:bCs w:val="1"/>
                <w:color w:val="FFFFFF"/>
              </w:rPr>
              <w:t>Tons</w:t>
            </w:r>
          </w:p>
        </w:tc>
        <w:tc>
          <w:tcPr>
            <w:tcW w:w="1400" w:type="dxa"/>
            <w:vAlign w:val="bottom"/>
            <w:tcBorders>
              <w:right w:val="single" w:sz="8" w:color="007CBA"/>
            </w:tcBorders>
            <w:vMerge w:val="restart"/>
            <w:shd w:val="clear" w:color="auto" w:fill="007CBA"/>
          </w:tcPr>
          <w:p>
            <w:pPr>
              <w:ind w:left="180"/>
              <w:spacing w:after="0"/>
              <w:rPr>
                <w:sz w:val="20"/>
                <w:szCs w:val="20"/>
                <w:color w:val="auto"/>
              </w:rPr>
            </w:pPr>
            <w:r>
              <w:rPr>
                <w:rFonts w:ascii="Arial" w:cs="Arial" w:eastAsia="Arial" w:hAnsi="Arial"/>
                <w:sz w:val="13"/>
                <w:szCs w:val="13"/>
                <w:b w:val="1"/>
                <w:bCs w:val="1"/>
                <w:color w:val="FFFFFF"/>
              </w:rPr>
              <w:t>Grades/Qualities</w:t>
            </w:r>
          </w:p>
        </w:tc>
        <w:tc>
          <w:tcPr>
            <w:tcW w:w="1860" w:type="dxa"/>
            <w:vAlign w:val="bottom"/>
            <w:tcBorders>
              <w:right w:val="single" w:sz="8" w:color="007CBA"/>
            </w:tcBorders>
            <w:shd w:val="clear" w:color="auto" w:fill="007CBA"/>
          </w:tcPr>
          <w:p>
            <w:pPr>
              <w:jc w:val="right"/>
              <w:ind w:right="769"/>
              <w:spacing w:after="0" w:line="117" w:lineRule="exact"/>
              <w:rPr>
                <w:sz w:val="20"/>
                <w:szCs w:val="20"/>
                <w:color w:val="auto"/>
              </w:rPr>
            </w:pPr>
            <w:r>
              <w:rPr>
                <w:rFonts w:ascii="Arial" w:cs="Arial" w:eastAsia="Arial" w:hAnsi="Arial"/>
                <w:sz w:val="13"/>
                <w:szCs w:val="13"/>
                <w:b w:val="1"/>
                <w:bCs w:val="1"/>
                <w:color w:val="FFFFFF"/>
              </w:rPr>
              <w:t>Tons</w:t>
            </w:r>
          </w:p>
        </w:tc>
        <w:tc>
          <w:tcPr>
            <w:tcW w:w="15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Grades/Qualities</w:t>
            </w:r>
          </w:p>
        </w:tc>
        <w:tc>
          <w:tcPr>
            <w:tcW w:w="0" w:type="dxa"/>
            <w:vAlign w:val="bottom"/>
          </w:tcPr>
          <w:p>
            <w:pPr>
              <w:spacing w:after="0"/>
              <w:rPr>
                <w:sz w:val="1"/>
                <w:szCs w:val="1"/>
                <w:color w:val="auto"/>
              </w:rPr>
            </w:pPr>
          </w:p>
        </w:tc>
      </w:tr>
      <w:tr>
        <w:trPr>
          <w:trHeight w:val="153"/>
        </w:trPr>
        <w:tc>
          <w:tcPr>
            <w:tcW w:w="1940" w:type="dxa"/>
            <w:vAlign w:val="bottom"/>
            <w:tcBorders>
              <w:right w:val="single" w:sz="8" w:color="007CBA"/>
            </w:tcBorders>
            <w:shd w:val="clear" w:color="auto" w:fill="007CBA"/>
          </w:tcPr>
          <w:p>
            <w:pPr>
              <w:spacing w:after="0"/>
              <w:rPr>
                <w:sz w:val="13"/>
                <w:szCs w:val="13"/>
                <w:color w:val="auto"/>
              </w:rPr>
            </w:pPr>
          </w:p>
        </w:tc>
        <w:tc>
          <w:tcPr>
            <w:tcW w:w="1480" w:type="dxa"/>
            <w:vAlign w:val="bottom"/>
            <w:tcBorders>
              <w:right w:val="single" w:sz="8" w:color="007CBA"/>
            </w:tcBorders>
            <w:shd w:val="clear" w:color="auto" w:fill="007CBA"/>
          </w:tcPr>
          <w:p>
            <w:pPr>
              <w:jc w:val="right"/>
              <w:ind w:right="289"/>
              <w:spacing w:after="0"/>
              <w:rPr>
                <w:sz w:val="20"/>
                <w:szCs w:val="20"/>
                <w:color w:val="auto"/>
              </w:rPr>
            </w:pPr>
            <w:r>
              <w:rPr>
                <w:rFonts w:ascii="Arial" w:cs="Arial" w:eastAsia="Arial" w:hAnsi="Arial"/>
                <w:sz w:val="13"/>
                <w:szCs w:val="13"/>
                <w:b w:val="1"/>
                <w:bCs w:val="1"/>
                <w:color w:val="FFFFFF"/>
              </w:rPr>
              <w:t>(in thousands)</w:t>
            </w:r>
          </w:p>
        </w:tc>
        <w:tc>
          <w:tcPr>
            <w:tcW w:w="1380" w:type="dxa"/>
            <w:vAlign w:val="bottom"/>
            <w:tcBorders>
              <w:right w:val="single" w:sz="8" w:color="007CBA"/>
            </w:tcBorders>
            <w:vMerge w:val="continue"/>
            <w:shd w:val="clear" w:color="auto" w:fill="007CBA"/>
          </w:tcPr>
          <w:p>
            <w:pPr>
              <w:spacing w:after="0"/>
              <w:rPr>
                <w:sz w:val="13"/>
                <w:szCs w:val="13"/>
                <w:color w:val="auto"/>
              </w:rPr>
            </w:pPr>
          </w:p>
        </w:tc>
        <w:tc>
          <w:tcPr>
            <w:tcW w:w="1680" w:type="dxa"/>
            <w:vAlign w:val="bottom"/>
            <w:tcBorders>
              <w:right w:val="single" w:sz="8" w:color="007CBA"/>
            </w:tcBorders>
            <w:shd w:val="clear" w:color="auto" w:fill="007CBA"/>
          </w:tcPr>
          <w:p>
            <w:pPr>
              <w:jc w:val="right"/>
              <w:ind w:right="389"/>
              <w:spacing w:after="0"/>
              <w:rPr>
                <w:sz w:val="20"/>
                <w:szCs w:val="20"/>
                <w:color w:val="auto"/>
              </w:rPr>
            </w:pPr>
            <w:r>
              <w:rPr>
                <w:rFonts w:ascii="Arial" w:cs="Arial" w:eastAsia="Arial" w:hAnsi="Arial"/>
                <w:sz w:val="13"/>
                <w:szCs w:val="13"/>
                <w:b w:val="1"/>
                <w:bCs w:val="1"/>
                <w:color w:val="FFFFFF"/>
              </w:rPr>
              <w:t>(in thousands)</w:t>
            </w:r>
          </w:p>
        </w:tc>
        <w:tc>
          <w:tcPr>
            <w:tcW w:w="1400" w:type="dxa"/>
            <w:vAlign w:val="bottom"/>
            <w:tcBorders>
              <w:right w:val="single" w:sz="8" w:color="007CBA"/>
            </w:tcBorders>
            <w:vMerge w:val="continue"/>
            <w:shd w:val="clear" w:color="auto" w:fill="007CBA"/>
          </w:tcPr>
          <w:p>
            <w:pPr>
              <w:spacing w:after="0"/>
              <w:rPr>
                <w:sz w:val="13"/>
                <w:szCs w:val="13"/>
                <w:color w:val="auto"/>
              </w:rPr>
            </w:pPr>
          </w:p>
        </w:tc>
        <w:tc>
          <w:tcPr>
            <w:tcW w:w="1860" w:type="dxa"/>
            <w:vAlign w:val="bottom"/>
            <w:tcBorders>
              <w:right w:val="single" w:sz="8" w:color="007CBA"/>
            </w:tcBorders>
            <w:shd w:val="clear" w:color="auto" w:fill="007CBA"/>
          </w:tcPr>
          <w:p>
            <w:pPr>
              <w:jc w:val="right"/>
              <w:ind w:right="489"/>
              <w:spacing w:after="0"/>
              <w:rPr>
                <w:sz w:val="20"/>
                <w:szCs w:val="20"/>
                <w:color w:val="auto"/>
              </w:rPr>
            </w:pPr>
            <w:r>
              <w:rPr>
                <w:rFonts w:ascii="Arial" w:cs="Arial" w:eastAsia="Arial" w:hAnsi="Arial"/>
                <w:sz w:val="13"/>
                <w:szCs w:val="13"/>
                <w:b w:val="1"/>
                <w:bCs w:val="1"/>
                <w:color w:val="FFFFFF"/>
              </w:rPr>
              <w:t>(in thousands)</w:t>
            </w:r>
          </w:p>
        </w:tc>
        <w:tc>
          <w:tcPr>
            <w:tcW w:w="1500" w:type="dxa"/>
            <w:vAlign w:val="bottom"/>
            <w:tcBorders>
              <w:right w:val="single" w:sz="8" w:color="007CBA"/>
            </w:tcBorders>
            <w:vMerge w:val="continue"/>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b w:val="1"/>
                <w:bCs w:val="1"/>
                <w:color w:val="auto"/>
              </w:rPr>
              <w:t>Crushed Stone</w:t>
            </w:r>
          </w:p>
        </w:tc>
        <w:tc>
          <w:tcPr>
            <w:tcW w:w="1480" w:type="dxa"/>
            <w:vAlign w:val="bottom"/>
            <w:tcBorders>
              <w:right w:val="single" w:sz="8" w:color="007CBA"/>
            </w:tcBorders>
            <w:shd w:val="clear" w:color="auto" w:fill="DEEBF7"/>
          </w:tcPr>
          <w:p>
            <w:pPr>
              <w:spacing w:after="0"/>
              <w:rPr>
                <w:sz w:val="14"/>
                <w:szCs w:val="14"/>
                <w:color w:val="auto"/>
              </w:rPr>
            </w:pPr>
          </w:p>
        </w:tc>
        <w:tc>
          <w:tcPr>
            <w:tcW w:w="1380" w:type="dxa"/>
            <w:vAlign w:val="bottom"/>
            <w:tcBorders>
              <w:right w:val="single" w:sz="8" w:color="007CBA"/>
            </w:tcBorders>
            <w:shd w:val="clear" w:color="auto" w:fill="DEEBF7"/>
          </w:tcPr>
          <w:p>
            <w:pPr>
              <w:spacing w:after="0"/>
              <w:rPr>
                <w:sz w:val="14"/>
                <w:szCs w:val="14"/>
                <w:color w:val="auto"/>
              </w:rPr>
            </w:pPr>
          </w:p>
        </w:tc>
        <w:tc>
          <w:tcPr>
            <w:tcW w:w="1680" w:type="dxa"/>
            <w:vAlign w:val="bottom"/>
            <w:tcBorders>
              <w:right w:val="single" w:sz="8" w:color="007CBA"/>
            </w:tcBorders>
            <w:shd w:val="clear" w:color="auto" w:fill="DEEBF7"/>
          </w:tcPr>
          <w:p>
            <w:pPr>
              <w:spacing w:after="0"/>
              <w:rPr>
                <w:sz w:val="14"/>
                <w:szCs w:val="14"/>
                <w:color w:val="auto"/>
              </w:rPr>
            </w:pPr>
          </w:p>
        </w:tc>
        <w:tc>
          <w:tcPr>
            <w:tcW w:w="1400" w:type="dxa"/>
            <w:vAlign w:val="bottom"/>
            <w:tcBorders>
              <w:right w:val="single" w:sz="8" w:color="007CBA"/>
            </w:tcBorders>
            <w:shd w:val="clear" w:color="auto" w:fill="DEEBF7"/>
          </w:tcPr>
          <w:p>
            <w:pPr>
              <w:spacing w:after="0"/>
              <w:rPr>
                <w:sz w:val="14"/>
                <w:szCs w:val="14"/>
                <w:color w:val="auto"/>
              </w:rPr>
            </w:pPr>
          </w:p>
        </w:tc>
        <w:tc>
          <w:tcPr>
            <w:tcW w:w="1860" w:type="dxa"/>
            <w:vAlign w:val="bottom"/>
            <w:tcBorders>
              <w:right w:val="single" w:sz="8" w:color="007CBA"/>
            </w:tcBorders>
            <w:shd w:val="clear" w:color="auto" w:fill="DEEBF7"/>
          </w:tcPr>
          <w:p>
            <w:pPr>
              <w:spacing w:after="0"/>
              <w:rPr>
                <w:sz w:val="14"/>
                <w:szCs w:val="14"/>
                <w:color w:val="auto"/>
              </w:rPr>
            </w:pPr>
          </w:p>
        </w:tc>
        <w:tc>
          <w:tcPr>
            <w:tcW w:w="1500" w:type="dxa"/>
            <w:vAlign w:val="bottom"/>
            <w:tcBorders>
              <w:right w:val="single" w:sz="8" w:color="DEEBF7"/>
            </w:tcBorders>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East Division</w:t>
            </w:r>
          </w:p>
        </w:tc>
        <w:tc>
          <w:tcPr>
            <w:tcW w:w="14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4,415,304</w:t>
            </w:r>
          </w:p>
        </w:tc>
        <w:tc>
          <w:tcPr>
            <w:tcW w:w="138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Crushed Stone</w:t>
            </w:r>
          </w:p>
        </w:tc>
        <w:tc>
          <w:tcPr>
            <w:tcW w:w="16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4,324,181</w:t>
            </w:r>
          </w:p>
        </w:tc>
        <w:tc>
          <w:tcPr>
            <w:tcW w:w="140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Crushed Stone</w:t>
            </w:r>
          </w:p>
        </w:tc>
        <w:tc>
          <w:tcPr>
            <w:tcW w:w="1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8,739,485</w:t>
            </w:r>
          </w:p>
        </w:tc>
        <w:tc>
          <w:tcPr>
            <w:tcW w:w="1500" w:type="dxa"/>
            <w:vAlign w:val="bottom"/>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Central Division</w:t>
            </w:r>
          </w:p>
        </w:tc>
        <w:tc>
          <w:tcPr>
            <w:tcW w:w="1480" w:type="dxa"/>
            <w:vAlign w:val="bottom"/>
            <w:tcBorders>
              <w:right w:val="single" w:sz="8" w:color="007CBA"/>
            </w:tcBorders>
            <w:shd w:val="clear" w:color="auto" w:fill="DEEBF7"/>
          </w:tcPr>
          <w:p>
            <w:pPr>
              <w:jc w:val="right"/>
              <w:ind w:right="29"/>
              <w:spacing w:after="0"/>
              <w:rPr>
                <w:sz w:val="20"/>
                <w:szCs w:val="20"/>
                <w:color w:val="auto"/>
              </w:rPr>
            </w:pPr>
            <w:r>
              <w:rPr>
                <w:rFonts w:ascii="Arial" w:cs="Arial" w:eastAsia="Arial" w:hAnsi="Arial"/>
                <w:sz w:val="14"/>
                <w:szCs w:val="14"/>
                <w:color w:val="auto"/>
              </w:rPr>
              <w:t>1,414,378</w:t>
            </w:r>
          </w:p>
        </w:tc>
        <w:tc>
          <w:tcPr>
            <w:tcW w:w="1380" w:type="dxa"/>
            <w:vAlign w:val="bottom"/>
            <w:tcBorders>
              <w:right w:val="single" w:sz="8" w:color="007CBA"/>
            </w:tcBorders>
            <w:shd w:val="clear" w:color="auto" w:fill="DEEBF7"/>
          </w:tcPr>
          <w:p>
            <w:pPr>
              <w:ind w:left="200"/>
              <w:spacing w:after="0"/>
              <w:rPr>
                <w:sz w:val="20"/>
                <w:szCs w:val="20"/>
                <w:color w:val="auto"/>
              </w:rPr>
            </w:pPr>
            <w:r>
              <w:rPr>
                <w:rFonts w:ascii="Arial" w:cs="Arial" w:eastAsia="Arial" w:hAnsi="Arial"/>
                <w:sz w:val="14"/>
                <w:szCs w:val="14"/>
                <w:color w:val="auto"/>
              </w:rPr>
              <w:t>Crushed Stone</w:t>
            </w:r>
          </w:p>
        </w:tc>
        <w:tc>
          <w:tcPr>
            <w:tcW w:w="168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1,395,001</w:t>
            </w:r>
          </w:p>
        </w:tc>
        <w:tc>
          <w:tcPr>
            <w:tcW w:w="1400" w:type="dxa"/>
            <w:vAlign w:val="bottom"/>
            <w:tcBorders>
              <w:right w:val="single" w:sz="8" w:color="007CBA"/>
            </w:tcBorders>
            <w:shd w:val="clear" w:color="auto" w:fill="DEEBF7"/>
          </w:tcPr>
          <w:p>
            <w:pPr>
              <w:ind w:left="200"/>
              <w:spacing w:after="0"/>
              <w:rPr>
                <w:sz w:val="20"/>
                <w:szCs w:val="20"/>
                <w:color w:val="auto"/>
              </w:rPr>
            </w:pPr>
            <w:r>
              <w:rPr>
                <w:rFonts w:ascii="Arial" w:cs="Arial" w:eastAsia="Arial" w:hAnsi="Arial"/>
                <w:sz w:val="14"/>
                <w:szCs w:val="14"/>
                <w:color w:val="auto"/>
              </w:rPr>
              <w:t>Crushed Stone</w:t>
            </w:r>
          </w:p>
        </w:tc>
        <w:tc>
          <w:tcPr>
            <w:tcW w:w="1860" w:type="dxa"/>
            <w:vAlign w:val="bottom"/>
            <w:tcBorders>
              <w:right w:val="single" w:sz="8" w:color="007CBA"/>
            </w:tcBorders>
            <w:shd w:val="clear" w:color="auto" w:fill="DEEBF7"/>
          </w:tcPr>
          <w:p>
            <w:pPr>
              <w:jc w:val="right"/>
              <w:ind w:right="29"/>
              <w:spacing w:after="0"/>
              <w:rPr>
                <w:sz w:val="20"/>
                <w:szCs w:val="20"/>
                <w:color w:val="auto"/>
              </w:rPr>
            </w:pPr>
            <w:r>
              <w:rPr>
                <w:rFonts w:ascii="Arial" w:cs="Arial" w:eastAsia="Arial" w:hAnsi="Arial"/>
                <w:sz w:val="14"/>
                <w:szCs w:val="14"/>
                <w:color w:val="auto"/>
              </w:rPr>
              <w:t>2,809,379</w:t>
            </w:r>
          </w:p>
        </w:tc>
        <w:tc>
          <w:tcPr>
            <w:tcW w:w="1500" w:type="dxa"/>
            <w:vAlign w:val="bottom"/>
            <w:tcBorders>
              <w:right w:val="single" w:sz="8" w:color="DEEBF7"/>
            </w:tcBorders>
            <w:shd w:val="clear" w:color="auto" w:fill="DEEBF7"/>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Southwest Division</w:t>
            </w:r>
          </w:p>
        </w:tc>
        <w:tc>
          <w:tcPr>
            <w:tcW w:w="14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1,967,115</w:t>
            </w:r>
          </w:p>
        </w:tc>
        <w:tc>
          <w:tcPr>
            <w:tcW w:w="138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Crushed Stone</w:t>
            </w:r>
          </w:p>
        </w:tc>
        <w:tc>
          <w:tcPr>
            <w:tcW w:w="16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1,495,006</w:t>
            </w:r>
          </w:p>
        </w:tc>
        <w:tc>
          <w:tcPr>
            <w:tcW w:w="140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Crushed Stone</w:t>
            </w:r>
          </w:p>
        </w:tc>
        <w:tc>
          <w:tcPr>
            <w:tcW w:w="1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3,462,121</w:t>
            </w:r>
          </w:p>
        </w:tc>
        <w:tc>
          <w:tcPr>
            <w:tcW w:w="1500" w:type="dxa"/>
            <w:vAlign w:val="bottom"/>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right w:val="single" w:sz="8" w:color="DEEBF7"/>
            </w:tcBorders>
            <w:shd w:val="clear" w:color="auto" w:fill="DEEBF7"/>
          </w:tcPr>
          <w:p>
            <w:pPr>
              <w:spacing w:after="0"/>
              <w:rPr>
                <w:sz w:val="20"/>
                <w:szCs w:val="20"/>
                <w:color w:val="auto"/>
              </w:rPr>
            </w:pPr>
            <w:r>
              <w:rPr>
                <w:rFonts w:ascii="Arial" w:cs="Arial" w:eastAsia="Arial" w:hAnsi="Arial"/>
                <w:sz w:val="14"/>
                <w:szCs w:val="14"/>
                <w:color w:val="auto"/>
              </w:rPr>
              <w:t>West Division</w:t>
            </w:r>
          </w:p>
        </w:tc>
        <w:tc>
          <w:tcPr>
            <w:tcW w:w="1480" w:type="dxa"/>
            <w:vAlign w:val="bottom"/>
            <w:tcBorders>
              <w:bottom w:val="single" w:sz="8" w:color="auto"/>
              <w:right w:val="single" w:sz="8" w:color="DEEBF7"/>
            </w:tcBorders>
            <w:shd w:val="clear" w:color="auto" w:fill="DEEBF7"/>
          </w:tcPr>
          <w:p>
            <w:pPr>
              <w:jc w:val="right"/>
              <w:ind w:right="29"/>
              <w:spacing w:after="0"/>
              <w:rPr>
                <w:sz w:val="20"/>
                <w:szCs w:val="20"/>
                <w:color w:val="auto"/>
              </w:rPr>
            </w:pPr>
            <w:r>
              <w:rPr>
                <w:rFonts w:ascii="Arial" w:cs="Arial" w:eastAsia="Arial" w:hAnsi="Arial"/>
                <w:sz w:val="14"/>
                <w:szCs w:val="14"/>
                <w:color w:val="auto"/>
              </w:rPr>
              <w:t>434,551</w:t>
            </w:r>
          </w:p>
        </w:tc>
        <w:tc>
          <w:tcPr>
            <w:tcW w:w="1380" w:type="dxa"/>
            <w:vAlign w:val="bottom"/>
            <w:tcBorders>
              <w:bottom w:val="single" w:sz="8" w:color="auto"/>
              <w:right w:val="single" w:sz="8" w:color="DEEBF7"/>
            </w:tcBorders>
            <w:shd w:val="clear" w:color="auto" w:fill="DEEBF7"/>
          </w:tcPr>
          <w:p>
            <w:pPr>
              <w:ind w:left="200"/>
              <w:spacing w:after="0"/>
              <w:rPr>
                <w:sz w:val="20"/>
                <w:szCs w:val="20"/>
                <w:color w:val="auto"/>
              </w:rPr>
            </w:pPr>
            <w:r>
              <w:rPr>
                <w:rFonts w:ascii="Arial" w:cs="Arial" w:eastAsia="Arial" w:hAnsi="Arial"/>
                <w:sz w:val="14"/>
                <w:szCs w:val="14"/>
                <w:color w:val="auto"/>
              </w:rPr>
              <w:t>Crushed Stone</w:t>
            </w:r>
          </w:p>
        </w:tc>
        <w:tc>
          <w:tcPr>
            <w:tcW w:w="1680" w:type="dxa"/>
            <w:vAlign w:val="bottom"/>
            <w:tcBorders>
              <w:bottom w:val="single" w:sz="8" w:color="auto"/>
              <w:right w:val="single" w:sz="8" w:color="DEEBF7"/>
            </w:tcBorders>
            <w:shd w:val="clear" w:color="auto" w:fill="DEEBF7"/>
          </w:tcPr>
          <w:p>
            <w:pPr>
              <w:jc w:val="right"/>
              <w:ind w:right="49"/>
              <w:spacing w:after="0"/>
              <w:rPr>
                <w:sz w:val="20"/>
                <w:szCs w:val="20"/>
                <w:color w:val="auto"/>
              </w:rPr>
            </w:pPr>
            <w:r>
              <w:rPr>
                <w:rFonts w:ascii="Arial" w:cs="Arial" w:eastAsia="Arial" w:hAnsi="Arial"/>
                <w:sz w:val="14"/>
                <w:szCs w:val="14"/>
                <w:color w:val="auto"/>
              </w:rPr>
              <w:t>542,725</w:t>
            </w:r>
          </w:p>
        </w:tc>
        <w:tc>
          <w:tcPr>
            <w:tcW w:w="1400" w:type="dxa"/>
            <w:vAlign w:val="bottom"/>
            <w:tcBorders>
              <w:bottom w:val="single" w:sz="8" w:color="auto"/>
              <w:right w:val="single" w:sz="8" w:color="DEEBF7"/>
            </w:tcBorders>
            <w:shd w:val="clear" w:color="auto" w:fill="DEEBF7"/>
          </w:tcPr>
          <w:p>
            <w:pPr>
              <w:ind w:left="200"/>
              <w:spacing w:after="0"/>
              <w:rPr>
                <w:sz w:val="20"/>
                <w:szCs w:val="20"/>
                <w:color w:val="auto"/>
              </w:rPr>
            </w:pPr>
            <w:r>
              <w:rPr>
                <w:rFonts w:ascii="Arial" w:cs="Arial" w:eastAsia="Arial" w:hAnsi="Arial"/>
                <w:sz w:val="14"/>
                <w:szCs w:val="14"/>
                <w:color w:val="auto"/>
              </w:rPr>
              <w:t>Crushed Stone</w:t>
            </w:r>
          </w:p>
        </w:tc>
        <w:tc>
          <w:tcPr>
            <w:tcW w:w="1860" w:type="dxa"/>
            <w:vAlign w:val="bottom"/>
            <w:tcBorders>
              <w:bottom w:val="single" w:sz="8" w:color="auto"/>
              <w:right w:val="single" w:sz="8" w:color="DEEBF7"/>
            </w:tcBorders>
            <w:shd w:val="clear" w:color="auto" w:fill="DEEBF7"/>
          </w:tcPr>
          <w:p>
            <w:pPr>
              <w:jc w:val="right"/>
              <w:ind w:right="29"/>
              <w:spacing w:after="0"/>
              <w:rPr>
                <w:sz w:val="20"/>
                <w:szCs w:val="20"/>
                <w:color w:val="auto"/>
              </w:rPr>
            </w:pPr>
            <w:r>
              <w:rPr>
                <w:rFonts w:ascii="Arial" w:cs="Arial" w:eastAsia="Arial" w:hAnsi="Arial"/>
                <w:sz w:val="14"/>
                <w:szCs w:val="14"/>
                <w:color w:val="auto"/>
              </w:rPr>
              <w:t>977,276</w:t>
            </w:r>
          </w:p>
        </w:tc>
        <w:tc>
          <w:tcPr>
            <w:tcW w:w="1500" w:type="dxa"/>
            <w:vAlign w:val="bottom"/>
            <w:tcBorders>
              <w:bottom w:val="single" w:sz="8" w:color="auto"/>
              <w:right w:val="single" w:sz="8" w:color="DEEBF7"/>
            </w:tcBorders>
            <w:shd w:val="clear" w:color="auto" w:fill="DEEBF7"/>
          </w:tcPr>
          <w:p>
            <w:pPr>
              <w:jc w:val="center"/>
              <w:spacing w:after="0"/>
              <w:rPr>
                <w:sz w:val="20"/>
                <w:szCs w:val="20"/>
                <w:color w:val="auto"/>
              </w:rPr>
            </w:pPr>
            <w:r>
              <w:rPr>
                <w:rFonts w:ascii="Arial" w:cs="Arial" w:eastAsia="Arial" w:hAnsi="Arial"/>
                <w:sz w:val="14"/>
                <w:szCs w:val="14"/>
                <w:color w:val="auto"/>
              </w:rPr>
              <w:t>Crushed Stone</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crushed stone</w:t>
            </w:r>
          </w:p>
        </w:tc>
        <w:tc>
          <w:tcPr>
            <w:tcW w:w="14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8,231,348</w:t>
            </w:r>
          </w:p>
        </w:tc>
        <w:tc>
          <w:tcPr>
            <w:tcW w:w="1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7,756,913</w:t>
            </w:r>
          </w:p>
        </w:tc>
        <w:tc>
          <w:tcPr>
            <w:tcW w:w="1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15,988,261</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Borders>
              <w:right w:val="single" w:sz="8" w:color="007CBA"/>
            </w:tcBorders>
            <w:shd w:val="clear" w:color="auto" w:fill="DEEBF7"/>
          </w:tcPr>
          <w:p>
            <w:pPr>
              <w:spacing w:after="0" w:line="155" w:lineRule="exact"/>
              <w:rPr>
                <w:sz w:val="20"/>
                <w:szCs w:val="20"/>
                <w:color w:val="auto"/>
              </w:rPr>
            </w:pPr>
            <w:r>
              <w:rPr>
                <w:rFonts w:ascii="Arial" w:cs="Arial" w:eastAsia="Arial" w:hAnsi="Arial"/>
                <w:sz w:val="14"/>
                <w:szCs w:val="14"/>
                <w:b w:val="1"/>
                <w:bCs w:val="1"/>
                <w:color w:val="auto"/>
              </w:rPr>
              <w:t>Sand &amp; Gravel</w:t>
            </w:r>
          </w:p>
        </w:tc>
        <w:tc>
          <w:tcPr>
            <w:tcW w:w="1480" w:type="dxa"/>
            <w:vAlign w:val="bottom"/>
            <w:tcBorders>
              <w:right w:val="single" w:sz="8" w:color="007CBA"/>
            </w:tcBorders>
            <w:shd w:val="clear" w:color="auto" w:fill="DEEBF7"/>
          </w:tcPr>
          <w:p>
            <w:pPr>
              <w:spacing w:after="0"/>
              <w:rPr>
                <w:sz w:val="13"/>
                <w:szCs w:val="13"/>
                <w:color w:val="auto"/>
              </w:rPr>
            </w:pPr>
          </w:p>
        </w:tc>
        <w:tc>
          <w:tcPr>
            <w:tcW w:w="1380" w:type="dxa"/>
            <w:vAlign w:val="bottom"/>
            <w:tcBorders>
              <w:right w:val="single" w:sz="8" w:color="007CBA"/>
            </w:tcBorders>
            <w:shd w:val="clear" w:color="auto" w:fill="DEEBF7"/>
          </w:tcPr>
          <w:p>
            <w:pPr>
              <w:spacing w:after="0"/>
              <w:rPr>
                <w:sz w:val="13"/>
                <w:szCs w:val="13"/>
                <w:color w:val="auto"/>
              </w:rPr>
            </w:pPr>
          </w:p>
        </w:tc>
        <w:tc>
          <w:tcPr>
            <w:tcW w:w="1680" w:type="dxa"/>
            <w:vAlign w:val="bottom"/>
            <w:tcBorders>
              <w:right w:val="single" w:sz="8" w:color="007CBA"/>
            </w:tcBorders>
            <w:shd w:val="clear" w:color="auto" w:fill="DEEBF7"/>
          </w:tcPr>
          <w:p>
            <w:pPr>
              <w:spacing w:after="0"/>
              <w:rPr>
                <w:sz w:val="13"/>
                <w:szCs w:val="13"/>
                <w:color w:val="auto"/>
              </w:rPr>
            </w:pPr>
          </w:p>
        </w:tc>
        <w:tc>
          <w:tcPr>
            <w:tcW w:w="1400" w:type="dxa"/>
            <w:vAlign w:val="bottom"/>
            <w:tcBorders>
              <w:right w:val="single" w:sz="8" w:color="007CBA"/>
            </w:tcBorders>
            <w:shd w:val="clear" w:color="auto" w:fill="DEEBF7"/>
          </w:tcPr>
          <w:p>
            <w:pPr>
              <w:spacing w:after="0"/>
              <w:rPr>
                <w:sz w:val="13"/>
                <w:szCs w:val="13"/>
                <w:color w:val="auto"/>
              </w:rPr>
            </w:pPr>
          </w:p>
        </w:tc>
        <w:tc>
          <w:tcPr>
            <w:tcW w:w="1860" w:type="dxa"/>
            <w:vAlign w:val="bottom"/>
            <w:tcBorders>
              <w:right w:val="single" w:sz="8" w:color="007CBA"/>
            </w:tcBorders>
            <w:shd w:val="clear" w:color="auto" w:fill="DEEBF7"/>
          </w:tcPr>
          <w:p>
            <w:pPr>
              <w:spacing w:after="0"/>
              <w:rPr>
                <w:sz w:val="13"/>
                <w:szCs w:val="13"/>
                <w:color w:val="auto"/>
              </w:rPr>
            </w:pPr>
          </w:p>
        </w:tc>
        <w:tc>
          <w:tcPr>
            <w:tcW w:w="1500" w:type="dxa"/>
            <w:vAlign w:val="bottom"/>
            <w:tcBorders>
              <w:right w:val="single" w:sz="8" w:color="DEEBF7"/>
            </w:tcBorders>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East Division</w:t>
            </w:r>
          </w:p>
        </w:tc>
        <w:tc>
          <w:tcPr>
            <w:tcW w:w="14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85,459</w:t>
            </w:r>
          </w:p>
        </w:tc>
        <w:tc>
          <w:tcPr>
            <w:tcW w:w="138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Sand &amp; Gravel</w:t>
            </w:r>
          </w:p>
        </w:tc>
        <w:tc>
          <w:tcPr>
            <w:tcW w:w="16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97,599</w:t>
            </w:r>
          </w:p>
        </w:tc>
        <w:tc>
          <w:tcPr>
            <w:tcW w:w="140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Sand &amp; Gravel</w:t>
            </w:r>
          </w:p>
        </w:tc>
        <w:tc>
          <w:tcPr>
            <w:tcW w:w="1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183,058</w:t>
            </w:r>
          </w:p>
        </w:tc>
        <w:tc>
          <w:tcPr>
            <w:tcW w:w="15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shd w:val="clear" w:color="auto" w:fill="DEEBF7"/>
          </w:tcPr>
          <w:p>
            <w:pPr>
              <w:spacing w:after="0"/>
              <w:rPr>
                <w:sz w:val="20"/>
                <w:szCs w:val="20"/>
                <w:color w:val="auto"/>
              </w:rPr>
            </w:pPr>
            <w:r>
              <w:rPr>
                <w:rFonts w:ascii="Arial" w:cs="Arial" w:eastAsia="Arial" w:hAnsi="Arial"/>
                <w:sz w:val="14"/>
                <w:szCs w:val="14"/>
                <w:color w:val="auto"/>
              </w:rPr>
              <w:t>Central Division</w:t>
            </w:r>
          </w:p>
        </w:tc>
        <w:tc>
          <w:tcPr>
            <w:tcW w:w="1480" w:type="dxa"/>
            <w:vAlign w:val="bottom"/>
            <w:tcBorders>
              <w:right w:val="single" w:sz="8" w:color="007CBA"/>
            </w:tcBorders>
            <w:shd w:val="clear" w:color="auto" w:fill="DEEBF7"/>
          </w:tcPr>
          <w:p>
            <w:pPr>
              <w:jc w:val="right"/>
              <w:ind w:right="29"/>
              <w:spacing w:after="0"/>
              <w:rPr>
                <w:sz w:val="20"/>
                <w:szCs w:val="20"/>
                <w:color w:val="auto"/>
              </w:rPr>
            </w:pPr>
            <w:r>
              <w:rPr>
                <w:rFonts w:ascii="Arial" w:cs="Arial" w:eastAsia="Arial" w:hAnsi="Arial"/>
                <w:sz w:val="14"/>
                <w:szCs w:val="14"/>
                <w:color w:val="auto"/>
              </w:rPr>
              <w:t>229,280</w:t>
            </w:r>
          </w:p>
        </w:tc>
        <w:tc>
          <w:tcPr>
            <w:tcW w:w="1380" w:type="dxa"/>
            <w:vAlign w:val="bottom"/>
            <w:tcBorders>
              <w:right w:val="single" w:sz="8" w:color="007CBA"/>
            </w:tcBorders>
            <w:shd w:val="clear" w:color="auto" w:fill="DEEBF7"/>
          </w:tcPr>
          <w:p>
            <w:pPr>
              <w:ind w:left="220"/>
              <w:spacing w:after="0"/>
              <w:rPr>
                <w:sz w:val="20"/>
                <w:szCs w:val="20"/>
                <w:color w:val="auto"/>
              </w:rPr>
            </w:pPr>
            <w:r>
              <w:rPr>
                <w:rFonts w:ascii="Arial" w:cs="Arial" w:eastAsia="Arial" w:hAnsi="Arial"/>
                <w:sz w:val="14"/>
                <w:szCs w:val="14"/>
                <w:color w:val="auto"/>
              </w:rPr>
              <w:t>Sand &amp; Gravel</w:t>
            </w:r>
          </w:p>
        </w:tc>
        <w:tc>
          <w:tcPr>
            <w:tcW w:w="1680" w:type="dxa"/>
            <w:vAlign w:val="bottom"/>
            <w:tcBorders>
              <w:right w:val="single" w:sz="8" w:color="007CBA"/>
            </w:tcBorders>
            <w:shd w:val="clear" w:color="auto" w:fill="DEEBF7"/>
          </w:tcPr>
          <w:p>
            <w:pPr>
              <w:jc w:val="right"/>
              <w:ind w:right="49"/>
              <w:spacing w:after="0"/>
              <w:rPr>
                <w:sz w:val="20"/>
                <w:szCs w:val="20"/>
                <w:color w:val="auto"/>
              </w:rPr>
            </w:pPr>
            <w:r>
              <w:rPr>
                <w:rFonts w:ascii="Arial" w:cs="Arial" w:eastAsia="Arial" w:hAnsi="Arial"/>
                <w:sz w:val="14"/>
                <w:szCs w:val="14"/>
                <w:color w:val="auto"/>
              </w:rPr>
              <w:t>87,979</w:t>
            </w:r>
          </w:p>
        </w:tc>
        <w:tc>
          <w:tcPr>
            <w:tcW w:w="1400" w:type="dxa"/>
            <w:vAlign w:val="bottom"/>
            <w:tcBorders>
              <w:right w:val="single" w:sz="8" w:color="007CBA"/>
            </w:tcBorders>
            <w:shd w:val="clear" w:color="auto" w:fill="DEEBF7"/>
          </w:tcPr>
          <w:p>
            <w:pPr>
              <w:ind w:left="220"/>
              <w:spacing w:after="0"/>
              <w:rPr>
                <w:sz w:val="20"/>
                <w:szCs w:val="20"/>
                <w:color w:val="auto"/>
              </w:rPr>
            </w:pPr>
            <w:r>
              <w:rPr>
                <w:rFonts w:ascii="Arial" w:cs="Arial" w:eastAsia="Arial" w:hAnsi="Arial"/>
                <w:sz w:val="14"/>
                <w:szCs w:val="14"/>
                <w:color w:val="auto"/>
              </w:rPr>
              <w:t>Sand &amp; Gravel</w:t>
            </w:r>
          </w:p>
        </w:tc>
        <w:tc>
          <w:tcPr>
            <w:tcW w:w="1860" w:type="dxa"/>
            <w:vAlign w:val="bottom"/>
            <w:tcBorders>
              <w:right w:val="single" w:sz="8" w:color="007CBA"/>
            </w:tcBorders>
            <w:shd w:val="clear" w:color="auto" w:fill="DEEBF7"/>
          </w:tcPr>
          <w:p>
            <w:pPr>
              <w:jc w:val="right"/>
              <w:ind w:right="29"/>
              <w:spacing w:after="0"/>
              <w:rPr>
                <w:sz w:val="20"/>
                <w:szCs w:val="20"/>
                <w:color w:val="auto"/>
              </w:rPr>
            </w:pPr>
            <w:r>
              <w:rPr>
                <w:rFonts w:ascii="Arial" w:cs="Arial" w:eastAsia="Arial" w:hAnsi="Arial"/>
                <w:sz w:val="14"/>
                <w:szCs w:val="14"/>
                <w:color w:val="auto"/>
              </w:rPr>
              <w:t>317,259</w:t>
            </w:r>
          </w:p>
        </w:tc>
        <w:tc>
          <w:tcPr>
            <w:tcW w:w="1500" w:type="dxa"/>
            <w:vAlign w:val="bottom"/>
            <w:tcBorders>
              <w:right w:val="single" w:sz="8" w:color="007CBA"/>
            </w:tcBorders>
            <w:shd w:val="clear" w:color="auto" w:fill="DEEBF7"/>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940" w:type="dxa"/>
            <w:vAlign w:val="bottom"/>
            <w:tcBorders>
              <w:right w:val="single" w:sz="8" w:color="007CBA"/>
            </w:tcBorders>
          </w:tcPr>
          <w:p>
            <w:pPr>
              <w:spacing w:after="0"/>
              <w:rPr>
                <w:sz w:val="20"/>
                <w:szCs w:val="20"/>
                <w:color w:val="auto"/>
              </w:rPr>
            </w:pPr>
            <w:r>
              <w:rPr>
                <w:rFonts w:ascii="Arial" w:cs="Arial" w:eastAsia="Arial" w:hAnsi="Arial"/>
                <w:sz w:val="14"/>
                <w:szCs w:val="14"/>
                <w:color w:val="auto"/>
              </w:rPr>
              <w:t>Southwest Division</w:t>
            </w:r>
          </w:p>
        </w:tc>
        <w:tc>
          <w:tcPr>
            <w:tcW w:w="14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51,088</w:t>
            </w:r>
          </w:p>
        </w:tc>
        <w:tc>
          <w:tcPr>
            <w:tcW w:w="138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Sand &amp; Gravel</w:t>
            </w:r>
          </w:p>
        </w:tc>
        <w:tc>
          <w:tcPr>
            <w:tcW w:w="16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141,218</w:t>
            </w:r>
          </w:p>
        </w:tc>
        <w:tc>
          <w:tcPr>
            <w:tcW w:w="140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Sand &amp; Gravel</w:t>
            </w:r>
          </w:p>
        </w:tc>
        <w:tc>
          <w:tcPr>
            <w:tcW w:w="1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192,306</w:t>
            </w:r>
          </w:p>
        </w:tc>
        <w:tc>
          <w:tcPr>
            <w:tcW w:w="15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right w:val="single" w:sz="8" w:color="DEEBF7"/>
            </w:tcBorders>
            <w:shd w:val="clear" w:color="auto" w:fill="DEEBF7"/>
          </w:tcPr>
          <w:p>
            <w:pPr>
              <w:spacing w:after="0"/>
              <w:rPr>
                <w:sz w:val="20"/>
                <w:szCs w:val="20"/>
                <w:color w:val="auto"/>
              </w:rPr>
            </w:pPr>
            <w:r>
              <w:rPr>
                <w:rFonts w:ascii="Arial" w:cs="Arial" w:eastAsia="Arial" w:hAnsi="Arial"/>
                <w:sz w:val="14"/>
                <w:szCs w:val="14"/>
                <w:color w:val="auto"/>
              </w:rPr>
              <w:t>West Division</w:t>
            </w:r>
          </w:p>
        </w:tc>
        <w:tc>
          <w:tcPr>
            <w:tcW w:w="1480" w:type="dxa"/>
            <w:vAlign w:val="bottom"/>
            <w:tcBorders>
              <w:bottom w:val="single" w:sz="8" w:color="auto"/>
              <w:right w:val="single" w:sz="8" w:color="DEEBF7"/>
            </w:tcBorders>
            <w:shd w:val="clear" w:color="auto" w:fill="DEEBF7"/>
          </w:tcPr>
          <w:p>
            <w:pPr>
              <w:jc w:val="right"/>
              <w:ind w:right="29"/>
              <w:spacing w:after="0"/>
              <w:rPr>
                <w:sz w:val="20"/>
                <w:szCs w:val="20"/>
                <w:color w:val="auto"/>
              </w:rPr>
            </w:pPr>
            <w:r>
              <w:rPr>
                <w:rFonts w:ascii="Arial" w:cs="Arial" w:eastAsia="Arial" w:hAnsi="Arial"/>
                <w:sz w:val="14"/>
                <w:szCs w:val="14"/>
                <w:color w:val="auto"/>
              </w:rPr>
              <w:t>215,081</w:t>
            </w:r>
          </w:p>
        </w:tc>
        <w:tc>
          <w:tcPr>
            <w:tcW w:w="1380" w:type="dxa"/>
            <w:vAlign w:val="bottom"/>
            <w:tcBorders>
              <w:bottom w:val="single" w:sz="8" w:color="auto"/>
              <w:right w:val="single" w:sz="8" w:color="DEEBF7"/>
            </w:tcBorders>
            <w:shd w:val="clear" w:color="auto" w:fill="DEEBF7"/>
          </w:tcPr>
          <w:p>
            <w:pPr>
              <w:ind w:left="220"/>
              <w:spacing w:after="0"/>
              <w:rPr>
                <w:sz w:val="20"/>
                <w:szCs w:val="20"/>
                <w:color w:val="auto"/>
              </w:rPr>
            </w:pPr>
            <w:r>
              <w:rPr>
                <w:rFonts w:ascii="Arial" w:cs="Arial" w:eastAsia="Arial" w:hAnsi="Arial"/>
                <w:sz w:val="14"/>
                <w:szCs w:val="14"/>
                <w:color w:val="auto"/>
              </w:rPr>
              <w:t>Sand &amp; Gravel</w:t>
            </w:r>
          </w:p>
        </w:tc>
        <w:tc>
          <w:tcPr>
            <w:tcW w:w="1680" w:type="dxa"/>
            <w:vAlign w:val="bottom"/>
            <w:tcBorders>
              <w:bottom w:val="single" w:sz="8" w:color="auto"/>
              <w:right w:val="single" w:sz="8" w:color="DEEBF7"/>
            </w:tcBorders>
            <w:shd w:val="clear" w:color="auto" w:fill="DEEBF7"/>
          </w:tcPr>
          <w:p>
            <w:pPr>
              <w:jc w:val="right"/>
              <w:ind w:right="49"/>
              <w:spacing w:after="0"/>
              <w:rPr>
                <w:sz w:val="20"/>
                <w:szCs w:val="20"/>
                <w:color w:val="auto"/>
              </w:rPr>
            </w:pPr>
            <w:r>
              <w:rPr>
                <w:rFonts w:ascii="Arial" w:cs="Arial" w:eastAsia="Arial" w:hAnsi="Arial"/>
                <w:sz w:val="14"/>
                <w:szCs w:val="14"/>
                <w:color w:val="auto"/>
              </w:rPr>
              <w:t>16,170</w:t>
            </w:r>
          </w:p>
        </w:tc>
        <w:tc>
          <w:tcPr>
            <w:tcW w:w="1400" w:type="dxa"/>
            <w:vAlign w:val="bottom"/>
            <w:tcBorders>
              <w:bottom w:val="single" w:sz="8" w:color="auto"/>
              <w:right w:val="single" w:sz="8" w:color="DEEBF7"/>
            </w:tcBorders>
            <w:shd w:val="clear" w:color="auto" w:fill="DEEBF7"/>
          </w:tcPr>
          <w:p>
            <w:pPr>
              <w:ind w:left="220"/>
              <w:spacing w:after="0"/>
              <w:rPr>
                <w:sz w:val="20"/>
                <w:szCs w:val="20"/>
                <w:color w:val="auto"/>
              </w:rPr>
            </w:pPr>
            <w:r>
              <w:rPr>
                <w:rFonts w:ascii="Arial" w:cs="Arial" w:eastAsia="Arial" w:hAnsi="Arial"/>
                <w:sz w:val="14"/>
                <w:szCs w:val="14"/>
                <w:color w:val="auto"/>
              </w:rPr>
              <w:t>Sand &amp; Gravel</w:t>
            </w:r>
          </w:p>
        </w:tc>
        <w:tc>
          <w:tcPr>
            <w:tcW w:w="1860" w:type="dxa"/>
            <w:vAlign w:val="bottom"/>
            <w:tcBorders>
              <w:bottom w:val="single" w:sz="8" w:color="auto"/>
              <w:right w:val="single" w:sz="8" w:color="DEEBF7"/>
            </w:tcBorders>
            <w:shd w:val="clear" w:color="auto" w:fill="DEEBF7"/>
          </w:tcPr>
          <w:p>
            <w:pPr>
              <w:jc w:val="right"/>
              <w:ind w:right="29"/>
              <w:spacing w:after="0"/>
              <w:rPr>
                <w:sz w:val="20"/>
                <w:szCs w:val="20"/>
                <w:color w:val="auto"/>
              </w:rPr>
            </w:pPr>
            <w:r>
              <w:rPr>
                <w:rFonts w:ascii="Arial" w:cs="Arial" w:eastAsia="Arial" w:hAnsi="Arial"/>
                <w:sz w:val="14"/>
                <w:szCs w:val="14"/>
                <w:color w:val="auto"/>
              </w:rPr>
              <w:t>231,251</w:t>
            </w:r>
          </w:p>
        </w:tc>
        <w:tc>
          <w:tcPr>
            <w:tcW w:w="1500" w:type="dxa"/>
            <w:vAlign w:val="bottom"/>
            <w:tcBorders>
              <w:bottom w:val="single" w:sz="8" w:color="auto"/>
              <w:right w:val="single" w:sz="8" w:color="DEEBF7"/>
            </w:tcBorders>
            <w:shd w:val="clear" w:color="auto" w:fill="DEEBF7"/>
          </w:tcPr>
          <w:p>
            <w:pPr>
              <w:jc w:val="center"/>
              <w:spacing w:after="0"/>
              <w:rPr>
                <w:sz w:val="20"/>
                <w:szCs w:val="20"/>
                <w:color w:val="auto"/>
              </w:rPr>
            </w:pPr>
            <w:r>
              <w:rPr>
                <w:rFonts w:ascii="Arial" w:cs="Arial" w:eastAsia="Arial" w:hAnsi="Arial"/>
                <w:sz w:val="14"/>
                <w:szCs w:val="14"/>
                <w:color w:val="auto"/>
              </w:rPr>
              <w:t>Sand &amp; Gravel</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sand &amp; gravel</w:t>
            </w:r>
          </w:p>
        </w:tc>
        <w:tc>
          <w:tcPr>
            <w:tcW w:w="14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580,908</w:t>
            </w:r>
          </w:p>
        </w:tc>
        <w:tc>
          <w:tcPr>
            <w:tcW w:w="1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342,966</w:t>
            </w:r>
          </w:p>
        </w:tc>
        <w:tc>
          <w:tcPr>
            <w:tcW w:w="1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923,874</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-869315</wp:posOffset>
            </wp:positionV>
            <wp:extent cx="33655" cy="248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-869315</wp:posOffset>
            </wp:positionV>
            <wp:extent cx="33655" cy="248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-869315</wp:posOffset>
            </wp:positionV>
            <wp:extent cx="33655" cy="248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-869315</wp:posOffset>
            </wp:positionV>
            <wp:extent cx="34290" cy="248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-869315</wp:posOffset>
            </wp:positionV>
            <wp:extent cx="34290" cy="248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-869315</wp:posOffset>
            </wp:positionV>
            <wp:extent cx="34290" cy="248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-234950</wp:posOffset>
            </wp:positionV>
            <wp:extent cx="3365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-234950</wp:posOffset>
            </wp:positionV>
            <wp:extent cx="33655" cy="248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-234950</wp:posOffset>
            </wp:positionV>
            <wp:extent cx="33655" cy="2482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-234950</wp:posOffset>
            </wp:positionV>
            <wp:extent cx="33655" cy="248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2482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-234950</wp:posOffset>
            </wp:positionV>
            <wp:extent cx="34290" cy="248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-234950</wp:posOffset>
            </wp:positionV>
            <wp:extent cx="34290" cy="248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-234950</wp:posOffset>
            </wp:positionV>
            <wp:extent cx="34290" cy="248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248285"/>
                    </a:xfrm>
                    <a:prstGeom prst="rect">
                      <a:avLst/>
                    </a:prstGeom>
                    <a:noFill/>
                  </pic:spPr>
                </pic:pic>
              </a:graphicData>
            </a:graphic>
          </wp:anchor>
        </w:drawing>
      </w:r>
    </w:p>
    <w:p>
      <w:pPr>
        <w:spacing w:after="0" w:line="106" w:lineRule="exact"/>
        <w:rPr>
          <w:sz w:val="20"/>
          <w:szCs w:val="20"/>
          <w:color w:val="auto"/>
        </w:rPr>
      </w:pPr>
    </w:p>
    <w:p>
      <w:pPr>
        <w:jc w:val="both"/>
        <w:ind w:left="760" w:hanging="374"/>
        <w:spacing w:after="0" w:line="250" w:lineRule="auto"/>
        <w:tabs>
          <w:tab w:leader="none" w:pos="760" w:val="left"/>
        </w:tabs>
        <w:numPr>
          <w:ilvl w:val="0"/>
          <w:numId w:val="13"/>
        </w:numPr>
        <w:rPr>
          <w:rFonts w:ascii="Calibri" w:cs="Calibri" w:eastAsia="Calibri" w:hAnsi="Calibri"/>
          <w:sz w:val="10"/>
          <w:szCs w:val="10"/>
          <w:color w:val="auto"/>
        </w:rPr>
      </w:pPr>
      <w:r>
        <w:rPr>
          <w:rFonts w:ascii="Arial" w:cs="Arial" w:eastAsia="Arial" w:hAnsi="Arial"/>
          <w:sz w:val="14"/>
          <w:szCs w:val="14"/>
          <w:color w:val="auto"/>
        </w:rPr>
        <w:t>The tons presented were determined to be economically mineable using the 2024 average selling price per ton for that product category in that geographic division. There is a range of selling prices for each product category and each geography that depend on the type of product, whether it is washed or not, and its end use. The average selling price per ton used for crushed stone for the East Division, Central Division, Southwest Division and West Division was $21.79, $20.13, $15.70 and $17.22, respectively. The average selling price per ton used for sand and gravel for the East Division, Central Division, Southwest Division and West Division was $12.72, $14.15, $18.74 and $20.70, respectively. These prices exclude any portion of revenues allocated to freight, including internal freight to ship products from a producing quarry to a distribution terminal and third-party freight to deliver product to a customer.</w:t>
      </w:r>
    </w:p>
    <w:p>
      <w:pPr>
        <w:spacing w:after="0" w:line="19" w:lineRule="exact"/>
        <w:rPr>
          <w:rFonts w:ascii="Calibri" w:cs="Calibri" w:eastAsia="Calibri" w:hAnsi="Calibri"/>
          <w:sz w:val="10"/>
          <w:szCs w:val="10"/>
          <w:color w:val="auto"/>
        </w:rPr>
      </w:pPr>
    </w:p>
    <w:p>
      <w:pPr>
        <w:jc w:val="both"/>
        <w:ind w:left="760" w:hanging="374"/>
        <w:spacing w:after="0" w:line="256" w:lineRule="auto"/>
        <w:tabs>
          <w:tab w:leader="none" w:pos="760" w:val="left"/>
        </w:tabs>
        <w:numPr>
          <w:ilvl w:val="0"/>
          <w:numId w:val="13"/>
        </w:numPr>
        <w:rPr>
          <w:rFonts w:ascii="Calibri" w:cs="Calibri" w:eastAsia="Calibri" w:hAnsi="Calibri"/>
          <w:sz w:val="10"/>
          <w:szCs w:val="10"/>
          <w:color w:val="auto"/>
        </w:rPr>
      </w:pPr>
      <w:r>
        <w:rPr>
          <w:rFonts w:ascii="Arial" w:cs="Arial" w:eastAsia="Arial" w:hAnsi="Arial"/>
          <w:sz w:val="14"/>
          <w:szCs w:val="14"/>
          <w:color w:val="auto"/>
        </w:rPr>
        <w:t>For the purposes of this table, the Company calculates its mineral reserves based on land that has been zoned for quarrying and land for which the Company has determined zoning is not required. The Company's reserves presented in the Central Division include dolomitic limestone reserves used in the Specialties business. The Company's reserves presented in the Southwest Division include limestone reserves used in the cement product line. The Company's reserves in the West Division include magnesite reserves used in the Specialties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308"/>
        </w:trPr>
        <w:tc>
          <w:tcPr>
            <w:tcW w:w="5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gridSpan w:val="2"/>
          </w:tcPr>
          <w:p>
            <w:pPr>
              <w:ind w:left="1080"/>
              <w:spacing w:after="0"/>
              <w:rPr>
                <w:sz w:val="20"/>
                <w:szCs w:val="20"/>
                <w:color w:val="auto"/>
              </w:rPr>
            </w:pPr>
            <w:r>
              <w:rPr>
                <w:rFonts w:ascii="Arial" w:cs="Arial" w:eastAsia="Arial" w:hAnsi="Arial"/>
                <w:sz w:val="18"/>
                <w:szCs w:val="18"/>
                <w:color w:val="auto"/>
              </w:rPr>
              <w:t>Part I</w:t>
            </w:r>
          </w:p>
        </w:tc>
        <w:tc>
          <w:tcPr>
            <w:tcW w:w="1800" w:type="dxa"/>
            <w:vAlign w:val="bottom"/>
            <w:gridSpan w:val="2"/>
          </w:tcPr>
          <w:p>
            <w:pPr>
              <w:ind w:left="4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2 – Properties</w:t>
            </w:r>
          </w:p>
        </w:tc>
        <w:tc>
          <w:tcPr>
            <w:tcW w:w="0" w:type="dxa"/>
            <w:vAlign w:val="bottom"/>
          </w:tcPr>
          <w:p>
            <w:pPr>
              <w:spacing w:after="0"/>
              <w:rPr>
                <w:sz w:val="1"/>
                <w:szCs w:val="1"/>
                <w:color w:val="auto"/>
              </w:rPr>
            </w:pPr>
          </w:p>
        </w:tc>
      </w:tr>
      <w:tr>
        <w:trPr>
          <w:trHeight w:val="389"/>
        </w:trPr>
        <w:tc>
          <w:tcPr>
            <w:tcW w:w="7900" w:type="dxa"/>
            <w:vAlign w:val="bottom"/>
            <w:gridSpan w:val="4"/>
          </w:tcPr>
          <w:p>
            <w:pPr>
              <w:spacing w:after="0"/>
              <w:rPr>
                <w:sz w:val="20"/>
                <w:szCs w:val="20"/>
                <w:color w:val="auto"/>
              </w:rPr>
            </w:pPr>
            <w:r>
              <w:rPr>
                <w:rFonts w:ascii="Arial" w:cs="Arial" w:eastAsia="Arial" w:hAnsi="Arial"/>
                <w:sz w:val="18"/>
                <w:szCs w:val="18"/>
                <w:color w:val="auto"/>
              </w:rPr>
              <w:t>The following presents the Company’s annual production by product line for the last three years.</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1960" w:type="dxa"/>
            <w:vAlign w:val="bottom"/>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5300" w:type="dxa"/>
            <w:vAlign w:val="bottom"/>
            <w:tcBorders>
              <w:right w:val="single" w:sz="8" w:color="007CBA"/>
            </w:tcBorders>
            <w:shd w:val="clear" w:color="auto" w:fill="007CBA"/>
          </w:tcPr>
          <w:p>
            <w:pPr>
              <w:spacing w:after="0"/>
              <w:rPr>
                <w:sz w:val="13"/>
                <w:szCs w:val="13"/>
                <w:color w:val="auto"/>
              </w:rPr>
            </w:pPr>
          </w:p>
        </w:tc>
        <w:tc>
          <w:tcPr>
            <w:tcW w:w="1320" w:type="dxa"/>
            <w:vAlign w:val="bottom"/>
            <w:shd w:val="clear" w:color="auto" w:fill="007CBA"/>
          </w:tcPr>
          <w:p>
            <w:pPr>
              <w:spacing w:after="0"/>
              <w:rPr>
                <w:sz w:val="13"/>
                <w:szCs w:val="13"/>
                <w:color w:val="auto"/>
              </w:rPr>
            </w:pPr>
          </w:p>
        </w:tc>
        <w:tc>
          <w:tcPr>
            <w:tcW w:w="4620" w:type="dxa"/>
            <w:vAlign w:val="bottom"/>
            <w:tcBorders>
              <w:right w:val="single" w:sz="8" w:color="007CBA"/>
            </w:tcBorders>
            <w:gridSpan w:val="5"/>
            <w:shd w:val="clear" w:color="auto" w:fill="007CBA"/>
          </w:tcPr>
          <w:p>
            <w:pPr>
              <w:jc w:val="center"/>
              <w:ind w:right="1195"/>
              <w:spacing w:after="0" w:line="155" w:lineRule="exact"/>
              <w:rPr>
                <w:sz w:val="20"/>
                <w:szCs w:val="20"/>
                <w:color w:val="auto"/>
              </w:rPr>
            </w:pPr>
            <w:r>
              <w:rPr>
                <w:rFonts w:ascii="Arial" w:cs="Arial" w:eastAsia="Arial" w:hAnsi="Arial"/>
                <w:sz w:val="14"/>
                <w:szCs w:val="14"/>
                <w:b w:val="1"/>
                <w:bCs w:val="1"/>
                <w:color w:val="FFFFFF"/>
              </w:rPr>
              <w:t>Total Annual Production (tons in millions)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00" w:type="dxa"/>
            <w:vAlign w:val="bottom"/>
            <w:tcBorders>
              <w:right w:val="single" w:sz="8" w:color="007CBA"/>
            </w:tcBorders>
            <w:shd w:val="clear" w:color="auto" w:fill="007CBA"/>
          </w:tcPr>
          <w:p>
            <w:pPr>
              <w:spacing w:after="0"/>
              <w:rPr>
                <w:sz w:val="15"/>
                <w:szCs w:val="15"/>
                <w:color w:val="auto"/>
              </w:rPr>
            </w:pPr>
          </w:p>
        </w:tc>
        <w:tc>
          <w:tcPr>
            <w:tcW w:w="1320" w:type="dxa"/>
            <w:vAlign w:val="bottom"/>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2140" w:type="dxa"/>
            <w:vAlign w:val="bottom"/>
            <w:gridSpan w:val="3"/>
            <w:shd w:val="clear" w:color="auto" w:fill="007CBA"/>
          </w:tcPr>
          <w:p>
            <w:pPr>
              <w:jc w:val="center"/>
              <w:ind w:right="180"/>
              <w:spacing w:after="0"/>
              <w:rPr>
                <w:sz w:val="20"/>
                <w:szCs w:val="20"/>
                <w:color w:val="auto"/>
              </w:rPr>
            </w:pPr>
            <w:r>
              <w:rPr>
                <w:rFonts w:ascii="Arial" w:cs="Arial" w:eastAsia="Arial" w:hAnsi="Arial"/>
                <w:sz w:val="14"/>
                <w:szCs w:val="14"/>
                <w:i w:val="1"/>
                <w:iCs w:val="1"/>
                <w:color w:val="FFFFFF"/>
              </w:rPr>
              <w:t>For year ended December 31</w:t>
            </w:r>
          </w:p>
        </w:tc>
        <w:tc>
          <w:tcPr>
            <w:tcW w:w="1780" w:type="dxa"/>
            <w:vAlign w:val="bottom"/>
            <w:tcBorders>
              <w:right w:val="single" w:sz="8" w:color="007CBA"/>
            </w:tcBorders>
            <w:shd w:val="clear" w:color="auto" w:fill="007CB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00" w:type="dxa"/>
            <w:vAlign w:val="bottom"/>
            <w:tcBorders>
              <w:right w:val="single" w:sz="8" w:color="007CBA"/>
            </w:tcBorders>
            <w:shd w:val="clear" w:color="auto" w:fill="007CBA"/>
          </w:tcPr>
          <w:p>
            <w:pPr>
              <w:spacing w:after="0"/>
              <w:rPr>
                <w:sz w:val="14"/>
                <w:szCs w:val="14"/>
                <w:color w:val="auto"/>
              </w:rPr>
            </w:pPr>
          </w:p>
        </w:tc>
        <w:tc>
          <w:tcPr>
            <w:tcW w:w="1320" w:type="dxa"/>
            <w:vAlign w:val="bottom"/>
            <w:shd w:val="clear" w:color="auto" w:fill="007CBA"/>
          </w:tcPr>
          <w:p>
            <w:pPr>
              <w:jc w:val="right"/>
              <w:ind w:right="68"/>
              <w:spacing w:after="0"/>
              <w:rPr>
                <w:sz w:val="20"/>
                <w:szCs w:val="20"/>
                <w:color w:val="auto"/>
              </w:rPr>
            </w:pPr>
            <w:r>
              <w:rPr>
                <w:rFonts w:ascii="Arial" w:cs="Arial" w:eastAsia="Arial" w:hAnsi="Arial"/>
                <w:sz w:val="14"/>
                <w:szCs w:val="14"/>
                <w:b w:val="1"/>
                <w:bCs w:val="1"/>
                <w:color w:val="FFFFFF"/>
              </w:rPr>
              <w:t>2025</w:t>
            </w:r>
          </w:p>
        </w:tc>
        <w:tc>
          <w:tcPr>
            <w:tcW w:w="700" w:type="dxa"/>
            <w:vAlign w:val="bottom"/>
            <w:tcBorders>
              <w:right w:val="single" w:sz="8" w:color="007CBA"/>
            </w:tcBorders>
            <w:shd w:val="clear" w:color="auto" w:fill="007CBA"/>
          </w:tcPr>
          <w:p>
            <w:pPr>
              <w:spacing w:after="0"/>
              <w:rPr>
                <w:sz w:val="14"/>
                <w:szCs w:val="14"/>
                <w:color w:val="auto"/>
              </w:rPr>
            </w:pPr>
          </w:p>
        </w:tc>
        <w:tc>
          <w:tcPr>
            <w:tcW w:w="580" w:type="dxa"/>
            <w:vAlign w:val="bottom"/>
            <w:shd w:val="clear" w:color="auto" w:fill="007CBA"/>
          </w:tcPr>
          <w:p>
            <w:pPr>
              <w:spacing w:after="0"/>
              <w:rPr>
                <w:sz w:val="14"/>
                <w:szCs w:val="14"/>
                <w:color w:val="auto"/>
              </w:rPr>
            </w:pPr>
          </w:p>
        </w:tc>
        <w:tc>
          <w:tcPr>
            <w:tcW w:w="1380" w:type="dxa"/>
            <w:vAlign w:val="bottom"/>
            <w:tcBorders>
              <w:right w:val="single" w:sz="8" w:color="007CBA"/>
            </w:tcBorders>
            <w:shd w:val="clear" w:color="auto" w:fill="007CBA"/>
          </w:tcPr>
          <w:p>
            <w:pPr>
              <w:jc w:val="right"/>
              <w:ind w:right="719"/>
              <w:spacing w:after="0"/>
              <w:rPr>
                <w:sz w:val="20"/>
                <w:szCs w:val="20"/>
                <w:color w:val="auto"/>
              </w:rPr>
            </w:pPr>
            <w:r>
              <w:rPr>
                <w:rFonts w:ascii="Arial" w:cs="Arial" w:eastAsia="Arial" w:hAnsi="Arial"/>
                <w:sz w:val="14"/>
                <w:szCs w:val="14"/>
                <w:b w:val="1"/>
                <w:bCs w:val="1"/>
                <w:color w:val="FFFFFF"/>
              </w:rPr>
              <w:t>2024</w:t>
            </w:r>
          </w:p>
        </w:tc>
        <w:tc>
          <w:tcPr>
            <w:tcW w:w="180" w:type="dxa"/>
            <w:vAlign w:val="bottom"/>
            <w:shd w:val="clear" w:color="auto" w:fill="007CBA"/>
          </w:tcPr>
          <w:p>
            <w:pPr>
              <w:spacing w:after="0"/>
              <w:rPr>
                <w:sz w:val="14"/>
                <w:szCs w:val="14"/>
                <w:color w:val="auto"/>
              </w:rPr>
            </w:pPr>
          </w:p>
        </w:tc>
        <w:tc>
          <w:tcPr>
            <w:tcW w:w="1780" w:type="dxa"/>
            <w:vAlign w:val="bottom"/>
            <w:tcBorders>
              <w:right w:val="single" w:sz="8" w:color="007CBA"/>
            </w:tcBorders>
            <w:shd w:val="clear" w:color="auto" w:fill="007CBA"/>
          </w:tcPr>
          <w:p>
            <w:pPr>
              <w:jc w:val="right"/>
              <w:ind w:right="715"/>
              <w:spacing w:after="0"/>
              <w:rPr>
                <w:sz w:val="20"/>
                <w:szCs w:val="20"/>
                <w:color w:val="auto"/>
              </w:rPr>
            </w:pPr>
            <w:r>
              <w:rPr>
                <w:rFonts w:ascii="Arial" w:cs="Arial" w:eastAsia="Arial" w:hAnsi="Arial"/>
                <w:sz w:val="14"/>
                <w:szCs w:val="14"/>
                <w:b w:val="1"/>
                <w:bCs w:val="1"/>
                <w:color w:val="FFFFFF"/>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Aggregates</w:t>
            </w:r>
          </w:p>
        </w:tc>
        <w:tc>
          <w:tcPr>
            <w:tcW w:w="132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61"/>
              <w:spacing w:after="0"/>
              <w:rPr>
                <w:sz w:val="20"/>
                <w:szCs w:val="20"/>
                <w:color w:val="auto"/>
              </w:rPr>
            </w:pPr>
            <w:r>
              <w:rPr>
                <w:rFonts w:ascii="Arial" w:cs="Arial" w:eastAsia="Arial" w:hAnsi="Arial"/>
                <w:sz w:val="16"/>
                <w:szCs w:val="16"/>
                <w:b w:val="1"/>
                <w:bCs w:val="1"/>
                <w:color w:val="auto"/>
              </w:rPr>
              <w:t>194.2</w:t>
            </w:r>
          </w:p>
        </w:tc>
        <w:tc>
          <w:tcPr>
            <w:tcW w:w="580" w:type="dxa"/>
            <w:vAlign w:val="bottom"/>
            <w:shd w:val="clear" w:color="auto" w:fill="E5F1F8"/>
          </w:tcPr>
          <w:p>
            <w:pPr>
              <w:spacing w:after="0"/>
              <w:rPr>
                <w:sz w:val="16"/>
                <w:szCs w:val="16"/>
                <w:color w:val="auto"/>
              </w:rPr>
            </w:pPr>
          </w:p>
        </w:tc>
        <w:tc>
          <w:tcPr>
            <w:tcW w:w="13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190.8</w:t>
            </w:r>
          </w:p>
        </w:tc>
        <w:tc>
          <w:tcPr>
            <w:tcW w:w="180" w:type="dxa"/>
            <w:vAlign w:val="bottom"/>
            <w:shd w:val="clear" w:color="auto" w:fill="E5F1F8"/>
          </w:tcPr>
          <w:p>
            <w:pPr>
              <w:spacing w:after="0"/>
              <w:rPr>
                <w:sz w:val="16"/>
                <w:szCs w:val="16"/>
                <w:color w:val="auto"/>
              </w:rPr>
            </w:pPr>
          </w:p>
        </w:tc>
        <w:tc>
          <w:tcPr>
            <w:tcW w:w="1780" w:type="dxa"/>
            <w:vAlign w:val="bottom"/>
            <w:tcBorders>
              <w:right w:val="single" w:sz="8" w:color="007CBA"/>
            </w:tcBorders>
            <w:shd w:val="clear" w:color="auto" w:fill="E5F1F8"/>
          </w:tcPr>
          <w:p>
            <w:pPr>
              <w:jc w:val="right"/>
              <w:ind w:right="35"/>
              <w:spacing w:after="0"/>
              <w:rPr>
                <w:sz w:val="20"/>
                <w:szCs w:val="20"/>
                <w:color w:val="auto"/>
              </w:rPr>
            </w:pPr>
            <w:r>
              <w:rPr>
                <w:rFonts w:ascii="Arial" w:cs="Arial" w:eastAsia="Arial" w:hAnsi="Arial"/>
                <w:sz w:val="16"/>
                <w:szCs w:val="16"/>
                <w:color w:val="auto"/>
              </w:rPr>
              <w:t>208.5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Cement limestone</w:t>
            </w:r>
          </w:p>
        </w:tc>
        <w:tc>
          <w:tcPr>
            <w:tcW w:w="1320" w:type="dxa"/>
            <w:vAlign w:val="bottom"/>
          </w:tcPr>
          <w:p>
            <w:pPr>
              <w:spacing w:after="0"/>
              <w:rPr>
                <w:sz w:val="16"/>
                <w:szCs w:val="16"/>
                <w:color w:val="auto"/>
              </w:rPr>
            </w:pPr>
          </w:p>
        </w:tc>
        <w:tc>
          <w:tcPr>
            <w:tcW w:w="700" w:type="dxa"/>
            <w:vAlign w:val="bottom"/>
            <w:tcBorders>
              <w:right w:val="single" w:sz="8" w:color="007CBA"/>
            </w:tcBorders>
          </w:tcPr>
          <w:p>
            <w:pPr>
              <w:jc w:val="right"/>
              <w:ind w:right="61"/>
              <w:spacing w:after="0"/>
              <w:rPr>
                <w:sz w:val="20"/>
                <w:szCs w:val="20"/>
                <w:color w:val="auto"/>
              </w:rPr>
            </w:pPr>
            <w:r>
              <w:rPr>
                <w:rFonts w:ascii="Arial" w:cs="Arial" w:eastAsia="Arial" w:hAnsi="Arial"/>
                <w:sz w:val="16"/>
                <w:szCs w:val="16"/>
                <w:b w:val="1"/>
                <w:bCs w:val="1"/>
                <w:color w:val="auto"/>
              </w:rPr>
              <w:t>2.6</w:t>
            </w:r>
          </w:p>
        </w:tc>
        <w:tc>
          <w:tcPr>
            <w:tcW w:w="580" w:type="dxa"/>
            <w:vAlign w:val="bottom"/>
          </w:tcPr>
          <w:p>
            <w:pPr>
              <w:spacing w:after="0"/>
              <w:rPr>
                <w:sz w:val="16"/>
                <w:szCs w:val="16"/>
                <w:color w:val="auto"/>
              </w:rPr>
            </w:pPr>
          </w:p>
        </w:tc>
        <w:tc>
          <w:tcPr>
            <w:tcW w:w="13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1780" w:type="dxa"/>
            <w:vAlign w:val="bottom"/>
            <w:tcBorders>
              <w:right w:val="single" w:sz="8" w:color="007CBA"/>
            </w:tcBorders>
          </w:tcPr>
          <w:p>
            <w:pPr>
              <w:jc w:val="right"/>
              <w:ind w:right="35"/>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Specialties limestone</w:t>
            </w:r>
          </w:p>
        </w:tc>
        <w:tc>
          <w:tcPr>
            <w:tcW w:w="132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61"/>
              <w:spacing w:after="0"/>
              <w:rPr>
                <w:sz w:val="20"/>
                <w:szCs w:val="20"/>
                <w:color w:val="auto"/>
              </w:rPr>
            </w:pPr>
            <w:r>
              <w:rPr>
                <w:rFonts w:ascii="Arial" w:cs="Arial" w:eastAsia="Arial" w:hAnsi="Arial"/>
                <w:sz w:val="16"/>
                <w:szCs w:val="16"/>
                <w:b w:val="1"/>
                <w:bCs w:val="1"/>
                <w:color w:val="auto"/>
              </w:rPr>
              <w:t>3.2</w:t>
            </w:r>
          </w:p>
        </w:tc>
        <w:tc>
          <w:tcPr>
            <w:tcW w:w="580" w:type="dxa"/>
            <w:vAlign w:val="bottom"/>
            <w:shd w:val="clear" w:color="auto" w:fill="E5F1F8"/>
          </w:tcPr>
          <w:p>
            <w:pPr>
              <w:spacing w:after="0"/>
              <w:rPr>
                <w:sz w:val="16"/>
                <w:szCs w:val="16"/>
                <w:color w:val="auto"/>
              </w:rPr>
            </w:pPr>
          </w:p>
        </w:tc>
        <w:tc>
          <w:tcPr>
            <w:tcW w:w="13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3.1</w:t>
            </w:r>
          </w:p>
        </w:tc>
        <w:tc>
          <w:tcPr>
            <w:tcW w:w="180" w:type="dxa"/>
            <w:vAlign w:val="bottom"/>
            <w:shd w:val="clear" w:color="auto" w:fill="E5F1F8"/>
          </w:tcPr>
          <w:p>
            <w:pPr>
              <w:spacing w:after="0"/>
              <w:rPr>
                <w:sz w:val="16"/>
                <w:szCs w:val="16"/>
                <w:color w:val="auto"/>
              </w:rPr>
            </w:pPr>
          </w:p>
        </w:tc>
        <w:tc>
          <w:tcPr>
            <w:tcW w:w="1780" w:type="dxa"/>
            <w:vAlign w:val="bottom"/>
            <w:tcBorders>
              <w:right w:val="single" w:sz="8" w:color="007CBA"/>
            </w:tcBorders>
            <w:shd w:val="clear" w:color="auto" w:fill="E5F1F8"/>
          </w:tcPr>
          <w:p>
            <w:pPr>
              <w:jc w:val="right"/>
              <w:ind w:right="35"/>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bottom w:val="single" w:sz="8" w:color="auto"/>
            </w:tcBorders>
            <w:gridSpan w:val="2"/>
          </w:tcPr>
          <w:p>
            <w:pPr>
              <w:ind w:left="60"/>
              <w:spacing w:after="0" w:line="189" w:lineRule="exact"/>
              <w:rPr>
                <w:sz w:val="20"/>
                <w:szCs w:val="20"/>
                <w:color w:val="auto"/>
              </w:rPr>
            </w:pPr>
            <w:r>
              <w:rPr>
                <w:rFonts w:ascii="Arial" w:cs="Arial" w:eastAsia="Arial" w:hAnsi="Arial"/>
                <w:sz w:val="16"/>
                <w:szCs w:val="16"/>
                <w:color w:val="auto"/>
              </w:rPr>
              <w:t>Specialties magnesite</w:t>
            </w:r>
            <w:r>
              <w:rPr>
                <w:rFonts w:ascii="Arial" w:cs="Arial" w:eastAsia="Arial" w:hAnsi="Arial"/>
                <w:sz w:val="21"/>
                <w:szCs w:val="21"/>
                <w:color w:val="auto"/>
                <w:vertAlign w:val="superscript"/>
              </w:rPr>
              <w:t>1</w:t>
            </w: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0.2</w:t>
            </w:r>
          </w:p>
        </w:tc>
        <w:tc>
          <w:tcPr>
            <w:tcW w:w="5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auto"/>
            </w:tcBorders>
            <w:gridSpan w:val="2"/>
            <w:shd w:val="clear" w:color="auto" w:fill="E5F1F8"/>
          </w:tcPr>
          <w:p>
            <w:pPr>
              <w:ind w:left="60"/>
              <w:spacing w:after="0" w:line="183" w:lineRule="exact"/>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right w:val="single" w:sz="8" w:color="E5F1F8"/>
            </w:tcBorders>
            <w:shd w:val="clear" w:color="auto" w:fill="E5F1F8"/>
          </w:tcPr>
          <w:p>
            <w:pPr>
              <w:jc w:val="right"/>
              <w:ind w:right="61"/>
              <w:spacing w:after="0" w:line="183" w:lineRule="exact"/>
              <w:rPr>
                <w:sz w:val="20"/>
                <w:szCs w:val="20"/>
                <w:color w:val="auto"/>
              </w:rPr>
            </w:pPr>
            <w:r>
              <w:rPr>
                <w:rFonts w:ascii="Arial" w:cs="Arial" w:eastAsia="Arial" w:hAnsi="Arial"/>
                <w:sz w:val="16"/>
                <w:szCs w:val="16"/>
                <w:b w:val="1"/>
                <w:bCs w:val="1"/>
                <w:color w:val="auto"/>
              </w:rPr>
              <w:t>200.2</w:t>
            </w:r>
          </w:p>
        </w:tc>
        <w:tc>
          <w:tcPr>
            <w:tcW w:w="580" w:type="dxa"/>
            <w:vAlign w:val="bottom"/>
            <w:tcBorders>
              <w:bottom w:val="single" w:sz="8" w:color="auto"/>
            </w:tcBorders>
            <w:shd w:val="clear" w:color="auto" w:fill="E5F1F8"/>
          </w:tcPr>
          <w:p>
            <w:pPr>
              <w:spacing w:after="0"/>
              <w:rPr>
                <w:sz w:val="15"/>
                <w:szCs w:val="15"/>
                <w:color w:val="auto"/>
              </w:rPr>
            </w:pPr>
          </w:p>
        </w:tc>
        <w:tc>
          <w:tcPr>
            <w:tcW w:w="1380" w:type="dxa"/>
            <w:vAlign w:val="bottom"/>
            <w:tcBorders>
              <w:bottom w:val="single" w:sz="8" w:color="auto"/>
              <w:right w:val="single" w:sz="8" w:color="E5F1F8"/>
            </w:tcBorders>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197.2</w:t>
            </w:r>
          </w:p>
        </w:tc>
        <w:tc>
          <w:tcPr>
            <w:tcW w:w="180" w:type="dxa"/>
            <w:vAlign w:val="bottom"/>
            <w:tcBorders>
              <w:bottom w:val="single" w:sz="8" w:color="auto"/>
            </w:tcBorders>
            <w:shd w:val="clear" w:color="auto" w:fill="E5F1F8"/>
          </w:tcPr>
          <w:p>
            <w:pPr>
              <w:spacing w:after="0"/>
              <w:rPr>
                <w:sz w:val="15"/>
                <w:szCs w:val="15"/>
                <w:color w:val="auto"/>
              </w:rPr>
            </w:pPr>
          </w:p>
        </w:tc>
        <w:tc>
          <w:tcPr>
            <w:tcW w:w="1780" w:type="dxa"/>
            <w:vAlign w:val="bottom"/>
            <w:tcBorders>
              <w:bottom w:val="single" w:sz="8" w:color="auto"/>
              <w:right w:val="single" w:sz="8" w:color="E5F1F8"/>
            </w:tcBorders>
            <w:shd w:val="clear" w:color="auto" w:fill="E5F1F8"/>
          </w:tcPr>
          <w:p>
            <w:pPr>
              <w:jc w:val="right"/>
              <w:ind w:right="35"/>
              <w:spacing w:after="0" w:line="183" w:lineRule="exact"/>
              <w:rPr>
                <w:sz w:val="20"/>
                <w:szCs w:val="20"/>
                <w:color w:val="auto"/>
              </w:rPr>
            </w:pPr>
            <w:r>
              <w:rPr>
                <w:rFonts w:ascii="Arial" w:cs="Arial" w:eastAsia="Arial" w:hAnsi="Arial"/>
                <w:sz w:val="16"/>
                <w:szCs w:val="16"/>
                <w:color w:val="auto"/>
              </w:rPr>
              <w:t>218.1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-728345</wp:posOffset>
            </wp:positionV>
            <wp:extent cx="36690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-269240</wp:posOffset>
            </wp:positionV>
            <wp:extent cx="33655" cy="282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28257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-269240</wp:posOffset>
            </wp:positionV>
            <wp:extent cx="33655" cy="282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28257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-269240</wp:posOffset>
            </wp:positionV>
            <wp:extent cx="33655" cy="282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28257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4"/>
          <w:szCs w:val="14"/>
          <w:i w:val="1"/>
          <w:iCs w:val="1"/>
          <w:color w:val="auto"/>
        </w:rPr>
        <w:t xml:space="preserve"> Production tons presented for period of ownership.</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Cement</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the Company processed and shipped cement from its production facility in Midlothian, Texas, south of Dallas/Fort Worth. This facility is located on land owned by the Company free of major encumbrances. The following table summarizes certain information about the Company’s cement production facility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29210</wp:posOffset>
            </wp:positionV>
            <wp:extent cx="137160" cy="685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68516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shd w:val="clear" w:color="auto" w:fill="007CBA"/>
          </w:tcPr>
          <w:p>
            <w:pPr>
              <w:spacing w:after="0"/>
              <w:rPr>
                <w:sz w:val="14"/>
                <w:szCs w:val="14"/>
                <w:color w:val="auto"/>
              </w:rPr>
            </w:pPr>
          </w:p>
        </w:tc>
        <w:tc>
          <w:tcPr>
            <w:tcW w:w="1460" w:type="dxa"/>
            <w:vAlign w:val="bottom"/>
            <w:shd w:val="clear" w:color="auto" w:fill="007CBA"/>
          </w:tcPr>
          <w:p>
            <w:pPr>
              <w:jc w:val="center"/>
              <w:ind w:right="47"/>
              <w:spacing w:after="0"/>
              <w:rPr>
                <w:sz w:val="20"/>
                <w:szCs w:val="20"/>
                <w:color w:val="auto"/>
              </w:rPr>
            </w:pPr>
            <w:r>
              <w:rPr>
                <w:rFonts w:ascii="Arial" w:cs="Arial" w:eastAsia="Arial" w:hAnsi="Arial"/>
                <w:sz w:val="14"/>
                <w:szCs w:val="14"/>
                <w:b w:val="1"/>
                <w:bCs w:val="1"/>
                <w:color w:val="FFFFFF"/>
              </w:rPr>
              <w:t>Rated Annual</w:t>
            </w:r>
          </w:p>
        </w:tc>
        <w:tc>
          <w:tcPr>
            <w:tcW w:w="1740" w:type="dxa"/>
            <w:vAlign w:val="bottom"/>
            <w:shd w:val="clear" w:color="auto" w:fill="007CBA"/>
          </w:tcPr>
          <w:p>
            <w:pPr>
              <w:spacing w:after="0"/>
              <w:rPr>
                <w:sz w:val="14"/>
                <w:szCs w:val="14"/>
                <w:color w:val="auto"/>
              </w:rPr>
            </w:pPr>
          </w:p>
        </w:tc>
        <w:tc>
          <w:tcPr>
            <w:tcW w:w="1600" w:type="dxa"/>
            <w:vAlign w:val="bottom"/>
            <w:shd w:val="clear" w:color="auto" w:fill="007CBA"/>
          </w:tcPr>
          <w:p>
            <w:pPr>
              <w:spacing w:after="0"/>
              <w:rPr>
                <w:sz w:val="14"/>
                <w:szCs w:val="14"/>
                <w:color w:val="auto"/>
              </w:rPr>
            </w:pPr>
          </w:p>
        </w:tc>
        <w:tc>
          <w:tcPr>
            <w:tcW w:w="1800" w:type="dxa"/>
            <w:vAlign w:val="bottom"/>
            <w:shd w:val="clear" w:color="auto" w:fill="007CBA"/>
          </w:tcPr>
          <w:p>
            <w:pPr>
              <w:spacing w:after="0"/>
              <w:rPr>
                <w:sz w:val="14"/>
                <w:szCs w:val="14"/>
                <w:color w:val="auto"/>
              </w:rPr>
            </w:pPr>
          </w:p>
        </w:tc>
      </w:tr>
      <w:tr>
        <w:trPr>
          <w:trHeight w:val="162"/>
        </w:trPr>
        <w:tc>
          <w:tcPr>
            <w:tcW w:w="4640" w:type="dxa"/>
            <w:vAlign w:val="bottom"/>
            <w:shd w:val="clear" w:color="auto" w:fill="007CBA"/>
          </w:tcPr>
          <w:p>
            <w:pPr>
              <w:spacing w:after="0"/>
              <w:rPr>
                <w:sz w:val="14"/>
                <w:szCs w:val="14"/>
                <w:color w:val="auto"/>
              </w:rPr>
            </w:pPr>
          </w:p>
        </w:tc>
        <w:tc>
          <w:tcPr>
            <w:tcW w:w="1460" w:type="dxa"/>
            <w:vAlign w:val="bottom"/>
            <w:shd w:val="clear" w:color="auto" w:fill="007CBA"/>
          </w:tcPr>
          <w:p>
            <w:pPr>
              <w:jc w:val="center"/>
              <w:ind w:right="47"/>
              <w:spacing w:after="0"/>
              <w:rPr>
                <w:sz w:val="20"/>
                <w:szCs w:val="20"/>
                <w:color w:val="auto"/>
              </w:rPr>
            </w:pPr>
            <w:r>
              <w:rPr>
                <w:rFonts w:ascii="Arial" w:cs="Arial" w:eastAsia="Arial" w:hAnsi="Arial"/>
                <w:sz w:val="14"/>
                <w:szCs w:val="14"/>
                <w:b w:val="1"/>
                <w:bCs w:val="1"/>
                <w:color w:val="FFFFFF"/>
              </w:rPr>
              <w:t>Productive</w:t>
            </w:r>
          </w:p>
        </w:tc>
        <w:tc>
          <w:tcPr>
            <w:tcW w:w="1740" w:type="dxa"/>
            <w:vAlign w:val="bottom"/>
            <w:shd w:val="clear" w:color="auto" w:fill="007CBA"/>
          </w:tcPr>
          <w:p>
            <w:pPr>
              <w:spacing w:after="0"/>
              <w:rPr>
                <w:sz w:val="14"/>
                <w:szCs w:val="14"/>
                <w:color w:val="auto"/>
              </w:rPr>
            </w:pPr>
          </w:p>
        </w:tc>
        <w:tc>
          <w:tcPr>
            <w:tcW w:w="1600" w:type="dxa"/>
            <w:vAlign w:val="bottom"/>
            <w:shd w:val="clear" w:color="auto" w:fill="007CBA"/>
          </w:tcPr>
          <w:p>
            <w:pPr>
              <w:spacing w:after="0"/>
              <w:rPr>
                <w:sz w:val="14"/>
                <w:szCs w:val="14"/>
                <w:color w:val="auto"/>
              </w:rPr>
            </w:pPr>
          </w:p>
        </w:tc>
        <w:tc>
          <w:tcPr>
            <w:tcW w:w="1800" w:type="dxa"/>
            <w:vAlign w:val="bottom"/>
            <w:shd w:val="clear" w:color="auto" w:fill="007CBA"/>
          </w:tcPr>
          <w:p>
            <w:pPr>
              <w:spacing w:after="0"/>
              <w:rPr>
                <w:sz w:val="14"/>
                <w:szCs w:val="14"/>
                <w:color w:val="auto"/>
              </w:rPr>
            </w:pPr>
          </w:p>
        </w:tc>
      </w:tr>
      <w:tr>
        <w:trPr>
          <w:trHeight w:val="162"/>
        </w:trPr>
        <w:tc>
          <w:tcPr>
            <w:tcW w:w="4640" w:type="dxa"/>
            <w:vAlign w:val="bottom"/>
            <w:shd w:val="clear" w:color="auto" w:fill="007CBA"/>
          </w:tcPr>
          <w:p>
            <w:pPr>
              <w:spacing w:after="0"/>
              <w:rPr>
                <w:sz w:val="14"/>
                <w:szCs w:val="14"/>
                <w:color w:val="auto"/>
              </w:rPr>
            </w:pPr>
          </w:p>
        </w:tc>
        <w:tc>
          <w:tcPr>
            <w:tcW w:w="1460" w:type="dxa"/>
            <w:vAlign w:val="bottom"/>
            <w:shd w:val="clear" w:color="auto" w:fill="007CBA"/>
          </w:tcPr>
          <w:p>
            <w:pPr>
              <w:jc w:val="center"/>
              <w:ind w:right="47"/>
              <w:spacing w:after="0"/>
              <w:rPr>
                <w:sz w:val="20"/>
                <w:szCs w:val="20"/>
                <w:color w:val="auto"/>
              </w:rPr>
            </w:pPr>
            <w:r>
              <w:rPr>
                <w:rFonts w:ascii="Arial" w:cs="Arial" w:eastAsia="Arial" w:hAnsi="Arial"/>
                <w:sz w:val="14"/>
                <w:szCs w:val="14"/>
                <w:b w:val="1"/>
                <w:bCs w:val="1"/>
                <w:color w:val="FFFFFF"/>
              </w:rPr>
              <w:t>Capacity-Tons</w:t>
            </w:r>
          </w:p>
        </w:tc>
        <w:tc>
          <w:tcPr>
            <w:tcW w:w="1740" w:type="dxa"/>
            <w:vAlign w:val="bottom"/>
            <w:shd w:val="clear" w:color="auto" w:fill="007CBA"/>
          </w:tcPr>
          <w:p>
            <w:pPr>
              <w:spacing w:after="0"/>
              <w:rPr>
                <w:sz w:val="14"/>
                <w:szCs w:val="14"/>
                <w:color w:val="auto"/>
              </w:rPr>
            </w:pPr>
          </w:p>
        </w:tc>
        <w:tc>
          <w:tcPr>
            <w:tcW w:w="1600" w:type="dxa"/>
            <w:vAlign w:val="bottom"/>
            <w:shd w:val="clear" w:color="auto" w:fill="007CBA"/>
          </w:tcPr>
          <w:p>
            <w:pPr>
              <w:spacing w:after="0"/>
              <w:rPr>
                <w:sz w:val="14"/>
                <w:szCs w:val="14"/>
                <w:color w:val="auto"/>
              </w:rPr>
            </w:pPr>
          </w:p>
        </w:tc>
        <w:tc>
          <w:tcPr>
            <w:tcW w:w="18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Internally</w:t>
            </w:r>
          </w:p>
        </w:tc>
      </w:tr>
      <w:tr>
        <w:trPr>
          <w:trHeight w:val="162"/>
        </w:trPr>
        <w:tc>
          <w:tcPr>
            <w:tcW w:w="4640" w:type="dxa"/>
            <w:vAlign w:val="bottom"/>
            <w:shd w:val="clear" w:color="auto" w:fill="007CBA"/>
          </w:tcPr>
          <w:p>
            <w:pPr>
              <w:spacing w:after="0"/>
              <w:rPr>
                <w:sz w:val="14"/>
                <w:szCs w:val="14"/>
                <w:color w:val="auto"/>
              </w:rPr>
            </w:pPr>
          </w:p>
        </w:tc>
        <w:tc>
          <w:tcPr>
            <w:tcW w:w="1460" w:type="dxa"/>
            <w:vAlign w:val="bottom"/>
            <w:shd w:val="clear" w:color="auto" w:fill="007CBA"/>
          </w:tcPr>
          <w:p>
            <w:pPr>
              <w:jc w:val="center"/>
              <w:ind w:right="47"/>
              <w:spacing w:after="0"/>
              <w:rPr>
                <w:sz w:val="20"/>
                <w:szCs w:val="20"/>
                <w:color w:val="auto"/>
              </w:rPr>
            </w:pPr>
            <w:r>
              <w:rPr>
                <w:rFonts w:ascii="Arial" w:cs="Arial" w:eastAsia="Arial" w:hAnsi="Arial"/>
                <w:sz w:val="14"/>
                <w:szCs w:val="14"/>
                <w:b w:val="1"/>
                <w:bCs w:val="1"/>
                <w:color w:val="FFFFFF"/>
              </w:rPr>
              <w:t>of Clinker</w:t>
            </w: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Manufacturing</w:t>
            </w:r>
          </w:p>
        </w:tc>
        <w:tc>
          <w:tcPr>
            <w:tcW w:w="1600" w:type="dxa"/>
            <w:vAlign w:val="bottom"/>
            <w:shd w:val="clear" w:color="auto" w:fill="007CBA"/>
          </w:tcPr>
          <w:p>
            <w:pPr>
              <w:spacing w:after="0"/>
              <w:rPr>
                <w:sz w:val="14"/>
                <w:szCs w:val="14"/>
                <w:color w:val="auto"/>
              </w:rPr>
            </w:pPr>
          </w:p>
        </w:tc>
        <w:tc>
          <w:tcPr>
            <w:tcW w:w="18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Estimated</w:t>
            </w:r>
          </w:p>
        </w:tc>
      </w:tr>
      <w:tr>
        <w:trPr>
          <w:trHeight w:val="185"/>
        </w:trPr>
        <w:tc>
          <w:tcPr>
            <w:tcW w:w="4640" w:type="dxa"/>
            <w:vAlign w:val="bottom"/>
            <w:shd w:val="clear" w:color="auto" w:fill="007CBA"/>
          </w:tcPr>
          <w:p>
            <w:pPr>
              <w:ind w:left="40"/>
              <w:spacing w:after="0"/>
              <w:rPr>
                <w:sz w:val="20"/>
                <w:szCs w:val="20"/>
                <w:color w:val="auto"/>
              </w:rPr>
            </w:pPr>
            <w:r>
              <w:rPr>
                <w:rFonts w:ascii="Arial" w:cs="Arial" w:eastAsia="Arial" w:hAnsi="Arial"/>
                <w:sz w:val="14"/>
                <w:szCs w:val="14"/>
                <w:b w:val="1"/>
                <w:bCs w:val="1"/>
                <w:color w:val="FFFFFF"/>
              </w:rPr>
              <w:t>Plant</w:t>
            </w:r>
          </w:p>
        </w:tc>
        <w:tc>
          <w:tcPr>
            <w:tcW w:w="1460" w:type="dxa"/>
            <w:vAlign w:val="bottom"/>
            <w:shd w:val="clear" w:color="auto" w:fill="007CBA"/>
          </w:tcPr>
          <w:p>
            <w:pPr>
              <w:jc w:val="center"/>
              <w:ind w:right="47"/>
              <w:spacing w:after="0"/>
              <w:rPr>
                <w:sz w:val="20"/>
                <w:szCs w:val="20"/>
                <w:color w:val="auto"/>
              </w:rPr>
            </w:pPr>
            <w:r>
              <w:rPr>
                <w:rFonts w:ascii="Arial" w:cs="Arial" w:eastAsia="Arial" w:hAnsi="Arial"/>
                <w:sz w:val="14"/>
                <w:szCs w:val="14"/>
                <w:b w:val="1"/>
                <w:bCs w:val="1"/>
                <w:color w:val="FFFFFF"/>
              </w:rPr>
              <w:t>(in millions)</w:t>
            </w: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Process</w:t>
            </w:r>
          </w:p>
        </w:tc>
        <w:tc>
          <w:tcPr>
            <w:tcW w:w="16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Service Date</w:t>
            </w:r>
          </w:p>
        </w:tc>
        <w:tc>
          <w:tcPr>
            <w:tcW w:w="18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Reserves—Years</w:t>
            </w:r>
          </w:p>
        </w:tc>
      </w:tr>
      <w:tr>
        <w:trPr>
          <w:trHeight w:val="18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Midlothian, TX</w:t>
            </w: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2.4</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Dry</w:t>
            </w:r>
          </w:p>
        </w:tc>
        <w:tc>
          <w:tcPr>
            <w:tcW w:w="16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2001</w:t>
            </w:r>
          </w:p>
        </w:tc>
        <w:tc>
          <w:tcPr>
            <w:tcW w:w="18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-140970</wp:posOffset>
            </wp:positionV>
            <wp:extent cx="3429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-140970</wp:posOffset>
            </wp:positionV>
            <wp:extent cx="3365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-140970</wp:posOffset>
            </wp:positionV>
            <wp:extent cx="3429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154305"/>
                    </a:xfrm>
                    <a:prstGeom prst="rect">
                      <a:avLst/>
                    </a:prstGeom>
                    <a:noFill/>
                  </pic:spPr>
                </pic:pic>
              </a:graphicData>
            </a:graphic>
          </wp:anchor>
        </w:drawing>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Reserves identified with the facility shown above are contained on approximately 1,400 acres of land owned by the Company. As of December 31, 2025, the Company estimated its total proven and probable limestone reserves on such land to be approximately 212 million tons, which are included in the Summary Mineral Reserves table.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cement manufacturing facility includes kilns, crushers, pre-heaters/calciners, coolers, finish mills and other equipment used to process limestone and other raw materials into cement, as well as equipment used to extract and transport the limestone from the adjacent quarries. This cement manufacturing facility is served by rail and truck.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Company also operated, directly or through third parties, 4 cement distribution terminals.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cement operations are classified as assets held for sale as of December 31, 2025.</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Specialties Business</w:t>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Specialties business currently operates major manufacturing facilities in Woodville, Ohio; Manistee, Michigan; Gabbs, Nevada; Waynesville, North Carolina; Greendale, Indiana; and Aspers, Pennsylvania. All of these facilities are owned.</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Properties</w:t>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principal corporate office, which it leases, is located in Raleigh, North Carolina. The Company owns and leases various administrative offices for its five operating business segments.</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Condition and Utilization</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principal properties, which are of varying ages and construction types, are believed to be generally in good condition, are generally well maintained, and are generally suitable and adequate for the purposes for which they are used.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2025, the principal properties of the aggregates operations were believed to be utilized at average productive capacities of approximately 68% and could support a higher level of market demand. The Company adjusts its production schedules to meet volume demand for its products.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 Midlothian, Texas cement kiln operated on average at 61% utilization.</w:t>
      </w:r>
    </w:p>
    <w:p>
      <w:pPr>
        <w:spacing w:after="0" w:line="104" w:lineRule="exact"/>
        <w:rPr>
          <w:sz w:val="20"/>
          <w:szCs w:val="20"/>
          <w:color w:val="auto"/>
        </w:rPr>
      </w:pPr>
    </w:p>
    <w:p>
      <w:pPr>
        <w:ind w:right="760"/>
        <w:spacing w:after="0" w:line="374" w:lineRule="auto"/>
        <w:rPr>
          <w:sz w:val="20"/>
          <w:szCs w:val="20"/>
          <w:color w:val="auto"/>
        </w:rPr>
      </w:pPr>
      <w:r>
        <w:rPr>
          <w:rFonts w:ascii="Arial" w:cs="Arial" w:eastAsia="Arial" w:hAnsi="Arial"/>
          <w:sz w:val="18"/>
          <w:szCs w:val="18"/>
          <w:color w:val="auto"/>
        </w:rPr>
        <w:t xml:space="preserve">Both the magnesia-based and dolomitic lime businesses of the Specialties segment operated on average at 73% utilization in 2025. Form 10-K </w:t>
      </w:r>
      <w:r>
        <w:rPr>
          <w:rFonts w:ascii="Arial" w:cs="Arial" w:eastAsia="Arial" w:hAnsi="Arial"/>
          <w:sz w:val="23"/>
          <w:szCs w:val="23"/>
          <w:color w:val="0070C0"/>
        </w:rPr>
        <w:t>♦</w:t>
      </w:r>
      <w:r>
        <w:rPr>
          <w:rFonts w:ascii="Arial" w:cs="Arial" w:eastAsia="Arial" w:hAnsi="Arial"/>
          <w:sz w:val="18"/>
          <w:szCs w:val="18"/>
          <w:color w:val="auto"/>
        </w:rPr>
        <w:t xml:space="preserve">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-265430</wp:posOffset>
            </wp:positionV>
            <wp:extent cx="325755"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Information About Our Executive Officers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 LEGAL PROCEEDINGS</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management cannot assure that an adverse outcome in any of such litigation would not have a material adverse effect on the Company or its operating segments.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was not required to pay any penalties in 2025 for failure to disclose certain “reportable transactions” under Section 6707A of the Internal Revenue Code.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u w:val="single" w:color="auto"/>
          <w:color w:val="007DC6"/>
        </w:rPr>
        <w:t>Note N: Commitments and Contingencies</w:t>
      </w:r>
      <w:r>
        <w:rPr>
          <w:rFonts w:ascii="Arial" w:cs="Arial" w:eastAsia="Arial" w:hAnsi="Arial"/>
          <w:sz w:val="18"/>
          <w:szCs w:val="18"/>
          <w:color w:val="auto"/>
        </w:rPr>
        <w:t xml:space="preserve"> of the </w:t>
      </w:r>
      <w:r>
        <w:rPr>
          <w:rFonts w:ascii="Arial" w:cs="Arial" w:eastAsia="Arial" w:hAnsi="Arial"/>
          <w:sz w:val="18"/>
          <w:szCs w:val="18"/>
          <w:u w:val="single" w:color="auto"/>
          <w:color w:val="007DC6"/>
        </w:rPr>
        <w:t>Notes to Financial Statements</w:t>
      </w:r>
      <w:r>
        <w:rPr>
          <w:rFonts w:ascii="Arial" w:cs="Arial" w:eastAsia="Arial" w:hAnsi="Arial"/>
          <w:sz w:val="18"/>
          <w:szCs w:val="18"/>
          <w:color w:val="auto"/>
        </w:rPr>
        <w:t xml:space="preserve"> of the Company’s consolidated financial statements included under </w:t>
      </w:r>
      <w:r>
        <w:rPr>
          <w:rFonts w:ascii="Arial" w:cs="Arial" w:eastAsia="Arial" w:hAnsi="Arial"/>
          <w:sz w:val="18"/>
          <w:szCs w:val="18"/>
          <w:u w:val="single" w:color="auto"/>
          <w:color w:val="007DC6"/>
        </w:rPr>
        <w:t>Item 8, Financial Statements and Supplemental Data</w:t>
      </w:r>
      <w:r>
        <w:rPr>
          <w:rFonts w:ascii="Arial" w:cs="Arial" w:eastAsia="Arial" w:hAnsi="Arial"/>
          <w:sz w:val="18"/>
          <w:szCs w:val="18"/>
          <w:color w:val="auto"/>
        </w:rPr>
        <w:t xml:space="preserve"> of this Form 10-K and the </w:t>
      </w:r>
      <w:r>
        <w:rPr>
          <w:rFonts w:ascii="Arial" w:cs="Arial" w:eastAsia="Arial" w:hAnsi="Arial"/>
          <w:sz w:val="18"/>
          <w:szCs w:val="18"/>
          <w:u w:val="single" w:color="auto"/>
          <w:color w:val="007DC6"/>
        </w:rPr>
        <w:t>Environmental Regulation and Litigation</w:t>
      </w:r>
      <w:r>
        <w:rPr>
          <w:rFonts w:ascii="Arial" w:cs="Arial" w:eastAsia="Arial" w:hAnsi="Arial"/>
          <w:sz w:val="18"/>
          <w:szCs w:val="18"/>
          <w:color w:val="auto"/>
        </w:rPr>
        <w:t xml:space="preserve"> section included under </w:t>
      </w:r>
      <w:r>
        <w:rPr>
          <w:rFonts w:ascii="Arial" w:cs="Arial" w:eastAsia="Arial" w:hAnsi="Arial"/>
          <w:sz w:val="18"/>
          <w:szCs w:val="18"/>
          <w:u w:val="single" w:color="auto"/>
          <w:color w:val="007DC6"/>
        </w:rPr>
        <w:t>Item 7, Management’s Discussion and Analysis of Financial Condition and Results of Operations</w:t>
      </w:r>
      <w:r>
        <w:rPr>
          <w:rFonts w:ascii="Arial" w:cs="Arial" w:eastAsia="Arial" w:hAnsi="Arial"/>
          <w:sz w:val="18"/>
          <w:szCs w:val="18"/>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-291465</wp:posOffset>
            </wp:positionV>
            <wp:extent cx="40011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01135" cy="8255"/>
                    </a:xfrm>
                    <a:prstGeom prst="rect">
                      <a:avLst/>
                    </a:prstGeom>
                    <a:noFill/>
                  </pic:spPr>
                </pic:pic>
              </a:graphicData>
            </a:graphic>
          </wp:anchor>
        </w:drawing>
        <w:drawing>
          <wp:anchor simplePos="0" relativeHeight="251657728" behindDoc="1" locked="0" layoutInCell="0" allowOverlap="1">
            <wp:simplePos x="0" y="0"/>
            <wp:positionH relativeFrom="column">
              <wp:posOffset>812165</wp:posOffset>
            </wp:positionH>
            <wp:positionV relativeFrom="paragraph">
              <wp:posOffset>-163195</wp:posOffset>
            </wp:positionV>
            <wp:extent cx="6320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201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-34290</wp:posOffset>
            </wp:positionV>
            <wp:extent cx="4877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 MINE SAFETY DISCLOSURES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information concerning mine safety violations or other regulatory matters required by Section 1503(a) of the Dodd-Frank Wall Street Reform and Consumer Protection Act and Item 104 of Regulation S-K (17 CFR 229.104) is included in </w:t>
      </w:r>
      <w:r>
        <w:rPr>
          <w:rFonts w:ascii="Arial" w:cs="Arial" w:eastAsia="Arial" w:hAnsi="Arial"/>
          <w:sz w:val="18"/>
          <w:szCs w:val="18"/>
          <w:u w:val="single" w:color="auto"/>
          <w:color w:val="0563C1"/>
        </w:rPr>
        <w:t>Exhibit 95</w:t>
      </w:r>
      <w:r>
        <w:rPr>
          <w:rFonts w:ascii="Arial" w:cs="Arial" w:eastAsia="Arial" w:hAnsi="Arial"/>
          <w:sz w:val="18"/>
          <w:szCs w:val="18"/>
          <w:color w:val="auto"/>
        </w:rPr>
        <w:t xml:space="preserve">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-44450</wp:posOffset>
            </wp:positionV>
            <wp:extent cx="5016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Information about our Executive Officers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the executive officers of Martin Marietta as of February 19, 2026:</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920" w:type="dxa"/>
            <w:vAlign w:val="bottom"/>
            <w:tcBorders>
              <w:right w:val="single" w:sz="8" w:color="007CBA"/>
            </w:tcBorders>
            <w:shd w:val="clear" w:color="auto" w:fill="007CBA"/>
          </w:tcPr>
          <w:p>
            <w:pPr>
              <w:spacing w:after="0"/>
              <w:rPr>
                <w:sz w:val="16"/>
                <w:szCs w:val="16"/>
                <w:color w:val="auto"/>
              </w:rPr>
            </w:pPr>
          </w:p>
        </w:tc>
        <w:tc>
          <w:tcPr>
            <w:tcW w:w="560" w:type="dxa"/>
            <w:vAlign w:val="bottom"/>
            <w:tcBorders>
              <w:right w:val="single" w:sz="8" w:color="007CBA"/>
            </w:tcBorders>
            <w:shd w:val="clear" w:color="auto" w:fill="007CBA"/>
          </w:tcPr>
          <w:p>
            <w:pPr>
              <w:spacing w:after="0"/>
              <w:rPr>
                <w:sz w:val="16"/>
                <w:szCs w:val="16"/>
                <w:color w:val="auto"/>
              </w:rPr>
            </w:pPr>
          </w:p>
        </w:tc>
        <w:tc>
          <w:tcPr>
            <w:tcW w:w="2700" w:type="dxa"/>
            <w:vAlign w:val="bottom"/>
            <w:tcBorders>
              <w:right w:val="single" w:sz="8" w:color="007CBA"/>
            </w:tcBorders>
            <w:shd w:val="clear" w:color="auto" w:fill="007CBA"/>
          </w:tcPr>
          <w:p>
            <w:pPr>
              <w:spacing w:after="0"/>
              <w:rPr>
                <w:sz w:val="16"/>
                <w:szCs w:val="16"/>
                <w:color w:val="auto"/>
              </w:rPr>
            </w:pPr>
          </w:p>
        </w:tc>
        <w:tc>
          <w:tcPr>
            <w:tcW w:w="14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Year Assumed</w:t>
            </w:r>
          </w:p>
        </w:tc>
        <w:tc>
          <w:tcPr>
            <w:tcW w:w="4460" w:type="dxa"/>
            <w:vAlign w:val="bottom"/>
            <w:shd w:val="clear" w:color="auto" w:fill="007CBA"/>
          </w:tcPr>
          <w:p>
            <w:pPr>
              <w:ind w:left="840"/>
              <w:spacing w:after="0"/>
              <w:rPr>
                <w:sz w:val="20"/>
                <w:szCs w:val="20"/>
                <w:color w:val="auto"/>
              </w:rPr>
            </w:pPr>
            <w:r>
              <w:rPr>
                <w:rFonts w:ascii="Arial" w:cs="Arial" w:eastAsia="Arial" w:hAnsi="Arial"/>
                <w:sz w:val="16"/>
                <w:szCs w:val="16"/>
                <w:b w:val="1"/>
                <w:bCs w:val="1"/>
                <w:color w:val="FFFFFF"/>
              </w:rPr>
              <w:t>Other Positions and Other Business</w:t>
            </w:r>
          </w:p>
        </w:tc>
      </w:tr>
      <w:tr>
        <w:trPr>
          <w:trHeight w:val="203"/>
        </w:trPr>
        <w:tc>
          <w:tcPr>
            <w:tcW w:w="1920" w:type="dxa"/>
            <w:vAlign w:val="bottom"/>
            <w:tcBorders>
              <w:right w:val="single" w:sz="8" w:color="007CBA"/>
            </w:tcBorders>
            <w:shd w:val="clear" w:color="auto" w:fill="007CBA"/>
          </w:tcPr>
          <w:p>
            <w:pPr>
              <w:ind w:left="740"/>
              <w:spacing w:after="0"/>
              <w:rPr>
                <w:sz w:val="20"/>
                <w:szCs w:val="20"/>
                <w:color w:val="auto"/>
              </w:rPr>
            </w:pPr>
            <w:r>
              <w:rPr>
                <w:rFonts w:ascii="Arial" w:cs="Arial" w:eastAsia="Arial" w:hAnsi="Arial"/>
                <w:sz w:val="16"/>
                <w:szCs w:val="16"/>
                <w:b w:val="1"/>
                <w:bCs w:val="1"/>
                <w:color w:val="FFFFFF"/>
              </w:rPr>
              <w:t>Name</w:t>
            </w:r>
          </w:p>
        </w:tc>
        <w:tc>
          <w:tcPr>
            <w:tcW w:w="5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Age</w:t>
            </w:r>
          </w:p>
        </w:tc>
        <w:tc>
          <w:tcPr>
            <w:tcW w:w="2700" w:type="dxa"/>
            <w:vAlign w:val="bottom"/>
            <w:tcBorders>
              <w:right w:val="single" w:sz="8" w:color="007CBA"/>
            </w:tcBorders>
            <w:shd w:val="clear" w:color="auto" w:fill="007CBA"/>
          </w:tcPr>
          <w:p>
            <w:pPr>
              <w:ind w:left="700"/>
              <w:spacing w:after="0"/>
              <w:rPr>
                <w:sz w:val="20"/>
                <w:szCs w:val="20"/>
                <w:color w:val="auto"/>
              </w:rPr>
            </w:pPr>
            <w:r>
              <w:rPr>
                <w:rFonts w:ascii="Arial" w:cs="Arial" w:eastAsia="Arial" w:hAnsi="Arial"/>
                <w:sz w:val="16"/>
                <w:szCs w:val="16"/>
                <w:b w:val="1"/>
                <w:bCs w:val="1"/>
                <w:color w:val="FFFFFF"/>
              </w:rPr>
              <w:t>Present Position</w:t>
            </w:r>
          </w:p>
        </w:tc>
        <w:tc>
          <w:tcPr>
            <w:tcW w:w="14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Present Position</w:t>
            </w:r>
          </w:p>
        </w:tc>
        <w:tc>
          <w:tcPr>
            <w:tcW w:w="4460" w:type="dxa"/>
            <w:vAlign w:val="bottom"/>
            <w:shd w:val="clear" w:color="auto" w:fill="007CBA"/>
          </w:tcPr>
          <w:p>
            <w:pPr>
              <w:ind w:left="760"/>
              <w:spacing w:after="0"/>
              <w:rPr>
                <w:sz w:val="20"/>
                <w:szCs w:val="20"/>
                <w:color w:val="auto"/>
              </w:rPr>
            </w:pPr>
            <w:r>
              <w:rPr>
                <w:rFonts w:ascii="Arial" w:cs="Arial" w:eastAsia="Arial" w:hAnsi="Arial"/>
                <w:sz w:val="16"/>
                <w:szCs w:val="16"/>
                <w:b w:val="1"/>
                <w:bCs w:val="1"/>
                <w:color w:val="FFFFFF"/>
              </w:rPr>
              <w:t>Experience Within the Last Five Years</w:t>
            </w:r>
          </w:p>
        </w:tc>
      </w:tr>
      <w:tr>
        <w:trPr>
          <w:trHeight w:val="189"/>
        </w:trPr>
        <w:tc>
          <w:tcPr>
            <w:tcW w:w="192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C. Howard Nye</w:t>
            </w:r>
          </w:p>
        </w:tc>
        <w:tc>
          <w:tcPr>
            <w:tcW w:w="5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63</w:t>
            </w: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Chair of the Board,</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2014</w:t>
            </w:r>
          </w:p>
        </w:tc>
        <w:tc>
          <w:tcPr>
            <w:tcW w:w="4460" w:type="dxa"/>
            <w:vAlign w:val="bottom"/>
            <w:shd w:val="clear" w:color="auto" w:fill="E5F1F8"/>
          </w:tcPr>
          <w:p>
            <w:pPr>
              <w:spacing w:after="0"/>
              <w:rPr>
                <w:sz w:val="16"/>
                <w:szCs w:val="16"/>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Chief Executive Officer,</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2010</w:t>
            </w:r>
          </w:p>
        </w:tc>
        <w:tc>
          <w:tcPr>
            <w:tcW w:w="4460" w:type="dxa"/>
            <w:vAlign w:val="bottom"/>
            <w:shd w:val="clear" w:color="auto" w:fill="E5F1F8"/>
          </w:tcPr>
          <w:p>
            <w:pPr>
              <w:spacing w:after="0"/>
              <w:rPr>
                <w:sz w:val="17"/>
                <w:szCs w:val="17"/>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President,</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2006</w:t>
            </w:r>
          </w:p>
        </w:tc>
        <w:tc>
          <w:tcPr>
            <w:tcW w:w="4460" w:type="dxa"/>
            <w:vAlign w:val="bottom"/>
            <w:shd w:val="clear" w:color="auto" w:fill="E5F1F8"/>
          </w:tcPr>
          <w:p>
            <w:pPr>
              <w:spacing w:after="0"/>
              <w:rPr>
                <w:sz w:val="17"/>
                <w:szCs w:val="17"/>
                <w:color w:val="auto"/>
              </w:rPr>
            </w:pPr>
          </w:p>
        </w:tc>
      </w:tr>
      <w:tr>
        <w:trPr>
          <w:trHeight w:val="175"/>
        </w:trPr>
        <w:tc>
          <w:tcPr>
            <w:tcW w:w="1920" w:type="dxa"/>
            <w:vAlign w:val="bottom"/>
            <w:tcBorders>
              <w:right w:val="single" w:sz="8" w:color="007CBA"/>
            </w:tcBorders>
            <w:shd w:val="clear" w:color="auto" w:fill="E5F1F8"/>
          </w:tcPr>
          <w:p>
            <w:pPr>
              <w:spacing w:after="0"/>
              <w:rPr>
                <w:sz w:val="15"/>
                <w:szCs w:val="15"/>
                <w:color w:val="auto"/>
              </w:rPr>
            </w:pPr>
          </w:p>
        </w:tc>
        <w:tc>
          <w:tcPr>
            <w:tcW w:w="560" w:type="dxa"/>
            <w:vAlign w:val="bottom"/>
            <w:tcBorders>
              <w:right w:val="single" w:sz="8" w:color="007CBA"/>
            </w:tcBorders>
            <w:shd w:val="clear" w:color="auto" w:fill="E5F1F8"/>
          </w:tcPr>
          <w:p>
            <w:pPr>
              <w:spacing w:after="0"/>
              <w:rPr>
                <w:sz w:val="15"/>
                <w:szCs w:val="15"/>
                <w:color w:val="auto"/>
              </w:rPr>
            </w:pPr>
          </w:p>
        </w:tc>
        <w:tc>
          <w:tcPr>
            <w:tcW w:w="2700" w:type="dxa"/>
            <w:vAlign w:val="bottom"/>
            <w:tcBorders>
              <w:right w:val="single" w:sz="8" w:color="007CBA"/>
            </w:tcBorders>
            <w:shd w:val="clear" w:color="auto" w:fill="E5F1F8"/>
          </w:tcPr>
          <w:p>
            <w:pPr>
              <w:ind w:left="20"/>
              <w:spacing w:after="0" w:line="175" w:lineRule="exact"/>
              <w:rPr>
                <w:sz w:val="20"/>
                <w:szCs w:val="20"/>
                <w:color w:val="auto"/>
              </w:rPr>
            </w:pPr>
            <w:r>
              <w:rPr>
                <w:rFonts w:ascii="Arial" w:cs="Arial" w:eastAsia="Arial" w:hAnsi="Arial"/>
                <w:sz w:val="16"/>
                <w:szCs w:val="16"/>
                <w:color w:val="auto"/>
              </w:rPr>
              <w:t>President of Aggregates</w:t>
            </w:r>
          </w:p>
        </w:tc>
        <w:tc>
          <w:tcPr>
            <w:tcW w:w="1460" w:type="dxa"/>
            <w:vAlign w:val="bottom"/>
            <w:tcBorders>
              <w:right w:val="single" w:sz="8" w:color="007CBA"/>
            </w:tcBorders>
            <w:shd w:val="clear" w:color="auto" w:fill="E5F1F8"/>
          </w:tcPr>
          <w:p>
            <w:pPr>
              <w:jc w:val="center"/>
              <w:spacing w:after="0" w:line="175" w:lineRule="exact"/>
              <w:rPr>
                <w:sz w:val="20"/>
                <w:szCs w:val="20"/>
                <w:color w:val="auto"/>
              </w:rPr>
            </w:pPr>
            <w:r>
              <w:rPr>
                <w:rFonts w:ascii="Arial" w:cs="Arial" w:eastAsia="Arial" w:hAnsi="Arial"/>
                <w:sz w:val="16"/>
                <w:szCs w:val="16"/>
                <w:color w:val="auto"/>
              </w:rPr>
              <w:t>2010</w:t>
            </w:r>
          </w:p>
        </w:tc>
        <w:tc>
          <w:tcPr>
            <w:tcW w:w="4460" w:type="dxa"/>
            <w:vAlign w:val="bottom"/>
            <w:shd w:val="clear" w:color="auto" w:fill="E5F1F8"/>
          </w:tcPr>
          <w:p>
            <w:pPr>
              <w:spacing w:after="0"/>
              <w:rPr>
                <w:sz w:val="15"/>
                <w:szCs w:val="15"/>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Business,</w:t>
            </w:r>
          </w:p>
        </w:tc>
        <w:tc>
          <w:tcPr>
            <w:tcW w:w="1460" w:type="dxa"/>
            <w:vAlign w:val="bottom"/>
            <w:tcBorders>
              <w:right w:val="single" w:sz="8" w:color="007CBA"/>
            </w:tcBorders>
            <w:shd w:val="clear" w:color="auto" w:fill="E5F1F8"/>
          </w:tcPr>
          <w:p>
            <w:pPr>
              <w:spacing w:after="0"/>
              <w:rPr>
                <w:sz w:val="17"/>
                <w:szCs w:val="17"/>
                <w:color w:val="auto"/>
              </w:rPr>
            </w:pPr>
          </w:p>
        </w:tc>
        <w:tc>
          <w:tcPr>
            <w:tcW w:w="4460" w:type="dxa"/>
            <w:vAlign w:val="bottom"/>
            <w:shd w:val="clear" w:color="auto" w:fill="E5F1F8"/>
          </w:tcPr>
          <w:p>
            <w:pPr>
              <w:spacing w:after="0"/>
              <w:rPr>
                <w:sz w:val="17"/>
                <w:szCs w:val="17"/>
                <w:color w:val="auto"/>
              </w:rPr>
            </w:pPr>
          </w:p>
        </w:tc>
      </w:tr>
      <w:tr>
        <w:trPr>
          <w:trHeight w:val="175"/>
        </w:trPr>
        <w:tc>
          <w:tcPr>
            <w:tcW w:w="1920" w:type="dxa"/>
            <w:vAlign w:val="bottom"/>
            <w:tcBorders>
              <w:right w:val="single" w:sz="8" w:color="007CBA"/>
            </w:tcBorders>
            <w:shd w:val="clear" w:color="auto" w:fill="E5F1F8"/>
          </w:tcPr>
          <w:p>
            <w:pPr>
              <w:spacing w:after="0"/>
              <w:rPr>
                <w:sz w:val="15"/>
                <w:szCs w:val="15"/>
                <w:color w:val="auto"/>
              </w:rPr>
            </w:pPr>
          </w:p>
        </w:tc>
        <w:tc>
          <w:tcPr>
            <w:tcW w:w="560" w:type="dxa"/>
            <w:vAlign w:val="bottom"/>
            <w:tcBorders>
              <w:right w:val="single" w:sz="8" w:color="007CBA"/>
            </w:tcBorders>
            <w:shd w:val="clear" w:color="auto" w:fill="E5F1F8"/>
          </w:tcPr>
          <w:p>
            <w:pPr>
              <w:spacing w:after="0"/>
              <w:rPr>
                <w:sz w:val="15"/>
                <w:szCs w:val="15"/>
                <w:color w:val="auto"/>
              </w:rPr>
            </w:pPr>
          </w:p>
        </w:tc>
        <w:tc>
          <w:tcPr>
            <w:tcW w:w="2700" w:type="dxa"/>
            <w:vAlign w:val="bottom"/>
            <w:tcBorders>
              <w:right w:val="single" w:sz="8" w:color="007CBA"/>
            </w:tcBorders>
            <w:shd w:val="clear" w:color="auto" w:fill="E5F1F8"/>
          </w:tcPr>
          <w:p>
            <w:pPr>
              <w:ind w:left="20"/>
              <w:spacing w:after="0" w:line="175" w:lineRule="exact"/>
              <w:rPr>
                <w:sz w:val="20"/>
                <w:szCs w:val="20"/>
                <w:color w:val="auto"/>
              </w:rPr>
            </w:pPr>
            <w:r>
              <w:rPr>
                <w:rFonts w:ascii="Arial" w:cs="Arial" w:eastAsia="Arial" w:hAnsi="Arial"/>
                <w:sz w:val="16"/>
                <w:szCs w:val="16"/>
                <w:color w:val="auto"/>
              </w:rPr>
              <w:t>Chair of Magnesia</w:t>
            </w:r>
          </w:p>
        </w:tc>
        <w:tc>
          <w:tcPr>
            <w:tcW w:w="1460" w:type="dxa"/>
            <w:vAlign w:val="bottom"/>
            <w:tcBorders>
              <w:right w:val="single" w:sz="8" w:color="007CBA"/>
            </w:tcBorders>
            <w:shd w:val="clear" w:color="auto" w:fill="E5F1F8"/>
          </w:tcPr>
          <w:p>
            <w:pPr>
              <w:jc w:val="center"/>
              <w:ind w:right="19"/>
              <w:spacing w:after="0" w:line="175" w:lineRule="exact"/>
              <w:rPr>
                <w:sz w:val="20"/>
                <w:szCs w:val="20"/>
                <w:color w:val="auto"/>
              </w:rPr>
            </w:pPr>
            <w:r>
              <w:rPr>
                <w:rFonts w:ascii="Arial" w:cs="Arial" w:eastAsia="Arial" w:hAnsi="Arial"/>
                <w:sz w:val="16"/>
                <w:szCs w:val="16"/>
                <w:color w:val="auto"/>
              </w:rPr>
              <w:t>2007</w:t>
            </w:r>
          </w:p>
        </w:tc>
        <w:tc>
          <w:tcPr>
            <w:tcW w:w="4460" w:type="dxa"/>
            <w:vAlign w:val="bottom"/>
            <w:shd w:val="clear" w:color="auto" w:fill="E5F1F8"/>
          </w:tcPr>
          <w:p>
            <w:pPr>
              <w:spacing w:after="0"/>
              <w:rPr>
                <w:sz w:val="15"/>
                <w:szCs w:val="15"/>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Specialties Business</w:t>
            </w:r>
          </w:p>
        </w:tc>
        <w:tc>
          <w:tcPr>
            <w:tcW w:w="1460" w:type="dxa"/>
            <w:vAlign w:val="bottom"/>
            <w:tcBorders>
              <w:right w:val="single" w:sz="8" w:color="007CBA"/>
            </w:tcBorders>
            <w:shd w:val="clear" w:color="auto" w:fill="E5F1F8"/>
          </w:tcPr>
          <w:p>
            <w:pPr>
              <w:spacing w:after="0"/>
              <w:rPr>
                <w:sz w:val="17"/>
                <w:szCs w:val="17"/>
                <w:color w:val="auto"/>
              </w:rPr>
            </w:pPr>
          </w:p>
        </w:tc>
        <w:tc>
          <w:tcPr>
            <w:tcW w:w="4460" w:type="dxa"/>
            <w:vAlign w:val="bottom"/>
            <w:shd w:val="clear" w:color="auto" w:fill="E5F1F8"/>
          </w:tcPr>
          <w:p>
            <w:pPr>
              <w:spacing w:after="0"/>
              <w:rPr>
                <w:sz w:val="17"/>
                <w:szCs w:val="17"/>
                <w:color w:val="auto"/>
              </w:rPr>
            </w:pPr>
          </w:p>
        </w:tc>
      </w:tr>
      <w:tr>
        <w:trPr>
          <w:trHeight w:val="175"/>
        </w:trPr>
        <w:tc>
          <w:tcPr>
            <w:tcW w:w="1920" w:type="dxa"/>
            <w:vAlign w:val="bottom"/>
            <w:tcBorders>
              <w:right w:val="single" w:sz="8" w:color="007CBA"/>
            </w:tcBorders>
          </w:tcPr>
          <w:p>
            <w:pPr>
              <w:ind w:left="20"/>
              <w:spacing w:after="0" w:line="175" w:lineRule="exact"/>
              <w:rPr>
                <w:sz w:val="20"/>
                <w:szCs w:val="20"/>
                <w:color w:val="auto"/>
              </w:rPr>
            </w:pPr>
            <w:r>
              <w:rPr>
                <w:rFonts w:ascii="Arial" w:cs="Arial" w:eastAsia="Arial" w:hAnsi="Arial"/>
                <w:sz w:val="16"/>
                <w:szCs w:val="16"/>
                <w:color w:val="auto"/>
              </w:rPr>
              <w:t>Donald A. McCunniff</w:t>
            </w:r>
          </w:p>
        </w:tc>
        <w:tc>
          <w:tcPr>
            <w:tcW w:w="560" w:type="dxa"/>
            <w:vAlign w:val="bottom"/>
            <w:tcBorders>
              <w:right w:val="single" w:sz="8" w:color="007CBA"/>
            </w:tcBorders>
          </w:tcPr>
          <w:p>
            <w:pPr>
              <w:jc w:val="center"/>
              <w:spacing w:after="0" w:line="175" w:lineRule="exact"/>
              <w:rPr>
                <w:sz w:val="20"/>
                <w:szCs w:val="20"/>
                <w:color w:val="auto"/>
              </w:rPr>
            </w:pPr>
            <w:r>
              <w:rPr>
                <w:rFonts w:ascii="Arial" w:cs="Arial" w:eastAsia="Arial" w:hAnsi="Arial"/>
                <w:sz w:val="16"/>
                <w:szCs w:val="16"/>
                <w:color w:val="auto"/>
              </w:rPr>
              <w:t>68</w:t>
            </w:r>
          </w:p>
        </w:tc>
        <w:tc>
          <w:tcPr>
            <w:tcW w:w="2700" w:type="dxa"/>
            <w:vAlign w:val="bottom"/>
            <w:tcBorders>
              <w:right w:val="single" w:sz="8" w:color="007CBA"/>
            </w:tcBorders>
          </w:tcPr>
          <w:p>
            <w:pPr>
              <w:ind w:left="20"/>
              <w:spacing w:after="0" w:line="175" w:lineRule="exact"/>
              <w:rPr>
                <w:sz w:val="20"/>
                <w:szCs w:val="20"/>
                <w:color w:val="auto"/>
              </w:rPr>
            </w:pPr>
            <w:r>
              <w:rPr>
                <w:rFonts w:ascii="Arial" w:cs="Arial" w:eastAsia="Arial" w:hAnsi="Arial"/>
                <w:sz w:val="16"/>
                <w:szCs w:val="16"/>
                <w:color w:val="auto"/>
              </w:rPr>
              <w:t>Executive Vice President,</w:t>
            </w:r>
          </w:p>
        </w:tc>
        <w:tc>
          <w:tcPr>
            <w:tcW w:w="1460" w:type="dxa"/>
            <w:vAlign w:val="bottom"/>
            <w:tcBorders>
              <w:right w:val="single" w:sz="8" w:color="007CBA"/>
            </w:tcBorders>
          </w:tcPr>
          <w:p>
            <w:pPr>
              <w:jc w:val="center"/>
              <w:spacing w:after="0" w:line="175" w:lineRule="exact"/>
              <w:rPr>
                <w:sz w:val="20"/>
                <w:szCs w:val="20"/>
                <w:color w:val="auto"/>
              </w:rPr>
            </w:pPr>
            <w:r>
              <w:rPr>
                <w:rFonts w:ascii="Arial" w:cs="Arial" w:eastAsia="Arial" w:hAnsi="Arial"/>
                <w:sz w:val="16"/>
                <w:szCs w:val="16"/>
                <w:color w:val="auto"/>
              </w:rPr>
              <w:t>2024</w:t>
            </w:r>
          </w:p>
        </w:tc>
        <w:tc>
          <w:tcPr>
            <w:tcW w:w="4460" w:type="dxa"/>
            <w:vAlign w:val="bottom"/>
          </w:tcPr>
          <w:p>
            <w:pPr>
              <w:spacing w:after="0"/>
              <w:rPr>
                <w:sz w:val="15"/>
                <w:szCs w:val="15"/>
                <w:color w:val="auto"/>
              </w:rPr>
            </w:pPr>
          </w:p>
        </w:tc>
      </w:tr>
      <w:tr>
        <w:trPr>
          <w:trHeight w:val="203"/>
        </w:trPr>
        <w:tc>
          <w:tcPr>
            <w:tcW w:w="1920" w:type="dxa"/>
            <w:vAlign w:val="bottom"/>
            <w:tcBorders>
              <w:right w:val="single" w:sz="8" w:color="007CBA"/>
            </w:tcBorders>
          </w:tcPr>
          <w:p>
            <w:pPr>
              <w:spacing w:after="0"/>
              <w:rPr>
                <w:sz w:val="17"/>
                <w:szCs w:val="17"/>
                <w:color w:val="auto"/>
              </w:rPr>
            </w:pPr>
          </w:p>
        </w:tc>
        <w:tc>
          <w:tcPr>
            <w:tcW w:w="560" w:type="dxa"/>
            <w:vAlign w:val="bottom"/>
            <w:tcBorders>
              <w:right w:val="single" w:sz="8" w:color="007CBA"/>
            </w:tcBorders>
          </w:tcPr>
          <w:p>
            <w:pPr>
              <w:spacing w:after="0"/>
              <w:rPr>
                <w:sz w:val="17"/>
                <w:szCs w:val="17"/>
                <w:color w:val="auto"/>
              </w:rPr>
            </w:pPr>
          </w:p>
        </w:tc>
        <w:tc>
          <w:tcPr>
            <w:tcW w:w="2700" w:type="dxa"/>
            <w:vAlign w:val="bottom"/>
            <w:tcBorders>
              <w:right w:val="single" w:sz="8" w:color="007CBA"/>
            </w:tcBorders>
          </w:tcPr>
          <w:p>
            <w:pPr>
              <w:ind w:left="20"/>
              <w:spacing w:after="0"/>
              <w:rPr>
                <w:sz w:val="20"/>
                <w:szCs w:val="20"/>
                <w:color w:val="auto"/>
              </w:rPr>
            </w:pPr>
            <w:r>
              <w:rPr>
                <w:rFonts w:ascii="Arial" w:cs="Arial" w:eastAsia="Arial" w:hAnsi="Arial"/>
                <w:sz w:val="16"/>
                <w:szCs w:val="16"/>
                <w:color w:val="auto"/>
              </w:rPr>
              <w:t>Chief Human Resources Officer</w:t>
            </w:r>
          </w:p>
        </w:tc>
        <w:tc>
          <w:tcPr>
            <w:tcW w:w="1460" w:type="dxa"/>
            <w:vAlign w:val="bottom"/>
            <w:tcBorders>
              <w:right w:val="single" w:sz="8" w:color="007CBA"/>
            </w:tcBorders>
          </w:tcPr>
          <w:p>
            <w:pPr>
              <w:spacing w:after="0"/>
              <w:rPr>
                <w:sz w:val="17"/>
                <w:szCs w:val="17"/>
                <w:color w:val="auto"/>
              </w:rPr>
            </w:pPr>
          </w:p>
        </w:tc>
        <w:tc>
          <w:tcPr>
            <w:tcW w:w="4460" w:type="dxa"/>
            <w:vAlign w:val="bottom"/>
          </w:tcPr>
          <w:p>
            <w:pPr>
              <w:spacing w:after="0"/>
              <w:rPr>
                <w:sz w:val="17"/>
                <w:szCs w:val="17"/>
                <w:color w:val="auto"/>
              </w:rPr>
            </w:pPr>
          </w:p>
        </w:tc>
      </w:tr>
      <w:tr>
        <w:trPr>
          <w:trHeight w:val="175"/>
        </w:trPr>
        <w:tc>
          <w:tcPr>
            <w:tcW w:w="1920" w:type="dxa"/>
            <w:vAlign w:val="bottom"/>
            <w:tcBorders>
              <w:right w:val="single" w:sz="8" w:color="007CBA"/>
            </w:tcBorders>
            <w:shd w:val="clear" w:color="auto" w:fill="E5F1F8"/>
          </w:tcPr>
          <w:p>
            <w:pPr>
              <w:ind w:left="100"/>
              <w:spacing w:after="0" w:line="175" w:lineRule="exact"/>
              <w:rPr>
                <w:sz w:val="20"/>
                <w:szCs w:val="20"/>
                <w:color w:val="auto"/>
              </w:rPr>
            </w:pPr>
            <w:r>
              <w:rPr>
                <w:rFonts w:ascii="Arial" w:cs="Arial" w:eastAsia="Arial" w:hAnsi="Arial"/>
                <w:sz w:val="16"/>
                <w:szCs w:val="16"/>
                <w:color w:val="auto"/>
              </w:rPr>
              <w:t>Robert J. Cardin</w:t>
            </w:r>
          </w:p>
        </w:tc>
        <w:tc>
          <w:tcPr>
            <w:tcW w:w="560" w:type="dxa"/>
            <w:vAlign w:val="bottom"/>
            <w:tcBorders>
              <w:right w:val="single" w:sz="8" w:color="007CBA"/>
            </w:tcBorders>
            <w:shd w:val="clear" w:color="auto" w:fill="E5F1F8"/>
          </w:tcPr>
          <w:p>
            <w:pPr>
              <w:jc w:val="center"/>
              <w:spacing w:after="0" w:line="175" w:lineRule="exact"/>
              <w:rPr>
                <w:sz w:val="20"/>
                <w:szCs w:val="20"/>
                <w:color w:val="auto"/>
              </w:rPr>
            </w:pPr>
            <w:r>
              <w:rPr>
                <w:rFonts w:ascii="Arial" w:cs="Arial" w:eastAsia="Arial" w:hAnsi="Arial"/>
                <w:sz w:val="16"/>
                <w:szCs w:val="16"/>
                <w:color w:val="auto"/>
              </w:rPr>
              <w:t>62</w:t>
            </w:r>
          </w:p>
        </w:tc>
        <w:tc>
          <w:tcPr>
            <w:tcW w:w="2700" w:type="dxa"/>
            <w:vAlign w:val="bottom"/>
            <w:tcBorders>
              <w:right w:val="single" w:sz="8" w:color="007CBA"/>
            </w:tcBorders>
            <w:shd w:val="clear" w:color="auto" w:fill="E5F1F8"/>
          </w:tcPr>
          <w:p>
            <w:pPr>
              <w:ind w:left="20"/>
              <w:spacing w:after="0" w:line="175" w:lineRule="exact"/>
              <w:rPr>
                <w:sz w:val="20"/>
                <w:szCs w:val="20"/>
                <w:color w:val="auto"/>
              </w:rPr>
            </w:pPr>
            <w:r>
              <w:rPr>
                <w:rFonts w:ascii="Arial" w:cs="Arial" w:eastAsia="Arial" w:hAnsi="Arial"/>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75" w:lineRule="exact"/>
              <w:rPr>
                <w:sz w:val="20"/>
                <w:szCs w:val="20"/>
                <w:color w:val="auto"/>
              </w:rPr>
            </w:pPr>
            <w:r>
              <w:rPr>
                <w:rFonts w:ascii="Arial" w:cs="Arial" w:eastAsia="Arial" w:hAnsi="Arial"/>
                <w:sz w:val="16"/>
                <w:szCs w:val="16"/>
                <w:color w:val="auto"/>
              </w:rPr>
              <w:t>2019</w:t>
            </w:r>
          </w:p>
        </w:tc>
        <w:tc>
          <w:tcPr>
            <w:tcW w:w="4460" w:type="dxa"/>
            <w:vAlign w:val="bottom"/>
            <w:shd w:val="clear" w:color="auto" w:fill="E5F1F8"/>
          </w:tcPr>
          <w:p>
            <w:pPr>
              <w:ind w:left="40"/>
              <w:spacing w:after="0" w:line="175" w:lineRule="exact"/>
              <w:rPr>
                <w:sz w:val="20"/>
                <w:szCs w:val="20"/>
                <w:color w:val="auto"/>
              </w:rPr>
            </w:pPr>
            <w:r>
              <w:rPr>
                <w:rFonts w:ascii="Arial" w:cs="Arial" w:eastAsia="Arial" w:hAnsi="Arial"/>
                <w:sz w:val="16"/>
                <w:szCs w:val="16"/>
                <w:color w:val="auto"/>
              </w:rPr>
              <w:t>Interim Chief Financial Officer (2025)</w:t>
            </w:r>
          </w:p>
        </w:tc>
      </w:tr>
      <w:tr>
        <w:trPr>
          <w:trHeight w:val="189"/>
        </w:trPr>
        <w:tc>
          <w:tcPr>
            <w:tcW w:w="1920" w:type="dxa"/>
            <w:vAlign w:val="bottom"/>
            <w:tcBorders>
              <w:right w:val="single" w:sz="8" w:color="007CBA"/>
            </w:tcBorders>
            <w:shd w:val="clear" w:color="auto" w:fill="E5F1F8"/>
          </w:tcPr>
          <w:p>
            <w:pPr>
              <w:spacing w:after="0"/>
              <w:rPr>
                <w:sz w:val="16"/>
                <w:szCs w:val="16"/>
                <w:color w:val="auto"/>
              </w:rPr>
            </w:pPr>
          </w:p>
        </w:tc>
        <w:tc>
          <w:tcPr>
            <w:tcW w:w="560" w:type="dxa"/>
            <w:vAlign w:val="bottom"/>
            <w:tcBorders>
              <w:right w:val="single" w:sz="8" w:color="007CBA"/>
            </w:tcBorders>
            <w:shd w:val="clear" w:color="auto" w:fill="E5F1F8"/>
          </w:tcPr>
          <w:p>
            <w:pPr>
              <w:spacing w:after="0"/>
              <w:rPr>
                <w:sz w:val="16"/>
                <w:szCs w:val="16"/>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Controller and</w:t>
            </w:r>
          </w:p>
        </w:tc>
        <w:tc>
          <w:tcPr>
            <w:tcW w:w="1460" w:type="dxa"/>
            <w:vAlign w:val="bottom"/>
            <w:tcBorders>
              <w:right w:val="single" w:sz="8" w:color="007CBA"/>
            </w:tcBorders>
            <w:shd w:val="clear" w:color="auto" w:fill="E5F1F8"/>
          </w:tcPr>
          <w:p>
            <w:pPr>
              <w:spacing w:after="0"/>
              <w:rPr>
                <w:sz w:val="16"/>
                <w:szCs w:val="16"/>
                <w:color w:val="auto"/>
              </w:rPr>
            </w:pPr>
          </w:p>
        </w:tc>
        <w:tc>
          <w:tcPr>
            <w:tcW w:w="4460" w:type="dxa"/>
            <w:vAlign w:val="bottom"/>
            <w:shd w:val="clear" w:color="auto" w:fill="E5F1F8"/>
          </w:tcPr>
          <w:p>
            <w:pPr>
              <w:spacing w:after="0"/>
              <w:rPr>
                <w:sz w:val="16"/>
                <w:szCs w:val="16"/>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Chief Accounting Officer</w:t>
            </w:r>
          </w:p>
        </w:tc>
        <w:tc>
          <w:tcPr>
            <w:tcW w:w="1460" w:type="dxa"/>
            <w:vAlign w:val="bottom"/>
            <w:tcBorders>
              <w:right w:val="single" w:sz="8" w:color="007CBA"/>
            </w:tcBorders>
            <w:shd w:val="clear" w:color="auto" w:fill="E5F1F8"/>
          </w:tcPr>
          <w:p>
            <w:pPr>
              <w:spacing w:after="0"/>
              <w:rPr>
                <w:sz w:val="17"/>
                <w:szCs w:val="17"/>
                <w:color w:val="auto"/>
              </w:rPr>
            </w:pPr>
          </w:p>
        </w:tc>
        <w:tc>
          <w:tcPr>
            <w:tcW w:w="4460" w:type="dxa"/>
            <w:vAlign w:val="bottom"/>
            <w:shd w:val="clear" w:color="auto" w:fill="E5F1F8"/>
          </w:tcPr>
          <w:p>
            <w:pPr>
              <w:spacing w:after="0"/>
              <w:rPr>
                <w:sz w:val="17"/>
                <w:szCs w:val="17"/>
                <w:color w:val="auto"/>
              </w:rPr>
            </w:pPr>
          </w:p>
        </w:tc>
      </w:tr>
      <w:tr>
        <w:trPr>
          <w:trHeight w:val="175"/>
        </w:trPr>
        <w:tc>
          <w:tcPr>
            <w:tcW w:w="1920" w:type="dxa"/>
            <w:vAlign w:val="bottom"/>
            <w:tcBorders>
              <w:right w:val="single" w:sz="8" w:color="007CBA"/>
            </w:tcBorders>
          </w:tcPr>
          <w:p>
            <w:pPr>
              <w:ind w:left="20"/>
              <w:spacing w:after="0" w:line="175" w:lineRule="exact"/>
              <w:rPr>
                <w:sz w:val="20"/>
                <w:szCs w:val="20"/>
                <w:color w:val="auto"/>
              </w:rPr>
            </w:pPr>
            <w:r>
              <w:rPr>
                <w:rFonts w:ascii="Arial" w:cs="Arial" w:eastAsia="Arial" w:hAnsi="Arial"/>
                <w:sz w:val="16"/>
                <w:szCs w:val="16"/>
                <w:color w:val="auto"/>
              </w:rPr>
              <w:t>Jason P. Flynn</w:t>
            </w:r>
          </w:p>
        </w:tc>
        <w:tc>
          <w:tcPr>
            <w:tcW w:w="560" w:type="dxa"/>
            <w:vAlign w:val="bottom"/>
            <w:tcBorders>
              <w:right w:val="single" w:sz="8" w:color="007CBA"/>
            </w:tcBorders>
          </w:tcPr>
          <w:p>
            <w:pPr>
              <w:jc w:val="center"/>
              <w:spacing w:after="0" w:line="175" w:lineRule="exact"/>
              <w:rPr>
                <w:sz w:val="20"/>
                <w:szCs w:val="20"/>
                <w:color w:val="auto"/>
              </w:rPr>
            </w:pPr>
            <w:r>
              <w:rPr>
                <w:rFonts w:ascii="Arial" w:cs="Arial" w:eastAsia="Arial" w:hAnsi="Arial"/>
                <w:sz w:val="16"/>
                <w:szCs w:val="16"/>
                <w:color w:val="auto"/>
              </w:rPr>
              <w:t>45</w:t>
            </w:r>
          </w:p>
        </w:tc>
        <w:tc>
          <w:tcPr>
            <w:tcW w:w="2700" w:type="dxa"/>
            <w:vAlign w:val="bottom"/>
            <w:tcBorders>
              <w:right w:val="single" w:sz="8" w:color="007CBA"/>
            </w:tcBorders>
          </w:tcPr>
          <w:p>
            <w:pPr>
              <w:ind w:left="20"/>
              <w:spacing w:after="0" w:line="175" w:lineRule="exact"/>
              <w:rPr>
                <w:sz w:val="20"/>
                <w:szCs w:val="20"/>
                <w:color w:val="auto"/>
              </w:rPr>
            </w:pPr>
            <w:r>
              <w:rPr>
                <w:rFonts w:ascii="Arial" w:cs="Arial" w:eastAsia="Arial" w:hAnsi="Arial"/>
                <w:sz w:val="16"/>
                <w:szCs w:val="16"/>
                <w:color w:val="auto"/>
              </w:rPr>
              <w:t>Senior Vice President,</w:t>
            </w:r>
          </w:p>
        </w:tc>
        <w:tc>
          <w:tcPr>
            <w:tcW w:w="1460" w:type="dxa"/>
            <w:vAlign w:val="bottom"/>
            <w:tcBorders>
              <w:right w:val="single" w:sz="8" w:color="007CBA"/>
            </w:tcBorders>
          </w:tcPr>
          <w:p>
            <w:pPr>
              <w:jc w:val="center"/>
              <w:spacing w:after="0" w:line="175" w:lineRule="exact"/>
              <w:rPr>
                <w:sz w:val="20"/>
                <w:szCs w:val="20"/>
                <w:color w:val="auto"/>
              </w:rPr>
            </w:pPr>
            <w:r>
              <w:rPr>
                <w:rFonts w:ascii="Arial" w:cs="Arial" w:eastAsia="Arial" w:hAnsi="Arial"/>
                <w:sz w:val="16"/>
                <w:szCs w:val="16"/>
                <w:color w:val="auto"/>
              </w:rPr>
              <w:t>2023</w:t>
            </w:r>
          </w:p>
        </w:tc>
        <w:tc>
          <w:tcPr>
            <w:tcW w:w="4460" w:type="dxa"/>
            <w:vAlign w:val="bottom"/>
          </w:tcPr>
          <w:p>
            <w:pPr>
              <w:ind w:left="40"/>
              <w:spacing w:after="0" w:line="175" w:lineRule="exact"/>
              <w:rPr>
                <w:sz w:val="20"/>
                <w:szCs w:val="20"/>
                <w:color w:val="auto"/>
              </w:rPr>
            </w:pPr>
            <w:r>
              <w:rPr>
                <w:rFonts w:ascii="Arial" w:cs="Arial" w:eastAsia="Arial" w:hAnsi="Arial"/>
                <w:sz w:val="16"/>
                <w:szCs w:val="16"/>
                <w:color w:val="auto"/>
              </w:rPr>
              <w:t>Vice President, Strategic Finance, Procurement and Supply</w:t>
            </w:r>
          </w:p>
        </w:tc>
      </w:tr>
      <w:tr>
        <w:trPr>
          <w:trHeight w:val="189"/>
        </w:trPr>
        <w:tc>
          <w:tcPr>
            <w:tcW w:w="192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tcPr>
          <w:p>
            <w:pPr>
              <w:spacing w:after="0"/>
              <w:rPr>
                <w:sz w:val="16"/>
                <w:szCs w:val="16"/>
                <w:color w:val="auto"/>
              </w:rPr>
            </w:pPr>
          </w:p>
        </w:tc>
        <w:tc>
          <w:tcPr>
            <w:tcW w:w="2700" w:type="dxa"/>
            <w:vAlign w:val="bottom"/>
            <w:tcBorders>
              <w:right w:val="single" w:sz="8" w:color="007CBA"/>
            </w:tcBorders>
          </w:tcPr>
          <w:p>
            <w:pPr>
              <w:ind w:left="20"/>
              <w:spacing w:after="0"/>
              <w:rPr>
                <w:sz w:val="20"/>
                <w:szCs w:val="20"/>
                <w:color w:val="auto"/>
              </w:rPr>
            </w:pPr>
            <w:r>
              <w:rPr>
                <w:rFonts w:ascii="Arial" w:cs="Arial" w:eastAsia="Arial" w:hAnsi="Arial"/>
                <w:sz w:val="16"/>
                <w:szCs w:val="16"/>
                <w:color w:val="auto"/>
              </w:rPr>
              <w:t>Chief Information Officer</w:t>
            </w:r>
          </w:p>
        </w:tc>
        <w:tc>
          <w:tcPr>
            <w:tcW w:w="1460" w:type="dxa"/>
            <w:vAlign w:val="bottom"/>
            <w:tcBorders>
              <w:right w:val="single" w:sz="8" w:color="007CBA"/>
            </w:tcBorders>
          </w:tcPr>
          <w:p>
            <w:pPr>
              <w:spacing w:after="0"/>
              <w:rPr>
                <w:sz w:val="16"/>
                <w:szCs w:val="16"/>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Chain (2021-2023); Director, Business Performance</w:t>
            </w:r>
          </w:p>
        </w:tc>
      </w:tr>
      <w:tr>
        <w:trPr>
          <w:trHeight w:val="215"/>
        </w:trPr>
        <w:tc>
          <w:tcPr>
            <w:tcW w:w="1920" w:type="dxa"/>
            <w:vAlign w:val="bottom"/>
            <w:tcBorders>
              <w:right w:val="single" w:sz="8" w:color="007CBA"/>
            </w:tcBorders>
          </w:tcPr>
          <w:p>
            <w:pPr>
              <w:spacing w:after="0"/>
              <w:rPr>
                <w:sz w:val="18"/>
                <w:szCs w:val="18"/>
                <w:color w:val="auto"/>
              </w:rPr>
            </w:pPr>
          </w:p>
        </w:tc>
        <w:tc>
          <w:tcPr>
            <w:tcW w:w="560" w:type="dxa"/>
            <w:vAlign w:val="bottom"/>
            <w:tcBorders>
              <w:right w:val="single" w:sz="8" w:color="007CBA"/>
            </w:tcBorders>
          </w:tcPr>
          <w:p>
            <w:pPr>
              <w:spacing w:after="0"/>
              <w:rPr>
                <w:sz w:val="18"/>
                <w:szCs w:val="18"/>
                <w:color w:val="auto"/>
              </w:rPr>
            </w:pPr>
          </w:p>
        </w:tc>
        <w:tc>
          <w:tcPr>
            <w:tcW w:w="2700" w:type="dxa"/>
            <w:vAlign w:val="bottom"/>
            <w:tcBorders>
              <w:right w:val="single" w:sz="8" w:color="007CBA"/>
            </w:tcBorders>
          </w:tcPr>
          <w:p>
            <w:pPr>
              <w:spacing w:after="0"/>
              <w:rPr>
                <w:sz w:val="18"/>
                <w:szCs w:val="18"/>
                <w:color w:val="auto"/>
              </w:rPr>
            </w:pPr>
          </w:p>
        </w:tc>
        <w:tc>
          <w:tcPr>
            <w:tcW w:w="1460" w:type="dxa"/>
            <w:vAlign w:val="bottom"/>
            <w:tcBorders>
              <w:right w:val="single" w:sz="8" w:color="007CBA"/>
            </w:tcBorders>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Improvement (2020-2021)</w:t>
            </w:r>
          </w:p>
        </w:tc>
      </w:tr>
      <w:tr>
        <w:trPr>
          <w:trHeight w:val="178"/>
        </w:trPr>
        <w:tc>
          <w:tcPr>
            <w:tcW w:w="1920" w:type="dxa"/>
            <w:vAlign w:val="bottom"/>
            <w:tcBorders>
              <w:right w:val="single" w:sz="8" w:color="007CBA"/>
            </w:tcBorders>
          </w:tcPr>
          <w:p>
            <w:pPr>
              <w:spacing w:after="0"/>
              <w:rPr>
                <w:sz w:val="15"/>
                <w:szCs w:val="15"/>
                <w:color w:val="auto"/>
              </w:rPr>
            </w:pPr>
          </w:p>
        </w:tc>
        <w:tc>
          <w:tcPr>
            <w:tcW w:w="560" w:type="dxa"/>
            <w:vAlign w:val="bottom"/>
            <w:tcBorders>
              <w:right w:val="single" w:sz="8" w:color="007CBA"/>
            </w:tcBorders>
          </w:tcPr>
          <w:p>
            <w:pPr>
              <w:spacing w:after="0"/>
              <w:rPr>
                <w:sz w:val="15"/>
                <w:szCs w:val="15"/>
                <w:color w:val="auto"/>
              </w:rPr>
            </w:pPr>
          </w:p>
        </w:tc>
        <w:tc>
          <w:tcPr>
            <w:tcW w:w="2700" w:type="dxa"/>
            <w:vAlign w:val="bottom"/>
            <w:tcBorders>
              <w:right w:val="single" w:sz="8" w:color="007CBA"/>
            </w:tcBorders>
          </w:tcPr>
          <w:p>
            <w:pPr>
              <w:spacing w:after="0"/>
              <w:rPr>
                <w:sz w:val="15"/>
                <w:szCs w:val="15"/>
                <w:color w:val="auto"/>
              </w:rPr>
            </w:pPr>
          </w:p>
        </w:tc>
        <w:tc>
          <w:tcPr>
            <w:tcW w:w="1460" w:type="dxa"/>
            <w:vAlign w:val="bottom"/>
            <w:tcBorders>
              <w:right w:val="single" w:sz="8" w:color="007CBA"/>
            </w:tcBorders>
          </w:tcPr>
          <w:p>
            <w:pPr>
              <w:spacing w:after="0"/>
              <w:rPr>
                <w:sz w:val="15"/>
                <w:szCs w:val="15"/>
                <w:color w:val="auto"/>
              </w:rPr>
            </w:pPr>
          </w:p>
        </w:tc>
        <w:tc>
          <w:tcPr>
            <w:tcW w:w="4460" w:type="dxa"/>
            <w:vAlign w:val="bottom"/>
          </w:tcPr>
          <w:p>
            <w:pPr>
              <w:spacing w:after="0"/>
              <w:rPr>
                <w:sz w:val="15"/>
                <w:szCs w:val="15"/>
                <w:color w:val="auto"/>
              </w:rPr>
            </w:pPr>
          </w:p>
        </w:tc>
      </w:tr>
      <w:tr>
        <w:trPr>
          <w:trHeight w:val="175"/>
        </w:trPr>
        <w:tc>
          <w:tcPr>
            <w:tcW w:w="1920" w:type="dxa"/>
            <w:vAlign w:val="bottom"/>
            <w:tcBorders>
              <w:right w:val="single" w:sz="8" w:color="007CBA"/>
            </w:tcBorders>
            <w:shd w:val="clear" w:color="auto" w:fill="E5F1F8"/>
          </w:tcPr>
          <w:p>
            <w:pPr>
              <w:ind w:left="100"/>
              <w:spacing w:after="0" w:line="175" w:lineRule="exact"/>
              <w:rPr>
                <w:sz w:val="20"/>
                <w:szCs w:val="20"/>
                <w:color w:val="auto"/>
              </w:rPr>
            </w:pPr>
            <w:r>
              <w:rPr>
                <w:rFonts w:ascii="Arial" w:cs="Arial" w:eastAsia="Arial" w:hAnsi="Arial"/>
                <w:sz w:val="16"/>
                <w:szCs w:val="16"/>
                <w:color w:val="auto"/>
              </w:rPr>
              <w:t>Michael J. Petro</w:t>
            </w:r>
          </w:p>
        </w:tc>
        <w:tc>
          <w:tcPr>
            <w:tcW w:w="560" w:type="dxa"/>
            <w:vAlign w:val="bottom"/>
            <w:tcBorders>
              <w:right w:val="single" w:sz="8" w:color="007CBA"/>
            </w:tcBorders>
            <w:shd w:val="clear" w:color="auto" w:fill="E5F1F8"/>
          </w:tcPr>
          <w:p>
            <w:pPr>
              <w:jc w:val="center"/>
              <w:spacing w:after="0" w:line="175" w:lineRule="exact"/>
              <w:rPr>
                <w:sz w:val="20"/>
                <w:szCs w:val="20"/>
                <w:color w:val="auto"/>
              </w:rPr>
            </w:pPr>
            <w:r>
              <w:rPr>
                <w:rFonts w:ascii="Arial" w:cs="Arial" w:eastAsia="Arial" w:hAnsi="Arial"/>
                <w:sz w:val="16"/>
                <w:szCs w:val="16"/>
                <w:color w:val="auto"/>
              </w:rPr>
              <w:t>42</w:t>
            </w:r>
          </w:p>
        </w:tc>
        <w:tc>
          <w:tcPr>
            <w:tcW w:w="2700" w:type="dxa"/>
            <w:vAlign w:val="bottom"/>
            <w:tcBorders>
              <w:right w:val="single" w:sz="8" w:color="007CBA"/>
            </w:tcBorders>
            <w:shd w:val="clear" w:color="auto" w:fill="E5F1F8"/>
          </w:tcPr>
          <w:p>
            <w:pPr>
              <w:ind w:left="20"/>
              <w:spacing w:after="0" w:line="175" w:lineRule="exact"/>
              <w:rPr>
                <w:sz w:val="20"/>
                <w:szCs w:val="20"/>
                <w:color w:val="auto"/>
              </w:rPr>
            </w:pPr>
            <w:r>
              <w:rPr>
                <w:rFonts w:ascii="Arial" w:cs="Arial" w:eastAsia="Arial" w:hAnsi="Arial"/>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75" w:lineRule="exact"/>
              <w:rPr>
                <w:sz w:val="20"/>
                <w:szCs w:val="20"/>
                <w:color w:val="auto"/>
              </w:rPr>
            </w:pPr>
            <w:r>
              <w:rPr>
                <w:rFonts w:ascii="Arial" w:cs="Arial" w:eastAsia="Arial" w:hAnsi="Arial"/>
                <w:sz w:val="16"/>
                <w:szCs w:val="16"/>
                <w:color w:val="auto"/>
              </w:rPr>
              <w:t>2025</w:t>
            </w:r>
          </w:p>
        </w:tc>
        <w:tc>
          <w:tcPr>
            <w:tcW w:w="4460" w:type="dxa"/>
            <w:vAlign w:val="bottom"/>
            <w:shd w:val="clear" w:color="auto" w:fill="E5F1F8"/>
          </w:tcPr>
          <w:p>
            <w:pPr>
              <w:ind w:left="40"/>
              <w:spacing w:after="0" w:line="175" w:lineRule="exact"/>
              <w:rPr>
                <w:sz w:val="20"/>
                <w:szCs w:val="20"/>
                <w:color w:val="auto"/>
              </w:rPr>
            </w:pPr>
            <w:r>
              <w:rPr>
                <w:rFonts w:ascii="Arial" w:cs="Arial" w:eastAsia="Arial" w:hAnsi="Arial"/>
                <w:sz w:val="16"/>
                <w:szCs w:val="16"/>
                <w:color w:val="auto"/>
              </w:rPr>
              <w:t>Senior Vice President, Strategy and Development (2021-</w:t>
            </w:r>
          </w:p>
        </w:tc>
      </w:tr>
      <w:tr>
        <w:trPr>
          <w:trHeight w:val="189"/>
        </w:trPr>
        <w:tc>
          <w:tcPr>
            <w:tcW w:w="1920" w:type="dxa"/>
            <w:vAlign w:val="bottom"/>
            <w:tcBorders>
              <w:right w:val="single" w:sz="8" w:color="007CBA"/>
            </w:tcBorders>
            <w:shd w:val="clear" w:color="auto" w:fill="E5F1F8"/>
          </w:tcPr>
          <w:p>
            <w:pPr>
              <w:spacing w:after="0"/>
              <w:rPr>
                <w:sz w:val="16"/>
                <w:szCs w:val="16"/>
                <w:color w:val="auto"/>
              </w:rPr>
            </w:pPr>
          </w:p>
        </w:tc>
        <w:tc>
          <w:tcPr>
            <w:tcW w:w="560" w:type="dxa"/>
            <w:vAlign w:val="bottom"/>
            <w:tcBorders>
              <w:right w:val="single" w:sz="8" w:color="007CBA"/>
            </w:tcBorders>
            <w:shd w:val="clear" w:color="auto" w:fill="E5F1F8"/>
          </w:tcPr>
          <w:p>
            <w:pPr>
              <w:spacing w:after="0"/>
              <w:rPr>
                <w:sz w:val="16"/>
                <w:szCs w:val="16"/>
                <w:color w:val="auto"/>
              </w:rPr>
            </w:pPr>
          </w:p>
        </w:tc>
        <w:tc>
          <w:tcPr>
            <w:tcW w:w="270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Chief Financial Officer</w:t>
            </w:r>
          </w:p>
        </w:tc>
        <w:tc>
          <w:tcPr>
            <w:tcW w:w="1460" w:type="dxa"/>
            <w:vAlign w:val="bottom"/>
            <w:tcBorders>
              <w:right w:val="single" w:sz="8" w:color="007CBA"/>
            </w:tcBorders>
            <w:shd w:val="clear" w:color="auto" w:fill="E5F1F8"/>
          </w:tcPr>
          <w:p>
            <w:pPr>
              <w:spacing w:after="0"/>
              <w:rPr>
                <w:sz w:val="16"/>
                <w:szCs w:val="16"/>
                <w:color w:val="auto"/>
              </w:rPr>
            </w:pPr>
          </w:p>
        </w:tc>
        <w:tc>
          <w:tcPr>
            <w:tcW w:w="4460" w:type="dxa"/>
            <w:vAlign w:val="bottom"/>
            <w:shd w:val="clear" w:color="auto" w:fill="E5F1F8"/>
          </w:tcPr>
          <w:p>
            <w:pPr>
              <w:ind w:left="40"/>
              <w:spacing w:after="0"/>
              <w:rPr>
                <w:sz w:val="20"/>
                <w:szCs w:val="20"/>
                <w:color w:val="auto"/>
              </w:rPr>
            </w:pPr>
            <w:r>
              <w:rPr>
                <w:rFonts w:ascii="Arial" w:cs="Arial" w:eastAsia="Arial" w:hAnsi="Arial"/>
                <w:sz w:val="16"/>
                <w:szCs w:val="16"/>
                <w:color w:val="auto"/>
              </w:rPr>
              <w:t>2025); Vice President, Strategy and Development (2018-</w:t>
            </w: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spacing w:after="0"/>
              <w:rPr>
                <w:sz w:val="17"/>
                <w:szCs w:val="17"/>
                <w:color w:val="auto"/>
              </w:rPr>
            </w:pPr>
          </w:p>
        </w:tc>
        <w:tc>
          <w:tcPr>
            <w:tcW w:w="1460" w:type="dxa"/>
            <w:vAlign w:val="bottom"/>
            <w:tcBorders>
              <w:right w:val="single" w:sz="8" w:color="007CBA"/>
            </w:tcBorders>
            <w:shd w:val="clear" w:color="auto" w:fill="E5F1F8"/>
          </w:tcPr>
          <w:p>
            <w:pPr>
              <w:spacing w:after="0"/>
              <w:rPr>
                <w:sz w:val="17"/>
                <w:szCs w:val="17"/>
                <w:color w:val="auto"/>
              </w:rPr>
            </w:pPr>
          </w:p>
        </w:tc>
        <w:tc>
          <w:tcPr>
            <w:tcW w:w="4460" w:type="dxa"/>
            <w:vAlign w:val="bottom"/>
            <w:shd w:val="clear" w:color="auto" w:fill="E5F1F8"/>
          </w:tcPr>
          <w:p>
            <w:pPr>
              <w:ind w:left="40"/>
              <w:spacing w:after="0"/>
              <w:rPr>
                <w:sz w:val="20"/>
                <w:szCs w:val="20"/>
                <w:color w:val="auto"/>
              </w:rPr>
            </w:pPr>
            <w:r>
              <w:rPr>
                <w:rFonts w:ascii="Arial" w:cs="Arial" w:eastAsia="Arial" w:hAnsi="Arial"/>
                <w:sz w:val="16"/>
                <w:szCs w:val="16"/>
                <w:color w:val="auto"/>
              </w:rPr>
              <w:t>2021)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5" w:name="page36"/>
    <w:bookmarkEnd w:id="35"/>
    <w:p>
      <w:pPr>
        <w:ind w:left="86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5 – Market for Registrant’s Common Equity, Related Stockholder Matters and Issuer Purchases of Equity Securities</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36"/>
          <w:szCs w:val="36"/>
          <w:color w:val="auto"/>
        </w:rPr>
        <w:t>PART II</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25"/>
          <w:szCs w:val="25"/>
          <w:b w:val="1"/>
          <w:bCs w:val="1"/>
          <w:color w:val="auto"/>
        </w:rPr>
        <w:t>ITEM 5 – MARKET FOR REGISTRANT’S COMMON EQUITY, RELATED STOCKHOLDER MATTERS AND ISSUER PURCHASES OF EQUITY SECURITIES</w:t>
      </w:r>
    </w:p>
    <w:p>
      <w:pPr>
        <w:spacing w:after="0"/>
        <w:rPr>
          <w:sz w:val="20"/>
          <w:szCs w:val="20"/>
          <w:color w:val="auto"/>
        </w:rPr>
      </w:pPr>
      <w:r>
        <w:rPr>
          <w:rFonts w:ascii="Arial" w:cs="Arial" w:eastAsia="Arial" w:hAnsi="Arial"/>
          <w:sz w:val="25"/>
          <w:szCs w:val="25"/>
          <w:b w:val="1"/>
          <w:bCs w:val="1"/>
          <w:color w:val="007DC6"/>
        </w:rPr>
        <w:t>Market Information and Holders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common stock, $0.01 par value, is traded on the New York Stock Exchange (NYSE) (Symbol: MLM). There were 614 holders of record of the Company’s common stock as of February 16, 2026.</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Common Stock Performance Graph</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graph and accompanying table compare the five-year cumulative total return from December 31, 2020 to December 31, 2025 for (a) the Company’s common stock, (b) the Standard &amp; Poor’s 500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6350</wp:posOffset>
            </wp:positionV>
            <wp:extent cx="5589270" cy="5520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9270" cy="552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6" w:name="page37"/>
    <w:bookmarkEnd w:id="36"/>
    <w:p>
      <w:pPr>
        <w:ind w:left="86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5 – Market for Registrant’s Common Equity, Related Stockholder Matters and Issuer Purchases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Recent Sales of Unregistered Securities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Issuer Purchases of Equity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Total</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spacing w:after="0"/>
              <w:rPr>
                <w:sz w:val="14"/>
                <w:szCs w:val="14"/>
                <w:color w:val="auto"/>
              </w:rPr>
            </w:pP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Number of</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Maximum</w:t>
            </w: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Shares</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Purchased</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Shares that</w:t>
            </w: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as Part of</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May Yet be</w:t>
            </w: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jc w:val="center"/>
              <w:ind w:left="348"/>
              <w:spacing w:after="0"/>
              <w:rPr>
                <w:sz w:val="20"/>
                <w:szCs w:val="20"/>
                <w:color w:val="auto"/>
              </w:rPr>
            </w:pPr>
            <w:r>
              <w:rPr>
                <w:rFonts w:ascii="Arial" w:cs="Arial" w:eastAsia="Arial" w:hAnsi="Arial"/>
                <w:sz w:val="14"/>
                <w:szCs w:val="14"/>
                <w:b w:val="1"/>
                <w:bCs w:val="1"/>
                <w:color w:val="FFFFFF"/>
              </w:rPr>
              <w:t>Total</w:t>
            </w: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Publicly</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Purchased</w:t>
            </w:r>
          </w:p>
        </w:tc>
      </w:tr>
      <w:tr>
        <w:trPr>
          <w:trHeight w:val="162"/>
        </w:trPr>
        <w:tc>
          <w:tcPr>
            <w:tcW w:w="414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jc w:val="center"/>
              <w:ind w:left="328"/>
              <w:spacing w:after="0"/>
              <w:rPr>
                <w:sz w:val="20"/>
                <w:szCs w:val="20"/>
                <w:color w:val="auto"/>
              </w:rPr>
            </w:pPr>
            <w:r>
              <w:rPr>
                <w:rFonts w:ascii="Arial" w:cs="Arial" w:eastAsia="Arial" w:hAnsi="Arial"/>
                <w:sz w:val="14"/>
                <w:szCs w:val="14"/>
                <w:b w:val="1"/>
                <w:bCs w:val="1"/>
                <w:color w:val="FFFFFF"/>
              </w:rPr>
              <w:t>Number of</w:t>
            </w:r>
          </w:p>
        </w:tc>
        <w:tc>
          <w:tcPr>
            <w:tcW w:w="40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jc w:val="center"/>
              <w:ind w:left="383"/>
              <w:spacing w:after="0"/>
              <w:rPr>
                <w:sz w:val="20"/>
                <w:szCs w:val="20"/>
                <w:color w:val="auto"/>
              </w:rPr>
            </w:pPr>
            <w:r>
              <w:rPr>
                <w:rFonts w:ascii="Arial" w:cs="Arial" w:eastAsia="Arial" w:hAnsi="Arial"/>
                <w:sz w:val="14"/>
                <w:szCs w:val="14"/>
                <w:b w:val="1"/>
                <w:bCs w:val="1"/>
                <w:color w:val="FFFFFF"/>
              </w:rPr>
              <w:t>Average</w:t>
            </w:r>
          </w:p>
        </w:tc>
        <w:tc>
          <w:tcPr>
            <w:tcW w:w="40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jc w:val="center"/>
              <w:ind w:left="308"/>
              <w:spacing w:after="0"/>
              <w:rPr>
                <w:sz w:val="20"/>
                <w:szCs w:val="20"/>
                <w:color w:val="auto"/>
              </w:rPr>
            </w:pPr>
            <w:r>
              <w:rPr>
                <w:rFonts w:ascii="Arial" w:cs="Arial" w:eastAsia="Arial" w:hAnsi="Arial"/>
                <w:sz w:val="14"/>
                <w:szCs w:val="14"/>
                <w:b w:val="1"/>
                <w:bCs w:val="1"/>
                <w:color w:val="FFFFFF"/>
              </w:rPr>
              <w:t>Announced</w:t>
            </w:r>
          </w:p>
        </w:tc>
        <w:tc>
          <w:tcPr>
            <w:tcW w:w="38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Under the</w:t>
            </w:r>
          </w:p>
        </w:tc>
      </w:tr>
      <w:tr>
        <w:trPr>
          <w:trHeight w:val="144"/>
        </w:trPr>
        <w:tc>
          <w:tcPr>
            <w:tcW w:w="4140" w:type="dxa"/>
            <w:vAlign w:val="bottom"/>
            <w:tcBorders>
              <w:right w:val="single" w:sz="8" w:color="007CBA"/>
            </w:tcBorders>
            <w:shd w:val="clear" w:color="auto" w:fill="007CBA"/>
          </w:tcPr>
          <w:p>
            <w:pPr>
              <w:spacing w:after="0"/>
              <w:rPr>
                <w:sz w:val="12"/>
                <w:szCs w:val="12"/>
                <w:color w:val="auto"/>
              </w:rPr>
            </w:pPr>
          </w:p>
        </w:tc>
        <w:tc>
          <w:tcPr>
            <w:tcW w:w="1400" w:type="dxa"/>
            <w:vAlign w:val="bottom"/>
            <w:shd w:val="clear" w:color="auto" w:fill="007CBA"/>
          </w:tcPr>
          <w:p>
            <w:pPr>
              <w:jc w:val="center"/>
              <w:ind w:left="328"/>
              <w:spacing w:after="0" w:line="145" w:lineRule="exact"/>
              <w:rPr>
                <w:sz w:val="20"/>
                <w:szCs w:val="20"/>
                <w:color w:val="auto"/>
              </w:rPr>
            </w:pPr>
            <w:r>
              <w:rPr>
                <w:rFonts w:ascii="Arial" w:cs="Arial" w:eastAsia="Arial" w:hAnsi="Arial"/>
                <w:sz w:val="14"/>
                <w:szCs w:val="14"/>
                <w:b w:val="1"/>
                <w:bCs w:val="1"/>
                <w:color w:val="FFFFFF"/>
              </w:rPr>
              <w:t>Shares</w:t>
            </w:r>
          </w:p>
        </w:tc>
        <w:tc>
          <w:tcPr>
            <w:tcW w:w="400" w:type="dxa"/>
            <w:vAlign w:val="bottom"/>
            <w:tcBorders>
              <w:right w:val="single" w:sz="8" w:color="007CBA"/>
            </w:tcBorders>
            <w:shd w:val="clear" w:color="auto" w:fill="007CBA"/>
          </w:tcPr>
          <w:p>
            <w:pPr>
              <w:spacing w:after="0"/>
              <w:rPr>
                <w:sz w:val="12"/>
                <w:szCs w:val="12"/>
                <w:color w:val="auto"/>
              </w:rPr>
            </w:pPr>
          </w:p>
        </w:tc>
        <w:tc>
          <w:tcPr>
            <w:tcW w:w="1400" w:type="dxa"/>
            <w:vAlign w:val="bottom"/>
            <w:shd w:val="clear" w:color="auto" w:fill="007CBA"/>
          </w:tcPr>
          <w:p>
            <w:pPr>
              <w:jc w:val="center"/>
              <w:ind w:left="383"/>
              <w:spacing w:after="0" w:line="145" w:lineRule="exact"/>
              <w:rPr>
                <w:sz w:val="20"/>
                <w:szCs w:val="20"/>
                <w:color w:val="auto"/>
              </w:rPr>
            </w:pPr>
            <w:r>
              <w:rPr>
                <w:rFonts w:ascii="Arial" w:cs="Arial" w:eastAsia="Arial" w:hAnsi="Arial"/>
                <w:sz w:val="14"/>
                <w:szCs w:val="14"/>
                <w:b w:val="1"/>
                <w:bCs w:val="1"/>
                <w:color w:val="FFFFFF"/>
              </w:rPr>
              <w:t>Price Paid</w:t>
            </w:r>
          </w:p>
        </w:tc>
        <w:tc>
          <w:tcPr>
            <w:tcW w:w="400" w:type="dxa"/>
            <w:vAlign w:val="bottom"/>
            <w:tcBorders>
              <w:right w:val="single" w:sz="8" w:color="007CBA"/>
            </w:tcBorders>
            <w:shd w:val="clear" w:color="auto" w:fill="007CBA"/>
          </w:tcPr>
          <w:p>
            <w:pPr>
              <w:spacing w:after="0"/>
              <w:rPr>
                <w:sz w:val="12"/>
                <w:szCs w:val="12"/>
                <w:color w:val="auto"/>
              </w:rPr>
            </w:pPr>
          </w:p>
        </w:tc>
        <w:tc>
          <w:tcPr>
            <w:tcW w:w="1380" w:type="dxa"/>
            <w:vAlign w:val="bottom"/>
            <w:shd w:val="clear" w:color="auto" w:fill="007CBA"/>
          </w:tcPr>
          <w:p>
            <w:pPr>
              <w:jc w:val="center"/>
              <w:ind w:left="308"/>
              <w:spacing w:after="0" w:line="145" w:lineRule="exact"/>
              <w:rPr>
                <w:sz w:val="20"/>
                <w:szCs w:val="20"/>
                <w:color w:val="auto"/>
              </w:rPr>
            </w:pPr>
            <w:r>
              <w:rPr>
                <w:rFonts w:ascii="Arial" w:cs="Arial" w:eastAsia="Arial" w:hAnsi="Arial"/>
                <w:sz w:val="14"/>
                <w:szCs w:val="14"/>
                <w:b w:val="1"/>
                <w:bCs w:val="1"/>
                <w:color w:val="FFFFFF"/>
              </w:rPr>
              <w:t>Plans or</w:t>
            </w:r>
          </w:p>
        </w:tc>
        <w:tc>
          <w:tcPr>
            <w:tcW w:w="380" w:type="dxa"/>
            <w:vAlign w:val="bottom"/>
            <w:tcBorders>
              <w:right w:val="single" w:sz="8" w:color="007CBA"/>
            </w:tcBorders>
            <w:shd w:val="clear" w:color="auto" w:fill="007CBA"/>
          </w:tcPr>
          <w:p>
            <w:pPr>
              <w:spacing w:after="0"/>
              <w:rPr>
                <w:sz w:val="12"/>
                <w:szCs w:val="12"/>
                <w:color w:val="auto"/>
              </w:rPr>
            </w:pPr>
          </w:p>
        </w:tc>
        <w:tc>
          <w:tcPr>
            <w:tcW w:w="1740" w:type="dxa"/>
            <w:vAlign w:val="bottom"/>
            <w:shd w:val="clear" w:color="auto" w:fill="007CBA"/>
          </w:tcPr>
          <w:p>
            <w:pPr>
              <w:jc w:val="center"/>
              <w:spacing w:after="0" w:line="145" w:lineRule="exact"/>
              <w:rPr>
                <w:sz w:val="20"/>
                <w:szCs w:val="20"/>
                <w:color w:val="auto"/>
              </w:rPr>
            </w:pPr>
            <w:r>
              <w:rPr>
                <w:rFonts w:ascii="Arial" w:cs="Arial" w:eastAsia="Arial" w:hAnsi="Arial"/>
                <w:sz w:val="14"/>
                <w:szCs w:val="14"/>
                <w:b w:val="1"/>
                <w:bCs w:val="1"/>
                <w:color w:val="FFFFFF"/>
              </w:rPr>
              <w:t>Plans or</w:t>
            </w:r>
          </w:p>
        </w:tc>
      </w:tr>
      <w:tr>
        <w:trPr>
          <w:trHeight w:val="189"/>
        </w:trPr>
        <w:tc>
          <w:tcPr>
            <w:tcW w:w="414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4"/>
                <w:szCs w:val="14"/>
                <w:b w:val="1"/>
                <w:bCs w:val="1"/>
                <w:color w:val="FFFFFF"/>
              </w:rPr>
              <w:t>Period</w:t>
            </w:r>
          </w:p>
        </w:tc>
        <w:tc>
          <w:tcPr>
            <w:tcW w:w="1400" w:type="dxa"/>
            <w:vAlign w:val="bottom"/>
            <w:shd w:val="clear" w:color="auto" w:fill="007CBA"/>
          </w:tcPr>
          <w:p>
            <w:pPr>
              <w:jc w:val="center"/>
              <w:ind w:left="348"/>
              <w:spacing w:after="0"/>
              <w:rPr>
                <w:sz w:val="20"/>
                <w:szCs w:val="20"/>
                <w:color w:val="auto"/>
              </w:rPr>
            </w:pPr>
            <w:r>
              <w:rPr>
                <w:rFonts w:ascii="Arial" w:cs="Arial" w:eastAsia="Arial" w:hAnsi="Arial"/>
                <w:sz w:val="14"/>
                <w:szCs w:val="14"/>
                <w:b w:val="1"/>
                <w:bCs w:val="1"/>
                <w:color w:val="FFFFFF"/>
              </w:rPr>
              <w:t>Purchased</w:t>
            </w:r>
          </w:p>
        </w:tc>
        <w:tc>
          <w:tcPr>
            <w:tcW w:w="400" w:type="dxa"/>
            <w:vAlign w:val="bottom"/>
            <w:tcBorders>
              <w:right w:val="single" w:sz="8" w:color="007CBA"/>
            </w:tcBorders>
            <w:shd w:val="clear" w:color="auto" w:fill="007CBA"/>
          </w:tcPr>
          <w:p>
            <w:pPr>
              <w:spacing w:after="0"/>
              <w:rPr>
                <w:sz w:val="16"/>
                <w:szCs w:val="16"/>
                <w:color w:val="auto"/>
              </w:rPr>
            </w:pPr>
          </w:p>
        </w:tc>
        <w:tc>
          <w:tcPr>
            <w:tcW w:w="1400" w:type="dxa"/>
            <w:vAlign w:val="bottom"/>
            <w:shd w:val="clear" w:color="auto" w:fill="007CBA"/>
          </w:tcPr>
          <w:p>
            <w:pPr>
              <w:jc w:val="center"/>
              <w:ind w:left="383"/>
              <w:spacing w:after="0"/>
              <w:rPr>
                <w:sz w:val="20"/>
                <w:szCs w:val="20"/>
                <w:color w:val="auto"/>
              </w:rPr>
            </w:pPr>
            <w:r>
              <w:rPr>
                <w:rFonts w:ascii="Arial" w:cs="Arial" w:eastAsia="Arial" w:hAnsi="Arial"/>
                <w:sz w:val="14"/>
                <w:szCs w:val="14"/>
                <w:b w:val="1"/>
                <w:bCs w:val="1"/>
                <w:color w:val="FFFFFF"/>
              </w:rPr>
              <w:t>per Share</w:t>
            </w:r>
          </w:p>
        </w:tc>
        <w:tc>
          <w:tcPr>
            <w:tcW w:w="400" w:type="dxa"/>
            <w:vAlign w:val="bottom"/>
            <w:tcBorders>
              <w:right w:val="single" w:sz="8" w:color="007CBA"/>
            </w:tcBorders>
            <w:shd w:val="clear" w:color="auto" w:fill="007CBA"/>
          </w:tcPr>
          <w:p>
            <w:pPr>
              <w:spacing w:after="0"/>
              <w:rPr>
                <w:sz w:val="16"/>
                <w:szCs w:val="16"/>
                <w:color w:val="auto"/>
              </w:rPr>
            </w:pPr>
          </w:p>
        </w:tc>
        <w:tc>
          <w:tcPr>
            <w:tcW w:w="1380" w:type="dxa"/>
            <w:vAlign w:val="bottom"/>
            <w:shd w:val="clear" w:color="auto" w:fill="007CBA"/>
          </w:tcPr>
          <w:p>
            <w:pPr>
              <w:jc w:val="center"/>
              <w:ind w:left="308"/>
              <w:spacing w:after="0" w:line="189" w:lineRule="exact"/>
              <w:rPr>
                <w:sz w:val="20"/>
                <w:szCs w:val="20"/>
                <w:color w:val="auto"/>
              </w:rPr>
            </w:pPr>
            <w:r>
              <w:rPr>
                <w:rFonts w:ascii="Arial" w:cs="Arial" w:eastAsia="Arial" w:hAnsi="Arial"/>
                <w:sz w:val="14"/>
                <w:szCs w:val="14"/>
                <w:b w:val="1"/>
                <w:bCs w:val="1"/>
                <w:color w:val="FFFFFF"/>
                <w:w w:val="98"/>
              </w:rPr>
              <w:t>Programs</w:t>
            </w:r>
            <w:r>
              <w:rPr>
                <w:rFonts w:ascii="Arial" w:cs="Arial" w:eastAsia="Arial" w:hAnsi="Arial"/>
                <w:sz w:val="19"/>
                <w:szCs w:val="19"/>
                <w:b w:val="1"/>
                <w:bCs w:val="1"/>
                <w:color w:val="FFFFFF"/>
                <w:w w:val="98"/>
                <w:vertAlign w:val="superscript"/>
              </w:rPr>
              <w:t>(1)</w:t>
            </w:r>
          </w:p>
        </w:tc>
        <w:tc>
          <w:tcPr>
            <w:tcW w:w="380" w:type="dxa"/>
            <w:vAlign w:val="bottom"/>
            <w:tcBorders>
              <w:right w:val="single" w:sz="8" w:color="007CBA"/>
            </w:tcBorders>
            <w:shd w:val="clear" w:color="auto" w:fill="007CBA"/>
          </w:tcPr>
          <w:p>
            <w:pPr>
              <w:spacing w:after="0"/>
              <w:rPr>
                <w:sz w:val="16"/>
                <w:szCs w:val="16"/>
                <w:color w:val="auto"/>
              </w:rPr>
            </w:pP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Programs</w:t>
            </w:r>
          </w:p>
        </w:tc>
      </w:tr>
      <w:tr>
        <w:trPr>
          <w:trHeight w:val="189"/>
        </w:trPr>
        <w:tc>
          <w:tcPr>
            <w:tcW w:w="414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October 1, 2025 — October 31, 2025</w:t>
            </w:r>
          </w:p>
        </w:tc>
        <w:tc>
          <w:tcPr>
            <w:tcW w:w="1400" w:type="dxa"/>
            <w:vAlign w:val="bottom"/>
          </w:tcPr>
          <w:p>
            <w:pPr>
              <w:spacing w:after="0"/>
              <w:rPr>
                <w:sz w:val="16"/>
                <w:szCs w:val="16"/>
                <w:color w:val="auto"/>
              </w:rPr>
            </w:pPr>
          </w:p>
        </w:tc>
        <w:tc>
          <w:tcPr>
            <w:tcW w:w="400" w:type="dxa"/>
            <w:vAlign w:val="bottom"/>
            <w:tcBorders>
              <w:right w:val="single" w:sz="8" w:color="007CBA"/>
            </w:tcBorders>
          </w:tcPr>
          <w:p>
            <w:pPr>
              <w:ind w:lef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43"/>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007CBA"/>
            </w:tcBorders>
          </w:tcPr>
          <w:p>
            <w:pPr>
              <w:ind w:left="12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38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5"/>
              <w:spacing w:after="0"/>
              <w:rPr>
                <w:sz w:val="20"/>
                <w:szCs w:val="20"/>
                <w:color w:val="auto"/>
              </w:rPr>
            </w:pPr>
            <w:r>
              <w:rPr>
                <w:rFonts w:ascii="Arial" w:cs="Arial" w:eastAsia="Arial" w:hAnsi="Arial"/>
                <w:sz w:val="16"/>
                <w:szCs w:val="16"/>
                <w:color w:val="auto"/>
              </w:rPr>
              <w:t>11,024,507</w:t>
            </w:r>
          </w:p>
        </w:tc>
      </w:tr>
      <w:tr>
        <w:trPr>
          <w:trHeight w:val="189"/>
        </w:trPr>
        <w:tc>
          <w:tcPr>
            <w:tcW w:w="414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November 1, 2025 — November 30, 2025</w:t>
            </w:r>
          </w:p>
        </w:tc>
        <w:tc>
          <w:tcPr>
            <w:tcW w:w="1400" w:type="dxa"/>
            <w:vAlign w:val="bottom"/>
            <w:shd w:val="clear" w:color="auto" w:fill="E5F1F8"/>
          </w:tcPr>
          <w:p>
            <w:pPr>
              <w:spacing w:after="0"/>
              <w:rPr>
                <w:sz w:val="16"/>
                <w:szCs w:val="16"/>
                <w:color w:val="auto"/>
              </w:rPr>
            </w:pPr>
          </w:p>
        </w:tc>
        <w:tc>
          <w:tcPr>
            <w:tcW w:w="400" w:type="dxa"/>
            <w:vAlign w:val="bottom"/>
            <w:tcBorders>
              <w:right w:val="single" w:sz="8" w:color="007CBA"/>
            </w:tcBorders>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1F8"/>
          </w:tcPr>
          <w:p>
            <w:pPr>
              <w:jc w:val="right"/>
              <w:ind w:right="1043"/>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007CBA"/>
            </w:tcBorders>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1F8"/>
          </w:tcPr>
          <w:p>
            <w:pPr>
              <w:spacing w:after="0"/>
              <w:rPr>
                <w:sz w:val="16"/>
                <w:szCs w:val="16"/>
                <w:color w:val="auto"/>
              </w:rPr>
            </w:pPr>
          </w:p>
        </w:tc>
        <w:tc>
          <w:tcPr>
            <w:tcW w:w="38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E5F1F8"/>
          </w:tcPr>
          <w:p>
            <w:pPr>
              <w:jc w:val="right"/>
              <w:ind w:right="25"/>
              <w:spacing w:after="0"/>
              <w:rPr>
                <w:sz w:val="20"/>
                <w:szCs w:val="20"/>
                <w:color w:val="auto"/>
              </w:rPr>
            </w:pPr>
            <w:r>
              <w:rPr>
                <w:rFonts w:ascii="Arial" w:cs="Arial" w:eastAsia="Arial" w:hAnsi="Arial"/>
                <w:sz w:val="16"/>
                <w:szCs w:val="16"/>
                <w:color w:val="auto"/>
              </w:rPr>
              <w:t>11,024,507</w:t>
            </w:r>
          </w:p>
        </w:tc>
      </w:tr>
      <w:tr>
        <w:trPr>
          <w:trHeight w:val="189"/>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December 1, 2025 — December 31, 2025</w:t>
            </w:r>
          </w:p>
        </w:tc>
        <w:tc>
          <w:tcPr>
            <w:tcW w:w="1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43"/>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11,024,507</w:t>
            </w:r>
          </w:p>
        </w:tc>
      </w:tr>
      <w:tr>
        <w:trPr>
          <w:trHeight w:val="223"/>
        </w:trPr>
        <w:tc>
          <w:tcPr>
            <w:tcW w:w="4140" w:type="dxa"/>
            <w:vAlign w:val="bottom"/>
            <w:tcBorders>
              <w:bottom w:val="single" w:sz="8" w:color="auto"/>
              <w:right w:val="single" w:sz="8" w:color="E5F1F8"/>
            </w:tcBorders>
            <w:shd w:val="clear" w:color="auto" w:fill="E5F1F8"/>
          </w:tcPr>
          <w:p>
            <w:pPr>
              <w:ind w:left="40"/>
              <w:spacing w:after="0" w:line="183" w:lineRule="exact"/>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shd w:val="clear" w:color="auto" w:fill="E5F1F8"/>
          </w:tcPr>
          <w:p>
            <w:pPr>
              <w:spacing w:after="0"/>
              <w:rPr>
                <w:sz w:val="19"/>
                <w:szCs w:val="19"/>
                <w:color w:val="auto"/>
              </w:rPr>
            </w:pPr>
          </w:p>
        </w:tc>
        <w:tc>
          <w:tcPr>
            <w:tcW w:w="400" w:type="dxa"/>
            <w:vAlign w:val="bottom"/>
            <w:tcBorders>
              <w:bottom w:val="single" w:sz="8" w:color="auto"/>
              <w:right w:val="single" w:sz="8" w:color="E5F1F8"/>
            </w:tcBorders>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5F1F8"/>
          </w:tcPr>
          <w:p>
            <w:pPr>
              <w:jc w:val="right"/>
              <w:ind w:right="1043"/>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gridSpan w:val="2"/>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right w:val="single" w:sz="8" w:color="E5F1F8"/>
            </w:tcBorders>
            <w:shd w:val="clear" w:color="auto" w:fill="E5F1F8"/>
          </w:tcPr>
          <w:p>
            <w:pPr>
              <w:ind w:left="100"/>
              <w:spacing w:after="0" w:line="183" w:lineRule="exact"/>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E5F1F8"/>
          </w:tcPr>
          <w:p>
            <w:pPr>
              <w:jc w:val="right"/>
              <w:ind w:right="25"/>
              <w:spacing w:after="0" w:line="183" w:lineRule="exact"/>
              <w:rPr>
                <w:sz w:val="20"/>
                <w:szCs w:val="20"/>
                <w:color w:val="auto"/>
              </w:rPr>
            </w:pPr>
            <w:r>
              <w:rPr>
                <w:rFonts w:ascii="Arial" w:cs="Arial" w:eastAsia="Arial" w:hAnsi="Arial"/>
                <w:sz w:val="16"/>
                <w:szCs w:val="16"/>
                <w:color w:val="auto"/>
              </w:rPr>
              <w:t>11,024,507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-286385</wp:posOffset>
            </wp:positionV>
            <wp:extent cx="34290" cy="299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-286385</wp:posOffset>
            </wp:positionV>
            <wp:extent cx="34290" cy="299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-286385</wp:posOffset>
            </wp:positionV>
            <wp:extent cx="34290" cy="299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-286385</wp:posOffset>
            </wp:positionV>
            <wp:extent cx="33655" cy="299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299720"/>
                    </a:xfrm>
                    <a:prstGeom prst="rect">
                      <a:avLst/>
                    </a:prstGeom>
                    <a:noFill/>
                  </pic:spPr>
                </pic:pic>
              </a:graphicData>
            </a:graphic>
          </wp:anchor>
        </w:drawing>
      </w:r>
    </w:p>
    <w:p>
      <w:pPr>
        <w:spacing w:after="0" w:line="25" w:lineRule="exact"/>
        <w:rPr>
          <w:sz w:val="20"/>
          <w:szCs w:val="20"/>
          <w:color w:val="auto"/>
        </w:rPr>
      </w:pPr>
    </w:p>
    <w:p>
      <w:pPr>
        <w:jc w:val="both"/>
        <w:ind w:left="760" w:hanging="378"/>
        <w:spacing w:after="0" w:line="247" w:lineRule="auto"/>
        <w:tabs>
          <w:tab w:leader="none" w:pos="76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The Company’s stock repurchase program, which currently authorizes the repurchase of 20 million shares of common stock, is approved by the Board of Directors from time to time,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 (i) press release dated August 15, 2007 (5 million shares); (ii) press release dated February 22, 2006 (5 million shares); and (iii) May 6, 1994 (2.5 million shares).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 RESERVED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25"/>
          <w:szCs w:val="25"/>
          <w:b w:val="1"/>
          <w:bCs w:val="1"/>
          <w:color w:val="auto"/>
        </w:rPr>
        <w:t>ITEM 7 – MANAGEMENT’S DISCUSSION AND ANALYSIS OF FINANCIAL CONDITION AND RESULTS OF OPERATIONS</w:t>
      </w:r>
    </w:p>
    <w:p>
      <w:pPr>
        <w:spacing w:after="0"/>
        <w:rPr>
          <w:sz w:val="20"/>
          <w:szCs w:val="20"/>
          <w:color w:val="auto"/>
        </w:rPr>
      </w:pPr>
      <w:r>
        <w:rPr>
          <w:rFonts w:ascii="Arial" w:cs="Arial" w:eastAsia="Arial" w:hAnsi="Arial"/>
          <w:sz w:val="25"/>
          <w:szCs w:val="25"/>
          <w:b w:val="1"/>
          <w:bCs w:val="1"/>
          <w:color w:val="786970"/>
        </w:rPr>
        <w:t>INTRODUCTORY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90170</wp:posOffset>
            </wp:positionV>
            <wp:extent cx="3994785" cy="33000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9478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with 2025 revenues of $6.2 billion and 2025 net earnings from continuing operations attributable to Martin Marietta of $990 million. These results were achieved in part by supplying aggregates (crushed stone, sand and gravel) through its network of approximately 400 quarries, mines and distribution yards in 28 states, Canada and The Bahamas. As of December 31, 2025, Martin Marietta also provides other building materials, namely, cement, ready mixed concrete, asphalt and paving services, in certain markets where the Company has a notable aggregates position. Specifically, the Company has one cement plant and four cement distribution facilities in Texas, ready mixed concrete plants in Arizona and Texas, and asphalt plants in Arizona, California, Colorado and Minnesota. Asphalt paving services are offered in Colorado.</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3, 2025, the Company entered into a definitive agreement with Quikrete Holding, Inc. (QUIKRETE) for the exchange of certain assets. The pending disposal of the Company's cement plant, related cement terminals and Texas ready mixed concrete plants meets the criteria for held for sale and the associated financial results of these operations are reported as discontinued operations for all periods presented (see Note B to the consolidated financial statements). The Company has recast all comparative prior-period financial information presented in Management's Discussion and Analysis of Financial Condition and Results of Operations, unless otherwise noted, to reflect this presentation.</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more fully discussed in the </w:t>
      </w:r>
      <w:r>
        <w:rPr>
          <w:rFonts w:ascii="Arial" w:cs="Arial" w:eastAsia="Arial" w:hAnsi="Arial"/>
          <w:sz w:val="18"/>
          <w:szCs w:val="18"/>
          <w:i w:val="1"/>
          <w:iCs w:val="1"/>
          <w:color w:val="auto"/>
        </w:rPr>
        <w:t>Strategic Objectives</w:t>
      </w:r>
      <w:r>
        <w:rPr>
          <w:rFonts w:ascii="Arial" w:cs="Arial" w:eastAsia="Arial" w:hAnsi="Arial"/>
          <w:sz w:val="18"/>
          <w:szCs w:val="18"/>
          <w:color w:val="auto"/>
        </w:rPr>
        <w:t xml:space="preserve"> section, geography is critically important for the Building Materials business. The Company conducts its Building Materials business for continuing operations through two reportable segments, organized by geography: East Group and West Group. The East Group, consisting of the East and Central divisions, provides aggregates and asphalt products. The West Group is comprised of the Southwest and West divisions and its continuing operations provide aggregates, ready mixed concrete, asphalt and paving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5837555" cy="255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3755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ten states accounted for 76% of the Building Materials business 2025 revenues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120650</wp:posOffset>
            </wp:positionV>
            <wp:extent cx="3429000" cy="3077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0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134620</wp:posOffset>
            </wp:positionV>
            <wp:extent cx="4371975" cy="3223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7197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Specialties</w:t>
      </w:r>
    </w:p>
    <w:p>
      <w:pPr>
        <w:spacing w:after="0" w:line="45"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The Company operates a Specialties business (formerly known as the Magnesia Specialties business) which produces high</w:t>
      </w:r>
      <w:r>
        <w:rPr>
          <w:rFonts w:ascii="MS PGothic" w:cs="MS PGothic" w:eastAsia="MS PGothic" w:hAnsi="MS PGothic"/>
          <w:sz w:val="18"/>
          <w:szCs w:val="18"/>
          <w:color w:val="auto"/>
        </w:rPr>
        <w:t>‑</w:t>
      </w:r>
      <w:r>
        <w:rPr>
          <w:rFonts w:ascii="Arial" w:cs="Arial" w:eastAsia="Arial" w:hAnsi="Arial"/>
          <w:sz w:val="18"/>
          <w:szCs w:val="18"/>
          <w:color w:val="auto"/>
        </w:rPr>
        <w:t>purity natural and synthetic magnesia</w:t>
      </w:r>
      <w:r>
        <w:rPr>
          <w:rFonts w:ascii="MS PGothic" w:cs="MS PGothic" w:eastAsia="MS PGothic" w:hAnsi="MS PGothic"/>
          <w:sz w:val="18"/>
          <w:szCs w:val="18"/>
          <w:color w:val="auto"/>
        </w:rPr>
        <w:t>‑</w:t>
      </w:r>
      <w:r>
        <w:rPr>
          <w:rFonts w:ascii="Arial" w:cs="Arial" w:eastAsia="Arial" w:hAnsi="Arial"/>
          <w:sz w:val="18"/>
          <w:szCs w:val="18"/>
          <w:color w:val="auto"/>
        </w:rPr>
        <w:t>based products, including magnesium sulfate, magnesium oxide and magnesium hydroxide, used in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 The July 2025 acquisition of Premier Magnesia expanded the Company’s product portfolio and enhanced its domestic magnesia mineral reserves and processing capabilities. Specialties’ production facilities are located in Michigan, Ohio, Nevada, North Carolina, Indiana and Pennsylvania, and products are shipped to customers domestically and worldwide.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Strategic Objectives</w:t>
      </w:r>
    </w:p>
    <w:p>
      <w:pPr>
        <w:spacing w:after="0" w:line="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Company’s strategic planning process, or </w:t>
      </w:r>
      <w:r>
        <w:rPr>
          <w:rFonts w:ascii="Arial" w:cs="Arial" w:eastAsia="Arial" w:hAnsi="Arial"/>
          <w:sz w:val="18"/>
          <w:szCs w:val="18"/>
          <w:b w:val="1"/>
          <w:bCs w:val="1"/>
          <w:color w:val="auto"/>
        </w:rPr>
        <w:t>S</w:t>
      </w:r>
      <w:r>
        <w:rPr>
          <w:rFonts w:ascii="Arial" w:cs="Arial" w:eastAsia="Arial" w:hAnsi="Arial"/>
          <w:sz w:val="18"/>
          <w:szCs w:val="18"/>
          <w:color w:val="auto"/>
        </w:rPr>
        <w:t xml:space="preserve">trategic </w:t>
      </w:r>
      <w:r>
        <w:rPr>
          <w:rFonts w:ascii="Arial" w:cs="Arial" w:eastAsia="Arial" w:hAnsi="Arial"/>
          <w:sz w:val="18"/>
          <w:szCs w:val="18"/>
          <w:b w:val="1"/>
          <w:bCs w:val="1"/>
          <w:color w:val="auto"/>
        </w:rPr>
        <w:t>O</w:t>
      </w:r>
      <w:r>
        <w:rPr>
          <w:rFonts w:ascii="Arial" w:cs="Arial" w:eastAsia="Arial" w:hAnsi="Arial"/>
          <w:sz w:val="18"/>
          <w:szCs w:val="18"/>
          <w:color w:val="auto"/>
        </w:rPr>
        <w:t xml:space="preserve">perating </w:t>
      </w:r>
      <w:r>
        <w:rPr>
          <w:rFonts w:ascii="Arial" w:cs="Arial" w:eastAsia="Arial" w:hAnsi="Arial"/>
          <w:sz w:val="18"/>
          <w:szCs w:val="18"/>
          <w:b w:val="1"/>
          <w:bCs w:val="1"/>
          <w:color w:val="auto"/>
        </w:rPr>
        <w:t>A</w:t>
      </w:r>
      <w:r>
        <w:rPr>
          <w:rFonts w:ascii="Arial" w:cs="Arial" w:eastAsia="Arial" w:hAnsi="Arial"/>
          <w:sz w:val="18"/>
          <w:szCs w:val="18"/>
          <w:color w:val="auto"/>
        </w:rPr>
        <w:t xml:space="preserve">nalysis and </w:t>
      </w:r>
      <w:r>
        <w:rPr>
          <w:rFonts w:ascii="Arial" w:cs="Arial" w:eastAsia="Arial" w:hAnsi="Arial"/>
          <w:sz w:val="18"/>
          <w:szCs w:val="18"/>
          <w:b w:val="1"/>
          <w:bCs w:val="1"/>
          <w:color w:val="auto"/>
        </w:rPr>
        <w:t>R</w:t>
      </w:r>
      <w:r>
        <w:rPr>
          <w:rFonts w:ascii="Arial" w:cs="Arial" w:eastAsia="Arial" w:hAnsi="Arial"/>
          <w:sz w:val="18"/>
          <w:szCs w:val="18"/>
          <w:color w:val="auto"/>
        </w:rPr>
        <w:t>eview (SOAR), provides the framework for execution of Martin Marietta’s long-term strategic plan. Guided by this framework and considering the cyclicality of the Building Materials business, the Company determines capital allocation priorities to maximize long-term shareholder value creation. The Company’s strategy includes ongoing evaluation of aggregates-led opportunities of scale in new domestic markets (</w:t>
      </w:r>
      <w:r>
        <w:rPr>
          <w:rFonts w:ascii="Arial" w:cs="Arial" w:eastAsia="Arial" w:hAnsi="Arial"/>
          <w:sz w:val="18"/>
          <w:szCs w:val="18"/>
          <w:i w:val="1"/>
          <w:iCs w:val="1"/>
          <w:color w:val="auto"/>
        </w:rPr>
        <w:t>i.e.</w:t>
      </w:r>
      <w:r>
        <w:rPr>
          <w:rFonts w:ascii="Arial" w:cs="Arial" w:eastAsia="Arial" w:hAnsi="Arial"/>
          <w:sz w:val="18"/>
          <w:szCs w:val="18"/>
          <w:color w:val="auto"/>
        </w:rPr>
        <w:t>, platform acquisitions) and expansion through acquisitions that complement existing operations (</w:t>
      </w:r>
      <w:r>
        <w:rPr>
          <w:rFonts w:ascii="Arial" w:cs="Arial" w:eastAsia="Arial" w:hAnsi="Arial"/>
          <w:sz w:val="18"/>
          <w:szCs w:val="18"/>
          <w:i w:val="1"/>
          <w:iCs w:val="1"/>
          <w:color w:val="auto"/>
        </w:rPr>
        <w:t>i.e.</w:t>
      </w:r>
      <w:r>
        <w:rPr>
          <w:rFonts w:ascii="Arial" w:cs="Arial" w:eastAsia="Arial" w:hAnsi="Arial"/>
          <w:sz w:val="18"/>
          <w:szCs w:val="18"/>
          <w:color w:val="auto"/>
        </w:rPr>
        <w:t xml:space="preserve">, bolt-on acquisitions). The Company finances such opportunities with the goal of preserving its financial flexibility by having a leverage ratio (consolidated net debt to consolidated earnings before interest, taxes, depreciation, depletion and amortization, earnings/loss from nonconsolidated equity affiliates and certain other adjustments as specified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or Consolidated Adjusted EBITDA) within a range of 2.0 times to 2.5 times within a reasonable period of time (typically within 18 months) following the completion of a debt-financed transaction. SOAR also includes the identification and potential disposition of assets that are not consistent with stated strategic goals.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by purposeful design, is an aggregates-led business that focuses on markets with strong, underlying growth fundamentals where it can sustain or achieve a leading market position. Aggregates gross profit represented 88% of 2025 total reportable segment gross profit. For Martin Marietta, other building materials operations are located where the Company has, or envisions, among other things, a clear path toward a leading aggregates position. The Company's portfolio also includes a highly complementary Specialties business that possesses aggregates-like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55245</wp:posOffset>
            </wp:positionV>
            <wp:extent cx="4183380" cy="3343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8338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Generally, the Company’s building materials are both sourced and sold locally. As a result, geography is critically important when assessing market attractiveness and growth opportunities. Attractive geographies generally exhibit (a) population growth and/or high population density, both of which are drivers of heavy-side building materials consumption; (b) business and employment diversity, drivers of greater economic stability; and (c) a superior state financial position, a driver of public infrastructure investment.</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Population growth and density are typically assessed based on a site’s proximity to one of the 11 megaregions in the United States. Megaregions are large networks of metropolitan population centers covering thousands of square miles. According to </w:t>
      </w:r>
      <w:r>
        <w:rPr>
          <w:rFonts w:ascii="Arial" w:cs="Arial" w:eastAsia="Arial" w:hAnsi="Arial"/>
          <w:sz w:val="18"/>
          <w:szCs w:val="18"/>
          <w:i w:val="1"/>
          <w:iCs w:val="1"/>
          <w:color w:val="auto"/>
        </w:rPr>
        <w:t>America 2050</w:t>
      </w:r>
      <w:r>
        <w:rPr>
          <w:rFonts w:ascii="Arial" w:cs="Arial" w:eastAsia="Arial" w:hAnsi="Arial"/>
          <w:sz w:val="18"/>
          <w:szCs w:val="18"/>
          <w:color w:val="auto"/>
        </w:rPr>
        <w:t>, a planning and policy program of the Regional Plan Association, most of the nation’s population and economic growth through 2050 will occur in the megaregions. The Company has a meaningful presence in ten megaregions. As evidence of the successful execution of SOAR, the Company’s leading positions in the Texas Triangle, Colorado’s Front Range, northern and southern California and Arizona’s Sun Corridor megaregions and its growth platforms in the southern portion of the Northeast megaregion, Piedmont Atlantic and Florida megaregions are the results of acquisitions since 2011. The Company has a legacy presence in the southeastern portion of the Great Lakes megaregion, encompassing operations in Indiana and Ohio, as well as the Gulf Coast megaregion in Texas.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134620</wp:posOffset>
            </wp:positionV>
            <wp:extent cx="5837555" cy="45091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37555"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focuses its geographic footprint along significant transportation and commerce corridors, particularly in key Sunbelt metropolitan statistical areas (MSAs) across the Southeast and Southwest. The retail sector (both e-commerce as well as brick and mortar) values transportation corridors, as logistics and distribution are critical considerations for construction supporting that industry. In addition, technology companies view these areas as attractive locations for data centers.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considers a state’s financial health rating, as issued by S&amp;P Global Ratings, in determining the opportunities and attractiveness of areas for both expansion and/or development. The Company’s top-ten revenue-generating states have been evaluated and scored a financial health rating of AA- or higher, where AAA is the highest score. The Company also reviews the state’s ability to secure additional infrastructure funding and financing.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line with the Company’s strategic objectives, management’s overall focus includes:</w:t>
      </w:r>
    </w:p>
    <w:p>
      <w:pPr>
        <w:spacing w:after="0" w:line="50" w:lineRule="exact"/>
        <w:rPr>
          <w:sz w:val="20"/>
          <w:szCs w:val="20"/>
          <w:color w:val="auto"/>
        </w:rPr>
      </w:pPr>
    </w:p>
    <w:p>
      <w:pPr>
        <w:ind w:left="820" w:hanging="250"/>
        <w:spacing w:after="0"/>
        <w:tabs>
          <w:tab w:leader="none" w:pos="8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Upholding the Company’s commitment to its Mission, Vision and Values</w:t>
      </w:r>
    </w:p>
    <w:p>
      <w:pPr>
        <w:spacing w:after="0" w:line="62" w:lineRule="exact"/>
        <w:rPr>
          <w:rFonts w:ascii="Times New Roman" w:cs="Times New Roman" w:eastAsia="Times New Roman" w:hAnsi="Times New Roman"/>
          <w:sz w:val="18"/>
          <w:szCs w:val="18"/>
          <w:color w:val="auto"/>
        </w:rPr>
      </w:pPr>
    </w:p>
    <w:p>
      <w:pPr>
        <w:ind w:left="820" w:hanging="250"/>
        <w:spacing w:after="0"/>
        <w:tabs>
          <w:tab w:leader="none" w:pos="8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maintaining the world's safest, best-performing and most-durable aggregates-led public company</w:t>
      </w:r>
    </w:p>
    <w:p>
      <w:pPr>
        <w:spacing w:after="0" w:line="62" w:lineRule="exact"/>
        <w:rPr>
          <w:rFonts w:ascii="Times New Roman" w:cs="Times New Roman" w:eastAsia="Times New Roman" w:hAnsi="Times New Roman"/>
          <w:sz w:val="18"/>
          <w:szCs w:val="18"/>
          <w:color w:val="auto"/>
        </w:rPr>
      </w:pPr>
    </w:p>
    <w:p>
      <w:pPr>
        <w:ind w:left="820" w:hanging="250"/>
        <w:spacing w:after="0"/>
        <w:tabs>
          <w:tab w:leader="none" w:pos="8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Navigating effectively through construction cycles to balance investment decisions against expected product demand</w:t>
      </w:r>
    </w:p>
    <w:p>
      <w:pPr>
        <w:spacing w:after="0" w:line="62" w:lineRule="exact"/>
        <w:rPr>
          <w:rFonts w:ascii="Times New Roman" w:cs="Times New Roman" w:eastAsia="Times New Roman" w:hAnsi="Times New Roman"/>
          <w:sz w:val="18"/>
          <w:szCs w:val="18"/>
          <w:color w:val="auto"/>
        </w:rPr>
      </w:pPr>
    </w:p>
    <w:p>
      <w:pPr>
        <w:ind w:left="820" w:hanging="250"/>
        <w:spacing w:after="0" w:line="265" w:lineRule="auto"/>
        <w:tabs>
          <w:tab w:leader="none" w:pos="8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Tracking shifts in population dynamics, as well as local, state and national economic conditions, to ensure changing trends are reflected in the execution of the strategic plan</w:t>
      </w:r>
    </w:p>
    <w:p>
      <w:pPr>
        <w:spacing w:after="0" w:line="1" w:lineRule="exact"/>
        <w:rPr>
          <w:rFonts w:ascii="Times New Roman" w:cs="Times New Roman" w:eastAsia="Times New Roman" w:hAnsi="Times New Roman"/>
          <w:sz w:val="18"/>
          <w:szCs w:val="18"/>
          <w:color w:val="auto"/>
        </w:rPr>
      </w:pPr>
    </w:p>
    <w:p>
      <w:pPr>
        <w:ind w:left="820" w:hanging="250"/>
        <w:spacing w:after="0"/>
        <w:tabs>
          <w:tab w:leader="none" w:pos="8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Integrating acquired businesses efficiently to maximize the return on the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ind w:left="820" w:hanging="250"/>
        <w:spacing w:after="0"/>
        <w:tabs>
          <w:tab w:leader="none" w:pos="8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Allocating capital in a prudent manner consistent with the following long-standing priorities while maintaining financial flexibility:</w:t>
      </w:r>
    </w:p>
    <w:p>
      <w:pPr>
        <w:spacing w:after="0" w:line="62"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w:t>
      </w:r>
    </w:p>
    <w:p>
      <w:pPr>
        <w:spacing w:after="0" w:line="62"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Organic capital investment</w:t>
      </w:r>
    </w:p>
    <w:p>
      <w:pPr>
        <w:spacing w:after="0" w:line="62"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Return of cash to shareholders through both meaningful and sustainable dividends as well as share repurchases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Safety Performance</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safety and health culture and performance sets the foundation for its long-term strategic plan and its financial and operational strength. For 2025, the Company achieved a company-wide Lost-Time Incident Rate (LTIR) of 0.17, the ninth consecutive year of world-class or better LTIR thresholds, and a company-wide Total Injury Incident Rate (TIIR) of 0.69, the fifth consecutive year of world-class or better TIIR thresholds.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BUSINESS ENVIRONMENT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Building Materials Business</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Building Materials business serves customers in the construction marketplace. The business’ profitability is sensitive to national, regional and local economic conditions and cyclical swings in construction spending, which are affected by fluctuations in levels of public-sector infrastructure funding; interest rates; access to capital markets; and demographic, geographic, employment and population dynamics.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heavy-side construction business, inclusive of much of the Company’s operations, is conducted outdoors. Therefore, erratic weather patterns, precipitation and other weather-related conditions, including flooding, hurricanes, extreme hot and cold temperatures, earthquakes, droughts and wildfires, can significantly affect production schedules, shipments, costs, efficiencies and profitability. Generally, the financial results for the first and fourth quarters are influenced by the impacts of winter weather, while the second and third quarters can be subject to the impacts of heavy precipitation and excessive heat. The impacts of erratic weather patterns are more fully discussed in the </w:t>
      </w:r>
      <w:r>
        <w:rPr>
          <w:rFonts w:ascii="Arial" w:cs="Arial" w:eastAsia="Arial" w:hAnsi="Arial"/>
          <w:sz w:val="18"/>
          <w:szCs w:val="18"/>
          <w:i w:val="1"/>
          <w:iCs w:val="1"/>
          <w:color w:val="auto"/>
        </w:rPr>
        <w:t>Building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Materials Business’ Key Considerations </w:t>
      </w:r>
      <w:r>
        <w:rPr>
          <w:rFonts w:ascii="Arial" w:cs="Arial" w:eastAsia="Arial" w:hAnsi="Arial"/>
          <w:sz w:val="18"/>
          <w:szCs w:val="18"/>
          <w:color w:val="auto"/>
        </w:rPr>
        <w:t>section.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Product Lines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Aggregates are an engineered, granular material consisting of crushed stone, sand and gravel, manufactured to specific sizes, grades and chemistry for use primarily in construction applications. The Company’s operations consist mostly of open pit quarries; however, the Company is also the largest operator of underground aggregates mines in the United States, with 13 active underground mines located in the East Group. The Company’s aggregates reserves average approximately 85 years at the 2025 annual production level.</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Cement is the basic agent used to bind coarse aggregates, sand and water in the production of ready mixed concrete. The Company has a cement production facility in Midlothian, Texas, south of Dallas/Fort Worth, and operates four related distribution terminals. This production facility produces Portland limestone and specialty cements, with an annual clinker (an intermediary product of cement production) capacity at December 31, 2025 of approximately 2.4 million tons. The facility operated at approximately 61% utilization for clinker production in 2025. The Company completed a finishing capacity expansion project at the Midlothian plant in August 2024, which provided 0.45 million tons of incremental annual cement production capacity. Further, the Company has converted its Midlothian plant to manufacture a less carbon-intensive Portland limestone cement, known as Type 1L, which has been approved by the Texas Department of Transportation and allows the production of more cement with less clinker. The Company's Midlothian cement plant and related cement terminals are classified as assets held for sale as part of the pending QUIKRETE transaction.</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Ready mixed concrete is measured in cubic yards and specifically batched or produced for customers’ construction projects and then typically transported by mixer trucks and poured at the project site of a customer of the Company. The coarse aggregates used for ready mixed concrete are a washed material with limited amounts of fines (</w:t>
      </w:r>
      <w:r>
        <w:rPr>
          <w:rFonts w:ascii="Arial" w:cs="Arial" w:eastAsia="Arial" w:hAnsi="Arial"/>
          <w:sz w:val="18"/>
          <w:szCs w:val="18"/>
          <w:i w:val="1"/>
          <w:iCs w:val="1"/>
          <w:color w:val="auto"/>
        </w:rPr>
        <w:t>i.e.</w:t>
      </w:r>
      <w:r>
        <w:rPr>
          <w:rFonts w:ascii="Arial" w:cs="Arial" w:eastAsia="Arial" w:hAnsi="Arial"/>
          <w:sz w:val="18"/>
          <w:szCs w:val="18"/>
          <w:color w:val="auto"/>
        </w:rPr>
        <w:t>, dirt and clay). The Company operates ready mixed concrete plants in Arizona and Texas as of December 31, 2025. The Texas ready mixed concrete plants are classified as assets held for sale as part of the pending QUIKRETE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Asphalt is typically used in surfacing roads and parking lots and consists of liquid asphalt, or bitumen (the binding medium), and aggregates. Like ready mixed concrete, each asphalt batch is produced to customer specifications. The Company’s asphalt operations are in Arizona, California, Colorado and Minnesota and related paving services are offered in Colorado.</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 dynamics for the downstream ready mixed concrete and asphalt product lines include a highly competitive environment and lower barriers to entry compared with the Company’s upstream aggregates product line.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End-Use Trends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principal end-use markets of the Building Materials business are public infrastructure (</w:t>
      </w:r>
      <w:r>
        <w:rPr>
          <w:rFonts w:ascii="Arial" w:cs="Arial" w:eastAsia="Arial" w:hAnsi="Arial"/>
          <w:sz w:val="18"/>
          <w:szCs w:val="18"/>
          <w:i w:val="1"/>
          <w:iCs w:val="1"/>
          <w:color w:val="auto"/>
        </w:rPr>
        <w:t>i.e.</w:t>
      </w:r>
      <w:r>
        <w:rPr>
          <w:rFonts w:ascii="Arial" w:cs="Arial" w:eastAsia="Arial" w:hAnsi="Arial"/>
          <w:sz w:val="18"/>
          <w:szCs w:val="18"/>
          <w:color w:val="auto"/>
        </w:rPr>
        <w:t>, highways; streets; roads; bridges; and schools); nonresidential construction (</w:t>
      </w:r>
      <w:r>
        <w:rPr>
          <w:rFonts w:ascii="Arial" w:cs="Arial" w:eastAsia="Arial" w:hAnsi="Arial"/>
          <w:sz w:val="18"/>
          <w:szCs w:val="18"/>
          <w:i w:val="1"/>
          <w:iCs w:val="1"/>
          <w:color w:val="auto"/>
        </w:rPr>
        <w:t>i.e.</w:t>
      </w:r>
      <w:r>
        <w:rPr>
          <w:rFonts w:ascii="Arial" w:cs="Arial" w:eastAsia="Arial" w:hAnsi="Arial"/>
          <w:sz w:val="18"/>
          <w:szCs w:val="18"/>
          <w:color w:val="auto"/>
        </w:rPr>
        <w:t>, manufacturing and distribution facilities; data centers; industrial complexes; office buildings; large retailers and wholesalers; healthcare; hospitality; and energy-related activity); and residential construction (</w:t>
      </w:r>
      <w:r>
        <w:rPr>
          <w:rFonts w:ascii="Arial" w:cs="Arial" w:eastAsia="Arial" w:hAnsi="Arial"/>
          <w:sz w:val="18"/>
          <w:szCs w:val="18"/>
          <w:i w:val="1"/>
          <w:iCs w:val="1"/>
          <w:color w:val="auto"/>
        </w:rPr>
        <w:t>i.e.</w:t>
      </w:r>
      <w:r>
        <w:rPr>
          <w:rFonts w:ascii="Arial" w:cs="Arial" w:eastAsia="Arial" w:hAnsi="Arial"/>
          <w:sz w:val="18"/>
          <w:szCs w:val="18"/>
          <w:color w:val="auto"/>
        </w:rPr>
        <w:t>, subdivision development; and single- and multi-family housing). Aggregates are also used in agricultural, utility and environmental applications and as railroad ballast, collectively comprising the ChemRock/Rail market.</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Public infrastructure projects can require several years to complete, while residential and nonresidential construction projects are usually completed within one year. Generally, customer purchase orders do not contain firm quantity commitments, regardless of end-use market.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Infrastructure</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public infrastructure market accounted for 37% of the Company’s aggregates shipments in 2025. The Company’s shipments to this end-use market are in line with the most recent five-year average of 35% and the most recent ten-year average of 36%.</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Public construction projects, once awarded, are typically seen through to completion. Thus, delays from weather or other factors can serve to extend the duration of the construction cycle. While construction spending in the public and private market sectors is affected by economic cycles, public infrastructure spending has been comparatively more stable due to the predictability of funding from federal, state and local governments. The Infrastructure Investments and Jobs Act (IIJ Act) was signed into law on November 15, 2021, and contains a five-year surface transportation reauthorization plus $110 billion in new funding for roads, bridges and other hard infrastructure projects.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State and local initiatives that support infrastructure funding, including gas tax increases, new funding mechanisms and other ballot initiatives, are increasing in size and number as these governments recognize the need for their expanded role in public infrastructure investment. During 2025, 83% of all infrastructure funding measures up for vote were approved. These approved infrastructure initiatives are estimated to generate $24 billion in one-time and recurring revenues, with initiatives in North Carolina, one of the Company’s largest revenue-generating states, accounting for $16 billion of this total.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Nonresidential</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nonresidential construction market accounted for 36% of the Company’s aggregates shipments in 2025. Heavy nonresidential construction demand remained steady in 2025 across key geographies due to rapid expansion in data centers, a recovery in warehousing and distribution, and early-stage momentum in energy and advanced manufacturing. The Company expects 2026 demand in these nonresidential segments to remain strong.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Residential</w:t>
      </w:r>
    </w:p>
    <w:p>
      <w:pPr>
        <w:spacing w:after="0" w:line="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residential construction market accounted for 22% of the Company’s aggregates shipments in 2025. This end use typically moves in direct correlation with economic cycles. The Company’s exposure to residential construction is split between aggregates used in the construction of subdivisions (including streets, sidewalks, utilities, and storm and sewage drainage), single-family homes and multi-family units. Construction of new subdivisions and single-family homes is highly correlated with aggregates demand due to the ancillary infrastructure and nonresidential construction activity that typically follows new suburban development (e.g. new roads/interchanges, retail centers, warehouses, schools and office buildings). Therefore, single-family housing starts are a strong leading indicator of aggregates demand. According to the United States Census Bureau, for the twelve months ended October 31, 2025, the most recent data available, seasonally-adjusted national single-family housing starts decreased 8% to approximately 0.9 million units compared with 2024. Housing demand far exceeds supply in the Company’s key markets; however, a housing recovery is not expected until mortgage rates decline and/or affordability headwinds recede.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ChemRock/Rail</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ChemRock/Rail market, which includes ballast and agricultural limestone, accounted for the remaining 5% of the Company’s 2025 aggregates shipments. Ballast is an aggregates product used to stabilize railroad track beds. Agricultural lime, a high-calcium carbonate material, is used as a supplement in animal feed, a soil acidity neutralizer and agricultural growth enhancer. Additionally, ChemRock/Rail includes rip rap (used as a stabilizing material to control erosion caused by water runoff at embankments, ocean beaches, inlets, rivers and streams) and high-calcium limestone (used as filler in glass, plastic, paint, rubber, adhesives, grease and paper). Chemical-grade, high-calcium limestone is used as a desulfurization material in coal-fired power generation facilities.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Pricing Trends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Materials pricing for construction projects is typically based on agreements that guarantee the availability of specified products, in stated quantities, at agreed-upon prices for a defined period. Because infrastructure projects often span multiple years, announced price changes may take time to flow through as the Company continues to sell products under existing price commitments. Pricing escalators included in multi-year infrastructure contracts help mitigate this delay to some extent. However, during periods of significant or rapid increases in production costs, multi-year infrastructure contract pricing may provide only nominal pricing growth.</w:t>
      </w:r>
    </w:p>
    <w:p>
      <w:pPr>
        <w:spacing w:after="0" w:line="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Additionally, the Company may implement multiple price increases throughout the year, as appropriate, on a market-by-market basis. Pricing is determined locally and is influenced by each market’s supply-and-demand dynamics. For further information on pricing, see the discussion in the </w:t>
      </w:r>
      <w:r>
        <w:rPr>
          <w:rFonts w:ascii="Arial" w:cs="Arial" w:eastAsia="Arial" w:hAnsi="Arial"/>
          <w:sz w:val="18"/>
          <w:szCs w:val="18"/>
          <w:i w:val="1"/>
          <w:iCs w:val="1"/>
          <w:color w:val="auto"/>
        </w:rPr>
        <w:t>Financial Overview</w:t>
      </w:r>
      <w:r>
        <w:rPr>
          <w:rFonts w:ascii="Arial" w:cs="Arial" w:eastAsia="Arial" w:hAnsi="Arial"/>
          <w:sz w:val="18"/>
          <w:szCs w:val="18"/>
          <w:color w:val="auto"/>
        </w:rPr>
        <w:t xml:space="preserve"> section.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Cost Structure</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of revenues for the Building Materials business are components of costs incurred at the quarries, mines, ready mixed concrete plants, asphalt plants, paving operations and distribution yards and facilities. Cost of revenues also includes the cost of resale materials, freight expenses to transport materials from a producing location to a distribution yard or facility (internal freight), third-party freight and delivery costs incurred by the Company and then billed to customers (external freight) and production overhead costs.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the significant components of cost of revenues for the aggregates product line are (1) labor and benefits; (2) depreciation, depletion and amortization; (3) internal freight; (4) repairs and maintenance; (5) external freight; (6) supplies; (7) energy; and (8) contract services. In 2025, these categories represented 86% of the aggregates product line's 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50800</wp:posOffset>
            </wp:positionV>
            <wp:extent cx="3137535" cy="27946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3753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Variable costs are expenses that fluctuate with the level of production volume, while fixed costs are expenses that do not vary based on production or sales volume. Production is the key driver in determining the levels of variable costs, as it affects the number of hourly employees and related labor hours. Further, components of energy, supplies and repairs and maintenance costs also increase in connection with higher production volumes. Aggregates production facilities typically do not operate on a continuous basis, which provides the ability to flex production costs in response to changes in demand.</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when the Company invests capital in facilities and equipment, increased capacity and productivity reduce labor and repair costs serving to offset increased fixed depreciation costs. However, the increased productivity and related efficiencies may not be fully realized in a lower-demand environment, resulting in under-absorption of fixed costs.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Wage and benefit inflation as well as other increases in labor costs may be somewhat mitigated by enhanced productivity. During economic downturns, the Company reviews its operations and, where practical, temporarily idles certain sites. The Company then serves these markets with other open and proximate facilities. In certain markets, management can create production “super crews” that work on a rotating basis at various locations. For example, within a market, a crew may work three days per week at one operation and the other two workdays at another operation. This has allowed the Company to responsibly manage headcount in periods of lower product demand.</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Typically, diesel fuel represents the single-largest component of energy costs for the Building Materials business. The average cost per gallon for continuing operations was $2.58 and $2.80 in 2025 and 2024, respectively. Changes in energy costs also affect the prices that the Company pays for related supplies, including explosives, conveyor belting and tires. Further, the Company’s contracts for shipping products on its rail and waterborne distribution network typically include provisions for escalations or reductions in the amounts paid by the Company if the price of fuel moves outside a stated range.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production of ready mixed concrete and asphalt requires the use of cement and liquid asphalt raw materials, respectively. Therefore, fluctuations in availability and prices for these raw materials directly affect the Company’s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Building Materials Business’ Key Considerations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965F6E"/>
        </w:rPr>
        <w:t>Growth markets with limited supply of indigenous stone must be served via a long-haul distribution network</w:t>
      </w:r>
    </w:p>
    <w:p>
      <w:pPr>
        <w:spacing w:after="0" w:line="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Department of the Interior identified possible sources of indigenous rock and documented its limited supply in certain areas of the United States, including the coastal areas from Virginia to Texas. Further, certain interior United States markets may experience limited availability of locally sourced aggregates resulting from increasingly restrictive zoning, permitting and/or environmental laws and regulations. The Company’s long-haul distribution network is used to supplement or, in many cases, wholly supply, the local crushed stone needs of these areas and provides the Company with the flexibility to effectively serve customers primarily in the Southwest and Southeast coastal markets.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long-haul distribution network can also diversify market risk for locations that engage in long-haul transportation of aggregates products. This is particularly true where a producing quarry both serves a local market and transports products via rail, water and/or truck to be sold and distributed in other markets. The risk of a downturn in one market may be somewhat mitigated by other distant markets served by the location.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Product shipments are moved by truck, rail and water through the Company’s long-haul distribution network. The Company’s rail network primarily serves its Texas, Southeast and Gulf Coast markets, while the Company’s Bahamas and Nova Scotia locations transport materials via oceangoing ships. The Company’s strategic focus includes acquiring distribution yards and port locations to offload transported material. As of December 31, 2025, the Company's distribution network consisted of 89 aggregates yards and 4 cement terminals. The cement terminals are classified as assets held for sale as of December 31, 2025.</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rail shipments result in continued reliance on railroad operations, which are impacted by track congestion, crew and locomotive availability, the effects of adverse weather conditions and the ability to negotiate favorable railroad shipping contracts. Further, changes in the operating strategy of rail transportation providers can create operational inefficiencies and increased costs from the Company’s rail network.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portion of railcars and all ships in the Company’s long-haul distribution network are under short- and long-term leases, some with purchase options, and contracts of affreightment. The limited availability of water and rail transportation providers, coupled with limited distribution sites, can adversely affect lease rates for such services and ultimately the freight rates.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agreements providing dedicated shipping capacity from its Bahamas and Nova Scotia operations to its coastal ports that expire in 2026 and 2027, respectively. These contracts of affreightment are take-or-pay contracts with minimum and maximum shipping requirements. The minimum requirements were met in 2025. There can be no assurance that such contracts will be renewed upon expiration or that terms will continue without significant increases.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965F6E"/>
        </w:rPr>
        <w:t>Public infrastructure, historically the Company’s largest end-use market, is funded through a combination of federal, state and local sources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Transportation investments typically stimulate economic growth by creating jobs and enhancing mobility and access, which are priorities of many of the government’s economic plans. Public-sector transportation infrastructure projects are funded through a mix of federal, state and local sources. The current federal infrastructure legislation, the IIJ Act, provides annual funding for public-sector highway construction and includes spending authorizations, which represent the maximum financial obligation that will result from the immediate or future outlays of federal funds for highway and transit programs.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federal government’s surface transportation programs are funded mostly through highway user taxes deposited into the Highway Trust Fund, which is divided into the Highway Account and the Mass Transit Account. Most of the Trust Fund’s revenue comes from the federal gas tax, taxes on certain other motor fuels, and interest on accumulated balances. Of the federal gas tax of $0.184 per gallon, which has remained unchanged since 1993, $0.15 is allocated to the Highway Account of the Highway Trust Fund.</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most states are required to balance their budgets, reductions in revenues generally require a reduction in states’ expenditures. However, the impact of state revenue reductions on highway investment will vary depending on whether the monies come from dedicated revenue sources, such as highway user fees, or whether portions are paid for with general funds.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federal appropriations, each state typically funds its infrastructure investment from specifically allocated amounts collected from various user fees, typically gasoline taxes and vehicle fees. States have assumed a significantly larger role in funding infrastructure investment, including initiating special-purpose taxes and raising state gas taxes. Management believes that financing at the state and local levels, such as bond issuances, toll roads, vehicle miles-traveled fees and tax initiatives, will continue to grow and have a fundamental role in advancing infrastructure projects. State infrastructure investment generally leads to increased growth opportunities for the Company. The level of state public-works spending varies across the nation and is dependent upon individual state economies, therefore the degree to which the Company could be affected by a reduction or slowdown in infrastructure spending varies by state. The state economies of the Building Materials business’ ten-largest revenue-generating states may disproportionately affect the Company’s financial performance.</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Governmental appropriations and expenditures are typically less interest-rate sensitive than private-sector spending. Obligations of federal funds are a leading indicator of highway construction activity in the United States. Before a state or local transportation department can solicit bids on an eligible construction project, it enters into an agreement with the Federal Highway Administration to obligate the federal government to pay its portion of the project cost. These Federal obligations are subject to annual funding appropriation reviews by Congress.</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addition to highways and bridges, transportation infrastructure includes aviation, mass transit, ports and waterways. Railroad construction continues to benefit from economic growth, which ultimately generates a need for additional maintenance and improvements.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Erratic weather can significantly impact operations</w:t>
      </w:r>
    </w:p>
    <w:p>
      <w:pPr>
        <w:spacing w:after="0" w:line="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Production and shipment levels for the Building Materials business correlate with general construction activity, most of which occurs outdoors and, as a result, is affected by erratic weather, seasonal changes and other environmental conditions. Typically, due to a general slowdown in heavy construction activity during winter months, the first and fourth quarters experience lower production and shipment activity. As such, temperatures in the months of March and November can meaningfully affect the Company’s first- and fourth-quarter results, respectively, where warm and/or moderate temperatures in March and November allow the construction season to start earlier and end later, respectively. Additionally, extreme heat during summer months can impact construction activities, as outdoor work may be limited to protect the health and safety of construction workers.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Excessive rainfall jeopardizes production efficiencies, shipments and profitability in all markets served by the Company. In particular, the Company’s operations near the Atlantic Ocean and Gulf Coast regions of the United States and The Bahamas are at risk for hurricane activity from June through November, but most notably in August, September and October. The Company’s California operations are at risk for flooding, wildfire activity and water use restrictions in severe drought conditions.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i w:val="1"/>
          <w:iCs w:val="1"/>
          <w:color w:val="965F6E"/>
        </w:rPr>
        <w:t>Capital investment decisions are driven by capital intensity of the Building Materials business and focus on land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organic capital program is designed to leverage construction market growth by investing in both permanent and portable facilities across its operations. Over the course of an economic cycle, the Company typically invests organic capital at an annual level that approximates depreciation expense. At mid-cycle and during cyclical peaks, organic capital investment generally exceeds depreciation expense as the Company addresses current capacity requirements and positions itself for future growth. Conversely, during cyclical troughs, capital investment may be reduced. Regardless of the economic environment, the Company prioritizes capital investments that ensure safe, environmentally responsible, and efficient operations, allow delivery of the highest quality of customer service, and establish a strong foundation for future growth.</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diligent in evaluating land opportunities, including potential new sites (greensites) and expansions of existing locations. Land purchases are usually opportunistic and may involve acquiring property adjacent to or near existing quarry locations. Such property can serve as buffer land or provide additional mineral reserves, assuming regulatory requirements are met and the underlying geology supports economical aggregates mining. In either instance, acquiring land around an existing quarry typically allows the expansion of the quarry footprint and extends its operating life.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Specialties Business</w:t>
      </w:r>
    </w:p>
    <w:p>
      <w:pPr>
        <w:spacing w:after="0" w:line="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Specialties business produces and sells dolomitic lime from its Woodville, Ohio facility and manufactures high-purity natural and synthetic magnesia-based products for environmental, industrial, agricultural, construction, consumer and specialty applications at its Manistee, Michigan; Woodville, Ohio; Gabbs, Nevada; Waynesville, North Carolina; Greendale, Indiana; and Aspers, Pennsylvania facilities. These magnesia-based products have varying uses, including flame retardants, wastewater treatment, pulp and paper production and other specialty applications. Dolomitic lime products sold to external customers are primarily used by the domestic steel industry as a fluxing agent, and in construction applications for soil stabilization, while the remaining lime shipments are used internally as a raw material for the manufacturing of synthetic magnesia-based products. On July 25, 2025, the Company acquired Premier Magnesia, LLC (Premier), a privately-owned producer and distributor of magnesia-based products, using cash on hand and credit-facility borrowings. Premier is the largest producer of natural magnesite and magnesium sulfate, or Epsom salt, in the United States. This transaction expands the Company's product offerings to new and existing customers and enhances the Specialties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57785</wp:posOffset>
            </wp:positionV>
            <wp:extent cx="3128645" cy="22713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286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33% of Specialties’ 2025 revenues related to products used in the steel industry, a portion of the segment’s revenues and profits is affected by production and inventory trends within the steel industry, which are guided by the rate of consumer consumption, the flow of offshore imports and other economic factors.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revenues of the Specialties business were predominantly derived from domestic customers in 2025, financial results can be affected by foreign currency exchange rates, increasing transportation costs or weak economic conditions in foreign markets. To mitigate the short-term effect of currency exchange rates, foreign transactions are denominated in United States dollars.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significant portion of the Specialties business’ costs is of a fixed or semi-fixed nature. The production process requires the use of natural gas, coal and petroleum coke; therefore, fluctuations in their pricing directly affect operating results. To help mitigate this risk, the Company has fixed-price agreements for 34% of its anticipated 2026 energy needs for coal, petroleum coke and natural gas. Given inherently high fixed costs, low-capacity utilization can negatively affect the segment’s results of operations, while providing a high degree of operating leverage in periods of high-capacity utilization. Management expects future organic profit growth to result from increased pricing, commercialization of new products, entry into new markets and optimization of overall product mix.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2025, direct production costs represented 82% of the Specialties business' 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77470</wp:posOffset>
            </wp:positionV>
            <wp:extent cx="3137535" cy="27774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3753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Specialties business is highly dependent on rail transportation, particularly for movement of dolomitic lime from Woodville to Manistee, magnesite from Gabbs to processing plants in North Carolina, Indiana and Pennsylvania and direct customer shipments of dolomitic lime and magnesia products from Woodville, Manistee and Gabbs. The segment can be affected by the risks mentioned in the long-haul distribution discussion in the </w:t>
      </w:r>
      <w:r>
        <w:rPr>
          <w:rFonts w:ascii="Arial" w:cs="Arial" w:eastAsia="Arial" w:hAnsi="Arial"/>
          <w:sz w:val="18"/>
          <w:szCs w:val="18"/>
          <w:i w:val="1"/>
          <w:iCs w:val="1"/>
          <w:color w:val="auto"/>
        </w:rPr>
        <w:t>Building Materials Business’ Key Considerations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Environmental Regulation and Litigation</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expansion of the aggregates industry faces growing pressure from environmental and political groups seeking to influence the pace and direction of future development. Some environmental groups have identified specific municipalities, including areas within the Company’s markets, as targets for environmental and suburban growth control. The impact of these initiatives on the Company’s growth is typically localized, though their influence is expected to fluctuate over time. In addition, these special-interest groups increasingly promote rail and other transportation alternatives as solutions to mitigate road congestion and overcrowding.</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operations are subject to federal, state and local laws, rules and regulations relating to environmental protection, health and safety, and other regulatory matters. Certain operations may occasionally use substances classified as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toxic or hazardous. To ensure compliance, the Company regularly monitors and reviews its operations, procedures and policies.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Nevertheless, as with other entities engaged in similar businesses, environmental liability remains an inherent risk.</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Environmental operating permits are, or may be, required for certain Company operations and are subject to modification, renewal or revocation. New permits are generally required when opening new sites or expanding existing operations, and the approval process can take several years. Moreover, land use, rezoning and special or conditional use permits are increasingly difficult to obtain. Once a permit is issued, the location is required to generally operate in accordance with the approved site plan.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Clean Air Act (the Act), originally passed in 1963 and amended several times since, is the United States’ national air pollution control program that granted the United States Environmental Protection Agency (USEPA) authority to set limits on the level of various air pollutants. To meet National Ambient Air Quality Standards, a defined geographic area must maintain pollutant levels below established thresholds for six contaminants. Environmental groups have successfully challenged federal and certain state transportation departments under the Act, delaying highway construction in municipalities that are not in compliance.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USEPA designates geographic areas as nonattainment areas when the level of air pollutants exceeds the national standard. Nonattainment areas receive deadlines to reduce air pollutants by instituting various control strategies or otherwise face fines or control by the USEPA. Included as nonattainment areas are several major metropolitan areas in the Company’s markets, such as Houston/Brazoria/Galveston, Texas; Dallas/Fort Worth, Texas; Bexar County in San Antonio/New Braunfels, Texas; Denver, Colorado; Boulder, Colorado; Fort Collins/Greeley/Loveland, Colorado; Baltimore, Maryland; Phoenix/Mesa, Arizona; Los Angeles-San Bernardino Counties, California; Los Angeles – South Coast Basin, California; San Diego County, California; San Francisco Bay Area, California; San Joaquin Valley, California; and Sacramento County, California. Federal transportation funding has been directly tied to compliance with the Clean Air Act.</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Large emitters (facilities that release 25,000 metric tons or more per year) of greenhouse gases (GHG) must report GHG generation to comply with the USEPA’s Mandatory Greenhouse Gases Reporting Rule (GHG Rule). In 2025, the Company submitted annual reports in accordance with the GHG Rule relating to operations at its cement plant in Texas, as well as its Specialties facilities in Woodville, Ohio, and Manistee, Michigan, each of which emits certain GHGs, including carbon dioxide, methane and nitrous oxide. Should Congress enact additional legislation limiting GHG emissions, these operations will likely be subject to such legislation.</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believes that any increased operating costs or taxes related to GHG emission limitations at its cement or Woodville operations would be passed on to customers. The Manistee and Gabbs facilities may have to absorb extra costs due to the regulation of GHG emissions to maintain competitive pricing in its markets. The Company cannot reasonably predict the amount of those potential increased costs.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involved in certain legal and administrative proceedings that arise in the normal course of business. Based on currently available information, and in the opinion of management and counsel, it is remote that the ultimate resolution of any such litigation or proceedings, including those involving environmental matters, relating to the Company and its subsidiaries, will have a material adverse effect on the overall results of the Company’s operations, cash flows or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OVERVIEW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Results of Operations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discussion and analysis reflect management’s assessment of the financial condition and results of operations (MD&amp;A) of the Company for continuing operations and should be read in conjunction with the audited consolidated financial statements (</w:t>
      </w:r>
      <w:r>
        <w:rPr>
          <w:rFonts w:ascii="Arial" w:cs="Arial" w:eastAsia="Arial" w:hAnsi="Arial"/>
          <w:sz w:val="18"/>
          <w:szCs w:val="18"/>
          <w:u w:val="single" w:color="auto"/>
          <w:color w:val="007DC6"/>
        </w:rPr>
        <w:t>Item 8, Financial</w:t>
      </w:r>
      <w:r>
        <w:rPr>
          <w:rFonts w:ascii="Arial" w:cs="Arial" w:eastAsia="Arial" w:hAnsi="Arial"/>
          <w:sz w:val="18"/>
          <w:szCs w:val="18"/>
          <w:color w:val="auto"/>
        </w:rPr>
        <w:t xml:space="preserve"> </w:t>
      </w:r>
      <w:r>
        <w:rPr>
          <w:rFonts w:ascii="Arial" w:cs="Arial" w:eastAsia="Arial" w:hAnsi="Arial"/>
          <w:sz w:val="18"/>
          <w:szCs w:val="18"/>
          <w:u w:val="single" w:color="auto"/>
          <w:color w:val="007DC6"/>
        </w:rPr>
        <w:t>Statements and Supplementary Data</w:t>
      </w:r>
      <w:r>
        <w:rPr>
          <w:rFonts w:ascii="Arial" w:cs="Arial" w:eastAsia="Arial" w:hAnsi="Arial"/>
          <w:sz w:val="18"/>
          <w:szCs w:val="18"/>
          <w:color w:val="000000"/>
        </w:rPr>
        <w:t>). As discussed in more detail, the Company’s operating results are highly dependent upon activity</w:t>
      </w:r>
      <w:r>
        <w:rPr>
          <w:rFonts w:ascii="Arial" w:cs="Arial" w:eastAsia="Arial" w:hAnsi="Arial"/>
          <w:sz w:val="18"/>
          <w:szCs w:val="18"/>
          <w:color w:val="007DC6"/>
        </w:rPr>
        <w:t xml:space="preserve"> </w:t>
      </w:r>
      <w:r>
        <w:rPr>
          <w:rFonts w:ascii="Arial" w:cs="Arial" w:eastAsia="Arial" w:hAnsi="Arial"/>
          <w:sz w:val="18"/>
          <w:szCs w:val="18"/>
          <w:color w:val="000000"/>
        </w:rPr>
        <w:t>within the construction marketplace, economic cycles within the public and private business sectors, and seasonal and other weather-related conditions. Accordingly, financial results for any year presented, or year-to-year comparisons of reported results, may not be indicative of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-542290</wp:posOffset>
            </wp:positionV>
            <wp:extent cx="8553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53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19246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24685" cy="8890"/>
                    </a:xfrm>
                    <a:prstGeom prst="rect">
                      <a:avLst/>
                    </a:prstGeom>
                    <a:noFill/>
                  </pic:spPr>
                </pic:pic>
              </a:graphicData>
            </a:graphic>
          </wp:anchor>
        </w:drawing>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Building Materials business generated the majority of consolidated revenues and earnings from continuing operations. The following comparative analysis and discussion should be read within this context. Further, sensitivity analysis and certain other data are provided to enhance the reader’s understanding of MD&amp;A and are not intended to be indicative of management’s judgment of materiality.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0" w:name="page51"/>
    <w:bookmarkEnd w:id="50"/>
    <w:p>
      <w:pPr>
        <w:ind w:firstLine="2652"/>
        <w:spacing w:after="0" w:line="393" w:lineRule="auto"/>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 The Company’s consolidated operating results and certain operating results as a percentage of revenues are as follows:</w:t>
      </w:r>
    </w:p>
    <w:tbl>
      <w:tblPr>
        <w:tblLayout w:type="fixed"/>
        <w:tblInd w:w="0" w:type="dxa"/>
        <w:tblCellMar>
          <w:top w:w="0" w:type="dxa"/>
          <w:left w:w="0" w:type="dxa"/>
          <w:bottom w:w="0" w:type="dxa"/>
          <w:right w:w="0" w:type="dxa"/>
        </w:tblCellMar>
      </w:tblPr>
      <w:tr>
        <w:trPr>
          <w:trHeight w:val="185"/>
        </w:trPr>
        <w:tc>
          <w:tcPr>
            <w:tcW w:w="4640" w:type="dxa"/>
            <w:vAlign w:val="bottom"/>
            <w:tcBorders>
              <w:right w:val="single" w:sz="8" w:color="007CBA"/>
            </w:tcBorders>
            <w:shd w:val="clear" w:color="auto" w:fill="007CBA"/>
          </w:tcPr>
          <w:p>
            <w:pPr>
              <w:ind w:left="60"/>
              <w:spacing w:after="0" w:line="185" w:lineRule="exact"/>
              <w:rPr>
                <w:sz w:val="20"/>
                <w:szCs w:val="20"/>
                <w:color w:val="auto"/>
              </w:rPr>
            </w:pPr>
            <w:r>
              <w:rPr>
                <w:rFonts w:ascii="Arial" w:cs="Arial" w:eastAsia="Arial" w:hAnsi="Arial"/>
                <w:sz w:val="18"/>
                <w:szCs w:val="18"/>
                <w:i w:val="1"/>
                <w:iCs w:val="1"/>
                <w:color w:val="FFFFFF"/>
              </w:rPr>
              <w:t>years ended December 31</w:t>
            </w:r>
          </w:p>
        </w:tc>
        <w:tc>
          <w:tcPr>
            <w:tcW w:w="220" w:type="dxa"/>
            <w:vAlign w:val="bottom"/>
            <w:shd w:val="clear" w:color="auto" w:fill="007CBA"/>
          </w:tcPr>
          <w:p>
            <w:pPr>
              <w:spacing w:after="0"/>
              <w:rPr>
                <w:sz w:val="16"/>
                <w:szCs w:val="16"/>
                <w:color w:val="auto"/>
              </w:rPr>
            </w:pPr>
          </w:p>
        </w:tc>
        <w:tc>
          <w:tcPr>
            <w:tcW w:w="1040" w:type="dxa"/>
            <w:vAlign w:val="bottom"/>
            <w:tcBorders>
              <w:right w:val="single" w:sz="8" w:color="007CBA"/>
            </w:tcBorders>
            <w:shd w:val="clear" w:color="auto" w:fill="007CBA"/>
          </w:tcPr>
          <w:p>
            <w:pPr>
              <w:spacing w:after="0"/>
              <w:rPr>
                <w:sz w:val="16"/>
                <w:szCs w:val="16"/>
                <w:color w:val="auto"/>
              </w:rPr>
            </w:pPr>
          </w:p>
        </w:tc>
        <w:tc>
          <w:tcPr>
            <w:tcW w:w="1100" w:type="dxa"/>
            <w:vAlign w:val="bottom"/>
            <w:tcBorders>
              <w:right w:val="single" w:sz="8" w:color="007CBA"/>
            </w:tcBorders>
            <w:shd w:val="clear" w:color="auto" w:fill="007CBA"/>
          </w:tcPr>
          <w:p>
            <w:pPr>
              <w:jc w:val="right"/>
              <w:ind w:right="330"/>
              <w:spacing w:after="0" w:line="185" w:lineRule="exact"/>
              <w:rPr>
                <w:sz w:val="20"/>
                <w:szCs w:val="20"/>
                <w:color w:val="auto"/>
              </w:rPr>
            </w:pPr>
            <w:r>
              <w:rPr>
                <w:rFonts w:ascii="Arial" w:cs="Arial" w:eastAsia="Arial" w:hAnsi="Arial"/>
                <w:sz w:val="18"/>
                <w:szCs w:val="18"/>
                <w:b w:val="1"/>
                <w:bCs w:val="1"/>
                <w:color w:val="FFFFFF"/>
              </w:rPr>
              <w:t>% of</w:t>
            </w:r>
          </w:p>
        </w:tc>
        <w:tc>
          <w:tcPr>
            <w:tcW w:w="20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jc w:val="right"/>
              <w:ind w:right="350"/>
              <w:spacing w:after="0" w:line="185" w:lineRule="exact"/>
              <w:rPr>
                <w:sz w:val="20"/>
                <w:szCs w:val="20"/>
                <w:color w:val="auto"/>
              </w:rPr>
            </w:pPr>
            <w:r>
              <w:rPr>
                <w:rFonts w:ascii="Arial" w:cs="Arial" w:eastAsia="Arial" w:hAnsi="Arial"/>
                <w:sz w:val="18"/>
                <w:szCs w:val="18"/>
                <w:b w:val="1"/>
                <w:bCs w:val="1"/>
                <w:color w:val="FFFFFF"/>
              </w:rPr>
              <w:t>% of</w:t>
            </w:r>
          </w:p>
        </w:tc>
        <w:tc>
          <w:tcPr>
            <w:tcW w:w="160" w:type="dxa"/>
            <w:vAlign w:val="bottom"/>
            <w:shd w:val="clear" w:color="auto" w:fill="007CBA"/>
          </w:tcPr>
          <w:p>
            <w:pPr>
              <w:spacing w:after="0"/>
              <w:rPr>
                <w:sz w:val="16"/>
                <w:szCs w:val="16"/>
                <w:color w:val="auto"/>
              </w:rPr>
            </w:pPr>
          </w:p>
        </w:tc>
        <w:tc>
          <w:tcPr>
            <w:tcW w:w="840" w:type="dxa"/>
            <w:vAlign w:val="bottom"/>
            <w:tcBorders>
              <w:right w:val="single" w:sz="8" w:color="007CBA"/>
            </w:tcBorders>
            <w:shd w:val="clear" w:color="auto" w:fill="007CBA"/>
          </w:tcPr>
          <w:p>
            <w:pPr>
              <w:spacing w:after="0"/>
              <w:rPr>
                <w:sz w:val="16"/>
                <w:szCs w:val="16"/>
                <w:color w:val="auto"/>
              </w:rPr>
            </w:pPr>
          </w:p>
        </w:tc>
        <w:tc>
          <w:tcPr>
            <w:tcW w:w="1000" w:type="dxa"/>
            <w:vAlign w:val="bottom"/>
            <w:shd w:val="clear" w:color="auto" w:fill="007CBA"/>
          </w:tcPr>
          <w:p>
            <w:pPr>
              <w:jc w:val="right"/>
              <w:ind w:right="270"/>
              <w:spacing w:after="0" w:line="185" w:lineRule="exact"/>
              <w:rPr>
                <w:sz w:val="20"/>
                <w:szCs w:val="20"/>
                <w:color w:val="auto"/>
              </w:rPr>
            </w:pPr>
            <w:r>
              <w:rPr>
                <w:rFonts w:ascii="Arial" w:cs="Arial" w:eastAsia="Arial" w:hAnsi="Arial"/>
                <w:sz w:val="18"/>
                <w:szCs w:val="18"/>
                <w:b w:val="1"/>
                <w:bCs w:val="1"/>
                <w:color w:val="FFFFFF"/>
              </w:rPr>
              <w:t>% of</w:t>
            </w:r>
          </w:p>
        </w:tc>
      </w:tr>
      <w:tr>
        <w:trPr>
          <w:trHeight w:val="221"/>
        </w:trPr>
        <w:tc>
          <w:tcPr>
            <w:tcW w:w="4640" w:type="dxa"/>
            <w:vAlign w:val="bottom"/>
            <w:tcBorders>
              <w:bottom w:val="single" w:sz="8" w:color="auto"/>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 except for % of revenues)</w:t>
            </w:r>
          </w:p>
        </w:tc>
        <w:tc>
          <w:tcPr>
            <w:tcW w:w="220" w:type="dxa"/>
            <w:vAlign w:val="bottom"/>
            <w:tcBorders>
              <w:bottom w:val="single" w:sz="8" w:color="007CBA"/>
            </w:tcBorders>
            <w:shd w:val="clear" w:color="auto" w:fill="007CBA"/>
          </w:tcPr>
          <w:p>
            <w:pPr>
              <w:spacing w:after="0"/>
              <w:rPr>
                <w:sz w:val="19"/>
                <w:szCs w:val="19"/>
                <w:color w:val="auto"/>
              </w:rPr>
            </w:pPr>
          </w:p>
        </w:tc>
        <w:tc>
          <w:tcPr>
            <w:tcW w:w="1040" w:type="dxa"/>
            <w:vAlign w:val="bottom"/>
            <w:tcBorders>
              <w:bottom w:val="single" w:sz="8" w:color="007CBA"/>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2025</w:t>
            </w:r>
          </w:p>
        </w:tc>
        <w:tc>
          <w:tcPr>
            <w:tcW w:w="1100" w:type="dxa"/>
            <w:vAlign w:val="bottom"/>
            <w:tcBorders>
              <w:bottom w:val="single" w:sz="8" w:color="007CBA"/>
              <w:right w:val="single" w:sz="8" w:color="007CBA"/>
            </w:tcBorders>
            <w:shd w:val="clear" w:color="auto" w:fill="007CBA"/>
          </w:tcPr>
          <w:p>
            <w:pPr>
              <w:jc w:val="right"/>
              <w:ind w:right="90"/>
              <w:spacing w:after="0"/>
              <w:rPr>
                <w:sz w:val="20"/>
                <w:szCs w:val="20"/>
                <w:color w:val="auto"/>
              </w:rPr>
            </w:pPr>
            <w:r>
              <w:rPr>
                <w:rFonts w:ascii="Arial" w:cs="Arial" w:eastAsia="Arial" w:hAnsi="Arial"/>
                <w:sz w:val="18"/>
                <w:szCs w:val="18"/>
                <w:b w:val="1"/>
                <w:bCs w:val="1"/>
                <w:color w:val="FFFFFF"/>
              </w:rPr>
              <w:t>Revenues</w:t>
            </w:r>
          </w:p>
        </w:tc>
        <w:tc>
          <w:tcPr>
            <w:tcW w:w="200" w:type="dxa"/>
            <w:vAlign w:val="bottom"/>
            <w:tcBorders>
              <w:bottom w:val="single" w:sz="8" w:color="007CBA"/>
            </w:tcBorders>
            <w:shd w:val="clear" w:color="auto" w:fill="007CBA"/>
          </w:tcPr>
          <w:p>
            <w:pPr>
              <w:spacing w:after="0"/>
              <w:rPr>
                <w:sz w:val="19"/>
                <w:szCs w:val="19"/>
                <w:color w:val="auto"/>
              </w:rPr>
            </w:pPr>
          </w:p>
        </w:tc>
        <w:tc>
          <w:tcPr>
            <w:tcW w:w="920" w:type="dxa"/>
            <w:vAlign w:val="bottom"/>
            <w:tcBorders>
              <w:bottom w:val="single" w:sz="8" w:color="007CBA"/>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color w:val="FFFFFF"/>
              </w:rPr>
              <w:t>2024</w:t>
            </w:r>
          </w:p>
        </w:tc>
        <w:tc>
          <w:tcPr>
            <w:tcW w:w="1120" w:type="dxa"/>
            <w:vAlign w:val="bottom"/>
            <w:tcBorders>
              <w:bottom w:val="single" w:sz="8" w:color="007CBA"/>
              <w:right w:val="single" w:sz="8" w:color="007CBA"/>
            </w:tcBorders>
            <w:shd w:val="clear" w:color="auto" w:fill="007CBA"/>
          </w:tcPr>
          <w:p>
            <w:pPr>
              <w:jc w:val="right"/>
              <w:ind w:right="110"/>
              <w:spacing w:after="0"/>
              <w:rPr>
                <w:sz w:val="20"/>
                <w:szCs w:val="20"/>
                <w:color w:val="auto"/>
              </w:rPr>
            </w:pPr>
            <w:r>
              <w:rPr>
                <w:rFonts w:ascii="Arial" w:cs="Arial" w:eastAsia="Arial" w:hAnsi="Arial"/>
                <w:sz w:val="18"/>
                <w:szCs w:val="18"/>
                <w:b w:val="1"/>
                <w:bCs w:val="1"/>
                <w:color w:val="FFFFFF"/>
              </w:rPr>
              <w:t>Revenues</w:t>
            </w:r>
          </w:p>
        </w:tc>
        <w:tc>
          <w:tcPr>
            <w:tcW w:w="160" w:type="dxa"/>
            <w:vAlign w:val="bottom"/>
            <w:tcBorders>
              <w:bottom w:val="single" w:sz="8" w:color="007CBA"/>
            </w:tcBorders>
            <w:shd w:val="clear" w:color="auto" w:fill="007CBA"/>
          </w:tcPr>
          <w:p>
            <w:pPr>
              <w:spacing w:after="0"/>
              <w:rPr>
                <w:sz w:val="19"/>
                <w:szCs w:val="19"/>
                <w:color w:val="auto"/>
              </w:rPr>
            </w:pPr>
          </w:p>
        </w:tc>
        <w:tc>
          <w:tcPr>
            <w:tcW w:w="840" w:type="dxa"/>
            <w:vAlign w:val="bottom"/>
            <w:tcBorders>
              <w:bottom w:val="single" w:sz="8" w:color="007CBA"/>
              <w:right w:val="single" w:sz="8" w:color="007CBA"/>
            </w:tcBorders>
            <w:shd w:val="clear" w:color="auto" w:fill="007CBA"/>
          </w:tcPr>
          <w:p>
            <w:pPr>
              <w:jc w:val="right"/>
              <w:ind w:right="270"/>
              <w:spacing w:after="0"/>
              <w:rPr>
                <w:sz w:val="20"/>
                <w:szCs w:val="20"/>
                <w:color w:val="auto"/>
              </w:rPr>
            </w:pPr>
            <w:r>
              <w:rPr>
                <w:rFonts w:ascii="Arial" w:cs="Arial" w:eastAsia="Arial" w:hAnsi="Arial"/>
                <w:sz w:val="18"/>
                <w:szCs w:val="18"/>
                <w:color w:val="FFFFFF"/>
              </w:rPr>
              <w:t>2023</w:t>
            </w:r>
          </w:p>
        </w:tc>
        <w:tc>
          <w:tcPr>
            <w:tcW w:w="1000" w:type="dxa"/>
            <w:vAlign w:val="bottom"/>
            <w:tcBorders>
              <w:bottom w:val="single" w:sz="8" w:color="007CBA"/>
            </w:tcBorders>
            <w:shd w:val="clear" w:color="auto" w:fill="007CBA"/>
          </w:tcPr>
          <w:p>
            <w:pPr>
              <w:jc w:val="right"/>
              <w:ind w:right="50"/>
              <w:spacing w:after="0"/>
              <w:rPr>
                <w:sz w:val="20"/>
                <w:szCs w:val="20"/>
                <w:color w:val="auto"/>
              </w:rPr>
            </w:pPr>
            <w:r>
              <w:rPr>
                <w:rFonts w:ascii="Arial" w:cs="Arial" w:eastAsia="Arial" w:hAnsi="Arial"/>
                <w:sz w:val="18"/>
                <w:szCs w:val="18"/>
                <w:b w:val="1"/>
                <w:bCs w:val="1"/>
                <w:color w:val="FFFFFF"/>
                <w:w w:val="98"/>
              </w:rPr>
              <w:t>Revenues</w:t>
            </w:r>
          </w:p>
        </w:tc>
      </w:tr>
      <w:tr>
        <w:trPr>
          <w:trHeight w:val="196"/>
        </w:trPr>
        <w:tc>
          <w:tcPr>
            <w:tcW w:w="464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6,150</w:t>
            </w:r>
          </w:p>
        </w:tc>
        <w:tc>
          <w:tcPr>
            <w:tcW w:w="110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5,662</w:t>
            </w:r>
          </w:p>
        </w:tc>
        <w:tc>
          <w:tcPr>
            <w:tcW w:w="112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5,851</w:t>
            </w: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100</w:t>
            </w:r>
          </w:p>
        </w:tc>
      </w:tr>
      <w:tr>
        <w:trPr>
          <w:trHeight w:val="203"/>
        </w:trPr>
        <w:tc>
          <w:tcPr>
            <w:tcW w:w="46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shd w:val="clear" w:color="auto" w:fill="E5F1F8"/>
          </w:tcPr>
          <w:p>
            <w:pPr>
              <w:spacing w:after="0"/>
              <w:rPr>
                <w:sz w:val="17"/>
                <w:szCs w:val="17"/>
                <w:color w:val="auto"/>
              </w:rPr>
            </w:pPr>
          </w:p>
        </w:tc>
        <w:tc>
          <w:tcPr>
            <w:tcW w:w="104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4,261</w:t>
            </w:r>
          </w:p>
        </w:tc>
        <w:tc>
          <w:tcPr>
            <w:tcW w:w="11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shd w:val="clear" w:color="auto" w:fill="E5F1F8"/>
          </w:tcPr>
          <w:p>
            <w:pPr>
              <w:spacing w:after="0"/>
              <w:rPr>
                <w:sz w:val="17"/>
                <w:szCs w:val="17"/>
                <w:color w:val="auto"/>
              </w:rPr>
            </w:pPr>
          </w:p>
        </w:tc>
        <w:tc>
          <w:tcPr>
            <w:tcW w:w="92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4,026</w:t>
            </w:r>
          </w:p>
        </w:tc>
        <w:tc>
          <w:tcPr>
            <w:tcW w:w="112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shd w:val="clear" w:color="auto" w:fill="E5F1F8"/>
          </w:tcPr>
          <w:p>
            <w:pPr>
              <w:spacing w:after="0"/>
              <w:rPr>
                <w:sz w:val="17"/>
                <w:szCs w:val="17"/>
                <w:color w:val="auto"/>
              </w:rPr>
            </w:pPr>
          </w:p>
        </w:tc>
        <w:tc>
          <w:tcPr>
            <w:tcW w:w="84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4,106</w:t>
            </w:r>
          </w:p>
        </w:tc>
        <w:tc>
          <w:tcPr>
            <w:tcW w:w="100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70</w:t>
            </w:r>
          </w:p>
        </w:tc>
      </w:tr>
      <w:tr>
        <w:trPr>
          <w:trHeight w:val="196"/>
        </w:trPr>
        <w:tc>
          <w:tcPr>
            <w:tcW w:w="464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7"/>
                <w:szCs w:val="17"/>
                <w:color w:val="auto"/>
              </w:rPr>
            </w:pPr>
          </w:p>
        </w:tc>
        <w:tc>
          <w:tcPr>
            <w:tcW w:w="104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1,889</w:t>
            </w:r>
          </w:p>
        </w:tc>
        <w:tc>
          <w:tcPr>
            <w:tcW w:w="110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7"/>
                <w:szCs w:val="17"/>
                <w:color w:val="auto"/>
              </w:rPr>
            </w:pPr>
          </w:p>
        </w:tc>
        <w:tc>
          <w:tcPr>
            <w:tcW w:w="92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1,636</w:t>
            </w:r>
          </w:p>
        </w:tc>
        <w:tc>
          <w:tcPr>
            <w:tcW w:w="112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7"/>
                <w:szCs w:val="17"/>
                <w:color w:val="auto"/>
              </w:rPr>
            </w:pPr>
          </w:p>
        </w:tc>
        <w:tc>
          <w:tcPr>
            <w:tcW w:w="84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1,745</w:t>
            </w: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30</w:t>
            </w:r>
          </w:p>
        </w:tc>
      </w:tr>
      <w:tr>
        <w:trPr>
          <w:trHeight w:val="203"/>
        </w:trPr>
        <w:tc>
          <w:tcPr>
            <w:tcW w:w="46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443</w:t>
            </w:r>
          </w:p>
        </w:tc>
        <w:tc>
          <w:tcPr>
            <w:tcW w:w="11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E5F1F8"/>
          </w:tcPr>
          <w:p>
            <w:pPr>
              <w:spacing w:after="0"/>
              <w:rPr>
                <w:sz w:val="17"/>
                <w:szCs w:val="17"/>
                <w:color w:val="auto"/>
              </w:rPr>
            </w:pPr>
          </w:p>
        </w:tc>
        <w:tc>
          <w:tcPr>
            <w:tcW w:w="92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429</w:t>
            </w:r>
          </w:p>
        </w:tc>
        <w:tc>
          <w:tcPr>
            <w:tcW w:w="11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425</w:t>
            </w:r>
          </w:p>
        </w:tc>
        <w:tc>
          <w:tcPr>
            <w:tcW w:w="100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w:t>
            </w:r>
          </w:p>
        </w:tc>
      </w:tr>
      <w:tr>
        <w:trPr>
          <w:trHeight w:val="203"/>
        </w:trPr>
        <w:tc>
          <w:tcPr>
            <w:tcW w:w="46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Acquisition, divestiture and integration expenses</w:t>
            </w:r>
          </w:p>
        </w:tc>
        <w:tc>
          <w:tcPr>
            <w:tcW w:w="220" w:type="dxa"/>
            <w:vAlign w:val="bottom"/>
          </w:tcPr>
          <w:p>
            <w:pPr>
              <w:spacing w:after="0"/>
              <w:rPr>
                <w:sz w:val="17"/>
                <w:szCs w:val="17"/>
                <w:color w:val="auto"/>
              </w:rPr>
            </w:pPr>
          </w:p>
        </w:tc>
        <w:tc>
          <w:tcPr>
            <w:tcW w:w="104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15</w:t>
            </w:r>
          </w:p>
        </w:tc>
        <w:tc>
          <w:tcPr>
            <w:tcW w:w="1100" w:type="dxa"/>
            <w:vAlign w:val="bottom"/>
            <w:tcBorders>
              <w:right w:val="single" w:sz="8" w:color="007CBA"/>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50</w:t>
            </w:r>
          </w:p>
        </w:tc>
        <w:tc>
          <w:tcPr>
            <w:tcW w:w="1120" w:type="dxa"/>
            <w:vAlign w:val="bottom"/>
            <w:tcBorders>
              <w:right w:val="single" w:sz="8" w:color="007CBA"/>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1000" w:type="dxa"/>
            <w:vAlign w:val="bottom"/>
          </w:tcPr>
          <w:p>
            <w:pPr>
              <w:spacing w:after="0"/>
              <w:rPr>
                <w:sz w:val="17"/>
                <w:szCs w:val="17"/>
                <w:color w:val="auto"/>
              </w:rPr>
            </w:pPr>
          </w:p>
        </w:tc>
      </w:tr>
      <w:tr>
        <w:trPr>
          <w:trHeight w:val="203"/>
        </w:trPr>
        <w:tc>
          <w:tcPr>
            <w:tcW w:w="46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Other operating income, net</w:t>
            </w:r>
          </w:p>
        </w:tc>
        <w:tc>
          <w:tcPr>
            <w:tcW w:w="220" w:type="dxa"/>
            <w:vAlign w:val="bottom"/>
            <w:tcBorders>
              <w:bottom w:val="single" w:sz="8" w:color="auto"/>
            </w:tcBorders>
            <w:shd w:val="clear" w:color="auto" w:fill="E5F1F8"/>
          </w:tcPr>
          <w:p>
            <w:pPr>
              <w:spacing w:after="0"/>
              <w:rPr>
                <w:sz w:val="17"/>
                <w:szCs w:val="17"/>
                <w:color w:val="auto"/>
              </w:rPr>
            </w:pPr>
          </w:p>
        </w:tc>
        <w:tc>
          <w:tcPr>
            <w:tcW w:w="104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(6)</w:t>
            </w:r>
          </w:p>
        </w:tc>
        <w:tc>
          <w:tcPr>
            <w:tcW w:w="1100" w:type="dxa"/>
            <w:vAlign w:val="bottom"/>
            <w:tcBorders>
              <w:bottom w:val="single" w:sz="8" w:color="auto"/>
              <w:right w:val="single" w:sz="8" w:color="E5F1F8"/>
            </w:tcBorders>
            <w:shd w:val="clear" w:color="auto" w:fill="E5F1F8"/>
          </w:tcPr>
          <w:p>
            <w:pPr>
              <w:spacing w:after="0"/>
              <w:rPr>
                <w:sz w:val="17"/>
                <w:szCs w:val="17"/>
                <w:color w:val="auto"/>
              </w:rPr>
            </w:pPr>
          </w:p>
        </w:tc>
        <w:tc>
          <w:tcPr>
            <w:tcW w:w="200" w:type="dxa"/>
            <w:vAlign w:val="bottom"/>
            <w:tcBorders>
              <w:bottom w:val="single" w:sz="8" w:color="auto"/>
            </w:tcBorders>
            <w:shd w:val="clear" w:color="auto" w:fill="E5F1F8"/>
          </w:tcPr>
          <w:p>
            <w:pPr>
              <w:spacing w:after="0"/>
              <w:rPr>
                <w:sz w:val="17"/>
                <w:szCs w:val="17"/>
                <w:color w:val="auto"/>
              </w:rPr>
            </w:pPr>
          </w:p>
        </w:tc>
        <w:tc>
          <w:tcPr>
            <w:tcW w:w="92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(1,322)</w:t>
            </w:r>
          </w:p>
        </w:tc>
        <w:tc>
          <w:tcPr>
            <w:tcW w:w="1120" w:type="dxa"/>
            <w:vAlign w:val="bottom"/>
            <w:tcBorders>
              <w:bottom w:val="single" w:sz="8" w:color="auto"/>
              <w:right w:val="single" w:sz="8" w:color="E5F1F8"/>
            </w:tcBorders>
            <w:shd w:val="clear" w:color="auto" w:fill="E5F1F8"/>
          </w:tcPr>
          <w:p>
            <w:pPr>
              <w:spacing w:after="0"/>
              <w:rPr>
                <w:sz w:val="17"/>
                <w:szCs w:val="17"/>
                <w:color w:val="auto"/>
              </w:rPr>
            </w:pPr>
          </w:p>
        </w:tc>
        <w:tc>
          <w:tcPr>
            <w:tcW w:w="160" w:type="dxa"/>
            <w:vAlign w:val="bottom"/>
            <w:tcBorders>
              <w:bottom w:val="single" w:sz="8" w:color="auto"/>
            </w:tcBorders>
            <w:shd w:val="clear" w:color="auto" w:fill="E5F1F8"/>
          </w:tcPr>
          <w:p>
            <w:pPr>
              <w:spacing w:after="0"/>
              <w:rPr>
                <w:sz w:val="17"/>
                <w:szCs w:val="17"/>
                <w:color w:val="auto"/>
              </w:rPr>
            </w:pPr>
          </w:p>
        </w:tc>
        <w:tc>
          <w:tcPr>
            <w:tcW w:w="84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(25)</w:t>
            </w:r>
          </w:p>
        </w:tc>
        <w:tc>
          <w:tcPr>
            <w:tcW w:w="1000" w:type="dxa"/>
            <w:vAlign w:val="bottom"/>
            <w:tcBorders>
              <w:bottom w:val="single" w:sz="8" w:color="auto"/>
            </w:tcBorders>
            <w:shd w:val="clear" w:color="auto" w:fill="E5F1F8"/>
          </w:tcPr>
          <w:p>
            <w:pPr>
              <w:spacing w:after="0"/>
              <w:rPr>
                <w:sz w:val="17"/>
                <w:szCs w:val="17"/>
                <w:color w:val="auto"/>
              </w:rPr>
            </w:pPr>
          </w:p>
        </w:tc>
      </w:tr>
      <w:tr>
        <w:trPr>
          <w:trHeight w:val="196"/>
        </w:trPr>
        <w:tc>
          <w:tcPr>
            <w:tcW w:w="464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b w:val="1"/>
                <w:bCs w:val="1"/>
                <w:color w:val="auto"/>
              </w:rPr>
              <w:t>Earnings from Operations</w:t>
            </w:r>
          </w:p>
        </w:tc>
        <w:tc>
          <w:tcPr>
            <w:tcW w:w="220" w:type="dxa"/>
            <w:vAlign w:val="bottom"/>
          </w:tcPr>
          <w:p>
            <w:pPr>
              <w:spacing w:after="0"/>
              <w:rPr>
                <w:sz w:val="17"/>
                <w:szCs w:val="17"/>
                <w:color w:val="auto"/>
              </w:rPr>
            </w:pPr>
          </w:p>
        </w:tc>
        <w:tc>
          <w:tcPr>
            <w:tcW w:w="104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1,437</w:t>
            </w:r>
          </w:p>
        </w:tc>
        <w:tc>
          <w:tcPr>
            <w:tcW w:w="110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7"/>
                <w:szCs w:val="17"/>
                <w:color w:val="auto"/>
              </w:rPr>
            </w:pPr>
          </w:p>
        </w:tc>
        <w:tc>
          <w:tcPr>
            <w:tcW w:w="92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2,479</w:t>
            </w:r>
          </w:p>
        </w:tc>
        <w:tc>
          <w:tcPr>
            <w:tcW w:w="112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7"/>
                <w:szCs w:val="17"/>
                <w:color w:val="auto"/>
              </w:rPr>
            </w:pPr>
          </w:p>
        </w:tc>
        <w:tc>
          <w:tcPr>
            <w:tcW w:w="84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1,333</w:t>
            </w: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23</w:t>
            </w:r>
          </w:p>
        </w:tc>
      </w:tr>
      <w:tr>
        <w:trPr>
          <w:trHeight w:val="203"/>
        </w:trPr>
        <w:tc>
          <w:tcPr>
            <w:tcW w:w="46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230</w:t>
            </w:r>
          </w:p>
        </w:tc>
        <w:tc>
          <w:tcPr>
            <w:tcW w:w="1100" w:type="dxa"/>
            <w:vAlign w:val="bottom"/>
            <w:tcBorders>
              <w:right w:val="single" w:sz="8" w:color="007CBA"/>
            </w:tcBorders>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92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169</w:t>
            </w:r>
          </w:p>
        </w:tc>
        <w:tc>
          <w:tcPr>
            <w:tcW w:w="1120" w:type="dxa"/>
            <w:vAlign w:val="bottom"/>
            <w:tcBorders>
              <w:right w:val="single" w:sz="8" w:color="007CBA"/>
            </w:tcBorders>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165</w:t>
            </w:r>
          </w:p>
        </w:tc>
        <w:tc>
          <w:tcPr>
            <w:tcW w:w="1000" w:type="dxa"/>
            <w:vAlign w:val="bottom"/>
            <w:shd w:val="clear" w:color="auto" w:fill="E5F1F8"/>
          </w:tcPr>
          <w:p>
            <w:pPr>
              <w:spacing w:after="0"/>
              <w:rPr>
                <w:sz w:val="17"/>
                <w:szCs w:val="17"/>
                <w:color w:val="auto"/>
              </w:rPr>
            </w:pPr>
          </w:p>
        </w:tc>
      </w:tr>
      <w:tr>
        <w:trPr>
          <w:trHeight w:val="202"/>
        </w:trPr>
        <w:tc>
          <w:tcPr>
            <w:tcW w:w="46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1000" w:type="dxa"/>
            <w:vAlign w:val="bottom"/>
            <w:tcBorders>
              <w:bottom w:val="single" w:sz="8" w:color="auto"/>
            </w:tcBorders>
          </w:tcPr>
          <w:p>
            <w:pPr>
              <w:spacing w:after="0"/>
              <w:rPr>
                <w:sz w:val="17"/>
                <w:szCs w:val="17"/>
                <w:color w:val="auto"/>
              </w:rPr>
            </w:pPr>
          </w:p>
        </w:tc>
      </w:tr>
      <w:tr>
        <w:trPr>
          <w:trHeight w:val="177"/>
        </w:trPr>
        <w:tc>
          <w:tcPr>
            <w:tcW w:w="4640" w:type="dxa"/>
            <w:vAlign w:val="bottom"/>
            <w:tcBorders>
              <w:right w:val="single" w:sz="8" w:color="007CBA"/>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Earnings from continuing operations before</w:t>
            </w:r>
          </w:p>
        </w:tc>
        <w:tc>
          <w:tcPr>
            <w:tcW w:w="220" w:type="dxa"/>
            <w:vAlign w:val="bottom"/>
            <w:shd w:val="clear" w:color="auto" w:fill="E5F1F8"/>
          </w:tcPr>
          <w:p>
            <w:pPr>
              <w:spacing w:after="0"/>
              <w:rPr>
                <w:sz w:val="15"/>
                <w:szCs w:val="15"/>
                <w:color w:val="auto"/>
              </w:rPr>
            </w:pPr>
          </w:p>
        </w:tc>
        <w:tc>
          <w:tcPr>
            <w:tcW w:w="1040" w:type="dxa"/>
            <w:vAlign w:val="bottom"/>
            <w:tcBorders>
              <w:right w:val="single" w:sz="8" w:color="007CBA"/>
            </w:tcBorders>
            <w:shd w:val="clear" w:color="auto" w:fill="E5F1F8"/>
          </w:tcPr>
          <w:p>
            <w:pPr>
              <w:spacing w:after="0"/>
              <w:rPr>
                <w:sz w:val="15"/>
                <w:szCs w:val="15"/>
                <w:color w:val="auto"/>
              </w:rPr>
            </w:pPr>
          </w:p>
        </w:tc>
        <w:tc>
          <w:tcPr>
            <w:tcW w:w="1100" w:type="dxa"/>
            <w:vAlign w:val="bottom"/>
            <w:tcBorders>
              <w:right w:val="single" w:sz="8" w:color="007CBA"/>
            </w:tcBorders>
            <w:shd w:val="clear" w:color="auto" w:fill="E5F1F8"/>
          </w:tcPr>
          <w:p>
            <w:pPr>
              <w:spacing w:after="0"/>
              <w:rPr>
                <w:sz w:val="15"/>
                <w:szCs w:val="15"/>
                <w:color w:val="auto"/>
              </w:rPr>
            </w:pPr>
          </w:p>
        </w:tc>
        <w:tc>
          <w:tcPr>
            <w:tcW w:w="200" w:type="dxa"/>
            <w:vAlign w:val="bottom"/>
            <w:shd w:val="clear" w:color="auto" w:fill="E5F1F8"/>
          </w:tcPr>
          <w:p>
            <w:pPr>
              <w:spacing w:after="0"/>
              <w:rPr>
                <w:sz w:val="15"/>
                <w:szCs w:val="15"/>
                <w:color w:val="auto"/>
              </w:rPr>
            </w:pPr>
          </w:p>
        </w:tc>
        <w:tc>
          <w:tcPr>
            <w:tcW w:w="920" w:type="dxa"/>
            <w:vAlign w:val="bottom"/>
            <w:tcBorders>
              <w:right w:val="single" w:sz="8" w:color="007CBA"/>
            </w:tcBorders>
            <w:shd w:val="clear" w:color="auto" w:fill="E5F1F8"/>
          </w:tcPr>
          <w:p>
            <w:pPr>
              <w:spacing w:after="0"/>
              <w:rPr>
                <w:sz w:val="15"/>
                <w:szCs w:val="15"/>
                <w:color w:val="auto"/>
              </w:rPr>
            </w:pPr>
          </w:p>
        </w:tc>
        <w:tc>
          <w:tcPr>
            <w:tcW w:w="1120" w:type="dxa"/>
            <w:vAlign w:val="bottom"/>
            <w:tcBorders>
              <w:right w:val="single" w:sz="8" w:color="007CBA"/>
            </w:tcBorders>
            <w:shd w:val="clear" w:color="auto" w:fill="E5F1F8"/>
          </w:tcPr>
          <w:p>
            <w:pPr>
              <w:spacing w:after="0"/>
              <w:rPr>
                <w:sz w:val="15"/>
                <w:szCs w:val="15"/>
                <w:color w:val="auto"/>
              </w:rPr>
            </w:pPr>
          </w:p>
        </w:tc>
        <w:tc>
          <w:tcPr>
            <w:tcW w:w="160" w:type="dxa"/>
            <w:vAlign w:val="bottom"/>
            <w:shd w:val="clear" w:color="auto" w:fill="E5F1F8"/>
          </w:tcPr>
          <w:p>
            <w:pPr>
              <w:spacing w:after="0"/>
              <w:rPr>
                <w:sz w:val="15"/>
                <w:szCs w:val="15"/>
                <w:color w:val="auto"/>
              </w:rPr>
            </w:pPr>
          </w:p>
        </w:tc>
        <w:tc>
          <w:tcPr>
            <w:tcW w:w="840" w:type="dxa"/>
            <w:vAlign w:val="bottom"/>
            <w:tcBorders>
              <w:right w:val="single" w:sz="8" w:color="007CBA"/>
            </w:tcBorders>
            <w:shd w:val="clear" w:color="auto" w:fill="E5F1F8"/>
          </w:tcPr>
          <w:p>
            <w:pPr>
              <w:spacing w:after="0"/>
              <w:rPr>
                <w:sz w:val="15"/>
                <w:szCs w:val="15"/>
                <w:color w:val="auto"/>
              </w:rPr>
            </w:pPr>
          </w:p>
        </w:tc>
        <w:tc>
          <w:tcPr>
            <w:tcW w:w="1000" w:type="dxa"/>
            <w:vAlign w:val="bottom"/>
            <w:shd w:val="clear" w:color="auto" w:fill="E5F1F8"/>
          </w:tcPr>
          <w:p>
            <w:pPr>
              <w:spacing w:after="0"/>
              <w:rPr>
                <w:sz w:val="15"/>
                <w:szCs w:val="15"/>
                <w:color w:val="auto"/>
              </w:rPr>
            </w:pPr>
          </w:p>
        </w:tc>
      </w:tr>
      <w:tr>
        <w:trPr>
          <w:trHeight w:val="221"/>
        </w:trPr>
        <w:tc>
          <w:tcPr>
            <w:tcW w:w="464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E5F1F8"/>
          </w:tcPr>
          <w:p>
            <w:pPr>
              <w:spacing w:after="0"/>
              <w:rPr>
                <w:sz w:val="19"/>
                <w:szCs w:val="19"/>
                <w:color w:val="auto"/>
              </w:rPr>
            </w:pP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1,226</w:t>
            </w:r>
          </w:p>
        </w:tc>
        <w:tc>
          <w:tcPr>
            <w:tcW w:w="1100" w:type="dxa"/>
            <w:vAlign w:val="bottom"/>
            <w:tcBorders>
              <w:right w:val="single" w:sz="8" w:color="007CBA"/>
            </w:tcBorders>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92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2,366</w:t>
            </w:r>
          </w:p>
        </w:tc>
        <w:tc>
          <w:tcPr>
            <w:tcW w:w="1120" w:type="dxa"/>
            <w:vAlign w:val="bottom"/>
            <w:tcBorders>
              <w:right w:val="single" w:sz="8" w:color="007CBA"/>
            </w:tcBorders>
            <w:shd w:val="clear" w:color="auto" w:fill="E5F1F8"/>
          </w:tcPr>
          <w:p>
            <w:pPr>
              <w:spacing w:after="0"/>
              <w:rPr>
                <w:sz w:val="19"/>
                <w:szCs w:val="19"/>
                <w:color w:val="auto"/>
              </w:rPr>
            </w:pPr>
          </w:p>
        </w:tc>
        <w:tc>
          <w:tcPr>
            <w:tcW w:w="160" w:type="dxa"/>
            <w:vAlign w:val="bottom"/>
            <w:shd w:val="clear" w:color="auto" w:fill="E5F1F8"/>
          </w:tcPr>
          <w:p>
            <w:pPr>
              <w:spacing w:after="0"/>
              <w:rPr>
                <w:sz w:val="19"/>
                <w:szCs w:val="19"/>
                <w:color w:val="auto"/>
              </w:rPr>
            </w:pPr>
          </w:p>
        </w:tc>
        <w:tc>
          <w:tcPr>
            <w:tcW w:w="84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1,226</w:t>
            </w:r>
          </w:p>
        </w:tc>
        <w:tc>
          <w:tcPr>
            <w:tcW w:w="1000" w:type="dxa"/>
            <w:vAlign w:val="bottom"/>
            <w:shd w:val="clear" w:color="auto" w:fill="E5F1F8"/>
          </w:tcPr>
          <w:p>
            <w:pPr>
              <w:spacing w:after="0"/>
              <w:rPr>
                <w:sz w:val="19"/>
                <w:szCs w:val="19"/>
                <w:color w:val="auto"/>
              </w:rPr>
            </w:pPr>
          </w:p>
        </w:tc>
      </w:tr>
      <w:tr>
        <w:trPr>
          <w:trHeight w:val="203"/>
        </w:trPr>
        <w:tc>
          <w:tcPr>
            <w:tcW w:w="46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236</w:t>
            </w: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550</w:t>
            </w: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234</w:t>
            </w:r>
          </w:p>
        </w:tc>
        <w:tc>
          <w:tcPr>
            <w:tcW w:w="1000" w:type="dxa"/>
            <w:vAlign w:val="bottom"/>
            <w:tcBorders>
              <w:bottom w:val="single" w:sz="8" w:color="auto"/>
            </w:tcBorders>
          </w:tcPr>
          <w:p>
            <w:pPr>
              <w:spacing w:after="0"/>
              <w:rPr>
                <w:sz w:val="17"/>
                <w:szCs w:val="17"/>
                <w:color w:val="auto"/>
              </w:rPr>
            </w:pPr>
          </w:p>
        </w:tc>
      </w:tr>
      <w:tr>
        <w:trPr>
          <w:trHeight w:val="196"/>
        </w:trPr>
        <w:tc>
          <w:tcPr>
            <w:tcW w:w="4640" w:type="dxa"/>
            <w:vAlign w:val="bottom"/>
            <w:tcBorders>
              <w:right w:val="single" w:sz="8" w:color="007CBA"/>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990</w:t>
            </w:r>
          </w:p>
        </w:tc>
        <w:tc>
          <w:tcPr>
            <w:tcW w:w="110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200" w:type="dxa"/>
            <w:vAlign w:val="bottom"/>
            <w:shd w:val="clear" w:color="auto" w:fill="E5F1F8"/>
          </w:tcPr>
          <w:p>
            <w:pPr>
              <w:spacing w:after="0"/>
              <w:rPr>
                <w:sz w:val="17"/>
                <w:szCs w:val="17"/>
                <w:color w:val="auto"/>
              </w:rPr>
            </w:pPr>
          </w:p>
        </w:tc>
        <w:tc>
          <w:tcPr>
            <w:tcW w:w="92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1,816</w:t>
            </w:r>
          </w:p>
        </w:tc>
        <w:tc>
          <w:tcPr>
            <w:tcW w:w="1120" w:type="dxa"/>
            <w:vAlign w:val="bottom"/>
            <w:tcBorders>
              <w:right w:val="single" w:sz="8" w:color="007CBA"/>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32</w:t>
            </w:r>
          </w:p>
        </w:tc>
        <w:tc>
          <w:tcPr>
            <w:tcW w:w="16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992</w:t>
            </w:r>
          </w:p>
        </w:tc>
        <w:tc>
          <w:tcPr>
            <w:tcW w:w="1000" w:type="dxa"/>
            <w:vAlign w:val="bottom"/>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17</w:t>
            </w:r>
          </w:p>
        </w:tc>
      </w:tr>
      <w:tr>
        <w:trPr>
          <w:trHeight w:val="184"/>
        </w:trPr>
        <w:tc>
          <w:tcPr>
            <w:tcW w:w="4640" w:type="dxa"/>
            <w:vAlign w:val="bottom"/>
          </w:tcPr>
          <w:p>
            <w:pPr>
              <w:ind w:left="60"/>
              <w:spacing w:after="0" w:line="183" w:lineRule="exact"/>
              <w:rPr>
                <w:sz w:val="20"/>
                <w:szCs w:val="20"/>
                <w:color w:val="auto"/>
              </w:rPr>
            </w:pPr>
            <w:r>
              <w:rPr>
                <w:rFonts w:ascii="Arial" w:cs="Arial" w:eastAsia="Arial" w:hAnsi="Arial"/>
                <w:sz w:val="18"/>
                <w:szCs w:val="18"/>
                <w:color w:val="auto"/>
              </w:rPr>
              <w:t>Earnings from discontinued operations,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of income tax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0" w:type="dxa"/>
            <w:vAlign w:val="bottom"/>
            <w:tcBorders>
              <w:bottom w:val="single" w:sz="8" w:color="auto"/>
            </w:tcBorders>
          </w:tcPr>
          <w:p>
            <w:pPr>
              <w:spacing w:after="0"/>
              <w:rPr>
                <w:sz w:val="19"/>
                <w:szCs w:val="19"/>
                <w:color w:val="auto"/>
              </w:rPr>
            </w:pPr>
          </w:p>
        </w:tc>
      </w:tr>
      <w:tr>
        <w:trPr>
          <w:trHeight w:val="196"/>
        </w:trPr>
        <w:tc>
          <w:tcPr>
            <w:tcW w:w="4640" w:type="dxa"/>
            <w:vAlign w:val="bottom"/>
            <w:tcBorders>
              <w:right w:val="single" w:sz="8" w:color="007CBA"/>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Consolidated net earnings</w:t>
            </w:r>
          </w:p>
        </w:tc>
        <w:tc>
          <w:tcPr>
            <w:tcW w:w="22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1,137</w:t>
            </w:r>
          </w:p>
        </w:tc>
        <w:tc>
          <w:tcPr>
            <w:tcW w:w="1100" w:type="dxa"/>
            <w:vAlign w:val="bottom"/>
            <w:tcBorders>
              <w:right w:val="single" w:sz="8" w:color="007CBA"/>
            </w:tcBorders>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92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1,996</w:t>
            </w:r>
          </w:p>
        </w:tc>
        <w:tc>
          <w:tcPr>
            <w:tcW w:w="1120" w:type="dxa"/>
            <w:vAlign w:val="bottom"/>
            <w:tcBorders>
              <w:right w:val="single" w:sz="8" w:color="007CBA"/>
            </w:tcBorders>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1,170</w:t>
            </w:r>
          </w:p>
        </w:tc>
        <w:tc>
          <w:tcPr>
            <w:tcW w:w="1000" w:type="dxa"/>
            <w:vAlign w:val="bottom"/>
            <w:shd w:val="clear" w:color="auto" w:fill="E5F1F8"/>
          </w:tcPr>
          <w:p>
            <w:pPr>
              <w:spacing w:after="0"/>
              <w:rPr>
                <w:sz w:val="17"/>
                <w:szCs w:val="17"/>
                <w:color w:val="auto"/>
              </w:rPr>
            </w:pPr>
          </w:p>
        </w:tc>
      </w:tr>
      <w:tr>
        <w:trPr>
          <w:trHeight w:val="184"/>
        </w:trPr>
        <w:tc>
          <w:tcPr>
            <w:tcW w:w="4640" w:type="dxa"/>
            <w:vAlign w:val="bottom"/>
          </w:tcPr>
          <w:p>
            <w:pPr>
              <w:ind w:left="60"/>
              <w:spacing w:after="0" w:line="183" w:lineRule="exact"/>
              <w:rPr>
                <w:sz w:val="20"/>
                <w:szCs w:val="20"/>
                <w:color w:val="auto"/>
              </w:rPr>
            </w:pPr>
            <w:r>
              <w:rPr>
                <w:rFonts w:ascii="Arial" w:cs="Arial" w:eastAsia="Arial" w:hAnsi="Arial"/>
                <w:sz w:val="18"/>
                <w:szCs w:val="18"/>
                <w:color w:val="auto"/>
              </w:rPr>
              <w:t>Less: Net earnings attributable to</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spacing w:after="0"/>
              <w:rPr>
                <w:sz w:val="19"/>
                <w:szCs w:val="19"/>
                <w:color w:val="auto"/>
              </w:rPr>
            </w:pPr>
          </w:p>
        </w:tc>
      </w:tr>
      <w:tr>
        <w:trPr>
          <w:trHeight w:val="236"/>
        </w:trPr>
        <w:tc>
          <w:tcPr>
            <w:tcW w:w="464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b w:val="1"/>
                <w:bCs w:val="1"/>
                <w:color w:val="auto"/>
              </w:rPr>
              <w:t>Net Earnings Attributable to Martin Marietta</w:t>
            </w:r>
          </w:p>
        </w:tc>
        <w:tc>
          <w:tcPr>
            <w:tcW w:w="220" w:type="dxa"/>
            <w:vAlign w:val="bottom"/>
            <w:tcBorders>
              <w:bottom w:val="single" w:sz="8" w:color="auto"/>
            </w:tcBorders>
            <w:shd w:val="clear" w:color="auto" w:fill="E5F1F8"/>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1,137</w:t>
            </w:r>
          </w:p>
        </w:tc>
        <w:tc>
          <w:tcPr>
            <w:tcW w:w="11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1,995</w:t>
            </w:r>
          </w:p>
        </w:tc>
        <w:tc>
          <w:tcPr>
            <w:tcW w:w="112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35</w:t>
            </w:r>
          </w:p>
        </w:tc>
        <w:tc>
          <w:tcPr>
            <w:tcW w:w="160" w:type="dxa"/>
            <w:vAlign w:val="bottom"/>
            <w:tcBorders>
              <w:bottom w:val="single" w:sz="8" w:color="auto"/>
            </w:tcBorders>
            <w:shd w:val="clear" w:color="auto" w:fill="E5F1F8"/>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1,169</w:t>
            </w:r>
          </w:p>
        </w:tc>
        <w:tc>
          <w:tcPr>
            <w:tcW w:w="100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-2528570</wp:posOffset>
            </wp:positionV>
            <wp:extent cx="728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-2404110</wp:posOffset>
            </wp:positionV>
            <wp:extent cx="3429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-2404110</wp:posOffset>
            </wp:positionV>
            <wp:extent cx="3365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-2404110</wp:posOffset>
            </wp:positionV>
            <wp:extent cx="3365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-2404110</wp:posOffset>
            </wp:positionV>
            <wp:extent cx="33655"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-2404110</wp:posOffset>
            </wp:positionV>
            <wp:extent cx="3429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-2404110</wp:posOffset>
            </wp:positionV>
            <wp:extent cx="3365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-1880870</wp:posOffset>
            </wp:positionV>
            <wp:extent cx="3429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-1880870</wp:posOffset>
            </wp:positionV>
            <wp:extent cx="3365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-1880870</wp:posOffset>
            </wp:positionV>
            <wp:extent cx="33655"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-1880870</wp:posOffset>
            </wp:positionV>
            <wp:extent cx="33655"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-1880870</wp:posOffset>
            </wp:positionV>
            <wp:extent cx="3429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-1880870</wp:posOffset>
            </wp:positionV>
            <wp:extent cx="33655"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-1486535</wp:posOffset>
            </wp:positionV>
            <wp:extent cx="3429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-1486535</wp:posOffset>
            </wp:positionV>
            <wp:extent cx="3365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-1486535</wp:posOffset>
            </wp:positionV>
            <wp:extent cx="3365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-1486535</wp:posOffset>
            </wp:positionV>
            <wp:extent cx="3365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-1486535</wp:posOffset>
            </wp:positionV>
            <wp:extent cx="3429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-1486535</wp:posOffset>
            </wp:positionV>
            <wp:extent cx="33655"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-1092200</wp:posOffset>
            </wp:positionV>
            <wp:extent cx="3429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-1092200</wp:posOffset>
            </wp:positionV>
            <wp:extent cx="3365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-1092200</wp:posOffset>
            </wp:positionV>
            <wp:extent cx="33655"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-1092200</wp:posOffset>
            </wp:positionV>
            <wp:extent cx="33655"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-1092200</wp:posOffset>
            </wp:positionV>
            <wp:extent cx="3429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-1092200</wp:posOffset>
            </wp:positionV>
            <wp:extent cx="33655"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-826770</wp:posOffset>
            </wp:positionV>
            <wp:extent cx="34290" cy="290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29083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-826770</wp:posOffset>
            </wp:positionV>
            <wp:extent cx="33655" cy="290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-826770</wp:posOffset>
            </wp:positionV>
            <wp:extent cx="33655" cy="290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-826770</wp:posOffset>
            </wp:positionV>
            <wp:extent cx="33655" cy="290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-826770</wp:posOffset>
            </wp:positionV>
            <wp:extent cx="34290" cy="290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29083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-826770</wp:posOffset>
            </wp:positionV>
            <wp:extent cx="33655" cy="290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-432435</wp:posOffset>
            </wp:positionV>
            <wp:extent cx="34290" cy="4457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-432435</wp:posOffset>
            </wp:positionV>
            <wp:extent cx="33655" cy="4457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-432435</wp:posOffset>
            </wp:positionV>
            <wp:extent cx="33655"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-432435</wp:posOffset>
            </wp:positionV>
            <wp:extent cx="33655" cy="4457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-432435</wp:posOffset>
            </wp:positionV>
            <wp:extent cx="34290" cy="4457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-432435</wp:posOffset>
            </wp:positionV>
            <wp:extent cx="33655" cy="4457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4577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Revenues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the Company and its reportable segments by product line for continuing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80" w:type="dxa"/>
            <w:vAlign w:val="bottom"/>
            <w:shd w:val="clear" w:color="auto" w:fill="007CBA"/>
          </w:tcPr>
          <w:p>
            <w:pPr>
              <w:spacing w:after="0"/>
              <w:rPr>
                <w:sz w:val="17"/>
                <w:szCs w:val="17"/>
                <w:color w:val="auto"/>
              </w:rPr>
            </w:pPr>
          </w:p>
        </w:tc>
        <w:tc>
          <w:tcPr>
            <w:tcW w:w="12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26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120" w:type="dxa"/>
            <w:vAlign w:val="bottom"/>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r>
      <w:tr>
        <w:trPr>
          <w:trHeight w:val="221"/>
        </w:trPr>
        <w:tc>
          <w:tcPr>
            <w:tcW w:w="62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80" w:type="dxa"/>
            <w:vAlign w:val="bottom"/>
            <w:shd w:val="clear" w:color="auto" w:fill="007CBA"/>
          </w:tcPr>
          <w:p>
            <w:pPr>
              <w:spacing w:after="0"/>
              <w:rPr>
                <w:sz w:val="19"/>
                <w:szCs w:val="19"/>
                <w:color w:val="auto"/>
              </w:rPr>
            </w:pPr>
          </w:p>
        </w:tc>
        <w:tc>
          <w:tcPr>
            <w:tcW w:w="1280" w:type="dxa"/>
            <w:vAlign w:val="bottom"/>
            <w:tcBorders>
              <w:right w:val="single" w:sz="8" w:color="007CBA"/>
            </w:tcBorders>
            <w:shd w:val="clear" w:color="auto" w:fill="007CBA"/>
          </w:tcPr>
          <w:p>
            <w:pPr>
              <w:jc w:val="right"/>
              <w:ind w:right="59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color w:val="FFFFFF"/>
              </w:rPr>
              <w:t>2024</w:t>
            </w:r>
          </w:p>
        </w:tc>
        <w:tc>
          <w:tcPr>
            <w:tcW w:w="360" w:type="dxa"/>
            <w:vAlign w:val="bottom"/>
            <w:shd w:val="clear" w:color="auto" w:fill="007CBA"/>
          </w:tcPr>
          <w:p>
            <w:pPr>
              <w:spacing w:after="0"/>
              <w:rPr>
                <w:sz w:val="19"/>
                <w:szCs w:val="19"/>
                <w:color w:val="auto"/>
              </w:rPr>
            </w:pPr>
          </w:p>
        </w:tc>
        <w:tc>
          <w:tcPr>
            <w:tcW w:w="1120" w:type="dxa"/>
            <w:vAlign w:val="bottom"/>
            <w:shd w:val="clear" w:color="auto" w:fill="007CBA"/>
          </w:tcPr>
          <w:p>
            <w:pPr>
              <w:jc w:val="right"/>
              <w:ind w:right="450"/>
              <w:spacing w:after="0"/>
              <w:rPr>
                <w:sz w:val="20"/>
                <w:szCs w:val="20"/>
                <w:color w:val="auto"/>
              </w:rPr>
            </w:pPr>
            <w:r>
              <w:rPr>
                <w:rFonts w:ascii="Arial" w:cs="Arial" w:eastAsia="Arial" w:hAnsi="Arial"/>
                <w:sz w:val="18"/>
                <w:szCs w:val="18"/>
                <w:color w:val="FFFFFF"/>
              </w:rPr>
              <w:t>2023</w:t>
            </w:r>
          </w:p>
        </w:tc>
        <w:tc>
          <w:tcPr>
            <w:tcW w:w="100" w:type="dxa"/>
            <w:vAlign w:val="bottom"/>
            <w:shd w:val="clear" w:color="auto" w:fill="007CBA"/>
          </w:tcPr>
          <w:p>
            <w:pPr>
              <w:spacing w:after="0"/>
              <w:rPr>
                <w:sz w:val="19"/>
                <w:szCs w:val="19"/>
                <w:color w:val="auto"/>
              </w:rPr>
            </w:pPr>
          </w:p>
        </w:tc>
      </w:tr>
      <w:tr>
        <w:trPr>
          <w:trHeight w:val="203"/>
        </w:trPr>
        <w:tc>
          <w:tcPr>
            <w:tcW w:w="62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Building Materials business:</w:t>
            </w:r>
          </w:p>
        </w:tc>
        <w:tc>
          <w:tcPr>
            <w:tcW w:w="480" w:type="dxa"/>
            <w:vAlign w:val="bottom"/>
            <w:shd w:val="clear" w:color="auto" w:fill="E5F1F8"/>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360" w:type="dxa"/>
            <w:vAlign w:val="bottom"/>
            <w:shd w:val="clear" w:color="auto" w:fill="E5F1F8"/>
          </w:tcPr>
          <w:p>
            <w:pPr>
              <w:spacing w:after="0"/>
              <w:rPr>
                <w:sz w:val="17"/>
                <w:szCs w:val="17"/>
                <w:color w:val="auto"/>
              </w:rPr>
            </w:pPr>
          </w:p>
        </w:tc>
        <w:tc>
          <w:tcPr>
            <w:tcW w:w="112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r>
      <w:tr>
        <w:trPr>
          <w:trHeight w:val="203"/>
        </w:trPr>
        <w:tc>
          <w:tcPr>
            <w:tcW w:w="6200" w:type="dxa"/>
            <w:vAlign w:val="bottom"/>
            <w:tcBorders>
              <w:right w:val="single" w:sz="8" w:color="007CBA"/>
            </w:tcBorders>
          </w:tcPr>
          <w:p>
            <w:pPr>
              <w:ind w:left="180"/>
              <w:spacing w:after="0" w:line="202" w:lineRule="exact"/>
              <w:rPr>
                <w:sz w:val="20"/>
                <w:szCs w:val="20"/>
                <w:color w:val="auto"/>
              </w:rPr>
            </w:pPr>
            <w:r>
              <w:rPr>
                <w:rFonts w:ascii="Arial" w:cs="Arial" w:eastAsia="Arial" w:hAnsi="Arial"/>
                <w:sz w:val="18"/>
                <w:szCs w:val="18"/>
                <w:color w:val="auto"/>
              </w:rPr>
              <w:t>East Group:</w:t>
            </w:r>
          </w:p>
        </w:tc>
        <w:tc>
          <w:tcPr>
            <w:tcW w:w="48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right w:val="single" w:sz="8" w:color="007CBA"/>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200" w:type="dxa"/>
            <w:vAlign w:val="bottom"/>
            <w:tcBorders>
              <w:right w:val="single" w:sz="8" w:color="007CBA"/>
            </w:tcBorders>
            <w:shd w:val="clear" w:color="auto" w:fill="E5F1F8"/>
          </w:tcPr>
          <w:p>
            <w:pPr>
              <w:ind w:left="240"/>
              <w:spacing w:after="0" w:line="202" w:lineRule="exact"/>
              <w:rPr>
                <w:sz w:val="20"/>
                <w:szCs w:val="20"/>
                <w:color w:val="auto"/>
              </w:rPr>
            </w:pPr>
            <w:r>
              <w:rPr>
                <w:rFonts w:ascii="Arial" w:cs="Arial" w:eastAsia="Arial" w:hAnsi="Arial"/>
                <w:sz w:val="18"/>
                <w:szCs w:val="18"/>
                <w:color w:val="auto"/>
              </w:rPr>
              <w:t>Aggregates</w:t>
            </w:r>
          </w:p>
        </w:tc>
        <w:tc>
          <w:tcPr>
            <w:tcW w:w="480" w:type="dxa"/>
            <w:vAlign w:val="bottom"/>
            <w:shd w:val="clear" w:color="auto" w:fill="E5F1F8"/>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3,065</w:t>
            </w:r>
          </w:p>
        </w:tc>
        <w:tc>
          <w:tcPr>
            <w:tcW w:w="440" w:type="dxa"/>
            <w:vAlign w:val="bottom"/>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2,787</w:t>
            </w:r>
          </w:p>
        </w:tc>
        <w:tc>
          <w:tcPr>
            <w:tcW w:w="36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2,593</w:t>
            </w:r>
          </w:p>
        </w:tc>
        <w:tc>
          <w:tcPr>
            <w:tcW w:w="100" w:type="dxa"/>
            <w:vAlign w:val="bottom"/>
            <w:shd w:val="clear" w:color="auto" w:fill="E5F1F8"/>
          </w:tcPr>
          <w:p>
            <w:pPr>
              <w:spacing w:after="0"/>
              <w:rPr>
                <w:sz w:val="17"/>
                <w:szCs w:val="17"/>
                <w:color w:val="auto"/>
              </w:rPr>
            </w:pPr>
          </w:p>
        </w:tc>
      </w:tr>
      <w:tr>
        <w:trPr>
          <w:trHeight w:val="203"/>
        </w:trPr>
        <w:tc>
          <w:tcPr>
            <w:tcW w:w="6200" w:type="dxa"/>
            <w:vAlign w:val="bottom"/>
            <w:tcBorders>
              <w:right w:val="single" w:sz="8" w:color="007CBA"/>
            </w:tcBorders>
          </w:tcPr>
          <w:p>
            <w:pPr>
              <w:ind w:left="240"/>
              <w:spacing w:after="0" w:line="202" w:lineRule="exact"/>
              <w:rPr>
                <w:sz w:val="20"/>
                <w:szCs w:val="20"/>
                <w:color w:val="auto"/>
              </w:rPr>
            </w:pPr>
            <w:r>
              <w:rPr>
                <w:rFonts w:ascii="Arial" w:cs="Arial" w:eastAsia="Arial" w:hAnsi="Arial"/>
                <w:sz w:val="18"/>
                <w:szCs w:val="18"/>
                <w:color w:val="auto"/>
              </w:rPr>
              <w:t>Other Building Materials</w:t>
            </w:r>
          </w:p>
        </w:tc>
        <w:tc>
          <w:tcPr>
            <w:tcW w:w="480" w:type="dxa"/>
            <w:vAlign w:val="bottom"/>
          </w:tcPr>
          <w:p>
            <w:pPr>
              <w:spacing w:after="0"/>
              <w:rPr>
                <w:sz w:val="17"/>
                <w:szCs w:val="17"/>
                <w:color w:val="auto"/>
              </w:rPr>
            </w:pPr>
          </w:p>
        </w:tc>
        <w:tc>
          <w:tcPr>
            <w:tcW w:w="12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156</w:t>
            </w:r>
          </w:p>
        </w:tc>
        <w:tc>
          <w:tcPr>
            <w:tcW w:w="440" w:type="dxa"/>
            <w:vAlign w:val="bottom"/>
          </w:tcPr>
          <w:p>
            <w:pPr>
              <w:spacing w:after="0"/>
              <w:rPr>
                <w:sz w:val="17"/>
                <w:szCs w:val="17"/>
                <w:color w:val="auto"/>
              </w:rPr>
            </w:pPr>
          </w:p>
        </w:tc>
        <w:tc>
          <w:tcPr>
            <w:tcW w:w="12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184</w:t>
            </w:r>
          </w:p>
        </w:tc>
        <w:tc>
          <w:tcPr>
            <w:tcW w:w="3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r>
      <w:tr>
        <w:trPr>
          <w:trHeight w:val="203"/>
        </w:trPr>
        <w:tc>
          <w:tcPr>
            <w:tcW w:w="6200" w:type="dxa"/>
            <w:vAlign w:val="bottom"/>
            <w:tcBorders>
              <w:bottom w:val="single" w:sz="8" w:color="auto"/>
              <w:right w:val="single" w:sz="8" w:color="E5F1F8"/>
            </w:tcBorders>
            <w:shd w:val="clear" w:color="auto" w:fill="E5F1F8"/>
          </w:tcPr>
          <w:p>
            <w:pPr>
              <w:ind w:left="240"/>
              <w:spacing w:after="0" w:line="202" w:lineRule="exact"/>
              <w:rPr>
                <w:sz w:val="20"/>
                <w:szCs w:val="20"/>
                <w:color w:val="auto"/>
              </w:rPr>
            </w:pPr>
            <w:r>
              <w:rPr>
                <w:rFonts w:ascii="Arial" w:cs="Arial" w:eastAsia="Arial" w:hAnsi="Arial"/>
                <w:sz w:val="18"/>
                <w:szCs w:val="18"/>
                <w:color w:val="auto"/>
              </w:rPr>
              <w:t>Less: interproduct revenues</w:t>
            </w:r>
          </w:p>
        </w:tc>
        <w:tc>
          <w:tcPr>
            <w:tcW w:w="480" w:type="dxa"/>
            <w:vAlign w:val="bottom"/>
            <w:tcBorders>
              <w:bottom w:val="single" w:sz="8" w:color="auto"/>
            </w:tcBorders>
            <w:shd w:val="clear" w:color="auto" w:fill="E5F1F8"/>
          </w:tcPr>
          <w:p>
            <w:pPr>
              <w:spacing w:after="0"/>
              <w:rPr>
                <w:sz w:val="17"/>
                <w:szCs w:val="17"/>
                <w:color w:val="auto"/>
              </w:rPr>
            </w:pPr>
          </w:p>
        </w:tc>
        <w:tc>
          <w:tcPr>
            <w:tcW w:w="12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440" w:type="dxa"/>
            <w:vAlign w:val="bottom"/>
            <w:tcBorders>
              <w:bottom w:val="single" w:sz="8" w:color="auto"/>
            </w:tcBorders>
            <w:shd w:val="clear" w:color="auto" w:fill="E5F1F8"/>
          </w:tcPr>
          <w:p>
            <w:pPr>
              <w:spacing w:after="0"/>
              <w:rPr>
                <w:sz w:val="17"/>
                <w:szCs w:val="17"/>
                <w:color w:val="auto"/>
              </w:rPr>
            </w:pPr>
          </w:p>
        </w:tc>
        <w:tc>
          <w:tcPr>
            <w:tcW w:w="126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E5F1F8"/>
            </w:tcBorders>
            <w:shd w:val="clear" w:color="auto" w:fill="E5F1F8"/>
          </w:tcPr>
          <w:p>
            <w:pPr>
              <w:spacing w:after="0"/>
              <w:rPr>
                <w:sz w:val="17"/>
                <w:szCs w:val="17"/>
                <w:color w:val="auto"/>
              </w:rPr>
            </w:pPr>
          </w:p>
        </w:tc>
      </w:tr>
      <w:tr>
        <w:trPr>
          <w:trHeight w:val="196"/>
        </w:trPr>
        <w:tc>
          <w:tcPr>
            <w:tcW w:w="62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East Group Total</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3,194</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2,941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2,763</w:t>
            </w:r>
          </w:p>
        </w:tc>
        <w:tc>
          <w:tcPr>
            <w:tcW w:w="100" w:type="dxa"/>
            <w:vAlign w:val="bottom"/>
            <w:tcBorders>
              <w:bottom w:val="single" w:sz="8" w:color="E5F1F8"/>
            </w:tcBorders>
          </w:tcPr>
          <w:p>
            <w:pPr>
              <w:spacing w:after="0"/>
              <w:rPr>
                <w:sz w:val="17"/>
                <w:szCs w:val="17"/>
                <w:color w:val="auto"/>
              </w:rPr>
            </w:pPr>
          </w:p>
        </w:tc>
      </w:tr>
      <w:tr>
        <w:trPr>
          <w:trHeight w:val="196"/>
        </w:trPr>
        <w:tc>
          <w:tcPr>
            <w:tcW w:w="6200" w:type="dxa"/>
            <w:vAlign w:val="bottom"/>
            <w:tcBorders>
              <w:right w:val="single" w:sz="8" w:color="007CBA"/>
            </w:tcBorders>
            <w:shd w:val="clear" w:color="auto" w:fill="E5F1F8"/>
          </w:tcPr>
          <w:p>
            <w:pPr>
              <w:ind w:left="180"/>
              <w:spacing w:after="0" w:line="196" w:lineRule="exact"/>
              <w:rPr>
                <w:sz w:val="20"/>
                <w:szCs w:val="20"/>
                <w:color w:val="auto"/>
              </w:rPr>
            </w:pPr>
            <w:r>
              <w:rPr>
                <w:rFonts w:ascii="Arial" w:cs="Arial" w:eastAsia="Arial" w:hAnsi="Arial"/>
                <w:sz w:val="18"/>
                <w:szCs w:val="18"/>
                <w:color w:val="auto"/>
              </w:rPr>
              <w:t>West Group:</w:t>
            </w:r>
          </w:p>
        </w:tc>
        <w:tc>
          <w:tcPr>
            <w:tcW w:w="480" w:type="dxa"/>
            <w:vAlign w:val="bottom"/>
            <w:shd w:val="clear" w:color="auto" w:fill="E5F1F8"/>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360" w:type="dxa"/>
            <w:vAlign w:val="bottom"/>
            <w:shd w:val="clear" w:color="auto" w:fill="E5F1F8"/>
          </w:tcPr>
          <w:p>
            <w:pPr>
              <w:spacing w:after="0"/>
              <w:rPr>
                <w:sz w:val="17"/>
                <w:szCs w:val="17"/>
                <w:color w:val="auto"/>
              </w:rPr>
            </w:pPr>
          </w:p>
        </w:tc>
        <w:tc>
          <w:tcPr>
            <w:tcW w:w="112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r>
      <w:tr>
        <w:trPr>
          <w:trHeight w:val="203"/>
        </w:trPr>
        <w:tc>
          <w:tcPr>
            <w:tcW w:w="6200" w:type="dxa"/>
            <w:vAlign w:val="bottom"/>
            <w:tcBorders>
              <w:right w:val="single" w:sz="8" w:color="007CBA"/>
            </w:tcBorders>
          </w:tcPr>
          <w:p>
            <w:pPr>
              <w:ind w:left="240"/>
              <w:spacing w:after="0" w:line="202" w:lineRule="exact"/>
              <w:rPr>
                <w:sz w:val="20"/>
                <w:szCs w:val="20"/>
                <w:color w:val="auto"/>
              </w:rPr>
            </w:pPr>
            <w:r>
              <w:rPr>
                <w:rFonts w:ascii="Arial" w:cs="Arial" w:eastAsia="Arial" w:hAnsi="Arial"/>
                <w:sz w:val="18"/>
                <w:szCs w:val="18"/>
                <w:color w:val="auto"/>
              </w:rPr>
              <w:t>Aggregates</w:t>
            </w:r>
          </w:p>
        </w:tc>
        <w:tc>
          <w:tcPr>
            <w:tcW w:w="480" w:type="dxa"/>
            <w:vAlign w:val="bottom"/>
          </w:tcPr>
          <w:p>
            <w:pPr>
              <w:spacing w:after="0"/>
              <w:rPr>
                <w:sz w:val="17"/>
                <w:szCs w:val="17"/>
                <w:color w:val="auto"/>
              </w:rPr>
            </w:pPr>
          </w:p>
        </w:tc>
        <w:tc>
          <w:tcPr>
            <w:tcW w:w="12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1,939</w:t>
            </w:r>
          </w:p>
        </w:tc>
        <w:tc>
          <w:tcPr>
            <w:tcW w:w="440" w:type="dxa"/>
            <w:vAlign w:val="bottom"/>
          </w:tcPr>
          <w:p>
            <w:pPr>
              <w:spacing w:after="0"/>
              <w:rPr>
                <w:sz w:val="17"/>
                <w:szCs w:val="17"/>
                <w:color w:val="auto"/>
              </w:rPr>
            </w:pPr>
          </w:p>
        </w:tc>
        <w:tc>
          <w:tcPr>
            <w:tcW w:w="12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1,727</w:t>
            </w:r>
          </w:p>
        </w:tc>
        <w:tc>
          <w:tcPr>
            <w:tcW w:w="3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1,709</w:t>
            </w:r>
          </w:p>
        </w:tc>
        <w:tc>
          <w:tcPr>
            <w:tcW w:w="100" w:type="dxa"/>
            <w:vAlign w:val="bottom"/>
          </w:tcPr>
          <w:p>
            <w:pPr>
              <w:spacing w:after="0"/>
              <w:rPr>
                <w:sz w:val="17"/>
                <w:szCs w:val="17"/>
                <w:color w:val="auto"/>
              </w:rPr>
            </w:pPr>
          </w:p>
        </w:tc>
      </w:tr>
      <w:tr>
        <w:trPr>
          <w:trHeight w:val="203"/>
        </w:trPr>
        <w:tc>
          <w:tcPr>
            <w:tcW w:w="6200" w:type="dxa"/>
            <w:vAlign w:val="bottom"/>
            <w:tcBorders>
              <w:right w:val="single" w:sz="8" w:color="007CBA"/>
            </w:tcBorders>
            <w:shd w:val="clear" w:color="auto" w:fill="E5F1F8"/>
          </w:tcPr>
          <w:p>
            <w:pPr>
              <w:ind w:left="240"/>
              <w:spacing w:after="0" w:line="202" w:lineRule="exact"/>
              <w:rPr>
                <w:sz w:val="20"/>
                <w:szCs w:val="20"/>
                <w:color w:val="auto"/>
              </w:rPr>
            </w:pPr>
            <w:r>
              <w:rPr>
                <w:rFonts w:ascii="Arial" w:cs="Arial" w:eastAsia="Arial" w:hAnsi="Arial"/>
                <w:sz w:val="18"/>
                <w:szCs w:val="18"/>
                <w:color w:val="auto"/>
              </w:rPr>
              <w:t>Other Building Materials</w:t>
            </w:r>
          </w:p>
        </w:tc>
        <w:tc>
          <w:tcPr>
            <w:tcW w:w="480" w:type="dxa"/>
            <w:vAlign w:val="bottom"/>
            <w:shd w:val="clear" w:color="auto" w:fill="E5F1F8"/>
          </w:tcPr>
          <w:p>
            <w:pPr>
              <w:spacing w:after="0"/>
              <w:rPr>
                <w:sz w:val="17"/>
                <w:szCs w:val="17"/>
                <w:color w:val="auto"/>
              </w:rPr>
            </w:pPr>
          </w:p>
        </w:tc>
        <w:tc>
          <w:tcPr>
            <w:tcW w:w="12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836</w:t>
            </w:r>
          </w:p>
        </w:tc>
        <w:tc>
          <w:tcPr>
            <w:tcW w:w="44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894</w:t>
            </w:r>
          </w:p>
        </w:tc>
        <w:tc>
          <w:tcPr>
            <w:tcW w:w="360" w:type="dxa"/>
            <w:vAlign w:val="bottom"/>
            <w:shd w:val="clear" w:color="auto" w:fill="E5F1F8"/>
          </w:tcPr>
          <w:p>
            <w:pPr>
              <w:spacing w:after="0"/>
              <w:rPr>
                <w:sz w:val="17"/>
                <w:szCs w:val="17"/>
                <w:color w:val="auto"/>
              </w:rPr>
            </w:pPr>
          </w:p>
        </w:tc>
        <w:tc>
          <w:tcPr>
            <w:tcW w:w="112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1,280</w:t>
            </w:r>
          </w:p>
        </w:tc>
        <w:tc>
          <w:tcPr>
            <w:tcW w:w="100" w:type="dxa"/>
            <w:vAlign w:val="bottom"/>
            <w:shd w:val="clear" w:color="auto" w:fill="E5F1F8"/>
          </w:tcPr>
          <w:p>
            <w:pPr>
              <w:spacing w:after="0"/>
              <w:rPr>
                <w:sz w:val="17"/>
                <w:szCs w:val="17"/>
                <w:color w:val="auto"/>
              </w:rPr>
            </w:pPr>
          </w:p>
        </w:tc>
      </w:tr>
      <w:tr>
        <w:trPr>
          <w:trHeight w:val="202"/>
        </w:trPr>
        <w:tc>
          <w:tcPr>
            <w:tcW w:w="6200" w:type="dxa"/>
            <w:vAlign w:val="bottom"/>
            <w:tcBorders>
              <w:bottom w:val="single" w:sz="8" w:color="auto"/>
            </w:tcBorders>
          </w:tcPr>
          <w:p>
            <w:pPr>
              <w:ind w:left="240"/>
              <w:spacing w:after="0" w:line="202" w:lineRule="exact"/>
              <w:rPr>
                <w:sz w:val="20"/>
                <w:szCs w:val="20"/>
                <w:color w:val="auto"/>
              </w:rPr>
            </w:pPr>
            <w:r>
              <w:rPr>
                <w:rFonts w:ascii="Arial" w:cs="Arial" w:eastAsia="Arial" w:hAnsi="Arial"/>
                <w:sz w:val="18"/>
                <w:szCs w:val="18"/>
                <w:color w:val="auto"/>
              </w:rPr>
              <w:t>Less: interproduct revenues</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(260)</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r>
      <w:tr>
        <w:trPr>
          <w:trHeight w:val="196"/>
        </w:trPr>
        <w:tc>
          <w:tcPr>
            <w:tcW w:w="6200" w:type="dxa"/>
            <w:vAlign w:val="bottom"/>
            <w:tcBorders>
              <w:bottom w:val="single" w:sz="8" w:color="auto"/>
              <w:right w:val="single" w:sz="8" w:color="E5F1F8"/>
            </w:tcBorders>
            <w:shd w:val="clear" w:color="auto" w:fill="E5F1F8"/>
          </w:tcPr>
          <w:p>
            <w:pPr>
              <w:ind w:left="180"/>
              <w:spacing w:after="0" w:line="196" w:lineRule="exact"/>
              <w:rPr>
                <w:sz w:val="20"/>
                <w:szCs w:val="20"/>
                <w:color w:val="auto"/>
              </w:rPr>
            </w:pPr>
            <w:r>
              <w:rPr>
                <w:rFonts w:ascii="Arial" w:cs="Arial" w:eastAsia="Arial" w:hAnsi="Arial"/>
                <w:sz w:val="18"/>
                <w:szCs w:val="18"/>
                <w:color w:val="auto"/>
              </w:rPr>
              <w:t>West Group Total</w:t>
            </w:r>
          </w:p>
        </w:tc>
        <w:tc>
          <w:tcPr>
            <w:tcW w:w="480" w:type="dxa"/>
            <w:vAlign w:val="bottom"/>
            <w:tcBorders>
              <w:bottom w:val="single" w:sz="8" w:color="auto"/>
            </w:tcBorders>
            <w:shd w:val="clear" w:color="auto" w:fill="E5F1F8"/>
          </w:tcPr>
          <w:p>
            <w:pPr>
              <w:spacing w:after="0"/>
              <w:rPr>
                <w:sz w:val="17"/>
                <w:szCs w:val="17"/>
                <w:color w:val="auto"/>
              </w:rPr>
            </w:pPr>
          </w:p>
        </w:tc>
        <w:tc>
          <w:tcPr>
            <w:tcW w:w="128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2,515</w:t>
            </w:r>
          </w:p>
        </w:tc>
        <w:tc>
          <w:tcPr>
            <w:tcW w:w="440" w:type="dxa"/>
            <w:vAlign w:val="bottom"/>
            <w:tcBorders>
              <w:bottom w:val="single" w:sz="8" w:color="auto"/>
            </w:tcBorders>
            <w:shd w:val="clear" w:color="auto" w:fill="E5F1F8"/>
          </w:tcPr>
          <w:p>
            <w:pPr>
              <w:spacing w:after="0"/>
              <w:rPr>
                <w:sz w:val="17"/>
                <w:szCs w:val="17"/>
                <w:color w:val="auto"/>
              </w:rPr>
            </w:pPr>
          </w:p>
        </w:tc>
        <w:tc>
          <w:tcPr>
            <w:tcW w:w="12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2,401</w:t>
            </w:r>
          </w:p>
        </w:tc>
        <w:tc>
          <w:tcPr>
            <w:tcW w:w="36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2,773</w:t>
            </w:r>
          </w:p>
        </w:tc>
        <w:tc>
          <w:tcPr>
            <w:tcW w:w="100" w:type="dxa"/>
            <w:vAlign w:val="bottom"/>
            <w:tcBorders>
              <w:bottom w:val="single" w:sz="8" w:color="E5F1F8"/>
            </w:tcBorders>
            <w:shd w:val="clear" w:color="auto" w:fill="E5F1F8"/>
          </w:tcPr>
          <w:p>
            <w:pPr>
              <w:spacing w:after="0"/>
              <w:rPr>
                <w:sz w:val="17"/>
                <w:szCs w:val="17"/>
                <w:color w:val="auto"/>
              </w:rPr>
            </w:pPr>
          </w:p>
        </w:tc>
      </w:tr>
      <w:tr>
        <w:trPr>
          <w:trHeight w:val="196"/>
        </w:trPr>
        <w:tc>
          <w:tcPr>
            <w:tcW w:w="620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Total Building Materials business</w:t>
            </w:r>
          </w:p>
        </w:tc>
        <w:tc>
          <w:tcPr>
            <w:tcW w:w="480" w:type="dxa"/>
            <w:vAlign w:val="bottom"/>
          </w:tcPr>
          <w:p>
            <w:pPr>
              <w:spacing w:after="0"/>
              <w:rPr>
                <w:sz w:val="17"/>
                <w:szCs w:val="17"/>
                <w:color w:val="auto"/>
              </w:rPr>
            </w:pPr>
          </w:p>
        </w:tc>
        <w:tc>
          <w:tcPr>
            <w:tcW w:w="128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5,709</w:t>
            </w:r>
          </w:p>
        </w:tc>
        <w:tc>
          <w:tcPr>
            <w:tcW w:w="440" w:type="dxa"/>
            <w:vAlign w:val="bottom"/>
          </w:tcPr>
          <w:p>
            <w:pPr>
              <w:spacing w:after="0"/>
              <w:rPr>
                <w:sz w:val="17"/>
                <w:szCs w:val="17"/>
                <w:color w:val="auto"/>
              </w:rPr>
            </w:pPr>
          </w:p>
        </w:tc>
        <w:tc>
          <w:tcPr>
            <w:tcW w:w="126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5,342</w:t>
            </w:r>
          </w:p>
        </w:tc>
        <w:tc>
          <w:tcPr>
            <w:tcW w:w="36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5,536</w:t>
            </w:r>
          </w:p>
        </w:tc>
        <w:tc>
          <w:tcPr>
            <w:tcW w:w="100" w:type="dxa"/>
            <w:vAlign w:val="bottom"/>
          </w:tcPr>
          <w:p>
            <w:pPr>
              <w:spacing w:after="0"/>
              <w:rPr>
                <w:sz w:val="17"/>
                <w:szCs w:val="17"/>
                <w:color w:val="auto"/>
              </w:rPr>
            </w:pPr>
          </w:p>
        </w:tc>
      </w:tr>
      <w:tr>
        <w:trPr>
          <w:trHeight w:val="202"/>
        </w:trPr>
        <w:tc>
          <w:tcPr>
            <w:tcW w:w="620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Specialties</w:t>
            </w:r>
          </w:p>
        </w:tc>
        <w:tc>
          <w:tcPr>
            <w:tcW w:w="480" w:type="dxa"/>
            <w:vAlign w:val="bottom"/>
            <w:tcBorders>
              <w:bottom w:val="single" w:sz="8" w:color="auto"/>
            </w:tcBorders>
            <w:shd w:val="clear" w:color="auto" w:fill="E5F1F8"/>
          </w:tcPr>
          <w:p>
            <w:pPr>
              <w:spacing w:after="0"/>
              <w:rPr>
                <w:sz w:val="17"/>
                <w:szCs w:val="17"/>
                <w:color w:val="auto"/>
              </w:rPr>
            </w:pPr>
          </w:p>
        </w:tc>
        <w:tc>
          <w:tcPr>
            <w:tcW w:w="128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441</w:t>
            </w:r>
          </w:p>
        </w:tc>
        <w:tc>
          <w:tcPr>
            <w:tcW w:w="440" w:type="dxa"/>
            <w:vAlign w:val="bottom"/>
            <w:tcBorders>
              <w:bottom w:val="single" w:sz="8" w:color="auto"/>
            </w:tcBorders>
            <w:shd w:val="clear" w:color="auto" w:fill="E5F1F8"/>
          </w:tcPr>
          <w:p>
            <w:pPr>
              <w:spacing w:after="0"/>
              <w:rPr>
                <w:sz w:val="17"/>
                <w:szCs w:val="17"/>
                <w:color w:val="auto"/>
              </w:rPr>
            </w:pPr>
          </w:p>
        </w:tc>
        <w:tc>
          <w:tcPr>
            <w:tcW w:w="12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320</w:t>
            </w:r>
          </w:p>
        </w:tc>
        <w:tc>
          <w:tcPr>
            <w:tcW w:w="36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100" w:type="dxa"/>
            <w:vAlign w:val="bottom"/>
            <w:tcBorders>
              <w:bottom w:val="single" w:sz="8" w:color="E5F1F8"/>
            </w:tcBorders>
            <w:shd w:val="clear" w:color="auto" w:fill="E5F1F8"/>
          </w:tcPr>
          <w:p>
            <w:pPr>
              <w:spacing w:after="0"/>
              <w:rPr>
                <w:sz w:val="17"/>
                <w:szCs w:val="17"/>
                <w:color w:val="auto"/>
              </w:rPr>
            </w:pPr>
          </w:p>
        </w:tc>
      </w:tr>
      <w:tr>
        <w:trPr>
          <w:trHeight w:val="196"/>
        </w:trPr>
        <w:tc>
          <w:tcPr>
            <w:tcW w:w="6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6,150</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5,662</w:t>
            </w:r>
          </w:p>
        </w:tc>
        <w:tc>
          <w:tcPr>
            <w:tcW w:w="3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5,851</w:t>
            </w:r>
          </w:p>
        </w:tc>
        <w:tc>
          <w:tcPr>
            <w:tcW w:w="100" w:type="dxa"/>
            <w:vAlign w:val="bottom"/>
          </w:tcPr>
          <w:p>
            <w:pPr>
              <w:spacing w:after="0"/>
              <w:rPr>
                <w:sz w:val="17"/>
                <w:szCs w:val="17"/>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-1366520</wp:posOffset>
            </wp:positionV>
            <wp:extent cx="33655" cy="299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-1366520</wp:posOffset>
            </wp:positionV>
            <wp:extent cx="34290" cy="2997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-1366520</wp:posOffset>
            </wp:positionV>
            <wp:extent cx="33655" cy="2997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-706120</wp:posOffset>
            </wp:positionV>
            <wp:extent cx="33655" cy="2997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-706120</wp:posOffset>
            </wp:positionV>
            <wp:extent cx="34290" cy="2997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-706120</wp:posOffset>
            </wp:positionV>
            <wp:extent cx="33655" cy="2997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-303530</wp:posOffset>
            </wp:positionV>
            <wp:extent cx="33655" cy="316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-303530</wp:posOffset>
            </wp:positionV>
            <wp:extent cx="34290" cy="316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-303530</wp:posOffset>
            </wp:positionV>
            <wp:extent cx="33655" cy="316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Gross Profit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(loss) and gross margin data for the Company by product line for continuing operations:</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3040" w:type="dxa"/>
            <w:vAlign w:val="bottom"/>
            <w:tcBorders>
              <w:right w:val="single" w:sz="8" w:color="007CBA"/>
            </w:tcBorders>
            <w:vMerge w:val="restart"/>
            <w:shd w:val="clear" w:color="auto" w:fill="007CBA"/>
          </w:tcPr>
          <w:p>
            <w:pPr>
              <w:ind w:left="20"/>
              <w:spacing w:after="0"/>
              <w:rPr>
                <w:sz w:val="20"/>
                <w:szCs w:val="20"/>
                <w:color w:val="auto"/>
              </w:rPr>
            </w:pPr>
            <w:r>
              <w:rPr>
                <w:rFonts w:ascii="Arial" w:cs="Arial" w:eastAsia="Arial" w:hAnsi="Arial"/>
                <w:sz w:val="18"/>
                <w:szCs w:val="18"/>
                <w:i w:val="1"/>
                <w:iCs w:val="1"/>
                <w:color w:val="FFFFFF"/>
              </w:rPr>
              <w:t>years ended December 31</w:t>
            </w:r>
          </w:p>
        </w:tc>
        <w:tc>
          <w:tcPr>
            <w:tcW w:w="280" w:type="dxa"/>
            <w:vAlign w:val="bottom"/>
            <w:shd w:val="clear" w:color="auto" w:fill="007CBA"/>
          </w:tcPr>
          <w:p>
            <w:pPr>
              <w:spacing w:after="0"/>
              <w:rPr>
                <w:sz w:val="18"/>
                <w:szCs w:val="18"/>
                <w:color w:val="auto"/>
              </w:rPr>
            </w:pPr>
          </w:p>
        </w:tc>
        <w:tc>
          <w:tcPr>
            <w:tcW w:w="1240" w:type="dxa"/>
            <w:vAlign w:val="bottom"/>
            <w:gridSpan w:val="2"/>
            <w:shd w:val="clear" w:color="auto" w:fill="007CBA"/>
          </w:tcPr>
          <w:p>
            <w:pPr>
              <w:jc w:val="right"/>
              <w:ind w:right="20"/>
              <w:spacing w:after="0"/>
              <w:rPr>
                <w:sz w:val="20"/>
                <w:szCs w:val="20"/>
                <w:color w:val="auto"/>
              </w:rPr>
            </w:pPr>
            <w:r>
              <w:rPr>
                <w:rFonts w:ascii="Arial" w:cs="Arial" w:eastAsia="Arial" w:hAnsi="Arial"/>
                <w:sz w:val="18"/>
                <w:szCs w:val="18"/>
                <w:b w:val="1"/>
                <w:bCs w:val="1"/>
                <w:color w:val="FFFFFF"/>
              </w:rPr>
              <w:t>2025</w:t>
            </w:r>
          </w:p>
        </w:tc>
        <w:tc>
          <w:tcPr>
            <w:tcW w:w="1200" w:type="dxa"/>
            <w:vAlign w:val="bottom"/>
            <w:tcBorders>
              <w:right w:val="single" w:sz="8" w:color="007CBA"/>
            </w:tcBorders>
            <w:vMerge w:val="restart"/>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 of</w:t>
            </w:r>
          </w:p>
        </w:tc>
        <w:tc>
          <w:tcPr>
            <w:tcW w:w="280" w:type="dxa"/>
            <w:vAlign w:val="bottom"/>
            <w:shd w:val="clear" w:color="auto" w:fill="007CBA"/>
          </w:tcPr>
          <w:p>
            <w:pPr>
              <w:spacing w:after="0"/>
              <w:rPr>
                <w:sz w:val="18"/>
                <w:szCs w:val="18"/>
                <w:color w:val="auto"/>
              </w:rPr>
            </w:pPr>
          </w:p>
        </w:tc>
        <w:tc>
          <w:tcPr>
            <w:tcW w:w="1300" w:type="dxa"/>
            <w:vAlign w:val="bottom"/>
            <w:gridSpan w:val="2"/>
            <w:shd w:val="clear" w:color="auto" w:fill="007CBA"/>
          </w:tcPr>
          <w:p>
            <w:pPr>
              <w:jc w:val="right"/>
              <w:ind w:right="20"/>
              <w:spacing w:after="0"/>
              <w:rPr>
                <w:sz w:val="20"/>
                <w:szCs w:val="20"/>
                <w:color w:val="auto"/>
              </w:rPr>
            </w:pPr>
            <w:r>
              <w:rPr>
                <w:rFonts w:ascii="Arial" w:cs="Arial" w:eastAsia="Arial" w:hAnsi="Arial"/>
                <w:sz w:val="18"/>
                <w:szCs w:val="18"/>
                <w:color w:val="FFFFFF"/>
              </w:rPr>
              <w:t>2024</w:t>
            </w:r>
          </w:p>
        </w:tc>
        <w:tc>
          <w:tcPr>
            <w:tcW w:w="1260" w:type="dxa"/>
            <w:vAlign w:val="bottom"/>
            <w:tcBorders>
              <w:right w:val="single" w:sz="8" w:color="007CBA"/>
            </w:tcBorders>
            <w:vMerge w:val="restart"/>
            <w:shd w:val="clear" w:color="auto" w:fill="007CBA"/>
          </w:tcPr>
          <w:p>
            <w:pPr>
              <w:jc w:val="right"/>
              <w:ind w:right="570"/>
              <w:spacing w:after="0"/>
              <w:rPr>
                <w:sz w:val="20"/>
                <w:szCs w:val="20"/>
                <w:color w:val="auto"/>
              </w:rPr>
            </w:pPr>
            <w:r>
              <w:rPr>
                <w:rFonts w:ascii="Arial" w:cs="Arial" w:eastAsia="Arial" w:hAnsi="Arial"/>
                <w:sz w:val="18"/>
                <w:szCs w:val="18"/>
                <w:color w:val="FFFFFF"/>
              </w:rPr>
              <w:t>% of</w:t>
            </w:r>
          </w:p>
        </w:tc>
        <w:tc>
          <w:tcPr>
            <w:tcW w:w="30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right"/>
              <w:spacing w:after="0"/>
              <w:rPr>
                <w:sz w:val="20"/>
                <w:szCs w:val="20"/>
                <w:color w:val="auto"/>
              </w:rPr>
            </w:pPr>
            <w:r>
              <w:rPr>
                <w:rFonts w:ascii="Arial" w:cs="Arial" w:eastAsia="Arial" w:hAnsi="Arial"/>
                <w:sz w:val="18"/>
                <w:szCs w:val="18"/>
                <w:color w:val="FFFFFF"/>
              </w:rPr>
              <w:t>2023</w:t>
            </w:r>
          </w:p>
        </w:tc>
        <w:tc>
          <w:tcPr>
            <w:tcW w:w="1060" w:type="dxa"/>
            <w:vAlign w:val="bottom"/>
            <w:vMerge w:val="restart"/>
            <w:shd w:val="clear" w:color="auto" w:fill="007CBA"/>
          </w:tcPr>
          <w:p>
            <w:pPr>
              <w:jc w:val="right"/>
              <w:ind w:right="390"/>
              <w:spacing w:after="0"/>
              <w:rPr>
                <w:sz w:val="20"/>
                <w:szCs w:val="20"/>
                <w:color w:val="auto"/>
              </w:rPr>
            </w:pPr>
            <w:r>
              <w:rPr>
                <w:rFonts w:ascii="Arial" w:cs="Arial" w:eastAsia="Arial" w:hAnsi="Arial"/>
                <w:sz w:val="18"/>
                <w:szCs w:val="18"/>
                <w:color w:val="FFFFFF"/>
              </w:rPr>
              <w:t>% of</w:t>
            </w:r>
          </w:p>
        </w:tc>
        <w:tc>
          <w:tcPr>
            <w:tcW w:w="0" w:type="dxa"/>
            <w:vAlign w:val="bottom"/>
          </w:tcPr>
          <w:p>
            <w:pPr>
              <w:spacing w:after="0"/>
              <w:rPr>
                <w:sz w:val="1"/>
                <w:szCs w:val="1"/>
                <w:color w:val="auto"/>
              </w:rPr>
            </w:pPr>
          </w:p>
        </w:tc>
      </w:tr>
      <w:tr>
        <w:trPr>
          <w:trHeight w:val="184"/>
        </w:trPr>
        <w:tc>
          <w:tcPr>
            <w:tcW w:w="3040" w:type="dxa"/>
            <w:vAlign w:val="bottom"/>
            <w:tcBorders>
              <w:right w:val="single" w:sz="8" w:color="007CBA"/>
            </w:tcBorders>
            <w:vMerge w:val="continue"/>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80" w:type="dxa"/>
            <w:vAlign w:val="bottom"/>
            <w:shd w:val="clear" w:color="auto" w:fill="007CBA"/>
          </w:tcPr>
          <w:p>
            <w:pPr>
              <w:spacing w:after="0"/>
              <w:rPr>
                <w:sz w:val="15"/>
                <w:szCs w:val="15"/>
                <w:color w:val="auto"/>
              </w:rPr>
            </w:pPr>
          </w:p>
        </w:tc>
        <w:tc>
          <w:tcPr>
            <w:tcW w:w="1200" w:type="dxa"/>
            <w:vAlign w:val="bottom"/>
            <w:tcBorders>
              <w:right w:val="single" w:sz="8" w:color="007CBA"/>
            </w:tcBorders>
            <w:vMerge w:val="continue"/>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140" w:type="dxa"/>
            <w:vAlign w:val="bottom"/>
            <w:shd w:val="clear" w:color="auto" w:fill="007CBA"/>
          </w:tcPr>
          <w:p>
            <w:pPr>
              <w:spacing w:after="0"/>
              <w:rPr>
                <w:sz w:val="15"/>
                <w:szCs w:val="15"/>
                <w:color w:val="auto"/>
              </w:rPr>
            </w:pPr>
          </w:p>
        </w:tc>
        <w:tc>
          <w:tcPr>
            <w:tcW w:w="1260" w:type="dxa"/>
            <w:vAlign w:val="bottom"/>
            <w:tcBorders>
              <w:right w:val="single" w:sz="8" w:color="007CBA"/>
            </w:tcBorders>
            <w:vMerge w:val="continue"/>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1140" w:type="dxa"/>
            <w:vAlign w:val="bottom"/>
            <w:tcBorders>
              <w:right w:val="single" w:sz="8" w:color="007CBA"/>
            </w:tcBorders>
            <w:shd w:val="clear" w:color="auto" w:fill="007CBA"/>
          </w:tcPr>
          <w:p>
            <w:pPr>
              <w:spacing w:after="0"/>
              <w:rPr>
                <w:sz w:val="15"/>
                <w:szCs w:val="15"/>
                <w:color w:val="auto"/>
              </w:rPr>
            </w:pPr>
          </w:p>
        </w:tc>
        <w:tc>
          <w:tcPr>
            <w:tcW w:w="1060" w:type="dxa"/>
            <w:vAlign w:val="bottom"/>
            <w:vMerge w:val="continue"/>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40" w:type="dxa"/>
            <w:vAlign w:val="bottom"/>
            <w:tcBorders>
              <w:right w:val="single" w:sz="8" w:color="007CBA"/>
            </w:tcBorders>
            <w:shd w:val="clear" w:color="auto" w:fill="007CBA"/>
          </w:tcPr>
          <w:p>
            <w:pPr>
              <w:ind w:left="20"/>
              <w:spacing w:after="0"/>
              <w:rPr>
                <w:sz w:val="20"/>
                <w:szCs w:val="20"/>
                <w:color w:val="auto"/>
              </w:rPr>
            </w:pPr>
            <w:r>
              <w:rPr>
                <w:rFonts w:ascii="Arial" w:cs="Arial" w:eastAsia="Arial" w:hAnsi="Arial"/>
                <w:sz w:val="18"/>
                <w:szCs w:val="18"/>
                <w:color w:val="FFFFFF"/>
              </w:rPr>
              <w:t>(dollars in millions)</w:t>
            </w:r>
          </w:p>
        </w:tc>
        <w:tc>
          <w:tcPr>
            <w:tcW w:w="280" w:type="dxa"/>
            <w:vAlign w:val="bottom"/>
            <w:shd w:val="clear" w:color="auto" w:fill="007CBA"/>
          </w:tcPr>
          <w:p>
            <w:pPr>
              <w:spacing w:after="0"/>
              <w:rPr>
                <w:sz w:val="19"/>
                <w:szCs w:val="19"/>
                <w:color w:val="auto"/>
              </w:rPr>
            </w:pPr>
          </w:p>
        </w:tc>
        <w:tc>
          <w:tcPr>
            <w:tcW w:w="1240" w:type="dxa"/>
            <w:vAlign w:val="bottom"/>
            <w:gridSpan w:val="2"/>
            <w:shd w:val="clear" w:color="auto" w:fill="007CBA"/>
          </w:tcPr>
          <w:p>
            <w:pPr>
              <w:jc w:val="right"/>
              <w:ind w:right="480"/>
              <w:spacing w:after="0"/>
              <w:rPr>
                <w:sz w:val="20"/>
                <w:szCs w:val="20"/>
                <w:color w:val="auto"/>
              </w:rPr>
            </w:pPr>
            <w:r>
              <w:rPr>
                <w:rFonts w:ascii="Arial" w:cs="Arial" w:eastAsia="Arial" w:hAnsi="Arial"/>
                <w:sz w:val="18"/>
                <w:szCs w:val="18"/>
                <w:b w:val="1"/>
                <w:bCs w:val="1"/>
                <w:color w:val="FFFFFF"/>
              </w:rPr>
              <w:t>Amount</w:t>
            </w:r>
          </w:p>
        </w:tc>
        <w:tc>
          <w:tcPr>
            <w:tcW w:w="120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8"/>
              </w:rPr>
              <w:t>Revenues</w:t>
            </w:r>
          </w:p>
        </w:tc>
        <w:tc>
          <w:tcPr>
            <w:tcW w:w="280" w:type="dxa"/>
            <w:vAlign w:val="bottom"/>
            <w:shd w:val="clear" w:color="auto" w:fill="007CBA"/>
          </w:tcPr>
          <w:p>
            <w:pPr>
              <w:spacing w:after="0"/>
              <w:rPr>
                <w:sz w:val="19"/>
                <w:szCs w:val="19"/>
                <w:color w:val="auto"/>
              </w:rPr>
            </w:pPr>
          </w:p>
        </w:tc>
        <w:tc>
          <w:tcPr>
            <w:tcW w:w="1300" w:type="dxa"/>
            <w:vAlign w:val="bottom"/>
            <w:gridSpan w:val="2"/>
            <w:shd w:val="clear" w:color="auto" w:fill="007CBA"/>
          </w:tcPr>
          <w:p>
            <w:pPr>
              <w:jc w:val="right"/>
              <w:ind w:right="580"/>
              <w:spacing w:after="0"/>
              <w:rPr>
                <w:sz w:val="20"/>
                <w:szCs w:val="20"/>
                <w:color w:val="auto"/>
              </w:rPr>
            </w:pPr>
            <w:r>
              <w:rPr>
                <w:rFonts w:ascii="Arial" w:cs="Arial" w:eastAsia="Arial" w:hAnsi="Arial"/>
                <w:sz w:val="18"/>
                <w:szCs w:val="18"/>
                <w:color w:val="FFFFFF"/>
              </w:rPr>
              <w:t>Amount</w:t>
            </w:r>
          </w:p>
        </w:tc>
        <w:tc>
          <w:tcPr>
            <w:tcW w:w="1260" w:type="dxa"/>
            <w:vAlign w:val="bottom"/>
            <w:tcBorders>
              <w:right w:val="single" w:sz="8" w:color="007CBA"/>
            </w:tcBorders>
            <w:shd w:val="clear" w:color="auto" w:fill="007CBA"/>
          </w:tcPr>
          <w:p>
            <w:pPr>
              <w:jc w:val="right"/>
              <w:ind w:right="310"/>
              <w:spacing w:after="0"/>
              <w:rPr>
                <w:sz w:val="20"/>
                <w:szCs w:val="20"/>
                <w:color w:val="auto"/>
              </w:rPr>
            </w:pPr>
            <w:r>
              <w:rPr>
                <w:rFonts w:ascii="Arial" w:cs="Arial" w:eastAsia="Arial" w:hAnsi="Arial"/>
                <w:sz w:val="18"/>
                <w:szCs w:val="18"/>
                <w:color w:val="FFFFFF"/>
              </w:rPr>
              <w:t>Revenues</w:t>
            </w:r>
          </w:p>
        </w:tc>
        <w:tc>
          <w:tcPr>
            <w:tcW w:w="30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color w:val="FFFFFF"/>
              </w:rPr>
              <w:t>Amount</w:t>
            </w:r>
          </w:p>
        </w:tc>
        <w:tc>
          <w:tcPr>
            <w:tcW w:w="1060" w:type="dxa"/>
            <w:vAlign w:val="bottom"/>
            <w:shd w:val="clear" w:color="auto" w:fill="007CBA"/>
          </w:tcPr>
          <w:p>
            <w:pPr>
              <w:jc w:val="right"/>
              <w:ind w:right="130"/>
              <w:spacing w:after="0"/>
              <w:rPr>
                <w:sz w:val="20"/>
                <w:szCs w:val="20"/>
                <w:color w:val="auto"/>
              </w:rPr>
            </w:pPr>
            <w:r>
              <w:rPr>
                <w:rFonts w:ascii="Arial" w:cs="Arial" w:eastAsia="Arial" w:hAnsi="Arial"/>
                <w:sz w:val="18"/>
                <w:szCs w:val="18"/>
                <w:color w:val="FFFFFF"/>
              </w:rPr>
              <w:t>Revenues</w:t>
            </w:r>
          </w:p>
        </w:tc>
        <w:tc>
          <w:tcPr>
            <w:tcW w:w="0" w:type="dxa"/>
            <w:vAlign w:val="bottom"/>
          </w:tcPr>
          <w:p>
            <w:pPr>
              <w:spacing w:after="0"/>
              <w:rPr>
                <w:sz w:val="1"/>
                <w:szCs w:val="1"/>
                <w:color w:val="auto"/>
              </w:rPr>
            </w:pPr>
          </w:p>
        </w:tc>
      </w:tr>
      <w:tr>
        <w:trPr>
          <w:trHeight w:val="203"/>
        </w:trPr>
        <w:tc>
          <w:tcPr>
            <w:tcW w:w="3040" w:type="dxa"/>
            <w:vAlign w:val="bottom"/>
            <w:tcBorders>
              <w:right w:val="single" w:sz="8" w:color="007CBA"/>
            </w:tcBorders>
            <w:shd w:val="clear" w:color="auto" w:fill="E5F1F8"/>
          </w:tcPr>
          <w:p>
            <w:pPr>
              <w:ind w:left="20"/>
              <w:spacing w:after="0" w:line="202" w:lineRule="exact"/>
              <w:rPr>
                <w:sz w:val="20"/>
                <w:szCs w:val="20"/>
                <w:color w:val="auto"/>
              </w:rPr>
            </w:pPr>
            <w:r>
              <w:rPr>
                <w:rFonts w:ascii="Arial" w:cs="Arial" w:eastAsia="Arial" w:hAnsi="Arial"/>
                <w:sz w:val="18"/>
                <w:szCs w:val="18"/>
                <w:color w:val="auto"/>
              </w:rPr>
              <w:t>Building Materials business:</w:t>
            </w: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8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14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300" w:type="dxa"/>
            <w:vAlign w:val="bottom"/>
            <w:shd w:val="clear" w:color="auto" w:fill="E5F1F8"/>
          </w:tcPr>
          <w:p>
            <w:pPr>
              <w:spacing w:after="0"/>
              <w:rPr>
                <w:sz w:val="17"/>
                <w:szCs w:val="17"/>
                <w:color w:val="auto"/>
              </w:rPr>
            </w:pPr>
          </w:p>
        </w:tc>
        <w:tc>
          <w:tcPr>
            <w:tcW w:w="1140" w:type="dxa"/>
            <w:vAlign w:val="bottom"/>
            <w:tcBorders>
              <w:right w:val="single" w:sz="8" w:color="007CBA"/>
            </w:tcBorders>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Aggregates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1,677</w:t>
            </w:r>
          </w:p>
        </w:tc>
        <w:tc>
          <w:tcPr>
            <w:tcW w:w="80" w:type="dxa"/>
            <w:vAlign w:val="bottom"/>
          </w:tcPr>
          <w:p>
            <w:pPr>
              <w:spacing w:after="0"/>
              <w:rPr>
                <w:sz w:val="17"/>
                <w:szCs w:val="17"/>
                <w:color w:val="auto"/>
              </w:rPr>
            </w:pPr>
          </w:p>
        </w:tc>
        <w:tc>
          <w:tcPr>
            <w:tcW w:w="12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1,449</w:t>
            </w:r>
          </w:p>
        </w:tc>
        <w:tc>
          <w:tcPr>
            <w:tcW w:w="140" w:type="dxa"/>
            <w:vAlign w:val="bottom"/>
          </w:tcPr>
          <w:p>
            <w:pPr>
              <w:spacing w:after="0"/>
              <w:rPr>
                <w:sz w:val="17"/>
                <w:szCs w:val="17"/>
                <w:color w:val="auto"/>
              </w:rPr>
            </w:pPr>
          </w:p>
        </w:tc>
        <w:tc>
          <w:tcPr>
            <w:tcW w:w="12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32%</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1,378</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right w:val="single" w:sz="8" w:color="E5F1F8"/>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Other Building Materials</w:t>
            </w:r>
          </w:p>
        </w:tc>
        <w:tc>
          <w:tcPr>
            <w:tcW w:w="28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98</w:t>
            </w:r>
          </w:p>
        </w:tc>
        <w:tc>
          <w:tcPr>
            <w:tcW w:w="8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shd w:val="clear" w:color="auto" w:fill="E5F1F8"/>
          </w:tcPr>
          <w:p>
            <w:pPr>
              <w:spacing w:after="0"/>
              <w:rPr>
                <w:sz w:val="17"/>
                <w:szCs w:val="17"/>
                <w:color w:val="auto"/>
              </w:rPr>
            </w:pPr>
          </w:p>
        </w:tc>
        <w:tc>
          <w:tcPr>
            <w:tcW w:w="126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F1F8"/>
          </w:tcPr>
          <w:p>
            <w:pPr>
              <w:spacing w:after="0"/>
              <w:rPr>
                <w:sz w:val="17"/>
                <w:szCs w:val="17"/>
                <w:color w:val="auto"/>
              </w:rPr>
            </w:pPr>
          </w:p>
        </w:tc>
        <w:tc>
          <w:tcPr>
            <w:tcW w:w="114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106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040" w:type="dxa"/>
            <w:vAlign w:val="bottom"/>
            <w:tcBorders>
              <w:right w:val="single" w:sz="8" w:color="007CBA"/>
            </w:tcBorders>
          </w:tcPr>
          <w:p>
            <w:pPr>
              <w:ind w:left="20"/>
              <w:spacing w:after="0" w:line="196" w:lineRule="exact"/>
              <w:rPr>
                <w:sz w:val="20"/>
                <w:szCs w:val="20"/>
                <w:color w:val="auto"/>
              </w:rPr>
            </w:pPr>
            <w:r>
              <w:rPr>
                <w:rFonts w:ascii="Arial" w:cs="Arial" w:eastAsia="Arial" w:hAnsi="Arial"/>
                <w:sz w:val="18"/>
                <w:szCs w:val="18"/>
                <w:color w:val="auto"/>
              </w:rPr>
              <w:t>Total Building Materials business</w:t>
            </w:r>
          </w:p>
        </w:tc>
        <w:tc>
          <w:tcPr>
            <w:tcW w:w="280" w:type="dxa"/>
            <w:vAlign w:val="bottom"/>
          </w:tcPr>
          <w:p>
            <w:pPr>
              <w:spacing w:after="0"/>
              <w:rPr>
                <w:sz w:val="17"/>
                <w:szCs w:val="17"/>
                <w:color w:val="auto"/>
              </w:rPr>
            </w:pPr>
          </w:p>
        </w:tc>
        <w:tc>
          <w:tcPr>
            <w:tcW w:w="116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1,775</w:t>
            </w:r>
          </w:p>
        </w:tc>
        <w:tc>
          <w:tcPr>
            <w:tcW w:w="80" w:type="dxa"/>
            <w:vAlign w:val="bottom"/>
          </w:tcPr>
          <w:p>
            <w:pPr>
              <w:spacing w:after="0"/>
              <w:rPr>
                <w:sz w:val="17"/>
                <w:szCs w:val="17"/>
                <w:color w:val="auto"/>
              </w:rPr>
            </w:pPr>
          </w:p>
        </w:tc>
        <w:tc>
          <w:tcPr>
            <w:tcW w:w="1200" w:type="dxa"/>
            <w:vAlign w:val="bottom"/>
            <w:tcBorders>
              <w:right w:val="single" w:sz="8" w:color="007CBA"/>
            </w:tcBorders>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7"/>
                <w:szCs w:val="17"/>
                <w:color w:val="auto"/>
              </w:rPr>
            </w:pPr>
          </w:p>
        </w:tc>
        <w:tc>
          <w:tcPr>
            <w:tcW w:w="116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color w:val="auto"/>
              </w:rPr>
              <w:t>1,568</w:t>
            </w:r>
          </w:p>
        </w:tc>
        <w:tc>
          <w:tcPr>
            <w:tcW w:w="140" w:type="dxa"/>
            <w:vAlign w:val="bottom"/>
          </w:tcPr>
          <w:p>
            <w:pPr>
              <w:spacing w:after="0"/>
              <w:rPr>
                <w:sz w:val="17"/>
                <w:szCs w:val="17"/>
                <w:color w:val="auto"/>
              </w:rPr>
            </w:pPr>
          </w:p>
        </w:tc>
        <w:tc>
          <w:tcPr>
            <w:tcW w:w="1260" w:type="dxa"/>
            <w:vAlign w:val="bottom"/>
            <w:tcBorders>
              <w:right w:val="single" w:sz="8" w:color="007CBA"/>
            </w:tcBorders>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17"/>
                <w:szCs w:val="17"/>
                <w:color w:val="auto"/>
              </w:rPr>
            </w:pPr>
          </w:p>
        </w:tc>
        <w:tc>
          <w:tcPr>
            <w:tcW w:w="114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1,645</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040" w:type="dxa"/>
            <w:vAlign w:val="bottom"/>
            <w:tcBorders>
              <w:right w:val="single" w:sz="8" w:color="007CBA"/>
            </w:tcBorders>
            <w:shd w:val="clear" w:color="auto" w:fill="E5F1F8"/>
          </w:tcPr>
          <w:p>
            <w:pPr>
              <w:ind w:left="20"/>
              <w:spacing w:after="0" w:line="202" w:lineRule="exact"/>
              <w:rPr>
                <w:sz w:val="20"/>
                <w:szCs w:val="20"/>
                <w:color w:val="auto"/>
              </w:rPr>
            </w:pPr>
            <w:r>
              <w:rPr>
                <w:rFonts w:ascii="Arial" w:cs="Arial" w:eastAsia="Arial" w:hAnsi="Arial"/>
                <w:sz w:val="18"/>
                <w:szCs w:val="18"/>
                <w:color w:val="auto"/>
              </w:rPr>
              <w:t>Specialties</w:t>
            </w: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107</w:t>
            </w:r>
          </w:p>
        </w:tc>
        <w:tc>
          <w:tcPr>
            <w:tcW w:w="14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shd w:val="clear" w:color="auto" w:fill="E5F1F8"/>
          </w:tcPr>
          <w:p>
            <w:pPr>
              <w:spacing w:after="0"/>
              <w:rPr>
                <w:sz w:val="17"/>
                <w:szCs w:val="17"/>
                <w:color w:val="auto"/>
              </w:rPr>
            </w:pPr>
          </w:p>
        </w:tc>
        <w:tc>
          <w:tcPr>
            <w:tcW w:w="11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97</w:t>
            </w:r>
          </w:p>
        </w:tc>
        <w:tc>
          <w:tcPr>
            <w:tcW w:w="10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0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3040" w:type="dxa"/>
            <w:vAlign w:val="bottom"/>
            <w:tcBorders>
              <w:bottom w:val="single" w:sz="8" w:color="auto"/>
              <w:right w:val="single" w:sz="8" w:color="E5F1F8"/>
            </w:tcBorders>
            <w:shd w:val="clear" w:color="auto" w:fill="E5F1F8"/>
          </w:tcPr>
          <w:p>
            <w:pPr>
              <w:ind w:left="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1,889</w:t>
            </w:r>
          </w:p>
        </w:tc>
        <w:tc>
          <w:tcPr>
            <w:tcW w:w="80" w:type="dxa"/>
            <w:vAlign w:val="bottom"/>
            <w:tcBorders>
              <w:bottom w:val="single" w:sz="8" w:color="auto"/>
            </w:tcBorders>
            <w:shd w:val="clear" w:color="auto" w:fill="E5F1F8"/>
          </w:tcPr>
          <w:p>
            <w:pPr>
              <w:spacing w:after="0"/>
              <w:rPr>
                <w:sz w:val="20"/>
                <w:szCs w:val="20"/>
                <w:color w:val="auto"/>
              </w:rPr>
            </w:pPr>
          </w:p>
        </w:tc>
        <w:tc>
          <w:tcPr>
            <w:tcW w:w="120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28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1,636</w:t>
            </w:r>
          </w:p>
        </w:tc>
        <w:tc>
          <w:tcPr>
            <w:tcW w:w="140" w:type="dxa"/>
            <w:vAlign w:val="bottom"/>
            <w:tcBorders>
              <w:bottom w:val="single" w:sz="8" w:color="auto"/>
            </w:tcBorders>
            <w:shd w:val="clear" w:color="auto" w:fill="E5F1F8"/>
          </w:tcPr>
          <w:p>
            <w:pPr>
              <w:spacing w:after="0"/>
              <w:rPr>
                <w:sz w:val="20"/>
                <w:szCs w:val="20"/>
                <w:color w:val="auto"/>
              </w:rPr>
            </w:pPr>
          </w:p>
        </w:tc>
        <w:tc>
          <w:tcPr>
            <w:tcW w:w="126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1,745</w:t>
            </w:r>
          </w:p>
        </w:tc>
        <w:tc>
          <w:tcPr>
            <w:tcW w:w="106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-1207770</wp:posOffset>
            </wp:positionV>
            <wp:extent cx="51263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-697865</wp:posOffset>
            </wp:positionV>
            <wp:extent cx="3429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-697865</wp:posOffset>
            </wp:positionV>
            <wp:extent cx="33655"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-697865</wp:posOffset>
            </wp:positionV>
            <wp:extent cx="33655"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-697865</wp:posOffset>
            </wp:positionV>
            <wp:extent cx="3365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-697865</wp:posOffset>
            </wp:positionV>
            <wp:extent cx="33655"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6404610</wp:posOffset>
            </wp:positionH>
            <wp:positionV relativeFrom="paragraph">
              <wp:posOffset>-697865</wp:posOffset>
            </wp:positionV>
            <wp:extent cx="33655"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-303530</wp:posOffset>
            </wp:positionV>
            <wp:extent cx="34290" cy="316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-303530</wp:posOffset>
            </wp:positionV>
            <wp:extent cx="33655" cy="316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-303530</wp:posOffset>
            </wp:positionV>
            <wp:extent cx="33655" cy="316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-303530</wp:posOffset>
            </wp:positionV>
            <wp:extent cx="33655" cy="316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-303530</wp:posOffset>
            </wp:positionV>
            <wp:extent cx="33655" cy="316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6404610</wp:posOffset>
            </wp:positionH>
            <wp:positionV relativeFrom="paragraph">
              <wp:posOffset>-303530</wp:posOffset>
            </wp:positionV>
            <wp:extent cx="33655" cy="316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increase in Building Materials business gross profit from 2024 to 2025 was driven by higher organic shipments, continued strength in aggregates pricing that exceeded increased production costs, and contributions from acquired locations, partially offset by declines in other building materials. The decrease in Building Materials business gross profit in 2024 compared with 2023 was primarily due to the February 2024 divestiture of the South Texas cement plant and related ready mixed concrete operations (the Divestiture) as well as the $20 million Inventory Markup charge (the Inventory Markup) associated with the April 2024 acquisition of 20 active aggregates operations from affiliates of Blue Water Industries LLC (BWI Southeast). These factors were partially offset by pricing gains across all product lines and lower energy costs. Aggregates gross profit increased in 2024, as contributions from acquired operations and pricing growth more than offset lower shipments and the Inventory Markup.</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Specialties gross profit increased in 2025 compared with 2024 because of strong organic performance, underscored by pricing gains, higher shipments and effective cost management, as well as partial-year contributions from the Premier acquisition. The increase in gross profit in 2024 compared with 2023 in Specialties was driven by pricing gains in both the lime and magnesia product lines, coupled with lower energy costs, which more than offset lower shipments.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Corporate gross profit includes intercompany royalty and rental revenues and expenses; depreciation and amortization for corporate owned assets; and unallocated operational expenses excluded from the Company’s evaluation of business segment performance.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 xml:space="preserve">Building Materials. </w:t>
      </w:r>
      <w:r>
        <w:rPr>
          <w:rFonts w:ascii="Arial" w:cs="Arial" w:eastAsia="Arial" w:hAnsi="Arial"/>
          <w:sz w:val="18"/>
          <w:szCs w:val="18"/>
          <w:color w:val="000000"/>
        </w:rPr>
        <w:t>Aggregates shipments increased 3.8% to 198.5 million tons in 2025 compared with 2024, driven by more normalized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weather patterns in the Southeast and Texas, strong infrastructure and nonresidential demand, and shipments from acquired operations. During 2025, aggregates shipments to the infrastructure end use market increased 5%, nonresidential shipments increased 6% and residential end use shipments declined 1%. Aggregates pricing continued to improve, increasing 6.9% year over year.</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Aggregates shipments decreased 3.8% to 191.1 million tons in 2024 compared with 198.8 million tons in 2023, reflecting the Company's value-over-volume pricing strategy, unfavorable weather and softer residential, warehouse and manufacturing demand, partially offset by shipments from acquired operations. During 2024, aggregates shipments to the infrastructure, nonresidential and residential end-use markets decreased 2%, 4% and 5%, respectively, compared with 2023. Aggregates pricing increased 9.9% driven by the cumulative effect of pricing actions taken in 2023 and 2024.</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Building Materials revenues decreased 8% in 2025 to $992 million, and gross profit decreased 18% to $98 million, reflecting slightly lower asphalt pricing, reduced paving revenues following the April 2025 divestiture of the California paving operations, and higher production costs. In 2024, Other Building Materials reported 2024 revenues of $1.1 billion and gross profit of $119 million. Results for 2024 reflect lower ready mixed concrete and cement shipments compared with 2023, primarily due to the Divestiture. Asphalt shipments in 2024 also declined versus 2023, driven by unfavorable weather and softer market demand. Asphalt and paving gross profit decreased in 2024 versus 2023, due to lower shipments and general inflationary impacts that more than offset pricing gains and lower asphalt cement raw material costs.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Specialties. </w:t>
      </w:r>
      <w:r>
        <w:rPr>
          <w:rFonts w:ascii="Arial" w:cs="Arial" w:eastAsia="Arial" w:hAnsi="Arial"/>
          <w:sz w:val="18"/>
          <w:szCs w:val="18"/>
          <w:color w:val="000000"/>
        </w:rPr>
        <w:t>In 2025, Specialties reported revenues of $441 million and gross profit of $ 137 million, increases of 38% and 29%, respectively,</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compared with 2024. The profitability increase in 2025 reflects pricing gains in both the lime and magnesia heritage product lines and contributions from acquired operations.</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2024, Specialties reported revenues of $320 million and gross profit of $107 million, up 2% and 10%, respectively, from 2023. The increase in 2024 profitability reflects pricing gains in both the lime and magnesia product lines and lower energy costs, which more than offset the impact of lower shipments.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Selling, General and Administrative Expenses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for 2025, 2024 and 2023 were 7.2%, 7.6% and 7.3% of revenues,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Operating Income, Net</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operating income, net, represented income of $6 million in 2025, $ 1.3 billion in 2024 and $ 25 million in 2023. The 2025 amount included $18 million of gains on land sales, which were offset by a $21 million pretax asset and portfolio rationalization charge (2025 Rationalization Charge; see Note R to the consolidated financial statements). The 2024 amount included a $1.3 billion pretax gain on the Divestiture and $28 million of gains on land sales, which were partially offset by a $50 million pretax asset and portfolio rationalization charge (2024 Rationalization Charge; see Note R to the consolidated financial statements). In 2023, other operating income, net, included $20 million of gains on land sales.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Earnings from Operations</w:t>
      </w:r>
    </w:p>
    <w:p>
      <w:pPr>
        <w:spacing w:after="0" w:line="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Consolidated earnings from operations were $1.4 billion, $2.5 billion, $1.3 billion in 2025, 2024 and 2023, respectively. The 2024 amount included a $1.3 billion pretax gain on the Divestiture.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Interest Expense</w:t>
      </w:r>
    </w:p>
    <w:p>
      <w:pPr>
        <w:spacing w:after="0" w:line="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was $230 million in 2025, $169 million in 2024 and $165 million in 2023. The 2025 increase in expense reflects interest on the $1.5 billion of publicly traded bonds issued in November 2024.</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Nonoperating Income, Net</w:t>
      </w:r>
    </w:p>
    <w:p>
      <w:pPr>
        <w:spacing w:after="0" w:line="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Consolidated other nonoperating income, net, was $19 million in 2025, $56 million in 2024 and $58 million in 2023, inclusive of interest income of $10 million, $40 million and $47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Income Tax Expense</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estimated effective income tax rate for continuing operations for the years ended December 31, 2025, 2024 and 2023 was 19.2%, 23.2% and 19.1%, respectively. The higher 2024 effective income tax rate versus 2025 and 2023 was driven by the impact of the Divestiture, which included the write-off of certain nondeductible goodwill. For further information, see Note I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Discontinued Operations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pending QUIKRETE transaction, the financial results of the Company's Midlothian cement plant, related cement terminals and Texas ready mixed concrete plants are reported as discontinued operations for all periods presented. Additionally, in 2023, the financial results of the Company's California cement businesses and certain California ready mixed concrete operations were reported as discontinued operations through their respective 2023 divestiture dates. The collective businesses generated net earnings of $ 147 million, or $2.43 per diluted share in 2025, $180 million, or $2.91 per diluted share in 2024, and $178 million, or $2.86 per diluted share in 2023.</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Net Earnings and Earnings Per Diluted Share from Continuing Operations Attributable to Martin Marietta</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earnings from continuing operations attributable to Martin Marietta were $ 990 million, or $16.34 per diluted share, for 2025; $1.8 billion, or $ 29.50 per diluted share, for 2024; and $991 million, or $15.96 per diluted share, for 2023. Results for 2025 include after-tax charges of $29 million, or $0.47 per diluted share related to the 2025 Rationalization Charge, acquisition, divestiture and integration expenses, and the Inventory Markup associated with the Premier acquisition (see Note B to the consolidated financial statements). Results for 2024 include an after-tax gain of $ 892 million, or $14.49 per diluted share, from the gain on the Divestiture, offset by the 2024 Rationalization Charge, the Inventory Markup, and after-tax acquisition, divestiture and integration expenses related to the BWI Southeast acquisition and the Divestiture.</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b w:val="1"/>
          <w:bCs w:val="1"/>
          <w:i w:val="1"/>
          <w:iCs w:val="1"/>
          <w:color w:val="965F6E"/>
        </w:rPr>
        <w:t>Adjusted EBITDA from Continuing Operations, Adjusted EBITDA from Discontinued Operations and Consolidated Adjusted EBITDA</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(Inventory Markup); nonrecurring gain/loss on divestiture; and asset and portfolio rationalization charges,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Adjusted EBITDA from discontinued operations includes the adjustments described above for discontinued operations only. Consolidated Adjusted EBITDA includes the adjustments described above for both continuing and discontinued operations.</w:t>
      </w:r>
    </w:p>
    <w:p>
      <w:pPr>
        <w:jc w:val="both"/>
        <w:spacing w:after="0" w:line="244" w:lineRule="auto"/>
        <w:rPr>
          <w:sz w:val="20"/>
          <w:szCs w:val="20"/>
          <w:color w:val="auto"/>
        </w:rPr>
      </w:pPr>
      <w:r>
        <w:rPr>
          <w:rFonts w:ascii="Arial" w:cs="Arial" w:eastAsia="Arial" w:hAnsi="Arial"/>
          <w:sz w:val="18"/>
          <w:szCs w:val="18"/>
          <w:color w:val="auto"/>
        </w:rPr>
        <w:t>Adjusted EBITDA from continuing operations, Adjusted EBITDA from discontinued operations and Consolidated Adjusted EBITDA (Adjusted EBITDA measures) are not defined by U.S. generally accepted accounting principles (GAAP) and, as such, should not be construed as an alternative to net earnings attributable to Martin Marietta, earnings from operations or operating cash flow. Because all Adjusted EBITDA measures exclude some, but not all, items that affect net earnings and may vary among businesses, the Adjusted EBITDA measures as presented by the Company may not be comparable to similarly titled measures of other companies.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a reconciliation of net earnings from continuing operations attributable to Martin Marietta to Adjusted EBITDA from continuing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21"/>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19"/>
                <w:szCs w:val="19"/>
                <w:color w:val="auto"/>
              </w:rPr>
            </w:pPr>
          </w:p>
        </w:tc>
        <w:tc>
          <w:tcPr>
            <w:tcW w:w="120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184"/>
        </w:trPr>
        <w:tc>
          <w:tcPr>
            <w:tcW w:w="6260" w:type="dxa"/>
            <w:vAlign w:val="bottom"/>
            <w:tcBorders>
              <w:right w:val="single" w:sz="8" w:color="E5F1F8"/>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Net earnings from continuing operations attributable to</w:t>
            </w:r>
          </w:p>
        </w:tc>
        <w:tc>
          <w:tcPr>
            <w:tcW w:w="460" w:type="dxa"/>
            <w:vAlign w:val="bottom"/>
            <w:shd w:val="clear" w:color="auto" w:fill="E5F1F8"/>
          </w:tcPr>
          <w:p>
            <w:pPr>
              <w:spacing w:after="0"/>
              <w:rPr>
                <w:sz w:val="15"/>
                <w:szCs w:val="15"/>
                <w:color w:val="auto"/>
              </w:rPr>
            </w:pPr>
          </w:p>
        </w:tc>
        <w:tc>
          <w:tcPr>
            <w:tcW w:w="1200" w:type="dxa"/>
            <w:vAlign w:val="bottom"/>
            <w:tcBorders>
              <w:right w:val="single" w:sz="8" w:color="E5F1F8"/>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tcBorders>
              <w:right w:val="single" w:sz="8" w:color="E5F1F8"/>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bottom w:val="single" w:sz="8" w:color="auto"/>
              <w:right w:val="single" w:sz="8" w:color="E5F1F8"/>
            </w:tcBorders>
            <w:shd w:val="clear" w:color="auto" w:fill="E5F1F8"/>
          </w:tcPr>
          <w:p>
            <w:pPr>
              <w:ind w:left="220"/>
              <w:spacing w:after="0"/>
              <w:rPr>
                <w:sz w:val="20"/>
                <w:szCs w:val="20"/>
                <w:color w:val="auto"/>
              </w:rPr>
            </w:pPr>
            <w:r>
              <w:rPr>
                <w:rFonts w:ascii="Arial" w:cs="Arial" w:eastAsia="Arial" w:hAnsi="Arial"/>
                <w:sz w:val="18"/>
                <w:szCs w:val="18"/>
                <w:color w:val="auto"/>
              </w:rPr>
              <w:t>Martin Marietta</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990</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color w:val="auto"/>
              </w:rPr>
              <w:t>1,815</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991</w:t>
            </w:r>
          </w:p>
        </w:tc>
      </w:tr>
      <w:tr>
        <w:trPr>
          <w:trHeight w:val="196"/>
        </w:trPr>
        <w:tc>
          <w:tcPr>
            <w:tcW w:w="626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Add back (deduct):</w:t>
            </w:r>
          </w:p>
        </w:tc>
        <w:tc>
          <w:tcPr>
            <w:tcW w:w="46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260" w:type="dxa"/>
            <w:vAlign w:val="bottom"/>
            <w:tcBorders>
              <w:right w:val="single" w:sz="8" w:color="007CBA"/>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Interest expense, net of interest income</w:t>
            </w:r>
          </w:p>
        </w:tc>
        <w:tc>
          <w:tcPr>
            <w:tcW w:w="4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220</w:t>
            </w:r>
          </w:p>
        </w:tc>
        <w:tc>
          <w:tcPr>
            <w:tcW w:w="4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128</w:t>
            </w:r>
          </w:p>
        </w:tc>
        <w:tc>
          <w:tcPr>
            <w:tcW w:w="460" w:type="dxa"/>
            <w:vAlign w:val="bottom"/>
            <w:shd w:val="clear" w:color="auto" w:fill="E5F1F8"/>
          </w:tcPr>
          <w:p>
            <w:pPr>
              <w:spacing w:after="0"/>
              <w:rPr>
                <w:sz w:val="17"/>
                <w:szCs w:val="17"/>
                <w:color w:val="auto"/>
              </w:rPr>
            </w:pPr>
          </w:p>
        </w:tc>
        <w:tc>
          <w:tcPr>
            <w:tcW w:w="120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626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Income tax expense for controlling interests</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236</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549</w:t>
            </w:r>
          </w:p>
        </w:tc>
        <w:tc>
          <w:tcPr>
            <w:tcW w:w="4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234</w:t>
            </w:r>
          </w:p>
        </w:tc>
      </w:tr>
      <w:tr>
        <w:trPr>
          <w:trHeight w:val="184"/>
        </w:trPr>
        <w:tc>
          <w:tcPr>
            <w:tcW w:w="6260" w:type="dxa"/>
            <w:vAlign w:val="bottom"/>
            <w:tcBorders>
              <w:right w:val="single" w:sz="8" w:color="007CBA"/>
            </w:tcBorders>
            <w:shd w:val="clear" w:color="auto" w:fill="E5F1F8"/>
          </w:tcPr>
          <w:p>
            <w:pPr>
              <w:ind w:left="120"/>
              <w:spacing w:after="0" w:line="183" w:lineRule="exact"/>
              <w:rPr>
                <w:sz w:val="20"/>
                <w:szCs w:val="20"/>
                <w:color w:val="auto"/>
              </w:rPr>
            </w:pPr>
            <w:r>
              <w:rPr>
                <w:rFonts w:ascii="Arial" w:cs="Arial" w:eastAsia="Arial" w:hAnsi="Arial"/>
                <w:sz w:val="18"/>
                <w:szCs w:val="18"/>
                <w:color w:val="auto"/>
              </w:rPr>
              <w:t>Depreciation, depletion and amortization expense and</w:t>
            </w: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8"/>
                <w:szCs w:val="18"/>
                <w:color w:val="auto"/>
              </w:rPr>
              <w:t>earnings/loss from nonconsolidated equity affiliates</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581</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449</w:t>
            </w:r>
          </w:p>
        </w:tc>
      </w:tr>
      <w:tr>
        <w:trPr>
          <w:trHeight w:val="203"/>
        </w:trPr>
        <w:tc>
          <w:tcPr>
            <w:tcW w:w="626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Acquisition, divestiture and integration expenses</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12</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4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r>
      <w:tr>
        <w:trPr>
          <w:trHeight w:val="184"/>
        </w:trPr>
        <w:tc>
          <w:tcPr>
            <w:tcW w:w="6260" w:type="dxa"/>
            <w:vAlign w:val="bottom"/>
            <w:tcBorders>
              <w:right w:val="single" w:sz="8" w:color="007CBA"/>
            </w:tcBorders>
            <w:shd w:val="clear" w:color="auto" w:fill="E5F1F8"/>
          </w:tcPr>
          <w:p>
            <w:pPr>
              <w:ind w:left="120"/>
              <w:spacing w:after="0" w:line="183" w:lineRule="exact"/>
              <w:rPr>
                <w:sz w:val="20"/>
                <w:szCs w:val="20"/>
                <w:color w:val="auto"/>
              </w:rPr>
            </w:pPr>
            <w:r>
              <w:rPr>
                <w:rFonts w:ascii="Arial" w:cs="Arial" w:eastAsia="Arial" w:hAnsi="Arial"/>
                <w:sz w:val="18"/>
                <w:szCs w:val="18"/>
                <w:color w:val="auto"/>
              </w:rPr>
              <w:t>Impact of selling acquired inventory after markup to fair value</w:t>
            </w: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8"/>
                <w:szCs w:val="18"/>
                <w:color w:val="auto"/>
              </w:rPr>
              <w:t>as part of acquisition accounting</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5</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Nonrecurring gain on divestiture</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12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(1,331)</w:t>
            </w:r>
          </w:p>
        </w:tc>
        <w:tc>
          <w:tcPr>
            <w:tcW w:w="4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bottom w:val="single" w:sz="8" w:color="auto"/>
              <w:right w:val="single" w:sz="8" w:color="E5F1F8"/>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Asset and portfolio rationalization charges</w:t>
            </w:r>
          </w:p>
        </w:tc>
        <w:tc>
          <w:tcPr>
            <w:tcW w:w="46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21</w:t>
            </w:r>
          </w:p>
        </w:tc>
        <w:tc>
          <w:tcPr>
            <w:tcW w:w="46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50</w:t>
            </w:r>
          </w:p>
        </w:tc>
        <w:tc>
          <w:tcPr>
            <w:tcW w:w="46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77"/>
        </w:trPr>
        <w:tc>
          <w:tcPr>
            <w:tcW w:w="6260" w:type="dxa"/>
            <w:vAlign w:val="bottom"/>
          </w:tcPr>
          <w:p>
            <w:pPr>
              <w:ind w:left="60"/>
              <w:spacing w:after="0" w:line="177" w:lineRule="exact"/>
              <w:rPr>
                <w:sz w:val="20"/>
                <w:szCs w:val="20"/>
                <w:color w:val="auto"/>
              </w:rPr>
            </w:pPr>
            <w:r>
              <w:rPr>
                <w:rFonts w:ascii="Arial" w:cs="Arial" w:eastAsia="Arial" w:hAnsi="Arial"/>
                <w:sz w:val="18"/>
                <w:szCs w:val="18"/>
                <w:color w:val="auto"/>
              </w:rPr>
              <w:t>Adjustments to net earnings from continuing operations</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attributable to Martin Marietta</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1,075</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w:t>
            </w:r>
          </w:p>
        </w:tc>
      </w:tr>
      <w:tr>
        <w:trPr>
          <w:trHeight w:val="236"/>
        </w:trPr>
        <w:tc>
          <w:tcPr>
            <w:tcW w:w="626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2,065</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1,771</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-1991995</wp:posOffset>
            </wp:positionV>
            <wp:extent cx="33655" cy="290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-1991995</wp:posOffset>
            </wp:positionV>
            <wp:extent cx="33655" cy="290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-1991995</wp:posOffset>
            </wp:positionV>
            <wp:extent cx="33655" cy="290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-569595</wp:posOffset>
            </wp:positionV>
            <wp:extent cx="33655" cy="5829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58293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-569595</wp:posOffset>
            </wp:positionV>
            <wp:extent cx="33655" cy="5829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58293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-569595</wp:posOffset>
            </wp:positionV>
            <wp:extent cx="33655" cy="5829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582930"/>
                    </a:xfrm>
                    <a:prstGeom prst="rect">
                      <a:avLst/>
                    </a:prstGeom>
                    <a:noFill/>
                  </pic:spPr>
                </pic:pic>
              </a:graphicData>
            </a:graphic>
          </wp:anchor>
        </w:drawing>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a reconciliation of earnings from discontinued operations, net of income tax expense, to Adjusted EBITDA from discontinued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21"/>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19"/>
                <w:szCs w:val="19"/>
                <w:color w:val="auto"/>
              </w:rPr>
            </w:pPr>
          </w:p>
        </w:tc>
        <w:tc>
          <w:tcPr>
            <w:tcW w:w="120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2"/>
        </w:trPr>
        <w:tc>
          <w:tcPr>
            <w:tcW w:w="626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Earnings from discontinued operations, net of income tax expense</w:t>
            </w:r>
          </w:p>
        </w:tc>
        <w:tc>
          <w:tcPr>
            <w:tcW w:w="460" w:type="dxa"/>
            <w:vAlign w:val="bottom"/>
            <w:tcBorders>
              <w:bottom w:val="single" w:sz="8" w:color="auto"/>
            </w:tcBorders>
            <w:shd w:val="clear" w:color="auto" w:fill="E5F1F8"/>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147</w:t>
            </w:r>
          </w:p>
        </w:tc>
        <w:tc>
          <w:tcPr>
            <w:tcW w:w="460" w:type="dxa"/>
            <w:vAlign w:val="bottom"/>
            <w:tcBorders>
              <w:bottom w:val="single" w:sz="8" w:color="auto"/>
            </w:tcBorders>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460" w:type="dxa"/>
            <w:vAlign w:val="bottom"/>
            <w:tcBorders>
              <w:bottom w:val="single" w:sz="8" w:color="auto"/>
            </w:tcBorders>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178</w:t>
            </w:r>
          </w:p>
        </w:tc>
      </w:tr>
      <w:tr>
        <w:trPr>
          <w:trHeight w:val="196"/>
        </w:trPr>
        <w:tc>
          <w:tcPr>
            <w:tcW w:w="626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Add back:</w:t>
            </w:r>
          </w:p>
        </w:tc>
        <w:tc>
          <w:tcPr>
            <w:tcW w:w="46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260" w:type="dxa"/>
            <w:vAlign w:val="bottom"/>
            <w:tcBorders>
              <w:right w:val="single" w:sz="8" w:color="007CBA"/>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Income tax expense for discontinued operations</w:t>
            </w:r>
          </w:p>
        </w:tc>
        <w:tc>
          <w:tcPr>
            <w:tcW w:w="4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42</w:t>
            </w:r>
          </w:p>
        </w:tc>
        <w:tc>
          <w:tcPr>
            <w:tcW w:w="4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460" w:type="dxa"/>
            <w:vAlign w:val="bottom"/>
            <w:shd w:val="clear" w:color="auto" w:fill="E5F1F8"/>
          </w:tcPr>
          <w:p>
            <w:pPr>
              <w:spacing w:after="0"/>
              <w:rPr>
                <w:sz w:val="17"/>
                <w:szCs w:val="17"/>
                <w:color w:val="auto"/>
              </w:rPr>
            </w:pPr>
          </w:p>
        </w:tc>
        <w:tc>
          <w:tcPr>
            <w:tcW w:w="120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48</w:t>
            </w:r>
          </w:p>
        </w:tc>
      </w:tr>
      <w:tr>
        <w:trPr>
          <w:trHeight w:val="184"/>
        </w:trPr>
        <w:tc>
          <w:tcPr>
            <w:tcW w:w="6260" w:type="dxa"/>
            <w:vAlign w:val="bottom"/>
            <w:tcBorders>
              <w:right w:val="single" w:sz="8" w:color="007CBA"/>
            </w:tcBorders>
          </w:tcPr>
          <w:p>
            <w:pPr>
              <w:ind w:left="120"/>
              <w:spacing w:after="0" w:line="183" w:lineRule="exact"/>
              <w:rPr>
                <w:sz w:val="20"/>
                <w:szCs w:val="20"/>
                <w:color w:val="auto"/>
              </w:rPr>
            </w:pPr>
            <w:r>
              <w:rPr>
                <w:rFonts w:ascii="Arial" w:cs="Arial" w:eastAsia="Arial" w:hAnsi="Arial"/>
                <w:sz w:val="18"/>
                <w:szCs w:val="18"/>
                <w:color w:val="auto"/>
              </w:rPr>
              <w:t>Depreciation, depletion and amortization expense</w:t>
            </w:r>
          </w:p>
        </w:tc>
        <w:tc>
          <w:tcPr>
            <w:tcW w:w="460" w:type="dxa"/>
            <w:vAlign w:val="bottom"/>
          </w:tcPr>
          <w:p>
            <w:pPr>
              <w:spacing w:after="0"/>
              <w:rPr>
                <w:sz w:val="15"/>
                <w:szCs w:val="15"/>
                <w:color w:val="auto"/>
              </w:rPr>
            </w:pPr>
          </w:p>
        </w:tc>
        <w:tc>
          <w:tcPr>
            <w:tcW w:w="1200" w:type="dxa"/>
            <w:vAlign w:val="bottom"/>
            <w:tcBorders>
              <w:right w:val="single" w:sz="8" w:color="007CBA"/>
            </w:tcBorders>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Borders>
              <w:right w:val="single" w:sz="8" w:color="007CBA"/>
            </w:tcBorders>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60" w:type="dxa"/>
            <w:vAlign w:val="bottom"/>
            <w:tcBorders>
              <w:right w:val="single" w:sz="8" w:color="007CBA"/>
            </w:tcBorders>
          </w:tcPr>
          <w:p>
            <w:pPr>
              <w:ind w:left="280"/>
              <w:spacing w:after="0"/>
              <w:rPr>
                <w:sz w:val="20"/>
                <w:szCs w:val="20"/>
                <w:color w:val="auto"/>
              </w:rPr>
            </w:pPr>
            <w:r>
              <w:rPr>
                <w:rFonts w:ascii="Arial" w:cs="Arial" w:eastAsia="Arial" w:hAnsi="Arial"/>
                <w:sz w:val="18"/>
                <w:szCs w:val="18"/>
                <w:color w:val="auto"/>
              </w:rPr>
              <w:t>from discontinued operations</w:t>
            </w:r>
          </w:p>
        </w:tc>
        <w:tc>
          <w:tcPr>
            <w:tcW w:w="460" w:type="dxa"/>
            <w:vAlign w:val="bottom"/>
          </w:tcPr>
          <w:p>
            <w:pPr>
              <w:spacing w:after="0"/>
              <w:rPr>
                <w:sz w:val="19"/>
                <w:szCs w:val="19"/>
                <w:color w:val="auto"/>
              </w:rPr>
            </w:pPr>
          </w:p>
        </w:tc>
        <w:tc>
          <w:tcPr>
            <w:tcW w:w="12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b w:val="1"/>
                <w:bCs w:val="1"/>
                <w:color w:val="auto"/>
              </w:rPr>
              <w:t>43</w:t>
            </w:r>
          </w:p>
        </w:tc>
        <w:tc>
          <w:tcPr>
            <w:tcW w:w="460" w:type="dxa"/>
            <w:vAlign w:val="bottom"/>
          </w:tcPr>
          <w:p>
            <w:pPr>
              <w:spacing w:after="0"/>
              <w:rPr>
                <w:sz w:val="19"/>
                <w:szCs w:val="19"/>
                <w:color w:val="auto"/>
              </w:rPr>
            </w:pPr>
          </w:p>
        </w:tc>
        <w:tc>
          <w:tcPr>
            <w:tcW w:w="12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184"/>
        </w:trPr>
        <w:tc>
          <w:tcPr>
            <w:tcW w:w="6260" w:type="dxa"/>
            <w:vAlign w:val="bottom"/>
            <w:tcBorders>
              <w:right w:val="single" w:sz="8" w:color="007CBA"/>
            </w:tcBorders>
            <w:shd w:val="clear" w:color="auto" w:fill="E5F1F8"/>
          </w:tcPr>
          <w:p>
            <w:pPr>
              <w:ind w:left="120"/>
              <w:spacing w:after="0" w:line="183" w:lineRule="exact"/>
              <w:rPr>
                <w:sz w:val="20"/>
                <w:szCs w:val="20"/>
                <w:color w:val="auto"/>
              </w:rPr>
            </w:pPr>
            <w:r>
              <w:rPr>
                <w:rFonts w:ascii="Arial" w:cs="Arial" w:eastAsia="Arial" w:hAnsi="Arial"/>
                <w:sz w:val="18"/>
                <w:szCs w:val="18"/>
                <w:color w:val="auto"/>
              </w:rPr>
              <w:t>Acquisition, divestiture and integration expenses for</w:t>
            </w: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5</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7</w:t>
            </w:r>
          </w:p>
        </w:tc>
      </w:tr>
      <w:tr>
        <w:trPr>
          <w:trHeight w:val="202"/>
        </w:trPr>
        <w:tc>
          <w:tcPr>
            <w:tcW w:w="626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Nonrecurring loss on divestitures for discontinued operations</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25</w:t>
            </w:r>
          </w:p>
        </w:tc>
      </w:tr>
      <w:tr>
        <w:trPr>
          <w:trHeight w:val="177"/>
        </w:trPr>
        <w:tc>
          <w:tcPr>
            <w:tcW w:w="6260" w:type="dxa"/>
            <w:vAlign w:val="bottom"/>
            <w:tcBorders>
              <w:right w:val="single" w:sz="8" w:color="E5F1F8"/>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Adjustments to earnings from discontinued operations,</w:t>
            </w:r>
          </w:p>
        </w:tc>
        <w:tc>
          <w:tcPr>
            <w:tcW w:w="460" w:type="dxa"/>
            <w:vAlign w:val="bottom"/>
            <w:shd w:val="clear" w:color="auto" w:fill="E5F1F8"/>
          </w:tcPr>
          <w:p>
            <w:pPr>
              <w:spacing w:after="0"/>
              <w:rPr>
                <w:sz w:val="15"/>
                <w:szCs w:val="15"/>
                <w:color w:val="auto"/>
              </w:rPr>
            </w:pPr>
          </w:p>
        </w:tc>
        <w:tc>
          <w:tcPr>
            <w:tcW w:w="1200" w:type="dxa"/>
            <w:vAlign w:val="bottom"/>
            <w:tcBorders>
              <w:right w:val="single" w:sz="8" w:color="E5F1F8"/>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tcBorders>
              <w:right w:val="single" w:sz="8" w:color="E5F1F8"/>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bottom w:val="single" w:sz="8" w:color="auto"/>
              <w:right w:val="single" w:sz="8" w:color="E5F1F8"/>
            </w:tcBorders>
            <w:shd w:val="clear" w:color="auto" w:fill="E5F1F8"/>
          </w:tcPr>
          <w:p>
            <w:pPr>
              <w:ind w:left="220"/>
              <w:spacing w:after="0"/>
              <w:rPr>
                <w:sz w:val="20"/>
                <w:szCs w:val="20"/>
                <w:color w:val="auto"/>
              </w:rPr>
            </w:pPr>
            <w:r>
              <w:rPr>
                <w:rFonts w:ascii="Arial" w:cs="Arial" w:eastAsia="Arial" w:hAnsi="Arial"/>
                <w:sz w:val="18"/>
                <w:szCs w:val="18"/>
                <w:color w:val="auto"/>
              </w:rPr>
              <w:t>net of income tax expense</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90</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color w:val="auto"/>
              </w:rPr>
              <w:t>115</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136</w:t>
            </w:r>
          </w:p>
        </w:tc>
      </w:tr>
      <w:tr>
        <w:trPr>
          <w:trHeight w:val="196"/>
        </w:trPr>
        <w:tc>
          <w:tcPr>
            <w:tcW w:w="6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Adjusted EBITDA from discontinued operations</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237</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295</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314</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-1477645</wp:posOffset>
            </wp:positionV>
            <wp:extent cx="33655"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-1477645</wp:posOffset>
            </wp:positionV>
            <wp:extent cx="33655"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-1477645</wp:posOffset>
            </wp:positionV>
            <wp:extent cx="3365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-569595</wp:posOffset>
            </wp:positionV>
            <wp:extent cx="33655" cy="5829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58293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-569595</wp:posOffset>
            </wp:positionV>
            <wp:extent cx="33655" cy="5829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58293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-569595</wp:posOffset>
            </wp:positionV>
            <wp:extent cx="33655" cy="5829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58293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a reconciliation of consolidated net earnings attributable to Martin Marietta to Consolidated Adjusted EBITDA: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1060" w:type="dxa"/>
            <w:vAlign w:val="bottom"/>
            <w:shd w:val="clear" w:color="auto" w:fill="007CBA"/>
          </w:tcPr>
          <w:p>
            <w:pPr>
              <w:spacing w:after="0"/>
              <w:rPr>
                <w:sz w:val="18"/>
                <w:szCs w:val="18"/>
                <w:color w:val="auto"/>
              </w:rPr>
            </w:pPr>
          </w:p>
        </w:tc>
        <w:tc>
          <w:tcPr>
            <w:tcW w:w="600" w:type="dxa"/>
            <w:vAlign w:val="bottom"/>
            <w:tcBorders>
              <w:right w:val="single" w:sz="8" w:color="007CBA"/>
            </w:tcBorders>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60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r>
      <w:tr>
        <w:trPr>
          <w:trHeight w:val="221"/>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106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2025</w:t>
            </w:r>
          </w:p>
        </w:tc>
        <w:tc>
          <w:tcPr>
            <w:tcW w:w="600" w:type="dxa"/>
            <w:vAlign w:val="bottom"/>
            <w:tcBorders>
              <w:right w:val="single" w:sz="8" w:color="007CBA"/>
            </w:tcBorders>
            <w:shd w:val="clear" w:color="auto" w:fill="007CBA"/>
          </w:tcPr>
          <w:p>
            <w:pPr>
              <w:spacing w:after="0"/>
              <w:rPr>
                <w:sz w:val="19"/>
                <w:szCs w:val="19"/>
                <w:color w:val="auto"/>
              </w:rPr>
            </w:pPr>
          </w:p>
        </w:tc>
        <w:tc>
          <w:tcPr>
            <w:tcW w:w="106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2024</w:t>
            </w:r>
          </w:p>
        </w:tc>
        <w:tc>
          <w:tcPr>
            <w:tcW w:w="60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20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3"/>
        </w:trPr>
        <w:tc>
          <w:tcPr>
            <w:tcW w:w="626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Consolidated net earnings attributable to Martin Marietta</w:t>
            </w:r>
          </w:p>
        </w:tc>
        <w:tc>
          <w:tcPr>
            <w:tcW w:w="106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1,137</w:t>
            </w:r>
          </w:p>
        </w:tc>
        <w:tc>
          <w:tcPr>
            <w:tcW w:w="106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1,995</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1,169</w:t>
            </w:r>
          </w:p>
        </w:tc>
      </w:tr>
      <w:tr>
        <w:trPr>
          <w:trHeight w:val="203"/>
        </w:trPr>
        <w:tc>
          <w:tcPr>
            <w:tcW w:w="62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Add back (Deduct):</w:t>
            </w:r>
          </w:p>
        </w:tc>
        <w:tc>
          <w:tcPr>
            <w:tcW w:w="1060" w:type="dxa"/>
            <w:vAlign w:val="bottom"/>
            <w:shd w:val="clear" w:color="auto" w:fill="E5F1F8"/>
          </w:tcPr>
          <w:p>
            <w:pPr>
              <w:spacing w:after="0"/>
              <w:rPr>
                <w:sz w:val="17"/>
                <w:szCs w:val="17"/>
                <w:color w:val="auto"/>
              </w:rPr>
            </w:pPr>
          </w:p>
        </w:tc>
        <w:tc>
          <w:tcPr>
            <w:tcW w:w="600" w:type="dxa"/>
            <w:vAlign w:val="bottom"/>
            <w:tcBorders>
              <w:right w:val="single" w:sz="8" w:color="007CBA"/>
            </w:tcBorders>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60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200" w:type="dxa"/>
            <w:vAlign w:val="bottom"/>
            <w:shd w:val="clear" w:color="auto" w:fill="E5F1F8"/>
          </w:tcPr>
          <w:p>
            <w:pPr>
              <w:spacing w:after="0"/>
              <w:rPr>
                <w:sz w:val="17"/>
                <w:szCs w:val="17"/>
                <w:color w:val="auto"/>
              </w:rPr>
            </w:pPr>
          </w:p>
        </w:tc>
      </w:tr>
      <w:tr>
        <w:trPr>
          <w:trHeight w:val="184"/>
        </w:trPr>
        <w:tc>
          <w:tcPr>
            <w:tcW w:w="6260" w:type="dxa"/>
            <w:vAlign w:val="bottom"/>
            <w:tcBorders>
              <w:right w:val="single" w:sz="8" w:color="007CBA"/>
            </w:tcBorders>
          </w:tcPr>
          <w:p>
            <w:pPr>
              <w:ind w:left="120"/>
              <w:spacing w:after="0" w:line="183" w:lineRule="exact"/>
              <w:rPr>
                <w:sz w:val="20"/>
                <w:szCs w:val="20"/>
                <w:color w:val="auto"/>
              </w:rPr>
            </w:pPr>
            <w:r>
              <w:rPr>
                <w:rFonts w:ascii="Arial" w:cs="Arial" w:eastAsia="Arial" w:hAnsi="Arial"/>
                <w:sz w:val="18"/>
                <w:szCs w:val="18"/>
                <w:color w:val="auto"/>
              </w:rPr>
              <w:t>Adjustments to net earnings from continuing operations</w:t>
            </w:r>
          </w:p>
        </w:tc>
        <w:tc>
          <w:tcPr>
            <w:tcW w:w="1060" w:type="dxa"/>
            <w:vAlign w:val="bottom"/>
          </w:tcPr>
          <w:p>
            <w:pPr>
              <w:spacing w:after="0"/>
              <w:rPr>
                <w:sz w:val="15"/>
                <w:szCs w:val="15"/>
                <w:color w:val="auto"/>
              </w:rPr>
            </w:pPr>
          </w:p>
        </w:tc>
        <w:tc>
          <w:tcPr>
            <w:tcW w:w="600" w:type="dxa"/>
            <w:vAlign w:val="bottom"/>
            <w:tcBorders>
              <w:right w:val="single" w:sz="8" w:color="007CBA"/>
            </w:tcBorders>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Borders>
              <w:right w:val="single" w:sz="8" w:color="007CBA"/>
            </w:tcBorders>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60" w:type="dxa"/>
            <w:vAlign w:val="bottom"/>
            <w:tcBorders>
              <w:right w:val="single" w:sz="8" w:color="007CBA"/>
            </w:tcBorders>
          </w:tcPr>
          <w:p>
            <w:pPr>
              <w:ind w:left="280"/>
              <w:spacing w:after="0"/>
              <w:rPr>
                <w:sz w:val="20"/>
                <w:szCs w:val="20"/>
                <w:color w:val="auto"/>
              </w:rPr>
            </w:pPr>
            <w:r>
              <w:rPr>
                <w:rFonts w:ascii="Arial" w:cs="Arial" w:eastAsia="Arial" w:hAnsi="Arial"/>
                <w:sz w:val="18"/>
                <w:szCs w:val="18"/>
                <w:color w:val="auto"/>
              </w:rPr>
              <w:t>attributable to Martin Marietta</w:t>
            </w:r>
          </w:p>
        </w:tc>
        <w:tc>
          <w:tcPr>
            <w:tcW w:w="1060" w:type="dxa"/>
            <w:vAlign w:val="bottom"/>
          </w:tcPr>
          <w:p>
            <w:pPr>
              <w:spacing w:after="0"/>
              <w:rPr>
                <w:sz w:val="19"/>
                <w:szCs w:val="19"/>
                <w:color w:val="auto"/>
              </w:rPr>
            </w:pPr>
          </w:p>
        </w:tc>
        <w:tc>
          <w:tcPr>
            <w:tcW w:w="6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b w:val="1"/>
                <w:bCs w:val="1"/>
                <w:color w:val="auto"/>
              </w:rPr>
              <w:t>1,075</w:t>
            </w:r>
          </w:p>
        </w:tc>
        <w:tc>
          <w:tcPr>
            <w:tcW w:w="1060" w:type="dxa"/>
            <w:vAlign w:val="bottom"/>
          </w:tcPr>
          <w:p>
            <w:pPr>
              <w:spacing w:after="0"/>
              <w:rPr>
                <w:sz w:val="19"/>
                <w:szCs w:val="19"/>
                <w:color w:val="auto"/>
              </w:rPr>
            </w:pPr>
          </w:p>
        </w:tc>
        <w:tc>
          <w:tcPr>
            <w:tcW w:w="60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814</w:t>
            </w:r>
          </w:p>
        </w:tc>
      </w:tr>
      <w:tr>
        <w:trPr>
          <w:trHeight w:val="184"/>
        </w:trPr>
        <w:tc>
          <w:tcPr>
            <w:tcW w:w="6260" w:type="dxa"/>
            <w:vAlign w:val="bottom"/>
            <w:tcBorders>
              <w:right w:val="single" w:sz="8" w:color="E5F1F8"/>
            </w:tcBorders>
            <w:shd w:val="clear" w:color="auto" w:fill="E5F1F8"/>
          </w:tcPr>
          <w:p>
            <w:pPr>
              <w:ind w:left="120"/>
              <w:spacing w:after="0" w:line="183" w:lineRule="exact"/>
              <w:rPr>
                <w:sz w:val="20"/>
                <w:szCs w:val="20"/>
                <w:color w:val="auto"/>
              </w:rPr>
            </w:pPr>
            <w:r>
              <w:rPr>
                <w:rFonts w:ascii="Arial" w:cs="Arial" w:eastAsia="Arial" w:hAnsi="Arial"/>
                <w:sz w:val="18"/>
                <w:szCs w:val="18"/>
                <w:color w:val="auto"/>
              </w:rPr>
              <w:t>Adjustments to earnings from discontinued operations,</w:t>
            </w:r>
          </w:p>
        </w:tc>
        <w:tc>
          <w:tcPr>
            <w:tcW w:w="1060" w:type="dxa"/>
            <w:vAlign w:val="bottom"/>
            <w:shd w:val="clear" w:color="auto" w:fill="E5F1F8"/>
          </w:tcPr>
          <w:p>
            <w:pPr>
              <w:spacing w:after="0"/>
              <w:rPr>
                <w:sz w:val="15"/>
                <w:szCs w:val="15"/>
                <w:color w:val="auto"/>
              </w:rPr>
            </w:pPr>
          </w:p>
        </w:tc>
        <w:tc>
          <w:tcPr>
            <w:tcW w:w="600" w:type="dxa"/>
            <w:vAlign w:val="bottom"/>
            <w:tcBorders>
              <w:right w:val="single" w:sz="8" w:color="E5F1F8"/>
            </w:tcBorders>
            <w:shd w:val="clear" w:color="auto" w:fill="E5F1F8"/>
          </w:tcPr>
          <w:p>
            <w:pPr>
              <w:spacing w:after="0"/>
              <w:rPr>
                <w:sz w:val="15"/>
                <w:szCs w:val="15"/>
                <w:color w:val="auto"/>
              </w:rPr>
            </w:pPr>
          </w:p>
        </w:tc>
        <w:tc>
          <w:tcPr>
            <w:tcW w:w="1060" w:type="dxa"/>
            <w:vAlign w:val="bottom"/>
            <w:shd w:val="clear" w:color="auto" w:fill="E5F1F8"/>
          </w:tcPr>
          <w:p>
            <w:pPr>
              <w:spacing w:after="0"/>
              <w:rPr>
                <w:sz w:val="15"/>
                <w:szCs w:val="15"/>
                <w:color w:val="auto"/>
              </w:rPr>
            </w:pPr>
          </w:p>
        </w:tc>
        <w:tc>
          <w:tcPr>
            <w:tcW w:w="600" w:type="dxa"/>
            <w:vAlign w:val="bottom"/>
            <w:tcBorders>
              <w:right w:val="single" w:sz="8" w:color="E5F1F8"/>
            </w:tcBorders>
            <w:shd w:val="clear" w:color="auto" w:fill="E5F1F8"/>
          </w:tcPr>
          <w:p>
            <w:pPr>
              <w:spacing w:after="0"/>
              <w:rPr>
                <w:sz w:val="15"/>
                <w:szCs w:val="15"/>
                <w:color w:val="auto"/>
              </w:rPr>
            </w:pPr>
          </w:p>
        </w:tc>
        <w:tc>
          <w:tcPr>
            <w:tcW w:w="46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60" w:type="dxa"/>
            <w:vAlign w:val="bottom"/>
            <w:tcBorders>
              <w:bottom w:val="single" w:sz="8" w:color="auto"/>
              <w:right w:val="single" w:sz="8" w:color="E5F1F8"/>
            </w:tcBorders>
            <w:shd w:val="clear" w:color="auto" w:fill="E5F1F8"/>
          </w:tcPr>
          <w:p>
            <w:pPr>
              <w:ind w:left="280"/>
              <w:spacing w:after="0"/>
              <w:rPr>
                <w:sz w:val="20"/>
                <w:szCs w:val="20"/>
                <w:color w:val="auto"/>
              </w:rPr>
            </w:pPr>
            <w:r>
              <w:rPr>
                <w:rFonts w:ascii="Arial" w:cs="Arial" w:eastAsia="Arial" w:hAnsi="Arial"/>
                <w:sz w:val="18"/>
                <w:szCs w:val="18"/>
                <w:color w:val="auto"/>
              </w:rPr>
              <w:t>net of income tax expense</w:t>
            </w:r>
          </w:p>
        </w:tc>
        <w:tc>
          <w:tcPr>
            <w:tcW w:w="1060" w:type="dxa"/>
            <w:vAlign w:val="bottom"/>
            <w:tcBorders>
              <w:bottom w:val="single" w:sz="8" w:color="auto"/>
            </w:tcBorders>
            <w:shd w:val="clear" w:color="auto" w:fill="E5F1F8"/>
          </w:tcPr>
          <w:p>
            <w:pPr>
              <w:spacing w:after="0"/>
              <w:rPr>
                <w:sz w:val="19"/>
                <w:szCs w:val="19"/>
                <w:color w:val="auto"/>
              </w:rPr>
            </w:pPr>
          </w:p>
        </w:tc>
        <w:tc>
          <w:tcPr>
            <w:tcW w:w="6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90</w:t>
            </w:r>
          </w:p>
        </w:tc>
        <w:tc>
          <w:tcPr>
            <w:tcW w:w="1060" w:type="dxa"/>
            <w:vAlign w:val="bottom"/>
            <w:tcBorders>
              <w:bottom w:val="single" w:sz="8" w:color="auto"/>
            </w:tcBorders>
            <w:shd w:val="clear" w:color="auto" w:fill="E5F1F8"/>
          </w:tcPr>
          <w:p>
            <w:pPr>
              <w:spacing w:after="0"/>
              <w:rPr>
                <w:sz w:val="19"/>
                <w:szCs w:val="19"/>
                <w:color w:val="auto"/>
              </w:rPr>
            </w:pPr>
          </w:p>
        </w:tc>
        <w:tc>
          <w:tcPr>
            <w:tcW w:w="60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color w:val="auto"/>
              </w:rPr>
              <w:t>115</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136</w:t>
            </w:r>
          </w:p>
        </w:tc>
      </w:tr>
      <w:tr>
        <w:trPr>
          <w:trHeight w:val="196"/>
        </w:trPr>
        <w:tc>
          <w:tcPr>
            <w:tcW w:w="6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Adjusted EBITDA</w:t>
            </w:r>
          </w:p>
        </w:tc>
        <w:tc>
          <w:tcPr>
            <w:tcW w:w="106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2,302</w:t>
            </w:r>
          </w:p>
        </w:tc>
        <w:tc>
          <w:tcPr>
            <w:tcW w:w="106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2,066</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2,119</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-431800</wp:posOffset>
            </wp:positionV>
            <wp:extent cx="33655" cy="4451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-431800</wp:posOffset>
            </wp:positionV>
            <wp:extent cx="33655" cy="4451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-431800</wp:posOffset>
            </wp:positionV>
            <wp:extent cx="33655" cy="4451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451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Liquidity and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r>
              <w:rPr>
                <w:rFonts w:ascii="Arial" w:cs="Arial" w:eastAsia="Arial" w:hAnsi="Arial"/>
                <w:sz w:val="18"/>
                <w:szCs w:val="18"/>
                <w:color w:val="auto"/>
              </w:rPr>
              <w:t>Cash flow information for the Company is as follows:</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7"/>
        </w:trPr>
        <w:tc>
          <w:tcPr>
            <w:tcW w:w="6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84"/>
        </w:trPr>
        <w:tc>
          <w:tcPr>
            <w:tcW w:w="610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540" w:type="dxa"/>
            <w:vAlign w:val="bottom"/>
            <w:shd w:val="clear" w:color="auto" w:fill="007CBA"/>
          </w:tcPr>
          <w:p>
            <w:pPr>
              <w:spacing w:after="0"/>
              <w:rPr>
                <w:sz w:val="15"/>
                <w:szCs w:val="15"/>
                <w:color w:val="auto"/>
              </w:rPr>
            </w:pPr>
          </w:p>
        </w:tc>
        <w:tc>
          <w:tcPr>
            <w:tcW w:w="120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180" w:type="dxa"/>
            <w:vAlign w:val="bottom"/>
            <w:shd w:val="clear" w:color="auto" w:fill="007CBA"/>
          </w:tcPr>
          <w:p>
            <w:pPr>
              <w:spacing w:after="0"/>
              <w:rPr>
                <w:sz w:val="15"/>
                <w:szCs w:val="15"/>
                <w:color w:val="auto"/>
              </w:rPr>
            </w:pPr>
          </w:p>
        </w:tc>
      </w:tr>
      <w:tr>
        <w:trPr>
          <w:trHeight w:val="235"/>
        </w:trPr>
        <w:tc>
          <w:tcPr>
            <w:tcW w:w="61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2025</w:t>
            </w:r>
          </w:p>
        </w:tc>
        <w:tc>
          <w:tcPr>
            <w:tcW w:w="52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520" w:type="dxa"/>
            <w:vAlign w:val="bottom"/>
            <w:shd w:val="clear" w:color="auto" w:fill="007CBA"/>
          </w:tcPr>
          <w:p>
            <w:pPr>
              <w:spacing w:after="0"/>
              <w:rPr>
                <w:sz w:val="20"/>
                <w:szCs w:val="20"/>
                <w:color w:val="auto"/>
              </w:rPr>
            </w:pPr>
          </w:p>
        </w:tc>
        <w:tc>
          <w:tcPr>
            <w:tcW w:w="118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3"/>
        </w:trPr>
        <w:tc>
          <w:tcPr>
            <w:tcW w:w="61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b w:val="1"/>
                <w:bCs w:val="1"/>
                <w:color w:val="auto"/>
              </w:rPr>
              <w:t>Cash Provided by Operating Activities:</w:t>
            </w:r>
          </w:p>
        </w:tc>
        <w:tc>
          <w:tcPr>
            <w:tcW w:w="54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100" w:type="dxa"/>
            <w:vAlign w:val="bottom"/>
            <w:tcBorders>
              <w:right w:val="single" w:sz="8" w:color="007CBA"/>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5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1,598</w:t>
            </w:r>
          </w:p>
        </w:tc>
        <w:tc>
          <w:tcPr>
            <w:tcW w:w="5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1,227</w:t>
            </w:r>
          </w:p>
        </w:tc>
        <w:tc>
          <w:tcPr>
            <w:tcW w:w="5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610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187</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232</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221</w:t>
            </w:r>
          </w:p>
        </w:tc>
      </w:tr>
      <w:tr>
        <w:trPr>
          <w:trHeight w:val="236"/>
        </w:trPr>
        <w:tc>
          <w:tcPr>
            <w:tcW w:w="6100" w:type="dxa"/>
            <w:vAlign w:val="bottom"/>
            <w:tcBorders>
              <w:bottom w:val="single" w:sz="8" w:color="auto"/>
              <w:right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1,785</w:t>
            </w:r>
          </w:p>
        </w:tc>
        <w:tc>
          <w:tcPr>
            <w:tcW w:w="5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1,459</w:t>
            </w:r>
          </w:p>
        </w:tc>
        <w:tc>
          <w:tcPr>
            <w:tcW w:w="5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1,528</w:t>
            </w:r>
          </w:p>
        </w:tc>
      </w:tr>
      <w:tr>
        <w:trPr>
          <w:trHeight w:val="183"/>
        </w:trPr>
        <w:tc>
          <w:tcPr>
            <w:tcW w:w="6100" w:type="dxa"/>
            <w:vAlign w:val="bottom"/>
            <w:tcBorders>
              <w:right w:val="single" w:sz="8" w:color="007CBA"/>
            </w:tcBorders>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Borders>
              <w:right w:val="single" w:sz="8" w:color="007CBA"/>
            </w:tcBorders>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Borders>
              <w:right w:val="single" w:sz="8" w:color="007CBA"/>
            </w:tcBorders>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100" w:type="dxa"/>
            <w:vAlign w:val="bottom"/>
            <w:tcBorders>
              <w:right w:val="single" w:sz="8" w:color="007CBA"/>
            </w:tcBorders>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Cash (Used for) Provided by Investing Activities:</w:t>
            </w:r>
          </w:p>
        </w:tc>
        <w:tc>
          <w:tcPr>
            <w:tcW w:w="540" w:type="dxa"/>
            <w:vAlign w:val="bottom"/>
            <w:shd w:val="clear" w:color="auto" w:fill="CFF0FC"/>
          </w:tcPr>
          <w:p>
            <w:pPr>
              <w:spacing w:after="0"/>
              <w:rPr>
                <w:sz w:val="17"/>
                <w:szCs w:val="17"/>
                <w:color w:val="auto"/>
              </w:rPr>
            </w:pPr>
          </w:p>
        </w:tc>
        <w:tc>
          <w:tcPr>
            <w:tcW w:w="1200" w:type="dxa"/>
            <w:vAlign w:val="bottom"/>
            <w:tcBorders>
              <w:right w:val="single" w:sz="8" w:color="007CBA"/>
            </w:tcBorders>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tcBorders>
              <w:right w:val="single" w:sz="8" w:color="007CBA"/>
            </w:tcBorders>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61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5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(1,507)</w:t>
            </w:r>
          </w:p>
        </w:tc>
        <w:tc>
          <w:tcPr>
            <w:tcW w:w="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(2,326)</w:t>
            </w:r>
          </w:p>
        </w:tc>
        <w:tc>
          <w:tcPr>
            <w:tcW w:w="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185</w:t>
            </w:r>
          </w:p>
        </w:tc>
      </w:tr>
      <w:tr>
        <w:trPr>
          <w:trHeight w:val="202"/>
        </w:trPr>
        <w:tc>
          <w:tcPr>
            <w:tcW w:w="6100" w:type="dxa"/>
            <w:vAlign w:val="bottom"/>
            <w:tcBorders>
              <w:bottom w:val="single" w:sz="8" w:color="auto"/>
              <w:right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5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w:t>
            </w:r>
          </w:p>
        </w:tc>
        <w:tc>
          <w:tcPr>
            <w:tcW w:w="5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274</w:t>
            </w:r>
          </w:p>
        </w:tc>
      </w:tr>
      <w:tr>
        <w:trPr>
          <w:trHeight w:val="196"/>
        </w:trPr>
        <w:tc>
          <w:tcPr>
            <w:tcW w:w="6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w:t>
            </w:r>
          </w:p>
        </w:tc>
        <w:tc>
          <w:tcPr>
            <w:tcW w:w="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(2,444)</w:t>
            </w:r>
          </w:p>
        </w:tc>
        <w:tc>
          <w:tcPr>
            <w:tcW w:w="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459</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tcBorders>
              <w:right w:val="single" w:sz="8" w:color="007CBA"/>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0" w:type="dxa"/>
            <w:vAlign w:val="bottom"/>
            <w:tcBorders>
              <w:right w:val="single" w:sz="8" w:color="007CBA"/>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80" w:type="dxa"/>
            <w:vAlign w:val="bottom"/>
            <w:tcBorders>
              <w:right w:val="single" w:sz="8" w:color="007CBA"/>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03"/>
        </w:trPr>
        <w:tc>
          <w:tcPr>
            <w:tcW w:w="61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b w:val="1"/>
                <w:bCs w:val="1"/>
                <w:color w:val="auto"/>
              </w:rPr>
              <w:t>Cash (Used for) Provided by Financing Activities:</w:t>
            </w:r>
          </w:p>
        </w:tc>
        <w:tc>
          <w:tcPr>
            <w:tcW w:w="540" w:type="dxa"/>
            <w:vAlign w:val="bottom"/>
          </w:tcPr>
          <w:p>
            <w:pPr>
              <w:spacing w:after="0"/>
              <w:rPr>
                <w:sz w:val="17"/>
                <w:szCs w:val="17"/>
                <w:color w:val="auto"/>
              </w:rPr>
            </w:pPr>
          </w:p>
        </w:tc>
        <w:tc>
          <w:tcPr>
            <w:tcW w:w="120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100" w:type="dxa"/>
            <w:vAlign w:val="bottom"/>
            <w:tcBorders>
              <w:right w:val="single" w:sz="8" w:color="007CBA"/>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5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(794)</w:t>
            </w:r>
          </w:p>
        </w:tc>
        <w:tc>
          <w:tcPr>
            <w:tcW w:w="5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379</w:t>
            </w:r>
          </w:p>
        </w:tc>
        <w:tc>
          <w:tcPr>
            <w:tcW w:w="5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w:t>
            </w:r>
          </w:p>
        </w:tc>
      </w:tr>
      <w:tr>
        <w:trPr>
          <w:trHeight w:val="203"/>
        </w:trPr>
        <w:tc>
          <w:tcPr>
            <w:tcW w:w="610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r>
      <w:tr>
        <w:trPr>
          <w:trHeight w:val="236"/>
        </w:trPr>
        <w:tc>
          <w:tcPr>
            <w:tcW w:w="6100" w:type="dxa"/>
            <w:vAlign w:val="bottom"/>
            <w:tcBorders>
              <w:bottom w:val="single" w:sz="8" w:color="auto"/>
              <w:right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(800)</w:t>
            </w:r>
          </w:p>
        </w:tc>
        <w:tc>
          <w:tcPr>
            <w:tcW w:w="5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373</w:t>
            </w:r>
          </w:p>
        </w:tc>
        <w:tc>
          <w:tcPr>
            <w:tcW w:w="5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-1657985</wp:posOffset>
            </wp:positionV>
            <wp:extent cx="33655" cy="316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-1657985</wp:posOffset>
            </wp:positionV>
            <wp:extent cx="33655" cy="316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-1657985</wp:posOffset>
            </wp:positionV>
            <wp:extent cx="33655" cy="316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-980440</wp:posOffset>
            </wp:positionV>
            <wp:extent cx="33655" cy="316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-980440</wp:posOffset>
            </wp:positionV>
            <wp:extent cx="33655" cy="316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-980440</wp:posOffset>
            </wp:positionV>
            <wp:extent cx="33655" cy="316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-303530</wp:posOffset>
            </wp:positionV>
            <wp:extent cx="33655" cy="316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-303530</wp:posOffset>
            </wp:positionV>
            <wp:extent cx="33655" cy="316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-303530</wp:posOffset>
            </wp:positionV>
            <wp:extent cx="33655" cy="316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Operating Activities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primary source of liquidity is cash generated from operating activities. Operating cash flow is substantially derived from consolidated net earnings before deducting depreciation, depletion and amortization and the impact of changes in working capital requirements. In 2024, operating cash flow for continuing operations also reflected higher tax payments related to the taxable gain on the Divestiture. Total cash provided by operations was $1.8 billion in 2025, $1.5 billion in 2024 and $1.5 billion in 2023.</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Internal Revenue Service granted disaster-related tax relief for North Carolina businesses affected by Hurricanes Debby and Helene, allowing the Company to defer estimated federal and certain state income, payroll and excise tax payments for the period from August 2024 through September 2025. The deferred taxes were paid on September 25, 2025. For the year ended December 31, 2024, operating cash flow for continuing operations benefited from this deferral.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Investing Activities</w:t>
      </w:r>
    </w:p>
    <w:p>
      <w:pPr>
        <w:spacing w:after="0" w:line="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net cash used for investing activities was $1.6 billion in 2025 and $2.4 billion in 2024 and total net cash provided by investing activities was $459 million in 2023.</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cash paid for property, plant and equipment additions was $807 million in 2025, $855 million in 2024 and $650 million in 2023, which included $ 89 million, $100 million, and $102 million in 2025, 2024 and 2023, respectively, for discontinued operations. The 2024 amount for continuing operations included the purchase of land, aggregates reserves and processing plants in Southern California.</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pretax proceeds from divestitures and sales of assets were $38 million in 2025, $2.2 billion in 2024 and $427 million in 2023. The 2024 amount for continuing operations included proceeds from the Divestiture. The 2023 amount for discontinued operations included the proceeds from the divestitures of the Company's Tehachapi, California cement plant and Stockton, California cement import terminal.</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2025, the Company used available liquidity to fund the July 2025 acquisition of Premier Magnesia, LLC. On April 5, 2024, the Company used $2.05 billion of cash on hand to fund the BWI Southeast acquisition. Subsequently, the Company used available liquidity to fund the South Florida aggregates acquisition in October 2024 and the West Texas aggregates acquisition in December 2024. In 2024, net cash used for investing activities for discontinued operations included the acquisition of several ready mixed concrete plants in North and West Texas.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2023, net cash provided by investing activities for continuing operations included $700 million in proceeds from the sale of restricted investments, which the Company had invested during 2022 and used to repay discharged debt and related interest in 2023.</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Financing Activities</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Total net cash used for financing activities was $ 800 million in 2025 and $1.1 billion in 2023 and net cash provided by financing activities was $373 million in 2024. In December 2025, the Company repaid the $125 million of 7% Debentures that matured by their own terms. Additionally, during 2025, the Company borrowed $640 million and repaid $610 million on its short-term facilities. In November 2024, the Company issued $1.5 billion of publicly traded debt and used the proceeds to repay short-term credit facility borrowings and for general corporate purposes. Also, in July 2024, the Company repaid the $400 million of 4.250% Senior Notes that matured by their own terms. In 2023, the Company repaid $700 million of discharged debt and related interest using restricted investments made in 2022.</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years ended December 31, 2025, 2024 and 2023, the Board of Directors approved total cash dividends on the Company’s common stock of $3.24 per share, $3.06 per share and $2.80 per share, respectively. Total cash dividends paid were $197 million in 2025, $189 million in 2024 and $174 million in 2023.</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2025, the Company repurchased 0.9 million shares of its common stock for a total cost of $450 million. During 2024, the Company repurchased 0.8 million shares of its common stock for a total cost of $450 million. During 2023, the Company repurchased 0.4 million shares of its common stock for a total cost of $150 million. In 2025, 2024 and 2023, the average cost of the repurchases was $494.04 per share, $572.70 per share and $393.16,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Capital Structure and Resources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$5.3 billion at December 31, 2025, and was predominately in the form of publicly-issued long-term notes.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that matures on September 16, 2026. The Trade Receivable Facility contains a cross-default provision to the Company’s other debt agreements. There was $30 million outstanding on the Trade Receivable Facility as of December 31, 2025.</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has an $800 million five-year senior unsecured revolving facility (the Revolving Facility), which matures in December 2030. There were no outstanding borrowings on the Revolving Facility as of December 31, 2025. The Revolving Facility requires the Company’s ratio of consolidated net debt-to-consolidated EBITDA, as defined, for the trailing-twelve months (the Ratio) to not exceed 3.50x as of the end of any fiscal quarter. The Company may exclude from the Ratio certain debt incurred in connection with qualifying acquisitions during the current quarter or the three preceding quarters, provided that the Ratio calculated without such exclusion does not exceed 4.00x. In addition, if there are no outstanding borrowings under the Revolving Facility and the Trade Receivable Facility, consolidated debt, including debt for which the Company is a guarantor, shall be reduced in an amount equal to the lesser of $500 million or the sum of the Company’s unrestricted cash and temporary investments, for purposes of the covenant calculation. The Company was in compliance with the Ratio and other requirements under the Revolving Facility at December 31, 2025.</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authority granted by its Board of Directors, the Company may repurchase up to 20 million shares of common stock. As of December 31, 2025, the Company had 11.0 million shares remaining under the repurchase authorization. Future share repurchases are at management's discretion.</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2025, the Company had $67 million in unrestricted cash and short-term investments that are considered cash equivalents. Cash and cash equivalents are managed to ensure short-term operating cash needs are met while efficiently deploying excess funds. The Company’s investments in bank funds generally exceed the FDIC insurance limit.</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2025, the Company had $1.2 billion of unused borrowing capacity under its Revolving Facility and Trade Receivable Facility.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exposed to credit markets through the interest cost related to borrowings under its Revolving Facility and Trade Receivable Facility.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Contractual and Off-Balance Sheet Obligations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has retirement benefits related to pension plans. At December 31, 2025, the fair value of the qualified pension plans’ assets exceeded the projected benefit obligation by $487 million. The Company does not plan to make any voluntary contributions to the qualified pension plans during 2026. Any contributions beyond 2026 are currently undeterminable and will depend on the investment return on the related pension assets. At December 31, 2025, the Company had a total obligation of $103 million related to unfunded nonqualified pension plans and expects to make contributions of $25 million to these plans in 2026.</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connection with normal, ongoing operations, the Company enters into market-rate leases for property, plant and equipment and royalty commitments principally associated with leased land and mineral reserves. Additionally, the Company enters into equipment rentals to meet shorter-term, nonrecurring and intermittent needs. At December 31, 2025, the Company had $392 million in operating lease obligations and $314 million in finance lease obligations, representing the present value of future payments, which include $22 million of lease obligations classified as held for sale. The imputed interest on operating and finance lease obligations was $ 268 million. Management anticipates that, in the ordinary course of business, the Company will enter into additional royalty agreements for land and mineral reserves during 2026. As permitted, short-term leases are excluded from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requirements and future noncancelable obligations for these leases as of December 31, 2025 are immaterial.</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December 31, 2025, future interest payable on the Company’s publicly-traded debt through the various maturity dates was $3.2 billion. The Company had obligations related to a contract of affreightment not accounted for as a lease, and royalty agreements, totaling $35 million and $169 million, respectively, as of December 31, 2025. The Company had purchase commitments for property, plant and equipment of $119 million as of December 31, 2025 and other purchase obligations related to energy and service contracts totaling $154 million as of December 31, 2025. Of the total contractual purchase commitments, $14 million was for the Company's Texas cement business and related ready mixed concrete operations that are classified as assets held for sale as of December 31, 2025.</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invests in renewable energy investment entities which qualify for tax credits and other tax benefits. As of December 31, 2025, the Company has committed to an additional $51 million of tax equity investments related to renewable energy tax credit projects. These amounts are expected to be paid in 2026 and are recorded in the </w:t>
      </w:r>
      <w:r>
        <w:rPr>
          <w:rFonts w:ascii="Arial" w:cs="Arial" w:eastAsia="Arial" w:hAnsi="Arial"/>
          <w:sz w:val="18"/>
          <w:szCs w:val="18"/>
          <w:i w:val="1"/>
          <w:iCs w:val="1"/>
          <w:color w:val="auto"/>
        </w:rPr>
        <w:t>Unpaid commitments to limited liability companies</w:t>
      </w:r>
      <w:r>
        <w:rPr>
          <w:rFonts w:ascii="Arial" w:cs="Arial" w:eastAsia="Arial" w:hAnsi="Arial"/>
          <w:sz w:val="18"/>
          <w:szCs w:val="18"/>
          <w:color w:val="auto"/>
        </w:rPr>
        <w:t xml:space="preserve"> line item on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Contingent Liabilities and Commitments</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entered into standby letter of credit agreements relating to certain insurance claims, contract performance and permit requirements. At December 31, 2025, the Company had contingent liabilities guaranteeing its own performance under these outstanding letters of credit of $34 million.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normal course of business, at December 31, 2025, the Company was contingently liable for $850 million in surety bonds, which guarantee its own performance and are required by certain states and municipalities and their related agencies. The Company has indemnified the underwriting insurance companies against any exposure under the surety bonds. In the Company’s experience, no material claims have been made against these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OTHER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Critical Accounting Policies and Estimates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uses certain significant accounting policies to prepare its audited consolidated financial statements and related disclosures in conformity with U.S. generally accepted accounting principles. These accounting policies are described in </w:t>
      </w:r>
      <w:r>
        <w:rPr>
          <w:rFonts w:ascii="Arial" w:cs="Arial" w:eastAsia="Arial" w:hAnsi="Arial"/>
          <w:sz w:val="18"/>
          <w:szCs w:val="18"/>
          <w:u w:val="single" w:color="auto"/>
          <w:color w:val="0563C1"/>
        </w:rPr>
        <w:t>Note A: Accounting Policies</w:t>
      </w:r>
      <w:r>
        <w:rPr>
          <w:rFonts w:ascii="Arial" w:cs="Arial" w:eastAsia="Arial" w:hAnsi="Arial"/>
          <w:sz w:val="18"/>
          <w:szCs w:val="18"/>
          <w:color w:val="auto"/>
        </w:rPr>
        <w:t xml:space="preserve"> of the </w:t>
      </w:r>
      <w:r>
        <w:rPr>
          <w:rFonts w:ascii="Arial" w:cs="Arial" w:eastAsia="Arial" w:hAnsi="Arial"/>
          <w:sz w:val="18"/>
          <w:szCs w:val="18"/>
          <w:u w:val="single" w:color="auto"/>
          <w:color w:val="0563C1"/>
        </w:rPr>
        <w:t>Notes to Financial Statements</w:t>
      </w:r>
      <w:r>
        <w:rPr>
          <w:rFonts w:ascii="Arial" w:cs="Arial" w:eastAsia="Arial" w:hAnsi="Arial"/>
          <w:sz w:val="18"/>
          <w:szCs w:val="18"/>
          <w:color w:val="0563C1"/>
        </w:rPr>
        <w:t xml:space="preserve"> </w:t>
      </w:r>
      <w:r>
        <w:rPr>
          <w:rFonts w:ascii="Arial" w:cs="Arial" w:eastAsia="Arial" w:hAnsi="Arial"/>
          <w:sz w:val="18"/>
          <w:szCs w:val="18"/>
          <w:color w:val="000000"/>
        </w:rPr>
        <w:t>of the Company’s consolidated financial statements included under</w:t>
      </w:r>
      <w:r>
        <w:rPr>
          <w:rFonts w:ascii="Arial" w:cs="Arial" w:eastAsia="Arial" w:hAnsi="Arial"/>
          <w:sz w:val="18"/>
          <w:szCs w:val="18"/>
          <w:color w:val="0563C1"/>
        </w:rPr>
        <w:t xml:space="preserve"> Item 8, Financial Statements and </w:t>
      </w:r>
      <w:r>
        <w:rPr>
          <w:rFonts w:ascii="Arial" w:cs="Arial" w:eastAsia="Arial" w:hAnsi="Arial"/>
          <w:sz w:val="18"/>
          <w:szCs w:val="18"/>
          <w:u w:val="single" w:color="auto"/>
          <w:color w:val="0563C1"/>
        </w:rPr>
        <w:t>Supplemental Data</w:t>
      </w:r>
      <w:r>
        <w:rPr>
          <w:rFonts w:ascii="Arial" w:cs="Arial" w:eastAsia="Arial" w:hAnsi="Arial"/>
          <w:sz w:val="18"/>
          <w:szCs w:val="18"/>
          <w:color w:val="0563C1"/>
        </w:rPr>
        <w:t xml:space="preserve"> </w:t>
      </w:r>
      <w:r>
        <w:rPr>
          <w:rFonts w:ascii="Arial" w:cs="Arial" w:eastAsia="Arial" w:hAnsi="Arial"/>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-288290</wp:posOffset>
            </wp:positionV>
            <wp:extent cx="14122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12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1609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09725" cy="825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-160020</wp:posOffset>
            </wp:positionV>
            <wp:extent cx="18649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649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9715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8"/>
          <w:szCs w:val="18"/>
          <w:color w:val="auto"/>
        </w:rPr>
        <w:t>The Company’s audited consolidated financial statements include certain critical estimates regarding the effect of matters that are inherently uncertain. Management bases its estimates on historical experience and on various other assumptions it believes to be reasonable under the circumstances, the results of which form the basis for making subjective and complex judgments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about the carrying values of assets and liabilities. Amounts reported in the Company’s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Business Combinations – Allocation of Purchase Price</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Board of Directors and management regularly review long-term strategic plans, including potential investments in value-added acquisitions of related or similar businesses which would increase the Company’s market presence and/or are related to the Company’s existing markets. 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transferred to the seller and any future obligations to the seller as of the date of acquisition.</w:t>
      </w:r>
    </w:p>
    <w:p>
      <w:pPr>
        <w:spacing w:after="0" w:line="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following a business combination.</w:t>
      </w:r>
    </w:p>
    <w:p>
      <w:pPr>
        <w:spacing w:after="0" w:line="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Fair 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1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Level 1 – Quoted prices in active markets for identical assets and liabilities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Level 2 – Observable inputs, other than quoted prices, for similar assets or liabilities in active markets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Level 3 – Unobservable inputs, used to value the asset or liability which includes the use of valuation models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values are used to value investments in publicly traded entities and assumed obligations for publicly traded long-term debt.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Level 3 fair values are used to value acquired mineral reserves and mineral interests produced and sold as final products, and separately-identifiable intangible assets. The fair values of mineral reserves and mineral interests are determined using an excess earnings approach, which requires significant judgment to estimate future cash flows, net of capital investments in the specific operation and contributory asset charges. The estimate of future cash flows is based on available historical information and future expectations and assumptions determined by management, but is inherently uncertain. Significant assumptions used to estimate future cash flows include changes in forecasted revenues based on sales price and shipment volumes, EBITDA margin and forecasted expenses inclusive of production costs and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useful lives of amortizable intangible assets and the remaining useful lives for acquired machinery and equipment have a significant impact on earnings. The selected lives are based on the expected periods that the assets will provide value to the Company following the business combination.</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business combinations and purchase price allocations, see Note B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Impairment Review of Goodwill</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Goodwill is tested annually for impairment by comparing a reporting unit’s fair value to its carrying value. Interim impairment reviews are performed if facts and circumstances arise that indicate a potential impairment. The goodwill impairment assessment is a critical accounting estimate because goodwill (excluding any goodwill allocated to assets held for sale) represented 19% of the Company’s total assets at December 31, 2025; the review requires management to apply judgment and make key assumptions; and an impairment charge could be material to the Company’s financial condition and results of operations.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any qualitative assessment, or Step-0 analysis, the Company evaluates macroeconomic conditions, industry and market conditions, cost factors, overall financial performance and other business or reporting unit-specific events that could impact the fair values of its reporting units.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reporting units evaluated using a qualitative assessment, or Step-1 analysis, the Company calculates its reporting units' fair values using both an income and market approach. The income approach determines fair values based on discounted cash flow models whereas the market approach involves the application of revenues and EBITDA multiples of comparable companies. Significant assumptions used in the Company's discounted cash flow model include management’s estimates of changes in average selling price, shipment volumes and production costs as well as assumptions of future profitability, capital requirements, discount rates and a terminal growth rate. Price, cost and volume assumptions are based on various factors, including historical averages, current forecasts, external sources, and market conditions, while also considering any production capacity constraints.</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Future profitability and capital requirements are, by their nature, estimates. Capital requirements include maintenance-level needs and known efficiency- and capacity-increasing investments. The calculation of a reporting unit's discount rate includes the following components, which are primarily based on published sources: equity risk premium, historical beta, risk-free interest rate, size premium and borrowing rate. To assess the reasonableness of the reporting units' fair values, the Company compares the total of the reporting unit fair values to its market capitalization.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these estimates and assumptions could materially affect the determination of fair value and goodwill impairment. Further, mineral reserves, which represent underlying assets producing the reporting units’ cash flows for the aggregates product line, are depleting assets by their nature. Any potential impairment charges from future evaluations represent a risk to the Company.</w:t>
      </w:r>
    </w:p>
    <w:p>
      <w:pPr>
        <w:spacing w:after="0" w:line="61"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For the 2025 annual impairment evaluation, the Company performed a Step-0 analysis for all reporting units, except for its West Division, as of October 1, 2025 and concluded that it is more-likely-than-not that each of these reporting units’ fair value exceeded its carrying value. The Company performed a Step-1 analysis for its West Division and determined its fair value exceeded its carrying value. For sensitivity purposes, a 100</w:t>
      </w:r>
      <w:r>
        <w:rPr>
          <w:rFonts w:ascii="MS PGothic" w:cs="MS PGothic" w:eastAsia="MS PGothic" w:hAnsi="MS PGothic"/>
          <w:sz w:val="18"/>
          <w:szCs w:val="18"/>
          <w:color w:val="auto"/>
        </w:rPr>
        <w:t>‐</w:t>
      </w:r>
      <w:r>
        <w:rPr>
          <w:rFonts w:ascii="Arial" w:cs="Arial" w:eastAsia="Arial" w:hAnsi="Arial"/>
          <w:sz w:val="18"/>
          <w:szCs w:val="18"/>
          <w:color w:val="auto"/>
        </w:rPr>
        <w:t>basis</w:t>
      </w:r>
      <w:r>
        <w:rPr>
          <w:rFonts w:ascii="MS PGothic" w:cs="MS PGothic" w:eastAsia="MS PGothic" w:hAnsi="MS PGothic"/>
          <w:sz w:val="18"/>
          <w:szCs w:val="18"/>
          <w:color w:val="auto"/>
        </w:rPr>
        <w:t>‐</w:t>
      </w:r>
      <w:r>
        <w:rPr>
          <w:rFonts w:ascii="Arial" w:cs="Arial" w:eastAsia="Arial" w:hAnsi="Arial"/>
          <w:sz w:val="18"/>
          <w:szCs w:val="18"/>
          <w:color w:val="auto"/>
        </w:rPr>
        <w:t>point increase in the discount rate, holding all other assumptions constant, would still result in the West Division passing the Step</w:t>
      </w:r>
      <w:r>
        <w:rPr>
          <w:rFonts w:ascii="MS PGothic" w:cs="MS PGothic" w:eastAsia="MS PGothic" w:hAnsi="MS PGothic"/>
          <w:sz w:val="18"/>
          <w:szCs w:val="18"/>
          <w:color w:val="auto"/>
        </w:rPr>
        <w:t>‐</w:t>
      </w:r>
      <w:r>
        <w:rPr>
          <w:rFonts w:ascii="Arial" w:cs="Arial" w:eastAsia="Arial" w:hAnsi="Arial"/>
          <w:sz w:val="18"/>
          <w:szCs w:val="18"/>
          <w:color w:val="auto"/>
        </w:rPr>
        <w:t>1 analysis.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goodwill, see Note C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69215</wp:posOffset>
            </wp:positionV>
            <wp:extent cx="325755"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0" w:name="page61"/>
    <w:bookmarkEnd w:id="60"/>
    <w:p>
      <w:pPr>
        <w:ind w:left="266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Pension Benefit Obligation and Pension Expense – Selection of Assumptions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sponsors noncontributory defined benefit pension plans that cover substantially all employees and a Supplemental Excess Retirement Plan (SERP) for certain retirees. Annually, as of December 31, management remeasures the defined benefit pension plans’ projected benefit obligation based on the present value of the projected future benefit payments to all participants for services rendered to date, reflecting expected future pay increases through the participants’ expected retirement dates.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Annual pension expense (inclusive of SERP expense), referred to as net periodic benefit cost within the consolidated financial statements, consists of several components, which are calculated annually:</w:t>
      </w:r>
    </w:p>
    <w:p>
      <w:pPr>
        <w:ind w:left="1020" w:hanging="263"/>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Service Cost, </w:t>
      </w:r>
      <w:r>
        <w:rPr>
          <w:rFonts w:ascii="Arial" w:cs="Arial" w:eastAsia="Arial" w:hAnsi="Arial"/>
          <w:sz w:val="18"/>
          <w:szCs w:val="18"/>
          <w:color w:val="auto"/>
        </w:rPr>
        <w:t>which represents the present value of benefits attributed to services rendered in the current year, measured by</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future salary levels to assumed retirement dates;</w:t>
      </w:r>
    </w:p>
    <w:p>
      <w:pPr>
        <w:spacing w:after="0" w:line="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Interest Cost, </w:t>
      </w:r>
      <w:r>
        <w:rPr>
          <w:rFonts w:ascii="Arial" w:cs="Arial" w:eastAsia="Arial" w:hAnsi="Arial"/>
          <w:sz w:val="18"/>
          <w:szCs w:val="18"/>
          <w:color w:val="auto"/>
        </w:rPr>
        <w:t>which represents one year’s additional interest on the projected benefit obligation;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Expected Return on Assets, </w:t>
      </w:r>
      <w:r>
        <w:rPr>
          <w:rFonts w:ascii="Arial" w:cs="Arial" w:eastAsia="Arial" w:hAnsi="Arial"/>
          <w:sz w:val="18"/>
          <w:szCs w:val="18"/>
          <w:color w:val="auto"/>
        </w:rPr>
        <w:t>which represents the expected investment return on pension plan assets; and</w:t>
      </w:r>
    </w:p>
    <w:p>
      <w:pPr>
        <w:spacing w:after="0" w:line="62" w:lineRule="exact"/>
        <w:rPr>
          <w:rFonts w:ascii="Times New Roman" w:cs="Times New Roman" w:eastAsia="Times New Roman" w:hAnsi="Times New Roman"/>
          <w:sz w:val="18"/>
          <w:szCs w:val="18"/>
          <w:color w:val="auto"/>
        </w:rPr>
      </w:pPr>
    </w:p>
    <w:p>
      <w:pPr>
        <w:jc w:val="both"/>
        <w:ind w:left="1020" w:hanging="26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Amortization of Prior Service Cost and Actuarial Gains and Losses, </w:t>
      </w:r>
      <w:r>
        <w:rPr>
          <w:rFonts w:ascii="Arial" w:cs="Arial" w:eastAsia="Arial" w:hAnsi="Arial"/>
          <w:sz w:val="18"/>
          <w:szCs w:val="18"/>
          <w:color w:val="auto"/>
        </w:rPr>
        <w:t>which represents components that are recognized over time</w:t>
      </w:r>
      <w:r>
        <w:rPr>
          <w:rFonts w:ascii="Arial" w:cs="Arial" w:eastAsia="Arial" w:hAnsi="Arial"/>
          <w:sz w:val="18"/>
          <w:szCs w:val="18"/>
          <w:i w:val="1"/>
          <w:iCs w:val="1"/>
          <w:color w:val="auto"/>
        </w:rPr>
        <w:t xml:space="preserve"> </w:t>
      </w:r>
      <w:r>
        <w:rPr>
          <w:rFonts w:ascii="Arial" w:cs="Arial" w:eastAsia="Arial" w:hAnsi="Arial"/>
          <w:sz w:val="18"/>
          <w:szCs w:val="18"/>
          <w:color w:val="auto"/>
        </w:rPr>
        <w:t>rather than immediately. Prior service cost represents credit given to employees for years of service already accrued. Actuarial gains and losses arise from changes in assumptions regarding future events, a change in the benefit obligation resulting from experience different from assumed or when actual returns on pension assets differ from expected returns and are amortized over the participants' average remaining service period on a plan-by-plan basis.</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believes the selection of assumptions related to the annual pension expense and related projected benefit obligation is a critical accounting estimate due to the high degree of volatility in the expense and obligation dependent on selected assumptions. The key assumptions include the discount rate, rate of increase in future compensation levels, expected long-term rate of return on pension plan assets, mortality table and mortality improvement scale.</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high-quality corporate bonds with maturities that match the benefit obligations to determine the discount rate. At December 31, 2025, the Company selected a discount rate assumption of 5.97%, a 3-basis-point decrease compared with the December 31, 2024 assumption. Of the four key assumptions, the discount rate is generally the most volatile and sensitive estimate. Accordingly, a change in this assumption can have a significant impact on the annual pension expense and the projected benefit obligation.</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Management’s selection of the rate of increase in future compensation levels, which reflects cost of living adjustments and merit and promotion increases, is generally based on the Company’s historical increases in pensionable earnings, while considering any future expectations. A higher rate of increase results in higher pension expense and a higher projected benefit obligation. The assumed long-term rate of increase is 4.50%.</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Management’s selection of the expected long-term rate of return on pension fund assets is based on the current asset class mix of the Company's pension plan assets, current capital market conditions and a stochastic forecast of future conditions. Based on the currently projected returns on these assets and related expenses, the Company selected an expected return on assets of 6.75%, the same as the prior-year rate.</w:t>
      </w:r>
    </w:p>
    <w:p>
      <w:pPr>
        <w:spacing w:after="0" w:line="13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difference between the expected return and the actual return on pension assets is included in actuarial gains and losses, which are amortized into annual pension expense as previously described.</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December 31, 2025 and 2024, the Company estimated the remaining lives of participants in the pension plans using the Society of Actuaries’ Pri-2012 Base Mortality Table. The no-collar table was used for salaried participants and the blue-collar table was used for hourly participants, both adjusted to reflect the historical experience of the Company’s participants and a geospatial mortality analysis. The Company selected the MP-2020 scale for mortality improvement at December 31, 2025 and 2024.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Assumptions are selected on December 31 to calculate the succeeding year’s expense. The assumptions selected at December 31, 2025 are as follows:</w:t>
      </w:r>
    </w:p>
    <w:p>
      <w:pPr>
        <w:spacing w:after="0" w:line="46" w:lineRule="exact"/>
        <w:rPr>
          <w:sz w:val="20"/>
          <w:szCs w:val="20"/>
          <w:color w:val="auto"/>
        </w:rPr>
      </w:pPr>
    </w:p>
    <w:tbl>
      <w:tblPr>
        <w:tblLayout w:type="fixed"/>
        <w:tblInd w:w="1080" w:type="dxa"/>
        <w:tblCellMar>
          <w:top w:w="0" w:type="dxa"/>
          <w:left w:w="0" w:type="dxa"/>
          <w:bottom w:w="0" w:type="dxa"/>
          <w:right w:w="0" w:type="dxa"/>
        </w:tblCellMar>
      </w:tblPr>
      <w:tr>
        <w:trPr>
          <w:trHeight w:val="221"/>
        </w:trPr>
        <w:tc>
          <w:tcPr>
            <w:tcW w:w="6140" w:type="dxa"/>
            <w:vAlign w:val="bottom"/>
          </w:tcPr>
          <w:p>
            <w:pPr>
              <w:ind w:left="100"/>
              <w:spacing w:after="0"/>
              <w:rPr>
                <w:sz w:val="20"/>
                <w:szCs w:val="20"/>
                <w:color w:val="auto"/>
              </w:rPr>
            </w:pPr>
            <w:r>
              <w:rPr>
                <w:rFonts w:ascii="Arial" w:cs="Arial" w:eastAsia="Arial" w:hAnsi="Arial"/>
                <w:sz w:val="18"/>
                <w:szCs w:val="18"/>
                <w:color w:val="auto"/>
              </w:rPr>
              <w:t>Discount rate</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5.97%</w:t>
            </w:r>
          </w:p>
        </w:tc>
      </w:tr>
      <w:tr>
        <w:trPr>
          <w:trHeight w:val="203"/>
        </w:trPr>
        <w:tc>
          <w:tcPr>
            <w:tcW w:w="6140" w:type="dxa"/>
            <w:vAlign w:val="bottom"/>
            <w:shd w:val="clear" w:color="auto" w:fill="E5F1F8"/>
          </w:tcPr>
          <w:p>
            <w:pPr>
              <w:ind w:left="100"/>
              <w:spacing w:after="0" w:line="202" w:lineRule="exact"/>
              <w:rPr>
                <w:sz w:val="20"/>
                <w:szCs w:val="20"/>
                <w:color w:val="auto"/>
              </w:rPr>
            </w:pPr>
            <w:r>
              <w:rPr>
                <w:rFonts w:ascii="Arial" w:cs="Arial" w:eastAsia="Arial" w:hAnsi="Arial"/>
                <w:sz w:val="18"/>
                <w:szCs w:val="18"/>
                <w:color w:val="auto"/>
              </w:rPr>
              <w:t>Rate of increase in future compensation levels</w:t>
            </w:r>
          </w:p>
        </w:tc>
        <w:tc>
          <w:tcPr>
            <w:tcW w:w="29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6140" w:type="dxa"/>
            <w:vAlign w:val="bottom"/>
          </w:tcPr>
          <w:p>
            <w:pPr>
              <w:ind w:left="100"/>
              <w:spacing w:after="0" w:line="202" w:lineRule="exact"/>
              <w:rPr>
                <w:sz w:val="20"/>
                <w:szCs w:val="20"/>
                <w:color w:val="auto"/>
              </w:rPr>
            </w:pPr>
            <w:r>
              <w:rPr>
                <w:rFonts w:ascii="Arial" w:cs="Arial" w:eastAsia="Arial" w:hAnsi="Arial"/>
                <w:sz w:val="18"/>
                <w:szCs w:val="18"/>
                <w:color w:val="auto"/>
              </w:rPr>
              <w:t>Expected long-term rate of return on assets</w:t>
            </w:r>
          </w:p>
        </w:tc>
        <w:tc>
          <w:tcPr>
            <w:tcW w:w="2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6140" w:type="dxa"/>
            <w:vAlign w:val="bottom"/>
            <w:shd w:val="clear" w:color="auto" w:fill="E5F1F8"/>
          </w:tcPr>
          <w:p>
            <w:pPr>
              <w:ind w:left="100"/>
              <w:spacing w:after="0" w:line="202" w:lineRule="exact"/>
              <w:rPr>
                <w:sz w:val="20"/>
                <w:szCs w:val="20"/>
                <w:color w:val="auto"/>
              </w:rPr>
            </w:pPr>
            <w:r>
              <w:rPr>
                <w:rFonts w:ascii="Arial" w:cs="Arial" w:eastAsia="Arial" w:hAnsi="Arial"/>
                <w:sz w:val="18"/>
                <w:szCs w:val="18"/>
                <w:color w:val="auto"/>
              </w:rPr>
              <w:t>Average remaining service period for participants</w:t>
            </w:r>
          </w:p>
        </w:tc>
        <w:tc>
          <w:tcPr>
            <w:tcW w:w="29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9 years</w:t>
            </w:r>
          </w:p>
        </w:tc>
      </w:tr>
      <w:tr>
        <w:trPr>
          <w:trHeight w:val="203"/>
        </w:trPr>
        <w:tc>
          <w:tcPr>
            <w:tcW w:w="6140" w:type="dxa"/>
            <w:vAlign w:val="bottom"/>
          </w:tcPr>
          <w:p>
            <w:pPr>
              <w:ind w:left="100"/>
              <w:spacing w:after="0" w:line="202" w:lineRule="exact"/>
              <w:rPr>
                <w:sz w:val="20"/>
                <w:szCs w:val="20"/>
                <w:color w:val="auto"/>
              </w:rPr>
            </w:pPr>
            <w:r>
              <w:rPr>
                <w:rFonts w:ascii="Arial" w:cs="Arial" w:eastAsia="Arial" w:hAnsi="Arial"/>
                <w:sz w:val="18"/>
                <w:szCs w:val="18"/>
                <w:color w:val="auto"/>
              </w:rPr>
              <w:t>Mortality Tables:</w:t>
            </w:r>
          </w:p>
        </w:tc>
        <w:tc>
          <w:tcPr>
            <w:tcW w:w="2960" w:type="dxa"/>
            <w:vAlign w:val="bottom"/>
          </w:tcPr>
          <w:p>
            <w:pPr>
              <w:spacing w:after="0"/>
              <w:rPr>
                <w:sz w:val="17"/>
                <w:szCs w:val="17"/>
                <w:color w:val="auto"/>
              </w:rPr>
            </w:pPr>
          </w:p>
        </w:tc>
      </w:tr>
      <w:tr>
        <w:trPr>
          <w:trHeight w:val="203"/>
        </w:trPr>
        <w:tc>
          <w:tcPr>
            <w:tcW w:w="6140" w:type="dxa"/>
            <w:vAlign w:val="bottom"/>
            <w:shd w:val="clear" w:color="auto" w:fill="E5F1F8"/>
          </w:tcPr>
          <w:p>
            <w:pPr>
              <w:ind w:left="240"/>
              <w:spacing w:after="0" w:line="202" w:lineRule="exact"/>
              <w:rPr>
                <w:sz w:val="20"/>
                <w:szCs w:val="20"/>
                <w:color w:val="auto"/>
              </w:rPr>
            </w:pPr>
            <w:r>
              <w:rPr>
                <w:rFonts w:ascii="Arial" w:cs="Arial" w:eastAsia="Arial" w:hAnsi="Arial"/>
                <w:sz w:val="18"/>
                <w:szCs w:val="18"/>
                <w:color w:val="auto"/>
              </w:rPr>
              <w:t>Base Table</w:t>
            </w:r>
          </w:p>
        </w:tc>
        <w:tc>
          <w:tcPr>
            <w:tcW w:w="29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Pri-2012</w:t>
            </w:r>
          </w:p>
        </w:tc>
      </w:tr>
      <w:tr>
        <w:trPr>
          <w:trHeight w:val="239"/>
        </w:trPr>
        <w:tc>
          <w:tcPr>
            <w:tcW w:w="6140" w:type="dxa"/>
            <w:vAlign w:val="bottom"/>
          </w:tcPr>
          <w:p>
            <w:pPr>
              <w:ind w:left="240"/>
              <w:spacing w:after="0"/>
              <w:rPr>
                <w:sz w:val="20"/>
                <w:szCs w:val="20"/>
                <w:color w:val="auto"/>
              </w:rPr>
            </w:pPr>
            <w:r>
              <w:rPr>
                <w:rFonts w:ascii="Arial" w:cs="Arial" w:eastAsia="Arial" w:hAnsi="Arial"/>
                <w:sz w:val="18"/>
                <w:szCs w:val="18"/>
                <w:color w:val="auto"/>
              </w:rPr>
              <w:t>Mortality Improvement Scale</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MP-2020</w:t>
            </w:r>
          </w:p>
        </w:tc>
      </w:tr>
    </w:tbl>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Using these assumptions, the Company's pension benefit obligation as of December 31, 2025 was $ 1.0 billion and 2026 pension expense is expected to be approximately $19 million based on current demographics and structure of the plans. Changes in the underlying assumptions would have the following estimated impact on the obligation and expected expense:</w:t>
      </w:r>
    </w:p>
    <w:p>
      <w:pPr>
        <w:spacing w:after="0" w:line="61" w:lineRule="exact"/>
        <w:rPr>
          <w:sz w:val="20"/>
          <w:szCs w:val="20"/>
          <w:color w:val="auto"/>
        </w:rPr>
      </w:pPr>
    </w:p>
    <w:p>
      <w:pPr>
        <w:ind w:left="1140" w:hanging="383"/>
        <w:spacing w:after="0" w:line="265" w:lineRule="auto"/>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25-basis-point change in the discount rate would have changed the December 31, 2025 pension benefit obligation by approximately $30 million.</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25-basis-point change in the discount rate would not materially change the 2026 expected expense.</w:t>
      </w:r>
    </w:p>
    <w:p>
      <w:pPr>
        <w:spacing w:after="0" w:line="62"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25-basis-point change in the expected long-term rate of return on assets would change the 2026 expected expense by approximately $3 million.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made pension plan and SERP contributions of $42 million in 2025 and $281 million during the five-year period ended December 31, 2025. In total, the Company’s pension plans are overfunded (fair value of plan assets exceeds the projected benefit obligation) by $384 million at December 31, 2025. The Company expects to make pension plan and SERP contributions of $25 million in 2026, none of which is voluntary.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pension benefit obligation and pension expense, see Note J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Estimated Effective Income Tax Rate</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determines its provision for income taxes using the liability method. Under this approach, the annual income tax provision reflects estimates of the current liability for income taxes, estimates of the tax effect of financial reporting versus tax basis differences using statutory income tax rates and management’s judgment with respect to any valuation allowances on deferred tax assets and accruals for uncertain tax positions. The result is management’s estimate of the annual effective tax rate (the ETR).</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Income for tax purposes is determined through the application of the rules and regulations under the United States Internal Revenue Code and the statutes of various foreign, state and local tax jurisdictions in which the Company conducts business. Changes in the statutory tax rates and/or tax laws in these jurisdictions, as well as changes in the geographic mix of earnings, can have a material impact on the ETR and the carrying value of deferred tax assets and liabilities. The effect of statutory tax law changes, if material, is recognized when the change is enacted.</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Deferred tax assets representing future tax benefits are analyzed by evaluating all available evidence, both positive and negative, to determine whether, based on the weight of that evidence, all or a portion of the expected future benefits is more-likely-than-not to be realized by the Company. This analysis requires management to make certain estimates and assumptions about future taxable income and prudent and feasible tax planning strategies. The establishment or increase of a valuation allowance increases income tax expense in the period such a determination is made; conversely, the decrease of a valuation allowance decreases income tax expense in the period such a determination is made.</w:t>
      </w:r>
    </w:p>
    <w:p>
      <w:pPr>
        <w:spacing w:after="0" w:line="3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The Company recognizes a tax benefit when it is judged to be more</w:t>
      </w:r>
      <w:r>
        <w:rPr>
          <w:rFonts w:ascii="MS PGothic" w:cs="MS PGothic" w:eastAsia="MS PGothic" w:hAnsi="MS PGothic"/>
          <w:sz w:val="18"/>
          <w:szCs w:val="18"/>
          <w:color w:val="auto"/>
        </w:rPr>
        <w:t>‐</w:t>
      </w:r>
      <w:r>
        <w:rPr>
          <w:rFonts w:ascii="Arial" w:cs="Arial" w:eastAsia="Arial" w:hAnsi="Arial"/>
          <w:sz w:val="18"/>
          <w:szCs w:val="18"/>
          <w:color w:val="auto"/>
        </w:rPr>
        <w:t xml:space="preserve"> 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based on the technical merits, that a tax position would be sustained upon examination by a taxing authority. The amount to be recognized is measured as the largest amount of tax benefit that is greater than 50% likely of being realized upon ultimate settlement with a taxing authority that has full knowledge of all relevant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2" w:name="page63"/>
    <w:bookmarkEnd w:id="62"/>
    <w:p>
      <w:pPr>
        <w:ind w:left="266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 holds equity investments in renewable energy tax credit (RETC) projects which qualify for certain tax benefits. All of the Company's RETC investments are accounted for under the proportional amortization method. Under the proportional amortization method, the equity investment is amortized in proportion to the income tax credits and other income tax benefits received, with the amortization expense and the income tax benefits presented on a net basis in the </w:t>
      </w:r>
      <w:r>
        <w:rPr>
          <w:rFonts w:ascii="Arial" w:cs="Arial" w:eastAsia="Arial" w:hAnsi="Arial"/>
          <w:sz w:val="18"/>
          <w:szCs w:val="18"/>
          <w:i w:val="1"/>
          <w:iCs w:val="1"/>
          <w:color w:val="auto"/>
        </w:rPr>
        <w:t>Income tax expense or benefit</w:t>
      </w:r>
      <w:r>
        <w:rPr>
          <w:rFonts w:ascii="Arial" w:cs="Arial" w:eastAsia="Arial" w:hAnsi="Arial"/>
          <w:sz w:val="18"/>
          <w:szCs w:val="18"/>
          <w:color w:val="auto"/>
        </w:rPr>
        <w:t xml:space="preserve"> line item in the consolidated statements of earnings.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income taxes, see Note I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Property, Plant and Equipment</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Property, plant and equipment, net, represented 55% of total assets at December 31, 2025.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Aggregates mineral reserves and mineral interests are components within the property, plant and equipment balance on the consolidated balance sheets. The Company evaluates aggregates reserves, including those used in cement manufacturing, in several ways, depending on the geology at a particular location and whether the location is a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8"/>
          <w:szCs w:val="18"/>
          <w:i w:val="1"/>
          <w:iCs w:val="1"/>
          <w:color w:val="auto"/>
        </w:rPr>
        <w:t>Environmental Regulation and Litigation</w:t>
      </w:r>
      <w:r>
        <w:rPr>
          <w:rFonts w:ascii="Arial" w:cs="Arial" w:eastAsia="Arial" w:hAnsi="Arial"/>
          <w:sz w:val="18"/>
          <w:szCs w:val="18"/>
          <w:color w:val="auto"/>
        </w:rPr>
        <w:t xml:space="preserve"> section). The depth of overburden (the layer of soil and other materials that lie above a mineral deposit) and the quality and quantity of the aggregates reserves are significant factors in determining whether to pursue 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verify the total reserves.</w:t>
      </w:r>
    </w:p>
    <w:p>
      <w:pPr>
        <w:spacing w:after="0" w:line="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quality of reserves within a deposit can vary. Construction contracts, for the infrastructure market in particular, include specifications related to the properties of the aggregates material. If a limiting characteristic in the deposit is discovered, the aggregates material may not meet the required specifications. Although it is possible that the aggregates material can still be used for non-specification uses, this can have an adverse impact on the Company’s ability to serve certain customers or the Company’s profitability. In addition, other factors can arise that influence the Company’s ability to develop reserves, including geological occurrences, mining practices, environmental requirements and zoning ordinances.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the amount of reserves, evaluations are completed by or under the supervision of a qualified person using industry best practices and internal controls defined by the Company. The designations the Company uses for reserve categories and those recognized by the aggregate industry are summarized as follows:</w:t>
      </w:r>
    </w:p>
    <w:p>
      <w:pPr>
        <w:spacing w:after="0" w:line="61" w:lineRule="exact"/>
        <w:rPr>
          <w:sz w:val="20"/>
          <w:szCs w:val="20"/>
          <w:color w:val="auto"/>
        </w:rPr>
      </w:pPr>
    </w:p>
    <w:p>
      <w:pPr>
        <w:jc w:val="both"/>
        <w:ind w:left="760"/>
        <w:spacing w:after="0" w:line="244" w:lineRule="auto"/>
        <w:rPr>
          <w:sz w:val="20"/>
          <w:szCs w:val="20"/>
          <w:color w:val="auto"/>
        </w:rPr>
      </w:pPr>
      <w:r>
        <w:rPr>
          <w:rFonts w:ascii="Arial" w:cs="Arial" w:eastAsia="Arial" w:hAnsi="Arial"/>
          <w:sz w:val="18"/>
          <w:szCs w:val="18"/>
          <w:i w:val="1"/>
          <w:iCs w:val="1"/>
          <w:color w:val="auto"/>
        </w:rPr>
        <w:t xml:space="preserve">Mineral Reserves </w:t>
      </w:r>
      <w:r>
        <w:rPr>
          <w:rFonts w:ascii="Arial" w:cs="Arial" w:eastAsia="Arial" w:hAnsi="Arial"/>
          <w:sz w:val="18"/>
          <w:szCs w:val="18"/>
          <w:color w:val="auto"/>
        </w:rPr>
        <w:t>– Mineral reserves are an estimate of tonnage and grade or quality that, in the opinion of a qualified person, can</w:t>
      </w:r>
      <w:r>
        <w:rPr>
          <w:rFonts w:ascii="Arial" w:cs="Arial" w:eastAsia="Arial" w:hAnsi="Arial"/>
          <w:sz w:val="18"/>
          <w:szCs w:val="18"/>
          <w:i w:val="1"/>
          <w:iCs w:val="1"/>
          <w:color w:val="auto"/>
        </w:rPr>
        <w:t xml:space="preserve"> </w:t>
      </w:r>
      <w:r>
        <w:rPr>
          <w:rFonts w:ascii="Arial" w:cs="Arial" w:eastAsia="Arial" w:hAnsi="Arial"/>
          <w:sz w:val="18"/>
          <w:szCs w:val="18"/>
          <w:color w:val="auto"/>
        </w:rPr>
        <w:t>be the basis of an economically viable project. More specifically, it is the economically mineable part of a mineral resource, which includes diluting materials and allowances for losses that may occur when the material is mined or extracted. Reserves are categorized as Proven and Probable and represent net tons after consideration of applicable losses incurred during mining and plant processing.</w:t>
      </w:r>
    </w:p>
    <w:p>
      <w:pPr>
        <w:spacing w:after="0" w:line="68"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i w:val="1"/>
          <w:iCs w:val="1"/>
          <w:color w:val="auto"/>
        </w:rPr>
        <w:t xml:space="preserve">Proven Reserves </w:t>
      </w:r>
      <w:r>
        <w:rPr>
          <w:rFonts w:ascii="Arial" w:cs="Arial" w:eastAsia="Arial" w:hAnsi="Arial"/>
          <w:sz w:val="18"/>
          <w:szCs w:val="18"/>
          <w:color w:val="auto"/>
        </w:rPr>
        <w:t>– Proven reserves are the portion of a mineral deposit for which quantity and quality are estimated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conclusive evidence from closely spaced drilling and sampling.</w:t>
      </w:r>
    </w:p>
    <w:p>
      <w:pPr>
        <w:spacing w:after="0" w:line="46"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i w:val="1"/>
          <w:iCs w:val="1"/>
          <w:color w:val="auto"/>
        </w:rPr>
        <w:t xml:space="preserve">Probable Reserves </w:t>
      </w:r>
      <w:r>
        <w:rPr>
          <w:rFonts w:ascii="Arial" w:cs="Arial" w:eastAsia="Arial" w:hAnsi="Arial"/>
          <w:sz w:val="18"/>
          <w:szCs w:val="18"/>
          <w:color w:val="auto"/>
        </w:rPr>
        <w:t>– Probable reserves are estimated on the basis of less geologic evidence but are considered adequate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quantity and quality.</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Company’s proven and probable reserves reflect reasonable economic and operating constraints and also include reserves at the Company’s inactive and undeveloped sites, including some sites where permitting and zoning applications will not be pursued until warranted by expected future growth. The Company has historically been successful in obtaining and maintaining appropriate zoning and permitting (see </w:t>
      </w:r>
      <w:r>
        <w:rPr>
          <w:rFonts w:ascii="Arial" w:cs="Arial" w:eastAsia="Arial" w:hAnsi="Arial"/>
          <w:sz w:val="18"/>
          <w:szCs w:val="18"/>
          <w:i w:val="1"/>
          <w:iCs w:val="1"/>
          <w:color w:val="auto"/>
        </w:rPr>
        <w:t>Environmental Regulation and Litigation</w:t>
      </w:r>
      <w:r>
        <w:rPr>
          <w:rFonts w:ascii="Arial" w:cs="Arial" w:eastAsia="Arial" w:hAnsi="Arial"/>
          <w:sz w:val="18"/>
          <w:szCs w:val="18"/>
          <w:color w:val="auto"/>
        </w:rPr>
        <w:t xml:space="preserve"> section). The Company bases estimates on the information known at the time of determination and regularly reevaluates reserves whenever new information indicates a material change in reserves at one of the Company’s sites.</w:t>
      </w:r>
    </w:p>
    <w:p>
      <w:pPr>
        <w:spacing w:after="0" w:line="68" w:lineRule="exact"/>
        <w:rPr>
          <w:sz w:val="20"/>
          <w:szCs w:val="20"/>
          <w:color w:val="auto"/>
        </w:rPr>
      </w:pPr>
    </w:p>
    <w:p>
      <w:pPr>
        <w:ind w:right="2020"/>
        <w:spacing w:after="0" w:line="374" w:lineRule="auto"/>
        <w:rPr>
          <w:sz w:val="20"/>
          <w:szCs w:val="20"/>
          <w:color w:val="auto"/>
        </w:rPr>
      </w:pPr>
      <w:r>
        <w:rPr>
          <w:rFonts w:ascii="Arial" w:cs="Arial" w:eastAsia="Arial" w:hAnsi="Arial"/>
          <w:sz w:val="18"/>
          <w:szCs w:val="18"/>
          <w:color w:val="auto"/>
        </w:rPr>
        <w:t xml:space="preserve">For additional information about property, plant and equipment, see Note F to the consolidated financial statements. Form 10-K </w:t>
      </w:r>
      <w:r>
        <w:rPr>
          <w:rFonts w:ascii="Arial" w:cs="Arial" w:eastAsia="Arial" w:hAnsi="Arial"/>
          <w:sz w:val="23"/>
          <w:szCs w:val="23"/>
          <w:color w:val="0070C0"/>
        </w:rPr>
        <w:t>♦</w:t>
      </w:r>
      <w:r>
        <w:rPr>
          <w:rFonts w:ascii="Arial" w:cs="Arial" w:eastAsia="Arial" w:hAnsi="Arial"/>
          <w:sz w:val="18"/>
          <w:szCs w:val="18"/>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-265430</wp:posOffset>
            </wp:positionV>
            <wp:extent cx="325755" cy="196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3" w:name="page64"/>
    <w:bookmarkEnd w:id="63"/>
    <w:p>
      <w:pPr>
        <w:ind w:left="266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4"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007DC6"/>
        </w:rPr>
        <w:t>Forward-Looking Statements – Safe Harbor Provisions Under the Private Securities Litigation Reform Act of 1995</w:t>
      </w:r>
    </w:p>
    <w:p>
      <w:pPr>
        <w:spacing w:after="0" w:line="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These statements, which are forward-looking statements within the meaning of Section 21E of the Securities Exchange Act of 1934 and 27A of the Securities Act of 1933, and are made pursuant to the safe harbor provisions of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In addition to the statements included in this report, we may from time to time make other oral or written forward-looking statements in other filings under the Securities Exchange Act of 1934 or in other public disclosures. Any, or all, of management’s forward-looking statements herein and in other publications may turn out to be wrong.</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forward-looking statements are subject to risks and uncertainties, and are based on assumptions that may be materially different from actual results, and include, but are not limited to:</w:t>
      </w:r>
    </w:p>
    <w:p>
      <w:pPr>
        <w:spacing w:after="0" w:line="46" w:lineRule="exact"/>
        <w:rPr>
          <w:sz w:val="20"/>
          <w:szCs w:val="20"/>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ability to address challenges, including shipment declines caused by economic and weather events beyond its control;</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widespread decline in aggregates pricing, including reduced shipment volume negatively affecting price;</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capping, reduction or suspension of federal and/or state fuel tax(es) or other revenue related to public construction;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Administration on the availability and timing of federal and state infrastructure investment;</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and timing of federal, state or local transportation or infrastructure or public projects funding, including any issues arising from such budgets, particularly in Texas, North Carolina, Colorado, California, Georgia, Florida, South Carolina, Arizona, Iowa and Minnesota;</w:t>
      </w:r>
    </w:p>
    <w:p>
      <w:pPr>
        <w:spacing w:after="0" w:line="8"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United States Congress’ inability to reach agreement among themselves or with the Executive Branch of the United States Federal government on policy affecting the federal budget;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states and/or other entities to finance approved projects through tax revenues or alternative financing;</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Construction spending levels in the Company's markets;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defense spending and impacts on construction activity on or near military bases;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energy-related construction due to sustained low global oil prices or changes in oil production or capital spending, particularly in Texas;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Sustained high mortgage interest rates and factors leading to a slowdown in private construction in some areas;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weather, including storms, hurricanes, wildfires, timing of seasons, drought, rainfall or extreme temperatures affecting production schedules, shipment volumes, product/geographic mix and profitability;</w:t>
      </w:r>
    </w:p>
    <w:p>
      <w:pPr>
        <w:spacing w:after="0" w:line="1"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of fuel and energy costs, including diesel, electricity, natural gas and consumables, like steel, explosives, tires and conveyor belts, as well as natural gas for the Company’s Specialties business;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raw materials costs, such as bitumen;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Rising costs of repair and supply parts;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Construction labor shortages or supply chain challenges;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equipment failures, unscheduled maintenance, industrial accident or prolonged production disruption;</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Resiliency and potential declines of the Company's construction end-use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impacts of disease outbreaks, epidemics, pandemics, or similar health threats, or fear of such events, and related economic/societal responses, affecting suppliers, customers, partners or employees;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the overall United States economy;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Governmental regulation, including environmental laws and climate change regulations at state and federal levels;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Implementation of emissions taxes, carbon-pricing schemes, or stricter climate-related rules that could increase operating costs or restrict cement or Specialties production;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securing timely land use approvals or environmental permits amid changing regulatory expectations;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legal actions or public pressure related to environmental impact, emissions, or land use could result in reputational harm or financial liability;</w:t>
      </w:r>
    </w:p>
    <w:p>
      <w:pPr>
        <w:spacing w:after="0" w:line="1"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evolving environmental, social, and governance (ESG) standards or investor benchmarks may affect access to capital or shareholder confidence;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external ESG ratings or methodologies could affect investor sentiment or index inclusion;</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competition for water access or stricter water usage regulations could impact production, especially in drought-prone regions;</w:t>
      </w:r>
    </w:p>
    <w:p>
      <w:pPr>
        <w:spacing w:after="0" w:line="1"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Outcomes of environmental or land-use proceedings, or increased costs associated with regulatory obligations, including site reclamation;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Elevated premiums or reduced coverage availability for property, casualty, or environmental liability could increase risk exposure;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Online misinformation campaigns or social media-driven reputational harm could affect stakeholder trust and market perception;</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Transportation availability and investment in rail infrastructure impacting the movement of materials especially to the Company’s Texas, Southeast and Gulf Coast markets, including the movement of essential dolomitic lime to the Company’s Specialties plant in Manistee, Michigan and its customers and the movement of magnesite from its Specialties' Gabbs, Nevada facility to processing plants in North Carolina, Indiana and Pennsylvania and its customers;</w:t>
      </w:r>
    </w:p>
    <w:p>
      <w:pPr>
        <w:spacing w:after="0" w:line="1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transportation costs, including increases from energy price fluctuations, fuel surcharges, and compliance with tightening regulations, including water shipments;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of trucks and licensed drivers for material transport;</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and cost of construction equipment in the United States;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Weakness in the steel industry markets served by the Company’s dolomitic lime products;</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Geopolitical risks affecting costs, supply chain, oil and gas prices, including conflict zones such as Russia- Ukraine, Israel-Middle East and potential China-Taiwan tensions;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Trade disputes and tariffs impacting the U.S. economy;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Unplanned cost changes or customer realignments affecting earnings, including in the Specialties business;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Dependence on information technology and automated systems;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third-party vendors, including exposure to cybersecurity vulnerabilities or service outages;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Inflation pressures on production and interest costs;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Customer concentration in construction markets increasing the risk of potential losses on customer receivables;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Demand levels, production volumes and cost management affecting operating leverage and profitability;</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the Company's pending QUIKRETE transaction, including the ability to satisfy closing conditions, transaction costs, integration challenges, market conditions, and the impact of the transaction on the Company’s stakeholders;</w:t>
      </w:r>
    </w:p>
    <w:p>
      <w:pPr>
        <w:spacing w:after="0" w:line="1"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acquisition synergies may not be realized as expected or within anticipated timeframes, potentially impacting profitability and debt covenant compliance;</w:t>
      </w:r>
    </w:p>
    <w:p>
      <w:pPr>
        <w:spacing w:after="0" w:line="1"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executive succession, retention, leadership development critical to strategy execution, including impacts from unexpected leadership changes;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or interpretations, including those related to acquisitions or divestitures, which could increase tax rates;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Violation of the Company’s debt covenants in the event of price and/or volume instability;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New or revised accounting rules could impact financial reporting, asset valuations, or covenant compliance;</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in implementing new technologies or automation systems could lead to inefficiencies, cost overruns, or operational disruptions;</w:t>
      </w:r>
    </w:p>
    <w:p>
      <w:pPr>
        <w:spacing w:after="0" w:line="1"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Improper use or reliance on predictive analytics or AI-driven decision-making could result in flawed forecasting, compliance issues, or reputational damage;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risks;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Downward pressure on the Company’s common stock price affecting goodwill impairment evaluations;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credit rating downgrades to non-investment grade;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 factors listed from time to time in the Company’s SEC filings.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increased highway construction funding pressures resulting from either federal or state issues could result in reduced construction spending, which could in turn affect profitability. Cement is subject to cyclical supply and demand and price fluctuations.</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 management of production costs will affect the operating leverage of the Building Materials business and, therefore, profitability. Production costs in the Building Materials business are also sensitive to energy and raw material prices, both directly and indirectly. Diesel fuel, natural gas,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Specialties business is sensitive to changes in domestic steel capacity utilization as well as the absolute price and fluctuation in the cost of natural gas.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Transportation in the Company’s long-haul network, particularly the supply of railcars and locomotive power and condition of rail infrastructure to move trains, affects the Company’s efficient transportation of aggregates products in certain markets, most notably Texas, the Southeast and the Gulf Coast. In addition, availability of railcars and locomotives affects the Company’s movement of essential dolomitic lime for magnesia chemicals to both the Company’s plant in Manistee, Michigan, and its customers as well as the movement of magnesite from the Company's Gabbs, Nevada facility to processing plants in North Carolina, Indiana and Pennsylvania and its customers. The availability of trucks, drivers and railcars to transport the Company’s products, particularly in markets experiencing high growth and increased demand, is also a risk and pressures the associated costs.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of the Company’s businesses are also subject to weather-related risks that can significantly affect production schedules and profitability. The first and fourth quarters are most adversely affected by winter weather. Hurricane and cyclone activity in the Atlantic Ocean, Pacific Ocean and Gulf Coast generally is most active during the second, third and fourth quarters.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addition to the foregoing, other factors that could cause actual results to differ materially from the forward-looking statements in this Annual Report include but are not limited to those listed above in </w:t>
      </w:r>
      <w:r>
        <w:rPr>
          <w:rFonts w:ascii="Arial" w:cs="Arial" w:eastAsia="Arial" w:hAnsi="Arial"/>
          <w:sz w:val="18"/>
          <w:szCs w:val="18"/>
          <w:color w:val="007DC6"/>
        </w:rPr>
        <w:t>Item 1, Business – Competition</w:t>
      </w:r>
      <w:r>
        <w:rPr>
          <w:rFonts w:ascii="Arial" w:cs="Arial" w:eastAsia="Arial" w:hAnsi="Arial"/>
          <w:sz w:val="18"/>
          <w:szCs w:val="18"/>
          <w:color w:val="auto"/>
        </w:rPr>
        <w:t xml:space="preserve">, </w:t>
      </w:r>
      <w:r>
        <w:rPr>
          <w:rFonts w:ascii="Arial" w:cs="Arial" w:eastAsia="Arial" w:hAnsi="Arial"/>
          <w:sz w:val="18"/>
          <w:szCs w:val="18"/>
          <w:color w:val="007DC6"/>
        </w:rPr>
        <w:t>Item 1A, Risk Factors</w:t>
      </w:r>
      <w:r>
        <w:rPr>
          <w:rFonts w:ascii="Arial" w:cs="Arial" w:eastAsia="Arial" w:hAnsi="Arial"/>
          <w:sz w:val="18"/>
          <w:szCs w:val="18"/>
          <w:color w:val="auto"/>
        </w:rPr>
        <w:t xml:space="preserve">, and </w:t>
      </w:r>
      <w:r>
        <w:rPr>
          <w:rFonts w:ascii="Arial" w:cs="Arial" w:eastAsia="Arial" w:hAnsi="Arial"/>
          <w:sz w:val="18"/>
          <w:szCs w:val="18"/>
          <w:u w:val="single" w:color="auto"/>
          <w:color w:val="007DC6"/>
        </w:rPr>
        <w:t>Note A: Accounting</w:t>
      </w:r>
      <w:r>
        <w:rPr>
          <w:rFonts w:ascii="Arial" w:cs="Arial" w:eastAsia="Arial" w:hAnsi="Arial"/>
          <w:sz w:val="18"/>
          <w:szCs w:val="18"/>
          <w:color w:val="auto"/>
        </w:rPr>
        <w:t xml:space="preserve"> </w:t>
      </w:r>
      <w:r>
        <w:rPr>
          <w:rFonts w:ascii="Arial" w:cs="Arial" w:eastAsia="Arial" w:hAnsi="Arial"/>
          <w:sz w:val="18"/>
          <w:szCs w:val="18"/>
          <w:u w:val="single" w:color="auto"/>
          <w:color w:val="007DC6"/>
        </w:rPr>
        <w:t>Policies</w:t>
      </w:r>
      <w:r>
        <w:rPr>
          <w:rFonts w:ascii="Arial" w:cs="Arial" w:eastAsia="Arial" w:hAnsi="Arial"/>
          <w:sz w:val="18"/>
          <w:szCs w:val="18"/>
          <w:color w:val="007DC6"/>
        </w:rPr>
        <w:t xml:space="preserve"> </w:t>
      </w:r>
      <w:r>
        <w:rPr>
          <w:rFonts w:ascii="Arial" w:cs="Arial" w:eastAsia="Arial" w:hAnsi="Arial"/>
          <w:sz w:val="18"/>
          <w:szCs w:val="18"/>
          <w:color w:val="000000"/>
        </w:rPr>
        <w:t>and</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Note N: Commitments and Contingencies</w:t>
      </w:r>
      <w:r>
        <w:rPr>
          <w:rFonts w:ascii="Arial" w:cs="Arial" w:eastAsia="Arial" w:hAnsi="Arial"/>
          <w:sz w:val="18"/>
          <w:szCs w:val="18"/>
          <w:color w:val="007DC6"/>
        </w:rPr>
        <w:t xml:space="preserve"> </w:t>
      </w:r>
      <w:r>
        <w:rPr>
          <w:rFonts w:ascii="Arial" w:cs="Arial" w:eastAsia="Arial" w:hAnsi="Arial"/>
          <w:sz w:val="18"/>
          <w:szCs w:val="18"/>
          <w:color w:val="000000"/>
        </w:rPr>
        <w:t>of the</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Notes to Financial Statements</w:t>
      </w:r>
      <w:r>
        <w:rPr>
          <w:rFonts w:ascii="Arial" w:cs="Arial" w:eastAsia="Arial" w:hAnsi="Arial"/>
          <w:sz w:val="18"/>
          <w:szCs w:val="18"/>
          <w:color w:val="007DC6"/>
        </w:rPr>
        <w:t xml:space="preserve"> </w:t>
      </w:r>
      <w:r>
        <w:rPr>
          <w:rFonts w:ascii="Arial" w:cs="Arial" w:eastAsia="Arial" w:hAnsi="Arial"/>
          <w:sz w:val="18"/>
          <w:szCs w:val="18"/>
          <w:color w:val="000000"/>
        </w:rPr>
        <w:t>of the audited consolidated financial statements</w:t>
      </w:r>
      <w:r>
        <w:rPr>
          <w:rFonts w:ascii="Arial" w:cs="Arial" w:eastAsia="Arial" w:hAnsi="Arial"/>
          <w:sz w:val="18"/>
          <w:szCs w:val="18"/>
          <w:color w:val="007DC6"/>
        </w:rPr>
        <w:t xml:space="preserve"> </w:t>
      </w:r>
      <w:r>
        <w:rPr>
          <w:rFonts w:ascii="Arial" w:cs="Arial" w:eastAsia="Arial" w:hAnsi="Arial"/>
          <w:sz w:val="18"/>
          <w:szCs w:val="18"/>
          <w:color w:val="000000"/>
        </w:rPr>
        <w:t>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-288290</wp:posOffset>
            </wp:positionV>
            <wp:extent cx="41605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60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6570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57090" cy="8255"/>
                    </a:xfrm>
                    <a:prstGeom prst="rect">
                      <a:avLst/>
                    </a:prstGeom>
                    <a:noFill/>
                  </pic:spPr>
                </pic:pic>
              </a:graphicData>
            </a:graphic>
          </wp:anchor>
        </w:drawing>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should consider these forward-looking statements in light of risk factors discussed in the Company’s Annual Report on Form 10-K for the year ended December 31, 2025 and other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All forward-looking statements are made as of the date of filing or publication and we assume no obligation to update any such forward-looking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6" w:name="page67"/>
    <w:bookmarkEnd w:id="66"/>
    <w:p>
      <w:pPr>
        <w:ind w:left="49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7A – Quantitative and Qualitative Disclosures About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 QUANTITATIVE AND QUALITATIVE DISCLOSURES ABOUT MARKET RISK</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discussed earlier, the Company’s operations are highly dependent upon the interest rate-sensitive construction and steelmaking industries. Consequently, these marketplaces could experience lower levels of economic activity in an environment of rising interest rates or escalating costs (see </w:t>
      </w:r>
      <w:r>
        <w:rPr>
          <w:rFonts w:ascii="Arial" w:cs="Arial" w:eastAsia="Arial" w:hAnsi="Arial"/>
          <w:sz w:val="18"/>
          <w:szCs w:val="18"/>
          <w:i w:val="1"/>
          <w:iCs w:val="1"/>
          <w:color w:val="auto"/>
        </w:rPr>
        <w:t>Business Environment</w:t>
      </w:r>
      <w:r>
        <w:rPr>
          <w:rFonts w:ascii="Arial" w:cs="Arial" w:eastAsia="Arial" w:hAnsi="Arial"/>
          <w:sz w:val="18"/>
          <w:szCs w:val="18"/>
          <w:color w:val="auto"/>
        </w:rPr>
        <w:t xml:space="preserve"> section included under Item 7 – MD&amp;A of this Form 10-K).</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Demand in the nonresidential and residential construction markets, which combined accounted for 58% of the Company's 2025 aggregates shipments, is affected by interest rates. While the Federal Reserve lowered the benchmark federal funds rate 75 basis points in 2025, the federal funds rate remains above the current rate of inflation, resulting in continued restrictive monetary policy.</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 and changes in enacted tax laws.</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Variable-Rate Borrowing Facilities</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December 31, 2025, the Company had an $800 million Revolving Facility and a $400 million Trade Receivable Facility. Borrowings under these facilities bear interest at a variable interest rate. A hypothetical 100-basis-point increase in interest rates on variable-rate borrowings of $30 million, which was the collective outstanding balance at December 31, 2025, would not increase annual interest expense by a material amount.</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Pension Expense</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Company’s results of operations are affected by its pension expense. Assumptions that affect pension expense include the discount rate and, for the qualified defined benefit pension plan only, the expected long-term rate of return on pension assets. Therefore, the Company has interest rate risk associated with these factors. The impact of hypothetical changes in these assumptions on the Company’s annual pension expense and accrued pension obligation is discussed in the </w:t>
      </w:r>
      <w:r>
        <w:rPr>
          <w:rFonts w:ascii="Arial" w:cs="Arial" w:eastAsia="Arial" w:hAnsi="Arial"/>
          <w:sz w:val="18"/>
          <w:szCs w:val="18"/>
          <w:i w:val="1"/>
          <w:iCs w:val="1"/>
          <w:color w:val="auto"/>
        </w:rPr>
        <w:t>Critical Accounting Policies and Estimates – Pension Benefit Obligation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Expense – Selection of Assumptions </w:t>
      </w:r>
      <w:r>
        <w:rPr>
          <w:rFonts w:ascii="Arial" w:cs="Arial" w:eastAsia="Arial" w:hAnsi="Arial"/>
          <w:sz w:val="18"/>
          <w:szCs w:val="18"/>
          <w:color w:val="auto"/>
        </w:rPr>
        <w:t>section included under Item 7 – MD&amp;A of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Income Tax</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enacted tax laws, rules or regulatory or judicial interpretation, or any change in the pronouncements relating to accounting for income taxes, could materially impact the Company's effective tax rate, tax payments, cash flow,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Energy Costs</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Energy costs, including diesel fuel, natural gas, electricity, coal and petroleum coke, represent significant production costs of the Company. The Company may be unable to pass along increases in the costs of energy to customers in the form of price increases for the Company’s products. The Specialties business has varying fixed-price agreements for a portion of its future energy requirements. A hypothetical 10% change in the Company’s energy prices in 2026 as compared with 2025, assuming constant volumes, would change 2026 energy expense for continuing operations by $29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308"/>
        </w:trPr>
        <w:tc>
          <w:tcPr>
            <w:tcW w:w="1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ind w:left="120"/>
              <w:spacing w:after="0"/>
              <w:rPr>
                <w:sz w:val="20"/>
                <w:szCs w:val="20"/>
                <w:color w:val="auto"/>
              </w:rPr>
            </w:pPr>
            <w:r>
              <w:rPr>
                <w:rFonts w:ascii="Arial" w:cs="Arial" w:eastAsia="Arial" w:hAnsi="Arial"/>
                <w:sz w:val="18"/>
                <w:szCs w:val="18"/>
                <w:color w:val="auto"/>
              </w:rPr>
              <w:t>Part II</w:t>
            </w:r>
          </w:p>
        </w:tc>
        <w:tc>
          <w:tcPr>
            <w:tcW w:w="4680" w:type="dxa"/>
            <w:vAlign w:val="bottom"/>
            <w:gridSpan w:val="2"/>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c>
          <w:tcPr>
            <w:tcW w:w="0" w:type="dxa"/>
            <w:vAlign w:val="bottom"/>
          </w:tcPr>
          <w:p>
            <w:pPr>
              <w:spacing w:after="0"/>
              <w:rPr>
                <w:sz w:val="1"/>
                <w:szCs w:val="1"/>
                <w:color w:val="auto"/>
              </w:rPr>
            </w:pPr>
          </w:p>
        </w:tc>
      </w:tr>
      <w:tr>
        <w:trPr>
          <w:trHeight w:val="533"/>
        </w:trPr>
        <w:tc>
          <w:tcPr>
            <w:tcW w:w="11240" w:type="dxa"/>
            <w:vAlign w:val="bottom"/>
            <w:gridSpan w:val="15"/>
          </w:tcPr>
          <w:p>
            <w:pPr>
              <w:spacing w:after="0"/>
              <w:rPr>
                <w:sz w:val="20"/>
                <w:szCs w:val="20"/>
                <w:color w:val="auto"/>
              </w:rPr>
            </w:pPr>
            <w:r>
              <w:rPr>
                <w:rFonts w:ascii="Arial" w:cs="Arial" w:eastAsia="Arial" w:hAnsi="Arial"/>
                <w:sz w:val="25"/>
                <w:szCs w:val="25"/>
                <w:b w:val="1"/>
                <w:bCs w:val="1"/>
                <w:color w:val="auto"/>
              </w:rPr>
              <w:t>ITEM 8 – FINANCIAL STATEMENTS AND SUPPLEMENTARY DATA</w:t>
            </w:r>
          </w:p>
        </w:tc>
        <w:tc>
          <w:tcPr>
            <w:tcW w:w="0" w:type="dxa"/>
            <w:vAlign w:val="bottom"/>
          </w:tcPr>
          <w:p>
            <w:pPr>
              <w:spacing w:after="0"/>
              <w:rPr>
                <w:sz w:val="1"/>
                <w:szCs w:val="1"/>
                <w:color w:val="auto"/>
              </w:rPr>
            </w:pPr>
          </w:p>
        </w:tc>
      </w:tr>
      <w:tr>
        <w:trPr>
          <w:trHeight w:val="271"/>
        </w:trPr>
        <w:tc>
          <w:tcPr>
            <w:tcW w:w="6560" w:type="dxa"/>
            <w:vAlign w:val="bottom"/>
            <w:gridSpan w:val="13"/>
          </w:tcPr>
          <w:p>
            <w:pPr>
              <w:spacing w:after="0"/>
              <w:rPr>
                <w:sz w:val="20"/>
                <w:szCs w:val="20"/>
                <w:color w:val="auto"/>
              </w:rPr>
            </w:pPr>
            <w:r>
              <w:rPr>
                <w:rFonts w:ascii="Arial" w:cs="Arial" w:eastAsia="Arial" w:hAnsi="Arial"/>
                <w:sz w:val="18"/>
                <w:szCs w:val="18"/>
                <w:b w:val="1"/>
                <w:bCs w:val="1"/>
                <w:color w:val="007DC6"/>
              </w:rPr>
              <w:t>Index to Consolidated Financial Statements</w:t>
            </w:r>
          </w:p>
        </w:tc>
        <w:tc>
          <w:tcPr>
            <w:tcW w:w="3820" w:type="dxa"/>
            <w:vAlign w:val="bottom"/>
          </w:tcPr>
          <w:p>
            <w:pPr>
              <w:spacing w:after="0"/>
              <w:rPr>
                <w:sz w:val="23"/>
                <w:szCs w:val="23"/>
                <w:color w:val="auto"/>
              </w:rPr>
            </w:pPr>
          </w:p>
        </w:tc>
        <w:tc>
          <w:tcPr>
            <w:tcW w:w="860" w:type="dxa"/>
            <w:vAlign w:val="bottom"/>
            <w:tcBorders>
              <w:bottom w:val="single" w:sz="8" w:color="007DC6"/>
            </w:tcBorders>
          </w:tcPr>
          <w:p>
            <w:pPr>
              <w:jc w:val="right"/>
              <w:ind w:right="130"/>
              <w:spacing w:after="0"/>
              <w:rPr>
                <w:sz w:val="20"/>
                <w:szCs w:val="20"/>
                <w:color w:val="auto"/>
              </w:rPr>
            </w:pPr>
            <w:r>
              <w:rPr>
                <w:rFonts w:ascii="Arial" w:cs="Arial" w:eastAsia="Arial" w:hAnsi="Arial"/>
                <w:sz w:val="18"/>
                <w:szCs w:val="18"/>
                <w:b w:val="1"/>
                <w:bCs w:val="1"/>
                <w:color w:val="007DC6"/>
              </w:rPr>
              <w:t>Page</w:t>
            </w:r>
          </w:p>
        </w:tc>
        <w:tc>
          <w:tcPr>
            <w:tcW w:w="0" w:type="dxa"/>
            <w:vAlign w:val="bottom"/>
          </w:tcPr>
          <w:p>
            <w:pPr>
              <w:spacing w:after="0"/>
              <w:rPr>
                <w:sz w:val="1"/>
                <w:szCs w:val="1"/>
                <w:color w:val="auto"/>
              </w:rPr>
            </w:pPr>
          </w:p>
        </w:tc>
      </w:tr>
      <w:tr>
        <w:trPr>
          <w:trHeight w:val="371"/>
        </w:trPr>
        <w:tc>
          <w:tcPr>
            <w:tcW w:w="170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7DC6"/>
              </w:rPr>
              <w:t>Statement of Responsibility and Management’s Report on</w:t>
            </w:r>
          </w:p>
        </w:tc>
        <w:tc>
          <w:tcPr>
            <w:tcW w:w="4680" w:type="dxa"/>
            <w:vAlign w:val="bottom"/>
            <w:gridSpan w:val="2"/>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4600" w:type="dxa"/>
            <w:vAlign w:val="bottom"/>
            <w:tcBorders>
              <w:top w:val="single" w:sz="8" w:color="007DC6"/>
            </w:tcBorders>
            <w:gridSpan w:val="11"/>
          </w:tcPr>
          <w:p>
            <w:pPr>
              <w:spacing w:after="0" w:line="182" w:lineRule="exact"/>
              <w:rPr>
                <w:sz w:val="20"/>
                <w:szCs w:val="20"/>
                <w:color w:val="auto"/>
              </w:rPr>
            </w:pPr>
            <w:r>
              <w:rPr>
                <w:rFonts w:ascii="Arial" w:cs="Arial" w:eastAsia="Arial" w:hAnsi="Arial"/>
                <w:sz w:val="18"/>
                <w:szCs w:val="18"/>
                <w:color w:val="007DC6"/>
              </w:rPr>
              <w:t>Internal Control over Financial Reporting</w:t>
            </w:r>
          </w:p>
        </w:tc>
        <w:tc>
          <w:tcPr>
            <w:tcW w:w="260" w:type="dxa"/>
            <w:vAlign w:val="bottom"/>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00" w:type="dxa"/>
            <w:vAlign w:val="bottom"/>
            <w:shd w:val="clear" w:color="auto" w:fill="007DC6"/>
          </w:tcPr>
          <w:p>
            <w:pPr>
              <w:spacing w:after="0" w:line="20" w:lineRule="exact"/>
              <w:rPr>
                <w:sz w:val="1"/>
                <w:szCs w:val="1"/>
                <w:color w:val="auto"/>
              </w:rPr>
            </w:pPr>
          </w:p>
        </w:tc>
        <w:tc>
          <w:tcPr>
            <w:tcW w:w="100" w:type="dxa"/>
            <w:vAlign w:val="bottom"/>
            <w:shd w:val="clear" w:color="auto" w:fill="007DC6"/>
          </w:tcPr>
          <w:p>
            <w:pPr>
              <w:spacing w:after="0" w:line="20" w:lineRule="exact"/>
              <w:rPr>
                <w:sz w:val="1"/>
                <w:szCs w:val="1"/>
                <w:color w:val="auto"/>
              </w:rPr>
            </w:pPr>
          </w:p>
        </w:tc>
        <w:tc>
          <w:tcPr>
            <w:tcW w:w="80" w:type="dxa"/>
            <w:vAlign w:val="bottom"/>
            <w:shd w:val="clear" w:color="auto" w:fill="007DC6"/>
          </w:tcPr>
          <w:p>
            <w:pPr>
              <w:spacing w:after="0" w:line="20" w:lineRule="exact"/>
              <w:rPr>
                <w:sz w:val="1"/>
                <w:szCs w:val="1"/>
                <w:color w:val="auto"/>
              </w:rPr>
            </w:pPr>
          </w:p>
        </w:tc>
        <w:tc>
          <w:tcPr>
            <w:tcW w:w="540" w:type="dxa"/>
            <w:vAlign w:val="bottom"/>
            <w:shd w:val="clear" w:color="auto" w:fill="007DC6"/>
          </w:tcPr>
          <w:p>
            <w:pPr>
              <w:spacing w:after="0" w:line="20" w:lineRule="exact"/>
              <w:rPr>
                <w:sz w:val="1"/>
                <w:szCs w:val="1"/>
                <w:color w:val="auto"/>
              </w:rPr>
            </w:pPr>
          </w:p>
        </w:tc>
        <w:tc>
          <w:tcPr>
            <w:tcW w:w="100" w:type="dxa"/>
            <w:vAlign w:val="bottom"/>
            <w:shd w:val="clear" w:color="auto" w:fill="007DC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4600" w:type="dxa"/>
            <w:vAlign w:val="bottom"/>
            <w:tcBorders>
              <w:bottom w:val="single" w:sz="8" w:color="007DC6"/>
            </w:tcBorders>
            <w:gridSpan w:val="11"/>
          </w:tcPr>
          <w:p>
            <w:pPr>
              <w:spacing w:after="0"/>
              <w:rPr>
                <w:sz w:val="20"/>
                <w:szCs w:val="20"/>
                <w:color w:val="auto"/>
              </w:rPr>
            </w:pPr>
            <w:r>
              <w:rPr>
                <w:rFonts w:ascii="Arial" w:cs="Arial" w:eastAsia="Arial" w:hAnsi="Arial"/>
                <w:sz w:val="18"/>
                <w:szCs w:val="18"/>
                <w:color w:val="007DC6"/>
                <w:w w:val="99"/>
              </w:rPr>
              <w:t>Report of Independent Registered Public Accounting Firm</w:t>
            </w:r>
          </w:p>
        </w:tc>
        <w:tc>
          <w:tcPr>
            <w:tcW w:w="26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3120" w:type="dxa"/>
            <w:vAlign w:val="bottom"/>
            <w:tcBorders>
              <w:bottom w:val="single" w:sz="8" w:color="007DC6"/>
            </w:tcBorders>
            <w:gridSpan w:val="4"/>
          </w:tcPr>
          <w:p>
            <w:pPr>
              <w:spacing w:after="0"/>
              <w:rPr>
                <w:sz w:val="20"/>
                <w:szCs w:val="20"/>
                <w:color w:val="auto"/>
              </w:rPr>
            </w:pPr>
            <w:r>
              <w:rPr>
                <w:rFonts w:ascii="Arial" w:cs="Arial" w:eastAsia="Arial" w:hAnsi="Arial"/>
                <w:sz w:val="18"/>
                <w:szCs w:val="18"/>
                <w:color w:val="007DC6"/>
                <w:w w:val="99"/>
              </w:rPr>
              <w:t>Consolidated Statements of Earnings –</w:t>
            </w:r>
          </w:p>
        </w:tc>
        <w:tc>
          <w:tcPr>
            <w:tcW w:w="1740" w:type="dxa"/>
            <w:vAlign w:val="bottom"/>
            <w:gridSpan w:val="8"/>
          </w:tcPr>
          <w:p>
            <w:pPr>
              <w:spacing w:after="0"/>
              <w:rPr>
                <w:sz w:val="24"/>
                <w:szCs w:val="24"/>
                <w:color w:val="auto"/>
              </w:rPr>
            </w:pPr>
          </w:p>
        </w:tc>
        <w:tc>
          <w:tcPr>
            <w:tcW w:w="4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4180" w:type="dxa"/>
            <w:vAlign w:val="bottom"/>
            <w:tcBorders>
              <w:bottom w:val="single" w:sz="8" w:color="007DC6"/>
            </w:tcBorders>
            <w:gridSpan w:val="8"/>
          </w:tcPr>
          <w:p>
            <w:pPr>
              <w:spacing w:after="0" w:line="182" w:lineRule="exact"/>
              <w:rPr>
                <w:sz w:val="20"/>
                <w:szCs w:val="20"/>
                <w:color w:val="auto"/>
              </w:rPr>
            </w:pPr>
            <w:r>
              <w:rPr>
                <w:rFonts w:ascii="Arial" w:cs="Arial" w:eastAsia="Arial" w:hAnsi="Arial"/>
                <w:sz w:val="18"/>
                <w:szCs w:val="18"/>
                <w:color w:val="007DC6"/>
                <w:w w:val="99"/>
              </w:rPr>
              <w:t>for years ended December 31, 2025, 2024 and 2023</w:t>
            </w:r>
          </w:p>
        </w:tc>
        <w:tc>
          <w:tcPr>
            <w:tcW w:w="20" w:type="dxa"/>
            <w:vAlign w:val="bottom"/>
            <w:tcBorders>
              <w:bottom w:val="single" w:sz="8" w:color="0000EE"/>
            </w:tcBorders>
          </w:tcPr>
          <w:p>
            <w:pPr>
              <w:spacing w:after="0"/>
              <w:rPr>
                <w:sz w:val="15"/>
                <w:szCs w:val="15"/>
                <w:color w:val="auto"/>
              </w:rPr>
            </w:pPr>
          </w:p>
        </w:tc>
        <w:tc>
          <w:tcPr>
            <w:tcW w:w="660" w:type="dxa"/>
            <w:vAlign w:val="bottom"/>
            <w:gridSpan w:val="3"/>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7DC6"/>
              </w:rPr>
              <w:t>Consolidated Statements of Comprehensive Earnings –</w:t>
            </w:r>
          </w:p>
        </w:tc>
        <w:tc>
          <w:tcPr>
            <w:tcW w:w="4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4180" w:type="dxa"/>
            <w:vAlign w:val="bottom"/>
            <w:tcBorders>
              <w:top w:val="single" w:sz="8" w:color="007DC6"/>
              <w:bottom w:val="single" w:sz="8" w:color="007DC6"/>
            </w:tcBorders>
            <w:gridSpan w:val="8"/>
          </w:tcPr>
          <w:p>
            <w:pPr>
              <w:spacing w:after="0" w:line="182" w:lineRule="exact"/>
              <w:rPr>
                <w:sz w:val="20"/>
                <w:szCs w:val="20"/>
                <w:color w:val="auto"/>
              </w:rPr>
            </w:pPr>
            <w:r>
              <w:rPr>
                <w:rFonts w:ascii="Arial" w:cs="Arial" w:eastAsia="Arial" w:hAnsi="Arial"/>
                <w:sz w:val="18"/>
                <w:szCs w:val="18"/>
                <w:color w:val="007DC6"/>
                <w:w w:val="99"/>
              </w:rPr>
              <w:t>for years ended December 31, 2025, 2024 and 2023</w:t>
            </w:r>
          </w:p>
        </w:tc>
        <w:tc>
          <w:tcPr>
            <w:tcW w:w="240" w:type="dxa"/>
            <w:vAlign w:val="bottom"/>
            <w:tcBorders>
              <w:top w:val="single" w:sz="8" w:color="007DC6"/>
            </w:tcBorders>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7DC6"/>
              </w:rPr>
              <w:t>Consolidated Balance Sheets –</w:t>
            </w:r>
          </w:p>
        </w:tc>
        <w:tc>
          <w:tcPr>
            <w:tcW w:w="4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500" w:type="dxa"/>
            <w:vAlign w:val="bottom"/>
            <w:tcBorders>
              <w:top w:val="single" w:sz="8" w:color="007DC6"/>
              <w:bottom w:val="single" w:sz="8" w:color="007DC6"/>
            </w:tcBorders>
            <w:gridSpan w:val="2"/>
          </w:tcPr>
          <w:p>
            <w:pPr>
              <w:spacing w:after="0" w:line="182" w:lineRule="exact"/>
              <w:rPr>
                <w:sz w:val="20"/>
                <w:szCs w:val="20"/>
                <w:color w:val="auto"/>
              </w:rPr>
            </w:pPr>
            <w:r>
              <w:rPr>
                <w:rFonts w:ascii="Arial" w:cs="Arial" w:eastAsia="Arial" w:hAnsi="Arial"/>
                <w:sz w:val="18"/>
                <w:szCs w:val="18"/>
                <w:color w:val="007DC6"/>
                <w:w w:val="96"/>
              </w:rPr>
              <w:t>at December 31, 2025 and 2024</w:t>
            </w:r>
          </w:p>
        </w:tc>
        <w:tc>
          <w:tcPr>
            <w:tcW w:w="80" w:type="dxa"/>
            <w:vAlign w:val="bottom"/>
            <w:tcBorders>
              <w:bottom w:val="single" w:sz="8" w:color="007DC6"/>
            </w:tcBorders>
          </w:tcPr>
          <w:p>
            <w:pPr>
              <w:spacing w:after="0"/>
              <w:rPr>
                <w:sz w:val="15"/>
                <w:szCs w:val="15"/>
                <w:color w:val="auto"/>
              </w:rPr>
            </w:pPr>
          </w:p>
        </w:tc>
        <w:tc>
          <w:tcPr>
            <w:tcW w:w="7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7DC6"/>
              </w:rPr>
              <w:t>Consolidated Statements of Cash Flows –</w:t>
            </w: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340" w:type="dxa"/>
            <w:vAlign w:val="bottom"/>
            <w:tcBorders>
              <w:top w:val="single" w:sz="8" w:color="007DC6"/>
              <w:bottom w:val="single" w:sz="8" w:color="007DC6"/>
            </w:tcBorders>
            <w:gridSpan w:val="6"/>
          </w:tcPr>
          <w:p>
            <w:pPr>
              <w:spacing w:after="0" w:line="182" w:lineRule="exact"/>
              <w:rPr>
                <w:sz w:val="20"/>
                <w:szCs w:val="20"/>
                <w:color w:val="auto"/>
              </w:rPr>
            </w:pPr>
            <w:r>
              <w:rPr>
                <w:rFonts w:ascii="Arial" w:cs="Arial" w:eastAsia="Arial" w:hAnsi="Arial"/>
                <w:sz w:val="18"/>
                <w:szCs w:val="18"/>
                <w:color w:val="007DC6"/>
                <w:w w:val="98"/>
              </w:rPr>
              <w:t>for years ended December 31, 2025, 2024</w:t>
            </w:r>
          </w:p>
        </w:tc>
        <w:tc>
          <w:tcPr>
            <w:tcW w:w="20" w:type="dxa"/>
            <w:vAlign w:val="bottom"/>
            <w:tcBorders>
              <w:bottom w:val="single" w:sz="8" w:color="007DC6"/>
            </w:tcBorders>
          </w:tcPr>
          <w:p>
            <w:pPr>
              <w:spacing w:after="0"/>
              <w:rPr>
                <w:sz w:val="15"/>
                <w:szCs w:val="15"/>
                <w:color w:val="auto"/>
              </w:rPr>
            </w:pPr>
          </w:p>
        </w:tc>
        <w:tc>
          <w:tcPr>
            <w:tcW w:w="820" w:type="dxa"/>
            <w:vAlign w:val="bottom"/>
            <w:tcBorders>
              <w:bottom w:val="single" w:sz="8" w:color="007DC6"/>
            </w:tcBorders>
          </w:tcPr>
          <w:p>
            <w:pPr>
              <w:ind w:left="60"/>
              <w:spacing w:after="0" w:line="182" w:lineRule="exact"/>
              <w:rPr>
                <w:sz w:val="20"/>
                <w:szCs w:val="20"/>
                <w:color w:val="auto"/>
              </w:rPr>
            </w:pPr>
            <w:r>
              <w:rPr>
                <w:rFonts w:ascii="Arial" w:cs="Arial" w:eastAsia="Arial" w:hAnsi="Arial"/>
                <w:sz w:val="18"/>
                <w:szCs w:val="18"/>
                <w:color w:val="007DC6"/>
                <w:w w:val="98"/>
              </w:rPr>
              <w:t>and 2023</w:t>
            </w:r>
          </w:p>
        </w:tc>
        <w:tc>
          <w:tcPr>
            <w:tcW w:w="680" w:type="dxa"/>
            <w:vAlign w:val="bottom"/>
            <w:gridSpan w:val="4"/>
          </w:tcPr>
          <w:p>
            <w:pPr>
              <w:spacing w:after="0"/>
              <w:rPr>
                <w:sz w:val="15"/>
                <w:szCs w:val="15"/>
                <w:color w:val="auto"/>
              </w:rPr>
            </w:pPr>
          </w:p>
        </w:tc>
        <w:tc>
          <w:tcPr>
            <w:tcW w:w="4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7DC6"/>
              </w:rPr>
              <w:t>Consolidated Statements of Total Equity –</w:t>
            </w:r>
          </w:p>
        </w:tc>
        <w:tc>
          <w:tcPr>
            <w:tcW w:w="4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360" w:type="dxa"/>
            <w:vAlign w:val="bottom"/>
            <w:tcBorders>
              <w:top w:val="single" w:sz="8" w:color="007DC6"/>
              <w:bottom w:val="single" w:sz="8" w:color="007DC6"/>
            </w:tcBorders>
            <w:gridSpan w:val="7"/>
          </w:tcPr>
          <w:p>
            <w:pPr>
              <w:spacing w:after="0" w:line="182" w:lineRule="exact"/>
              <w:rPr>
                <w:sz w:val="20"/>
                <w:szCs w:val="20"/>
                <w:color w:val="auto"/>
              </w:rPr>
            </w:pPr>
            <w:r>
              <w:rPr>
                <w:rFonts w:ascii="Arial" w:cs="Arial" w:eastAsia="Arial" w:hAnsi="Arial"/>
                <w:sz w:val="18"/>
                <w:szCs w:val="18"/>
                <w:color w:val="007DC6"/>
                <w:w w:val="98"/>
              </w:rPr>
              <w:t>for years ended December 31, 2025, 2024</w:t>
            </w:r>
          </w:p>
        </w:tc>
        <w:tc>
          <w:tcPr>
            <w:tcW w:w="820" w:type="dxa"/>
            <w:vAlign w:val="bottom"/>
            <w:tcBorders>
              <w:bottom w:val="single" w:sz="8" w:color="007DC6"/>
            </w:tcBorders>
          </w:tcPr>
          <w:p>
            <w:pPr>
              <w:ind w:left="60"/>
              <w:spacing w:after="0" w:line="182" w:lineRule="exact"/>
              <w:rPr>
                <w:sz w:val="20"/>
                <w:szCs w:val="20"/>
                <w:color w:val="auto"/>
              </w:rPr>
            </w:pPr>
            <w:r>
              <w:rPr>
                <w:rFonts w:ascii="Arial" w:cs="Arial" w:eastAsia="Arial" w:hAnsi="Arial"/>
                <w:sz w:val="18"/>
                <w:szCs w:val="18"/>
                <w:color w:val="007DC6"/>
                <w:w w:val="98"/>
              </w:rPr>
              <w:t>and 2023</w:t>
            </w:r>
          </w:p>
        </w:tc>
        <w:tc>
          <w:tcPr>
            <w:tcW w:w="680" w:type="dxa"/>
            <w:vAlign w:val="bottom"/>
            <w:gridSpan w:val="4"/>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2400" w:type="dxa"/>
            <w:vAlign w:val="bottom"/>
            <w:tcBorders>
              <w:bottom w:val="single" w:sz="8" w:color="007DC6"/>
            </w:tcBorders>
          </w:tcPr>
          <w:p>
            <w:pPr>
              <w:spacing w:after="0"/>
              <w:rPr>
                <w:sz w:val="20"/>
                <w:szCs w:val="20"/>
                <w:color w:val="auto"/>
              </w:rPr>
            </w:pPr>
            <w:r>
              <w:rPr>
                <w:rFonts w:ascii="Arial" w:cs="Arial" w:eastAsia="Arial" w:hAnsi="Arial"/>
                <w:sz w:val="18"/>
                <w:szCs w:val="18"/>
                <w:color w:val="007DC6"/>
                <w:w w:val="99"/>
              </w:rPr>
              <w:t>Notes to Financial Statements</w:t>
            </w:r>
          </w:p>
        </w:tc>
        <w:tc>
          <w:tcPr>
            <w:tcW w:w="2460" w:type="dxa"/>
            <w:vAlign w:val="bottom"/>
            <w:gridSpan w:val="11"/>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25"/>
          <w:szCs w:val="25"/>
          <w:b w:val="1"/>
          <w:bCs w:val="1"/>
          <w:color w:val="786970"/>
        </w:rPr>
        <w:t>Statement of Responsibility and Management’s Report on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Statement of Responsibility</w:t>
      </w:r>
    </w:p>
    <w:p>
      <w:pPr>
        <w:spacing w:after="0" w:line="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management of Martin Marietta Materials, Inc. (the Company or Martin Marietta) is responsible for the consolidated financial statements, the related financial information contained in this Form 10-K and the establishment and maintenance of adequate internal control over financial reporting. The consolidated balance sheets for Martin Marietta, at December 31, 2025 and 2024, and the related consolidated statements of earnings, comprehensive earnings, total equity and cash flows for each of the three years in the period ended December 31, 2025, include amounts based on estimates and judgments and have been prepared in accordance with accounting principles generally accepted in the United States applied on a consistent basis.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and through ongoing education and review programs designed to create a strong commitment to ethical business practices.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8" w:name="page69"/>
    <w:bookmarkEnd w:id="68"/>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as they relate to the composition and practices of audit committees.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Report on Internal Control over Financial Reporting</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management of Martin Marietta is responsible for establishing and maintaining adequate internal control over financial reporting. Management assessed the effectiveness of the Company’s internal control over financial reporting as of December 31, 2025. In making this assessment, management used the criteria set forth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(2013 framework). Based on management’s assessment under the 2013 framework, management concluded that the Company’s internal control over financial reporting was effective as of December 31, 2025.</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Management has excluded the internal control over financial reporting of Premier Magnesia, LLC from its assessment of the Company’s internal control over financial reporting as of December 31, 2025, because this business was acquired by the Company in a purchase business combination during 2025 and has not been integrated into the Company’s existing systems and internal control over financial reporting. Those controls that were not integrated have been excluded from management’s assessment of the effectiveness of internal control over financial reporting as of December 31, 2025. The excluded elements represent controls for $114 million of consolidated assets and $107 million of consolidated revenues as of and for the year ended December 31, 2025.</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consolidated financial statements of the Company as of December 31, 2025 and 2024, and for each of the three years in the period ended December 31, 2025, and the effectiveness of the Company’s internal control over financial reporting as of December 31, 2025, have been audited by PricewaterhouseCoopers LLP, an independent registered public accounting firm, whose report appears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68730" cy="5829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68730" cy="58293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-13970</wp:posOffset>
            </wp:positionV>
            <wp:extent cx="1474470" cy="5911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744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6"/>
          <w:szCs w:val="16"/>
          <w:i w:val="1"/>
          <w:iCs w:val="1"/>
          <w:color w:val="auto"/>
        </w:rPr>
        <w:t>Chair, President and Chief Executive Officer</w:t>
      </w:r>
      <w:r>
        <w:rPr>
          <w:sz w:val="20"/>
          <w:szCs w:val="20"/>
          <w:color w:val="auto"/>
        </w:rPr>
        <w:tab/>
      </w:r>
      <w:r>
        <w:rPr>
          <w:rFonts w:ascii="Arial" w:cs="Arial" w:eastAsia="Arial" w:hAnsi="Arial"/>
          <w:sz w:val="18"/>
          <w:szCs w:val="18"/>
          <w:b w:val="1"/>
          <w:bCs w:val="1"/>
          <w:color w:val="auto"/>
        </w:rPr>
        <w:t>Michael J. Petro</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w:t>
      </w:r>
      <w:r>
        <w:rPr>
          <w:rFonts w:ascii="Arial" w:cs="Arial" w:eastAsia="Arial" w:hAnsi="Arial"/>
          <w:sz w:val="18"/>
          <w:szCs w:val="18"/>
          <w:b w:val="1"/>
          <w:bCs w:val="1"/>
          <w:color w:val="auto"/>
        </w:rPr>
        <w:t xml:space="preserve"> </w:t>
      </w:r>
      <w:r>
        <w:rPr>
          <w:rFonts w:ascii="Arial" w:cs="Arial" w:eastAsia="Arial" w:hAnsi="Arial"/>
          <w:sz w:val="16"/>
          <w:szCs w:val="16"/>
          <w:i w:val="1"/>
          <w:iCs w:val="1"/>
          <w:color w:val="auto"/>
        </w:rPr>
        <w:t>Vice President and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9" w:name="page70"/>
    <w:bookmarkEnd w:id="69"/>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Martin Marietta Materials, Inc.</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Opinions on the Financial Statements and Internal Control over Financial Reporting</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Martin Marietta Materials, Inc. and its subsidiaries (the "Company") as of December 31, 2025 and December 31, 2024, and the related consolidated statements of earnings, of comprehensive earnings, of total equity and of cash flows for each of the three years in the period ended December 31, 2025, including the related notes and schedule of valuation and qualifying accounts for each of the three years in the period ended December 31, 2025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December 31,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for Opinions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Premier Magnesia, LLC from its assessment of internal control over financial reporting as of December 31, 2025, because it was acquired by the Company in a purchase business combination during 2025. We have also excluded Premier Magnesia, LLC from our audit of internal control over financial reporting. Premier Magnesia, LLC is a wholly-owned subsidiary whose total consolidated assets and total consolidated revenues excluded from management’s assessment and our audit of internal control over financial reporting represent $114 million and $107 million, respectively, of the related consolidated financial statement amounts as of and for the year ended December 31,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0" w:name="page71"/>
    <w:bookmarkEnd w:id="70"/>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Definition and Limitations of Internal Control over Financial Reporting</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Critical Audit Matters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the Projected Benefit Obligation - Defined Benefit Pension Plans</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Note J to the consolidated financial statements, the Company’s net projected benefit obligation for defined benefit pension plans was $1,008 million as of December 31, 2025. As disclosed by management, annually, as of December 31, management remeasures the defined benefit pension plans’ projected benefit obligation based on the present value of the projected future benefit payments to all participants for services rendered to date, reflecting expected future pay increases through the participants’ expected retirement dates. The key assumptions used by management to estimate the projected benefit obligation include the discount rate, rate of increase in future compensation levels, mortality table and mortality improvement scale. The principal considerations for our determination that performing procedures relating to the valuation of the projected benefit obligation for the defined benefit pension plans is a critical audit matter are the (i) significant judgment by management when developing the estimate of the projected benefit obligation for the defined benefit pension plans;</w:t>
      </w:r>
    </w:p>
    <w:p>
      <w:pPr>
        <w:spacing w:after="0" w:line="3" w:lineRule="exact"/>
        <w:rPr>
          <w:sz w:val="20"/>
          <w:szCs w:val="20"/>
          <w:color w:val="auto"/>
        </w:rPr>
      </w:pPr>
    </w:p>
    <w:p>
      <w:pPr>
        <w:jc w:val="both"/>
        <w:ind w:firstLine="8"/>
        <w:spacing w:after="0" w:line="236" w:lineRule="auto"/>
        <w:tabs>
          <w:tab w:leader="none" w:pos="2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high degree of auditor judgment, subjectivity, and effort in performing procedures and evaluating management’s significant assumption related to the discount rate; and (iii) the audit effort involved the use of professionals with specialized skill and knowledge. Addressing the matter involved performing procedures and evaluating audit evidence in connection with forming our overall opinion on the consolidated financial statements. These procedures included testing the effectiveness of controls relating to the valuation of the projected benefit obligation for the defined benefit pension plans. These procedures also included, among others (i) testing the completeness and accuracy of the underlying data provided by management and (ii) the involvement of professionals with specialized skill and knowledge to assist in evaluating the reasonableness of management’s estimate of the projected benefit obligation for the defined benefit pension plans by (a) evaluating the appropriateness of management’s actuarial methodologies; (b) developing an independent range of the discount rate and comparing management's selected discount rate to the independently developed range to evaluate the reasonableness of management’s discount rate assumption; and (c) assessing the consistency of management’s actuarial methodologies period-over-period.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rPr>
          <w:sz w:val="20"/>
          <w:szCs w:val="20"/>
          <w:color w:val="auto"/>
        </w:rPr>
      </w:pPr>
      <w:r>
        <w:rPr>
          <w:rFonts w:ascii="Arial" w:cs="Arial" w:eastAsia="Arial" w:hAnsi="Arial"/>
          <w:sz w:val="18"/>
          <w:szCs w:val="18"/>
          <w:color w:val="auto"/>
        </w:rPr>
        <w:t>February 19, 2026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Statements</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jc w:val="center"/>
        <w:ind w:right="120"/>
        <w:spacing w:after="0"/>
        <w:rPr>
          <w:sz w:val="20"/>
          <w:szCs w:val="20"/>
          <w:color w:val="auto"/>
        </w:rPr>
      </w:pPr>
      <w:r>
        <w:rPr>
          <w:rFonts w:ascii="Arial" w:cs="Arial" w:eastAsia="Arial" w:hAnsi="Arial"/>
          <w:sz w:val="22"/>
          <w:szCs w:val="22"/>
          <w:b w:val="1"/>
          <w:bCs w:val="1"/>
          <w:color w:val="007DC6"/>
        </w:rPr>
        <w:t>Consolidated Statements of Earnings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20"/>
                <w:szCs w:val="20"/>
                <w:color w:val="auto"/>
              </w:rPr>
            </w:pPr>
            <w:r>
              <w:rPr>
                <w:rFonts w:ascii="Arial" w:cs="Arial" w:eastAsia="Arial" w:hAnsi="Arial"/>
                <w:sz w:val="16"/>
                <w:szCs w:val="16"/>
                <w:i w:val="1"/>
                <w:iCs w:val="1"/>
                <w:color w:val="auto"/>
              </w:rPr>
              <w:t>years ended December 31</w:t>
            </w:r>
          </w:p>
        </w:tc>
        <w:tc>
          <w:tcPr>
            <w:tcW w:w="300" w:type="dxa"/>
            <w:vAlign w:val="bottom"/>
            <w:shd w:val="clear" w:color="auto" w:fill="007DC6"/>
          </w:tcPr>
          <w:p>
            <w:pPr>
              <w:spacing w:after="0"/>
              <w:rPr>
                <w:sz w:val="16"/>
                <w:szCs w:val="16"/>
                <w:color w:val="auto"/>
              </w:rPr>
            </w:pPr>
          </w:p>
        </w:tc>
        <w:tc>
          <w:tcPr>
            <w:tcW w:w="1280" w:type="dxa"/>
            <w:vAlign w:val="bottom"/>
            <w:shd w:val="clear" w:color="auto" w:fill="007DC6"/>
          </w:tcPr>
          <w:p>
            <w:pPr>
              <w:spacing w:after="0"/>
              <w:rPr>
                <w:sz w:val="16"/>
                <w:szCs w:val="16"/>
                <w:color w:val="auto"/>
              </w:rPr>
            </w:pPr>
          </w:p>
        </w:tc>
        <w:tc>
          <w:tcPr>
            <w:tcW w:w="120" w:type="dxa"/>
            <w:vAlign w:val="bottom"/>
            <w:shd w:val="clear" w:color="auto" w:fill="007DC6"/>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 except per share data)</w:t>
            </w:r>
          </w:p>
        </w:tc>
        <w:tc>
          <w:tcPr>
            <w:tcW w:w="300" w:type="dxa"/>
            <w:vAlign w:val="bottom"/>
            <w:tcBorders>
              <w:bottom w:val="single" w:sz="8" w:color="auto"/>
            </w:tcBorders>
            <w:shd w:val="clear" w:color="auto" w:fill="007DC6"/>
          </w:tcPr>
          <w:p>
            <w:pPr>
              <w:spacing w:after="0"/>
              <w:rPr>
                <w:sz w:val="17"/>
                <w:szCs w:val="17"/>
                <w:color w:val="auto"/>
              </w:rPr>
            </w:pPr>
          </w:p>
        </w:tc>
        <w:tc>
          <w:tcPr>
            <w:tcW w:w="1280" w:type="dxa"/>
            <w:vAlign w:val="bottom"/>
            <w:tcBorders>
              <w:bottom w:val="single" w:sz="8" w:color="auto"/>
            </w:tcBorders>
            <w:shd w:val="clear" w:color="auto" w:fill="007DC6"/>
          </w:tcPr>
          <w:p>
            <w:pPr>
              <w:jc w:val="right"/>
              <w:ind w:right="459"/>
              <w:spacing w:after="0"/>
              <w:rPr>
                <w:sz w:val="20"/>
                <w:szCs w:val="20"/>
                <w:color w:val="auto"/>
              </w:rPr>
            </w:pPr>
            <w:r>
              <w:rPr>
                <w:rFonts w:ascii="Arial" w:cs="Arial" w:eastAsia="Arial" w:hAnsi="Arial"/>
                <w:sz w:val="16"/>
                <w:szCs w:val="16"/>
                <w:b w:val="1"/>
                <w:bCs w:val="1"/>
                <w:color w:val="FFFFFF"/>
              </w:rPr>
              <w:t>2025</w:t>
            </w:r>
          </w:p>
        </w:tc>
        <w:tc>
          <w:tcPr>
            <w:tcW w:w="120" w:type="dxa"/>
            <w:vAlign w:val="bottom"/>
            <w:tcBorders>
              <w:bottom w:val="single" w:sz="8" w:color="auto"/>
            </w:tcBorders>
            <w:shd w:val="clear" w:color="auto" w:fill="007DC6"/>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ind w:right="41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auto"/>
            </w:tcBorders>
            <w:shd w:val="clear" w:color="auto" w:fill="DEEAEB"/>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ind w:right="4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6,150</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5,662</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5,851</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 of revenues</w:t>
            </w:r>
          </w:p>
        </w:tc>
        <w:tc>
          <w:tcPr>
            <w:tcW w:w="30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6"/>
                <w:szCs w:val="16"/>
                <w:b w:val="1"/>
                <w:bCs w:val="1"/>
                <w:color w:val="auto"/>
              </w:rPr>
              <w:t>4,261</w:t>
            </w: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b w:val="1"/>
                <w:bCs w:val="1"/>
                <w:color w:val="auto"/>
              </w:rPr>
              <w:t>Gross Profit</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1,889</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1,636</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1,745</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B6D2E2"/>
          </w:tcPr>
          <w:p>
            <w:pPr>
              <w:spacing w:after="0"/>
              <w:rPr>
                <w:sz w:val="16"/>
                <w:szCs w:val="16"/>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443</w:t>
            </w: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Acquisition, divestiture and integration expenses</w:t>
            </w:r>
          </w:p>
        </w:tc>
        <w:tc>
          <w:tcPr>
            <w:tcW w:w="300" w:type="dxa"/>
            <w:vAlign w:val="bottom"/>
            <w:shd w:val="clear" w:color="auto" w:fill="B6D2E2"/>
          </w:tcPr>
          <w:p>
            <w:pPr>
              <w:spacing w:after="0"/>
              <w:rPr>
                <w:sz w:val="16"/>
                <w:szCs w:val="16"/>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income, net</w:t>
            </w:r>
          </w:p>
        </w:tc>
        <w:tc>
          <w:tcPr>
            <w:tcW w:w="300" w:type="dxa"/>
            <w:vAlign w:val="bottom"/>
            <w:tcBorders>
              <w:bottom w:val="single" w:sz="8" w:color="auto"/>
            </w:tcBorders>
            <w:shd w:val="clear" w:color="auto" w:fill="B6D2E2"/>
          </w:tcPr>
          <w:p>
            <w:pPr>
              <w:spacing w:after="0"/>
              <w:rPr>
                <w:sz w:val="16"/>
                <w:szCs w:val="16"/>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b w:val="1"/>
                <w:bCs w:val="1"/>
                <w:color w:val="auto"/>
              </w:rPr>
              <w:t>Earnings from Operations</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1,437</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2,479</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1,333</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B6D2E2"/>
          </w:tcPr>
          <w:p>
            <w:pPr>
              <w:spacing w:after="0"/>
              <w:rPr>
                <w:sz w:val="16"/>
                <w:szCs w:val="16"/>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230</w:t>
            </w: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nonoperating income, net</w:t>
            </w:r>
          </w:p>
        </w:tc>
        <w:tc>
          <w:tcPr>
            <w:tcW w:w="300" w:type="dxa"/>
            <w:vAlign w:val="bottom"/>
            <w:tcBorders>
              <w:bottom w:val="single" w:sz="8" w:color="auto"/>
            </w:tcBorders>
            <w:shd w:val="clear" w:color="auto" w:fill="B6D2E2"/>
          </w:tcPr>
          <w:p>
            <w:pPr>
              <w:spacing w:after="0"/>
              <w:rPr>
                <w:sz w:val="16"/>
                <w:szCs w:val="16"/>
                <w:color w:val="auto"/>
              </w:rPr>
            </w:pPr>
          </w:p>
        </w:tc>
        <w:tc>
          <w:tcPr>
            <w:tcW w:w="1400" w:type="dxa"/>
            <w:vAlign w:val="bottom"/>
            <w:tcBorders>
              <w:bottom w:val="single" w:sz="8" w:color="auto"/>
            </w:tcBorders>
            <w:gridSpan w:val="2"/>
            <w:shd w:val="clear" w:color="auto" w:fill="B6D2E2"/>
          </w:tcPr>
          <w:p>
            <w:pPr>
              <w:jc w:val="right"/>
              <w:ind w:right="80"/>
              <w:spacing w:after="0"/>
              <w:rPr>
                <w:sz w:val="20"/>
                <w:szCs w:val="20"/>
                <w:color w:val="auto"/>
              </w:rPr>
            </w:pPr>
            <w:r>
              <w:rPr>
                <w:rFonts w:ascii="Arial" w:cs="Arial" w:eastAsia="Arial" w:hAnsi="Arial"/>
                <w:sz w:val="16"/>
                <w:szCs w:val="16"/>
                <w:b w:val="1"/>
                <w:bCs w:val="1"/>
                <w:color w:val="auto"/>
              </w:rPr>
              <w:t>(19)</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380" w:type="dxa"/>
            <w:vAlign w:val="bottom"/>
            <w:tcBorders>
              <w:bottom w:val="single" w:sz="8" w:color="auto"/>
            </w:tcBorders>
            <w:gridSpan w:val="2"/>
            <w:shd w:val="clear" w:color="auto" w:fill="DEEAEB"/>
          </w:tcPr>
          <w:p>
            <w:pPr>
              <w:jc w:val="right"/>
              <w:ind w:right="60"/>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380" w:type="dxa"/>
            <w:vAlign w:val="bottom"/>
            <w:tcBorders>
              <w:bottom w:val="single" w:sz="8" w:color="auto"/>
            </w:tcBorders>
            <w:gridSpan w:val="2"/>
            <w:shd w:val="clear" w:color="auto" w:fill="DEEAEB"/>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Earnings from continuing operations before income tax expense</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1,226</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2,366</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1,226</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6"/>
                <w:szCs w:val="16"/>
                <w:b w:val="1"/>
                <w:bCs w:val="1"/>
                <w:color w:val="auto"/>
              </w:rPr>
              <w:t>236</w:t>
            </w: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Earnings from continuing operations</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990</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1,816</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992</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Earnings from discontinued operations, net of income tax</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expense</w:t>
            </w:r>
          </w:p>
        </w:tc>
        <w:tc>
          <w:tcPr>
            <w:tcW w:w="300" w:type="dxa"/>
            <w:vAlign w:val="bottom"/>
            <w:tcBorders>
              <w:bottom w:val="single" w:sz="8" w:color="auto"/>
            </w:tcBorders>
            <w:shd w:val="clear" w:color="auto" w:fill="B6D2E2"/>
          </w:tcPr>
          <w:p>
            <w:pPr>
              <w:spacing w:after="0"/>
              <w:rPr>
                <w:sz w:val="17"/>
                <w:szCs w:val="17"/>
                <w:color w:val="auto"/>
              </w:rPr>
            </w:pPr>
          </w:p>
        </w:tc>
        <w:tc>
          <w:tcPr>
            <w:tcW w:w="128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tcBorders>
              <w:bottom w:val="single" w:sz="8" w:color="auto"/>
            </w:tcBorders>
            <w:shd w:val="clear" w:color="auto" w:fill="B6D2E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auto"/>
            </w:tcBorders>
            <w:shd w:val="clear" w:color="auto" w:fill="DEEAEB"/>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Consolidated net earnings</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1,137</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1,996</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1,170</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300" w:type="dxa"/>
            <w:vAlign w:val="bottom"/>
            <w:tcBorders>
              <w:bottom w:val="single" w:sz="8" w:color="auto"/>
            </w:tcBorders>
            <w:shd w:val="clear" w:color="auto" w:fill="B6D2E2"/>
          </w:tcPr>
          <w:p>
            <w:pPr>
              <w:spacing w:after="0"/>
              <w:rPr>
                <w:sz w:val="16"/>
                <w:szCs w:val="16"/>
                <w:color w:val="auto"/>
              </w:rPr>
            </w:pPr>
          </w:p>
        </w:tc>
        <w:tc>
          <w:tcPr>
            <w:tcW w:w="1400" w:type="dxa"/>
            <w:vAlign w:val="bottom"/>
            <w:tcBorders>
              <w:bottom w:val="single" w:sz="8" w:color="auto"/>
            </w:tcBorders>
            <w:gridSpan w:val="2"/>
            <w:shd w:val="clear" w:color="auto" w:fill="B6D2E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Earnings Attributable to Martin Marietta</w:t>
            </w:r>
          </w:p>
        </w:tc>
        <w:tc>
          <w:tcPr>
            <w:tcW w:w="30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1,137</w:t>
            </w:r>
          </w:p>
        </w:tc>
        <w:tc>
          <w:tcPr>
            <w:tcW w:w="120" w:type="dxa"/>
            <w:vAlign w:val="bottom"/>
            <w:tcBorders>
              <w:bottom w:val="single" w:sz="8" w:color="auto"/>
            </w:tcBorders>
            <w:shd w:val="clear" w:color="auto" w:fill="B6D2E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1,995</w:t>
            </w:r>
          </w:p>
        </w:tc>
        <w:tc>
          <w:tcPr>
            <w:tcW w:w="120" w:type="dxa"/>
            <w:vAlign w:val="bottom"/>
            <w:tcBorders>
              <w:bottom w:val="single" w:sz="8" w:color="auto"/>
            </w:tcBorders>
            <w:shd w:val="clear" w:color="auto" w:fill="DEEAEB"/>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1,169</w:t>
            </w:r>
          </w:p>
        </w:tc>
        <w:tc>
          <w:tcPr>
            <w:tcW w:w="100" w:type="dxa"/>
            <w:vAlign w:val="bottom"/>
            <w:tcBorders>
              <w:bottom w:val="single" w:sz="8" w:color="auto"/>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6"/>
                <w:szCs w:val="16"/>
                <w:b w:val="1"/>
                <w:bCs w:val="1"/>
                <w:color w:val="auto"/>
              </w:rPr>
              <w:t>Net Earnings Attributable to Martin Marietta</w:t>
            </w:r>
          </w:p>
        </w:tc>
        <w:tc>
          <w:tcPr>
            <w:tcW w:w="300" w:type="dxa"/>
            <w:vAlign w:val="bottom"/>
            <w:shd w:val="clear" w:color="auto" w:fill="B6D2E2"/>
          </w:tcPr>
          <w:p>
            <w:pPr>
              <w:spacing w:after="0"/>
              <w:rPr>
                <w:sz w:val="24"/>
                <w:szCs w:val="24"/>
                <w:color w:val="auto"/>
              </w:rPr>
            </w:pPr>
          </w:p>
        </w:tc>
        <w:tc>
          <w:tcPr>
            <w:tcW w:w="1280" w:type="dxa"/>
            <w:vAlign w:val="bottom"/>
            <w:shd w:val="clear" w:color="auto" w:fill="B6D2E2"/>
          </w:tcPr>
          <w:p>
            <w:pPr>
              <w:spacing w:after="0"/>
              <w:rPr>
                <w:sz w:val="24"/>
                <w:szCs w:val="24"/>
                <w:color w:val="auto"/>
              </w:rPr>
            </w:pPr>
          </w:p>
        </w:tc>
        <w:tc>
          <w:tcPr>
            <w:tcW w:w="120" w:type="dxa"/>
            <w:vAlign w:val="bottom"/>
            <w:shd w:val="clear" w:color="auto" w:fill="B6D2E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60" w:type="dxa"/>
            <w:vAlign w:val="bottom"/>
            <w:shd w:val="clear" w:color="auto" w:fill="DEEAEB"/>
          </w:tcPr>
          <w:p>
            <w:pPr>
              <w:spacing w:after="0"/>
              <w:rPr>
                <w:sz w:val="24"/>
                <w:szCs w:val="24"/>
                <w:color w:val="auto"/>
              </w:rPr>
            </w:pPr>
          </w:p>
        </w:tc>
        <w:tc>
          <w:tcPr>
            <w:tcW w:w="120" w:type="dxa"/>
            <w:vAlign w:val="bottom"/>
            <w:shd w:val="clear" w:color="auto" w:fill="DEEAEB"/>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Arial" w:cs="Arial" w:eastAsia="Arial" w:hAnsi="Arial"/>
                <w:sz w:val="16"/>
                <w:szCs w:val="16"/>
                <w:b w:val="1"/>
                <w:bCs w:val="1"/>
                <w:color w:val="auto"/>
              </w:rPr>
              <w:t>Per Common Share (see Note A)</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Basic from continuing operations attributable to</w:t>
            </w:r>
          </w:p>
        </w:tc>
        <w:tc>
          <w:tcPr>
            <w:tcW w:w="30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rPr>
                <w:sz w:val="20"/>
                <w:szCs w:val="20"/>
                <w:color w:val="auto"/>
              </w:rPr>
            </w:pPr>
            <w:r>
              <w:rPr>
                <w:rFonts w:ascii="Arial" w:cs="Arial" w:eastAsia="Arial" w:hAnsi="Arial"/>
                <w:sz w:val="16"/>
                <w:szCs w:val="16"/>
                <w:color w:val="auto"/>
              </w:rPr>
              <w:t>common shareholders</w:t>
            </w:r>
          </w:p>
        </w:tc>
        <w:tc>
          <w:tcPr>
            <w:tcW w:w="30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16.37</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29.58</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Basic from discontinued operations</w:t>
            </w:r>
          </w:p>
        </w:tc>
        <w:tc>
          <w:tcPr>
            <w:tcW w:w="300" w:type="dxa"/>
            <w:vAlign w:val="bottom"/>
            <w:shd w:val="clear" w:color="auto" w:fill="B6D2E2"/>
          </w:tcPr>
          <w:p>
            <w:pPr>
              <w:spacing w:after="0"/>
              <w:rPr>
                <w:sz w:val="15"/>
                <w:szCs w:val="15"/>
                <w:color w:val="auto"/>
              </w:rPr>
            </w:pPr>
          </w:p>
        </w:tc>
        <w:tc>
          <w:tcPr>
            <w:tcW w:w="1280" w:type="dxa"/>
            <w:vAlign w:val="bottom"/>
            <w:vMerge w:val="restart"/>
            <w:shd w:val="clear" w:color="auto" w:fill="B6D2E2"/>
          </w:tcPr>
          <w:p>
            <w:pPr>
              <w:jc w:val="right"/>
              <w:spacing w:after="0"/>
              <w:rPr>
                <w:sz w:val="20"/>
                <w:szCs w:val="20"/>
                <w:color w:val="auto"/>
              </w:rPr>
            </w:pPr>
            <w:r>
              <w:rPr>
                <w:rFonts w:ascii="Arial" w:cs="Arial" w:eastAsia="Arial" w:hAnsi="Arial"/>
                <w:sz w:val="16"/>
                <w:szCs w:val="16"/>
                <w:b w:val="1"/>
                <w:bCs w:val="1"/>
                <w:color w:val="auto"/>
              </w:rPr>
              <w:t>2.44</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260"/>
              <w:spacing w:after="0"/>
              <w:rPr>
                <w:sz w:val="20"/>
                <w:szCs w:val="20"/>
                <w:color w:val="auto"/>
              </w:rPr>
            </w:pPr>
            <w:r>
              <w:rPr>
                <w:rFonts w:ascii="Arial" w:cs="Arial" w:eastAsia="Arial" w:hAnsi="Arial"/>
                <w:sz w:val="16"/>
                <w:szCs w:val="16"/>
                <w:color w:val="auto"/>
              </w:rPr>
              <w:t>attributable to common shareholders</w:t>
            </w:r>
          </w:p>
        </w:tc>
        <w:tc>
          <w:tcPr>
            <w:tcW w:w="30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vMerge w:val="continue"/>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vMerge w:val="continue"/>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vMerge w:val="continue"/>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20"/>
              <w:spacing w:after="0" w:line="183" w:lineRule="exact"/>
              <w:rPr>
                <w:sz w:val="20"/>
                <w:szCs w:val="20"/>
                <w:color w:val="auto"/>
              </w:rPr>
            </w:pPr>
            <w:r>
              <w:rPr>
                <w:rFonts w:ascii="Arial" w:cs="Arial" w:eastAsia="Arial" w:hAnsi="Arial"/>
                <w:sz w:val="16"/>
                <w:szCs w:val="16"/>
                <w:color w:val="auto"/>
              </w:rPr>
              <w:t>Total basic attributable to common shareholders</w:t>
            </w:r>
          </w:p>
        </w:tc>
        <w:tc>
          <w:tcPr>
            <w:tcW w:w="30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18.81</w:t>
            </w:r>
          </w:p>
        </w:tc>
        <w:tc>
          <w:tcPr>
            <w:tcW w:w="120" w:type="dxa"/>
            <w:vAlign w:val="bottom"/>
            <w:tcBorders>
              <w:bottom w:val="single" w:sz="8" w:color="auto"/>
            </w:tcBorders>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32.50</w:t>
            </w:r>
          </w:p>
        </w:tc>
        <w:tc>
          <w:tcPr>
            <w:tcW w:w="120" w:type="dxa"/>
            <w:vAlign w:val="bottom"/>
            <w:tcBorders>
              <w:bottom w:val="single" w:sz="8" w:color="auto"/>
            </w:tcBorders>
            <w:shd w:val="clear" w:color="auto" w:fill="DEEAEB"/>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18.88</w:t>
            </w:r>
          </w:p>
        </w:tc>
        <w:tc>
          <w:tcPr>
            <w:tcW w:w="100" w:type="dxa"/>
            <w:vAlign w:val="bottom"/>
            <w:tcBorders>
              <w:bottom w:val="single" w:sz="8" w:color="auto"/>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980" w:type="dxa"/>
            <w:vAlign w:val="bottom"/>
          </w:tcPr>
          <w:p>
            <w:pPr>
              <w:ind w:left="120"/>
              <w:spacing w:after="0"/>
              <w:rPr>
                <w:sz w:val="20"/>
                <w:szCs w:val="20"/>
                <w:color w:val="auto"/>
              </w:rPr>
            </w:pPr>
            <w:r>
              <w:rPr>
                <w:rFonts w:ascii="Arial" w:cs="Arial" w:eastAsia="Arial" w:hAnsi="Arial"/>
                <w:sz w:val="16"/>
                <w:szCs w:val="16"/>
                <w:color w:val="auto"/>
              </w:rPr>
              <w:t>Diluted from continuing operations attributable</w:t>
            </w:r>
          </w:p>
        </w:tc>
        <w:tc>
          <w:tcPr>
            <w:tcW w:w="300" w:type="dxa"/>
            <w:vAlign w:val="bottom"/>
            <w:shd w:val="clear" w:color="auto" w:fill="B6D2E2"/>
          </w:tcPr>
          <w:p>
            <w:pPr>
              <w:spacing w:after="0"/>
              <w:rPr>
                <w:sz w:val="24"/>
                <w:szCs w:val="24"/>
                <w:color w:val="auto"/>
              </w:rPr>
            </w:pPr>
          </w:p>
        </w:tc>
        <w:tc>
          <w:tcPr>
            <w:tcW w:w="1280" w:type="dxa"/>
            <w:vAlign w:val="bottom"/>
            <w:shd w:val="clear" w:color="auto" w:fill="B6D2E2"/>
          </w:tcPr>
          <w:p>
            <w:pPr>
              <w:spacing w:after="0"/>
              <w:rPr>
                <w:sz w:val="24"/>
                <w:szCs w:val="24"/>
                <w:color w:val="auto"/>
              </w:rPr>
            </w:pPr>
          </w:p>
        </w:tc>
        <w:tc>
          <w:tcPr>
            <w:tcW w:w="120" w:type="dxa"/>
            <w:vAlign w:val="bottom"/>
            <w:shd w:val="clear" w:color="auto" w:fill="B6D2E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60" w:type="dxa"/>
            <w:vAlign w:val="bottom"/>
            <w:shd w:val="clear" w:color="auto" w:fill="DEEAEB"/>
          </w:tcPr>
          <w:p>
            <w:pPr>
              <w:spacing w:after="0"/>
              <w:rPr>
                <w:sz w:val="24"/>
                <w:szCs w:val="24"/>
                <w:color w:val="auto"/>
              </w:rPr>
            </w:pPr>
          </w:p>
        </w:tc>
        <w:tc>
          <w:tcPr>
            <w:tcW w:w="120" w:type="dxa"/>
            <w:vAlign w:val="bottom"/>
            <w:shd w:val="clear" w:color="auto" w:fill="DEEAEB"/>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rPr>
                <w:sz w:val="20"/>
                <w:szCs w:val="20"/>
                <w:color w:val="auto"/>
              </w:rPr>
            </w:pPr>
            <w:r>
              <w:rPr>
                <w:rFonts w:ascii="Arial" w:cs="Arial" w:eastAsia="Arial" w:hAnsi="Arial"/>
                <w:sz w:val="16"/>
                <w:szCs w:val="16"/>
                <w:color w:val="auto"/>
              </w:rPr>
              <w:t>to common shareholders</w:t>
            </w:r>
          </w:p>
        </w:tc>
        <w:tc>
          <w:tcPr>
            <w:tcW w:w="30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16.34</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Diluted from discontinued operations</w:t>
            </w:r>
          </w:p>
        </w:tc>
        <w:tc>
          <w:tcPr>
            <w:tcW w:w="300" w:type="dxa"/>
            <w:vAlign w:val="bottom"/>
            <w:shd w:val="clear" w:color="auto" w:fill="B6D2E2"/>
          </w:tcPr>
          <w:p>
            <w:pPr>
              <w:spacing w:after="0"/>
              <w:rPr>
                <w:sz w:val="15"/>
                <w:szCs w:val="15"/>
                <w:color w:val="auto"/>
              </w:rPr>
            </w:pPr>
          </w:p>
        </w:tc>
        <w:tc>
          <w:tcPr>
            <w:tcW w:w="1280" w:type="dxa"/>
            <w:vAlign w:val="bottom"/>
            <w:vMerge w:val="restart"/>
            <w:shd w:val="clear" w:color="auto" w:fill="B6D2E2"/>
          </w:tcPr>
          <w:p>
            <w:pPr>
              <w:jc w:val="right"/>
              <w:spacing w:after="0"/>
              <w:rPr>
                <w:sz w:val="20"/>
                <w:szCs w:val="20"/>
                <w:color w:val="auto"/>
              </w:rPr>
            </w:pPr>
            <w:r>
              <w:rPr>
                <w:rFonts w:ascii="Arial" w:cs="Arial" w:eastAsia="Arial" w:hAnsi="Arial"/>
                <w:sz w:val="16"/>
                <w:szCs w:val="16"/>
                <w:b w:val="1"/>
                <w:bCs w:val="1"/>
                <w:color w:val="auto"/>
              </w:rPr>
              <w:t>2.43</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6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28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260"/>
              <w:spacing w:after="0"/>
              <w:rPr>
                <w:sz w:val="20"/>
                <w:szCs w:val="20"/>
                <w:color w:val="auto"/>
              </w:rPr>
            </w:pPr>
            <w:r>
              <w:rPr>
                <w:rFonts w:ascii="Arial" w:cs="Arial" w:eastAsia="Arial" w:hAnsi="Arial"/>
                <w:sz w:val="16"/>
                <w:szCs w:val="16"/>
                <w:color w:val="auto"/>
              </w:rPr>
              <w:t>attributable to common shareholders</w:t>
            </w:r>
          </w:p>
        </w:tc>
        <w:tc>
          <w:tcPr>
            <w:tcW w:w="30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vMerge w:val="continue"/>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vMerge w:val="continue"/>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vMerge w:val="continue"/>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line="183" w:lineRule="exact"/>
              <w:rPr>
                <w:sz w:val="20"/>
                <w:szCs w:val="20"/>
                <w:color w:val="auto"/>
              </w:rPr>
            </w:pPr>
            <w:r>
              <w:rPr>
                <w:rFonts w:ascii="Arial" w:cs="Arial" w:eastAsia="Arial" w:hAnsi="Arial"/>
                <w:sz w:val="16"/>
                <w:szCs w:val="16"/>
                <w:color w:val="auto"/>
              </w:rPr>
              <w:t>Total diluted attributable to common shareholders</w:t>
            </w:r>
          </w:p>
        </w:tc>
        <w:tc>
          <w:tcPr>
            <w:tcW w:w="30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18.77</w:t>
            </w:r>
          </w:p>
        </w:tc>
        <w:tc>
          <w:tcPr>
            <w:tcW w:w="120" w:type="dxa"/>
            <w:vAlign w:val="bottom"/>
            <w:tcBorders>
              <w:bottom w:val="single" w:sz="8" w:color="auto"/>
            </w:tcBorders>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32.41</w:t>
            </w:r>
          </w:p>
        </w:tc>
        <w:tc>
          <w:tcPr>
            <w:tcW w:w="120" w:type="dxa"/>
            <w:vAlign w:val="bottom"/>
            <w:tcBorders>
              <w:bottom w:val="single" w:sz="8" w:color="auto"/>
            </w:tcBorders>
            <w:shd w:val="clear" w:color="auto" w:fill="DEEAEB"/>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18.82</w:t>
            </w:r>
          </w:p>
        </w:tc>
        <w:tc>
          <w:tcPr>
            <w:tcW w:w="100" w:type="dxa"/>
            <w:vAlign w:val="bottom"/>
            <w:tcBorders>
              <w:bottom w:val="single" w:sz="8" w:color="auto"/>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300" w:type="dxa"/>
            <w:vAlign w:val="bottom"/>
            <w:shd w:val="clear" w:color="auto" w:fill="B6D2E2"/>
          </w:tcPr>
          <w:p>
            <w:pPr>
              <w:spacing w:after="0"/>
              <w:rPr>
                <w:sz w:val="24"/>
                <w:szCs w:val="24"/>
                <w:color w:val="auto"/>
              </w:rPr>
            </w:pPr>
          </w:p>
        </w:tc>
        <w:tc>
          <w:tcPr>
            <w:tcW w:w="1280" w:type="dxa"/>
            <w:vAlign w:val="bottom"/>
            <w:shd w:val="clear" w:color="auto" w:fill="B6D2E2"/>
          </w:tcPr>
          <w:p>
            <w:pPr>
              <w:spacing w:after="0"/>
              <w:rPr>
                <w:sz w:val="24"/>
                <w:szCs w:val="24"/>
                <w:color w:val="auto"/>
              </w:rPr>
            </w:pPr>
          </w:p>
        </w:tc>
        <w:tc>
          <w:tcPr>
            <w:tcW w:w="120" w:type="dxa"/>
            <w:vAlign w:val="bottom"/>
            <w:shd w:val="clear" w:color="auto" w:fill="B6D2E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60" w:type="dxa"/>
            <w:vAlign w:val="bottom"/>
            <w:shd w:val="clear" w:color="auto" w:fill="DEEAEB"/>
          </w:tcPr>
          <w:p>
            <w:pPr>
              <w:spacing w:after="0"/>
              <w:rPr>
                <w:sz w:val="24"/>
                <w:szCs w:val="24"/>
                <w:color w:val="auto"/>
              </w:rPr>
            </w:pPr>
          </w:p>
        </w:tc>
        <w:tc>
          <w:tcPr>
            <w:tcW w:w="120" w:type="dxa"/>
            <w:vAlign w:val="bottom"/>
            <w:shd w:val="clear" w:color="auto" w:fill="DEEAEB"/>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B6D2E2"/>
          </w:tcPr>
          <w:p>
            <w:pPr>
              <w:spacing w:after="0"/>
              <w:rPr>
                <w:sz w:val="17"/>
                <w:szCs w:val="17"/>
                <w:color w:val="auto"/>
              </w:rPr>
            </w:pPr>
          </w:p>
        </w:tc>
        <w:tc>
          <w:tcPr>
            <w:tcW w:w="128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6"/>
                <w:szCs w:val="16"/>
                <w:b w:val="1"/>
                <w:bCs w:val="1"/>
                <w:color w:val="auto"/>
              </w:rPr>
              <w:t>60.5</w:t>
            </w:r>
          </w:p>
        </w:tc>
        <w:tc>
          <w:tcPr>
            <w:tcW w:w="120" w:type="dxa"/>
            <w:vAlign w:val="bottom"/>
            <w:tcBorders>
              <w:bottom w:val="single" w:sz="8" w:color="auto"/>
            </w:tcBorders>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auto"/>
            </w:tcBorders>
            <w:shd w:val="clear" w:color="auto" w:fill="DEEAEB"/>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120"/>
              <w:spacing w:after="0" w:line="183" w:lineRule="exact"/>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B6D2E2"/>
          </w:tcPr>
          <w:p>
            <w:pPr>
              <w:spacing w:after="0"/>
              <w:rPr>
                <w:sz w:val="15"/>
                <w:szCs w:val="15"/>
                <w:color w:val="auto"/>
              </w:rPr>
            </w:pP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60.6</w:t>
            </w:r>
          </w:p>
        </w:tc>
        <w:tc>
          <w:tcPr>
            <w:tcW w:w="120" w:type="dxa"/>
            <w:vAlign w:val="bottom"/>
            <w:tcBorders>
              <w:bottom w:val="single" w:sz="8" w:color="auto"/>
            </w:tcBorders>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61.6</w:t>
            </w:r>
          </w:p>
        </w:tc>
        <w:tc>
          <w:tcPr>
            <w:tcW w:w="120" w:type="dxa"/>
            <w:vAlign w:val="bottom"/>
            <w:tcBorders>
              <w:bottom w:val="single" w:sz="8" w:color="auto"/>
            </w:tcBorders>
            <w:shd w:val="clear" w:color="auto" w:fill="DEEAEB"/>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62.1</w:t>
            </w:r>
          </w:p>
        </w:tc>
        <w:tc>
          <w:tcPr>
            <w:tcW w:w="100" w:type="dxa"/>
            <w:vAlign w:val="bottom"/>
            <w:tcBorders>
              <w:bottom w:val="single" w:sz="8" w:color="auto"/>
            </w:tcBorders>
            <w:shd w:val="clear" w:color="auto" w:fill="DEEAEB"/>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-3856990</wp:posOffset>
            </wp:positionV>
            <wp:extent cx="814070" cy="2489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4070" cy="2489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2" w:name="page73"/>
    <w:bookmarkEnd w:id="72"/>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Comprehensive Earnings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20"/>
                <w:szCs w:val="20"/>
                <w:color w:val="auto"/>
              </w:rPr>
            </w:pPr>
            <w:r>
              <w:rPr>
                <w:rFonts w:ascii="Arial" w:cs="Arial" w:eastAsia="Arial" w:hAnsi="Arial"/>
                <w:sz w:val="16"/>
                <w:szCs w:val="16"/>
                <w:i w:val="1"/>
                <w:iCs w:val="1"/>
                <w:color w:val="auto"/>
              </w:rPr>
              <w:t>years ended December 31</w:t>
            </w:r>
          </w:p>
        </w:tc>
        <w:tc>
          <w:tcPr>
            <w:tcW w:w="180" w:type="dxa"/>
            <w:vAlign w:val="bottom"/>
            <w:shd w:val="clear" w:color="auto" w:fill="007DC6"/>
          </w:tcPr>
          <w:p>
            <w:pPr>
              <w:spacing w:after="0"/>
              <w:rPr>
                <w:sz w:val="16"/>
                <w:szCs w:val="16"/>
                <w:color w:val="auto"/>
              </w:rPr>
            </w:pPr>
          </w:p>
        </w:tc>
        <w:tc>
          <w:tcPr>
            <w:tcW w:w="120" w:type="dxa"/>
            <w:vAlign w:val="bottom"/>
            <w:shd w:val="clear" w:color="auto" w:fill="007DC6"/>
          </w:tcPr>
          <w:p>
            <w:pPr>
              <w:spacing w:after="0"/>
              <w:rPr>
                <w:sz w:val="16"/>
                <w:szCs w:val="16"/>
                <w:color w:val="auto"/>
              </w:rPr>
            </w:pPr>
          </w:p>
        </w:tc>
        <w:tc>
          <w:tcPr>
            <w:tcW w:w="1280" w:type="dxa"/>
            <w:vAlign w:val="bottom"/>
            <w:shd w:val="clear" w:color="auto" w:fill="007DC6"/>
          </w:tcPr>
          <w:p>
            <w:pPr>
              <w:spacing w:after="0"/>
              <w:rPr>
                <w:sz w:val="16"/>
                <w:szCs w:val="16"/>
                <w:color w:val="auto"/>
              </w:rPr>
            </w:pPr>
          </w:p>
        </w:tc>
        <w:tc>
          <w:tcPr>
            <w:tcW w:w="120" w:type="dxa"/>
            <w:vAlign w:val="bottom"/>
            <w:shd w:val="clear" w:color="auto" w:fill="007DC6"/>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shd w:val="clear" w:color="auto" w:fill="007DC6"/>
          </w:tcPr>
          <w:p>
            <w:pPr>
              <w:spacing w:after="0"/>
              <w:rPr>
                <w:sz w:val="17"/>
                <w:szCs w:val="17"/>
                <w:color w:val="auto"/>
              </w:rPr>
            </w:pPr>
          </w:p>
        </w:tc>
        <w:tc>
          <w:tcPr>
            <w:tcW w:w="120" w:type="dxa"/>
            <w:vAlign w:val="bottom"/>
            <w:tcBorders>
              <w:bottom w:val="single" w:sz="8" w:color="auto"/>
            </w:tcBorders>
            <w:shd w:val="clear" w:color="auto" w:fill="007DC6"/>
          </w:tcPr>
          <w:p>
            <w:pPr>
              <w:spacing w:after="0"/>
              <w:rPr>
                <w:sz w:val="17"/>
                <w:szCs w:val="17"/>
                <w:color w:val="auto"/>
              </w:rPr>
            </w:pPr>
          </w:p>
        </w:tc>
        <w:tc>
          <w:tcPr>
            <w:tcW w:w="1280" w:type="dxa"/>
            <w:vAlign w:val="bottom"/>
            <w:tcBorders>
              <w:bottom w:val="single" w:sz="8" w:color="auto"/>
            </w:tcBorders>
            <w:shd w:val="clear" w:color="auto" w:fill="007DC6"/>
          </w:tcPr>
          <w:p>
            <w:pPr>
              <w:jc w:val="right"/>
              <w:ind w:right="459"/>
              <w:spacing w:after="0"/>
              <w:rPr>
                <w:sz w:val="20"/>
                <w:szCs w:val="20"/>
                <w:color w:val="auto"/>
              </w:rPr>
            </w:pPr>
            <w:r>
              <w:rPr>
                <w:rFonts w:ascii="Arial" w:cs="Arial" w:eastAsia="Arial" w:hAnsi="Arial"/>
                <w:sz w:val="16"/>
                <w:szCs w:val="16"/>
                <w:b w:val="1"/>
                <w:bCs w:val="1"/>
                <w:color w:val="FFFFFF"/>
              </w:rPr>
              <w:t>2025</w:t>
            </w:r>
          </w:p>
        </w:tc>
        <w:tc>
          <w:tcPr>
            <w:tcW w:w="120" w:type="dxa"/>
            <w:vAlign w:val="bottom"/>
            <w:tcBorders>
              <w:bottom w:val="single" w:sz="8" w:color="auto"/>
            </w:tcBorders>
            <w:shd w:val="clear" w:color="auto" w:fill="007DC6"/>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DEEAEB"/>
          </w:tcPr>
          <w:p>
            <w:pPr>
              <w:spacing w:after="0"/>
              <w:rPr>
                <w:sz w:val="17"/>
                <w:szCs w:val="17"/>
                <w:color w:val="auto"/>
              </w:rPr>
            </w:pPr>
          </w:p>
        </w:tc>
        <w:tc>
          <w:tcPr>
            <w:tcW w:w="10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ind w:right="41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auto"/>
            </w:tcBorders>
            <w:shd w:val="clear" w:color="auto" w:fill="DEEAEB"/>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DEEAEB"/>
          </w:tcPr>
          <w:p>
            <w:pPr>
              <w:spacing w:after="0"/>
              <w:rPr>
                <w:sz w:val="17"/>
                <w:szCs w:val="17"/>
                <w:color w:val="auto"/>
              </w:rPr>
            </w:pPr>
          </w:p>
        </w:tc>
        <w:tc>
          <w:tcPr>
            <w:tcW w:w="10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ind w:right="4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Consolidated Net Earnings</w:t>
            </w:r>
          </w:p>
        </w:tc>
        <w:tc>
          <w:tcPr>
            <w:tcW w:w="300" w:type="dxa"/>
            <w:vAlign w:val="bottom"/>
            <w:tcBorders>
              <w:bottom w:val="single" w:sz="8" w:color="auto"/>
            </w:tcBorders>
            <w:gridSpan w:val="2"/>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1,137</w:t>
            </w:r>
          </w:p>
        </w:tc>
        <w:tc>
          <w:tcPr>
            <w:tcW w:w="120" w:type="dxa"/>
            <w:vAlign w:val="bottom"/>
            <w:tcBorders>
              <w:bottom w:val="single" w:sz="8" w:color="auto"/>
            </w:tcBorders>
            <w:shd w:val="clear" w:color="auto" w:fill="B6D2E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1,996</w:t>
            </w:r>
          </w:p>
        </w:tc>
        <w:tc>
          <w:tcPr>
            <w:tcW w:w="120" w:type="dxa"/>
            <w:vAlign w:val="bottom"/>
            <w:tcBorders>
              <w:bottom w:val="single" w:sz="8" w:color="auto"/>
            </w:tcBorders>
            <w:shd w:val="clear" w:color="auto" w:fill="DEEAEB"/>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1,170</w:t>
            </w:r>
          </w:p>
        </w:tc>
        <w:tc>
          <w:tcPr>
            <w:tcW w:w="100" w:type="dxa"/>
            <w:vAlign w:val="bottom"/>
            <w:tcBorders>
              <w:bottom w:val="single" w:sz="8" w:color="auto"/>
            </w:tcBorders>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Other comprehensive earnings (loss), net of tax:</w:t>
            </w:r>
          </w:p>
        </w:tc>
        <w:tc>
          <w:tcPr>
            <w:tcW w:w="1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Defined benefit pension and postretirement plans:</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Net gain (loss) arising during period, net of tax of $21, $11 and</w:t>
            </w:r>
          </w:p>
        </w:tc>
        <w:tc>
          <w:tcPr>
            <w:tcW w:w="1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rPr>
                <w:sz w:val="20"/>
                <w:szCs w:val="20"/>
                <w:color w:val="auto"/>
              </w:rPr>
            </w:pPr>
            <w:r>
              <w:rPr>
                <w:rFonts w:ascii="Arial" w:cs="Arial" w:eastAsia="Arial" w:hAnsi="Arial"/>
                <w:sz w:val="16"/>
                <w:szCs w:val="16"/>
                <w:color w:val="auto"/>
              </w:rPr>
              <w:t>$(5), respectively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62</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380" w:type="dxa"/>
            <w:vAlign w:val="bottom"/>
            <w:gridSpan w:val="2"/>
            <w:shd w:val="clear" w:color="auto" w:fill="DEEAEB"/>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Amortization of prior service cost, net of tax of $2, $1 and</w:t>
            </w:r>
          </w:p>
        </w:tc>
        <w:tc>
          <w:tcPr>
            <w:tcW w:w="1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rPr>
                <w:sz w:val="20"/>
                <w:szCs w:val="20"/>
                <w:color w:val="auto"/>
              </w:rPr>
            </w:pPr>
            <w:r>
              <w:rPr>
                <w:rFonts w:ascii="Arial" w:cs="Arial" w:eastAsia="Arial" w:hAnsi="Arial"/>
                <w:sz w:val="16"/>
                <w:szCs w:val="16"/>
                <w:color w:val="auto"/>
              </w:rPr>
              <w:t>$2, respectively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Amortization of actuarial loss, net of tax of $0, $0 and</w:t>
            </w:r>
          </w:p>
        </w:tc>
        <w:tc>
          <w:tcPr>
            <w:tcW w:w="1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6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8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60"/>
              <w:spacing w:after="0"/>
              <w:rPr>
                <w:sz w:val="20"/>
                <w:szCs w:val="20"/>
                <w:color w:val="auto"/>
              </w:rPr>
            </w:pPr>
            <w:r>
              <w:rPr>
                <w:rFonts w:ascii="Arial" w:cs="Arial" w:eastAsia="Arial" w:hAnsi="Arial"/>
                <w:sz w:val="16"/>
                <w:szCs w:val="16"/>
                <w:color w:val="auto"/>
              </w:rPr>
              <w:t>$0, respectively</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Amount recognized in net periodic pension cost due to settlement,</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80" w:type="dxa"/>
            <w:vAlign w:val="bottom"/>
            <w:vMerge w:val="restart"/>
            <w:shd w:val="clear" w:color="auto" w:fill="B6D2E2"/>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B6D2E2"/>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6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280" w:type="dxa"/>
            <w:vAlign w:val="bottom"/>
            <w:vMerge w:val="restart"/>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260"/>
              <w:spacing w:after="0"/>
              <w:rPr>
                <w:sz w:val="20"/>
                <w:szCs w:val="20"/>
                <w:color w:val="auto"/>
              </w:rPr>
            </w:pPr>
            <w:r>
              <w:rPr>
                <w:rFonts w:ascii="Arial" w:cs="Arial" w:eastAsia="Arial" w:hAnsi="Arial"/>
                <w:sz w:val="16"/>
                <w:szCs w:val="16"/>
                <w:color w:val="auto"/>
              </w:rPr>
              <w:t>net of tax of $1, $0 and $0, respectively</w:t>
            </w:r>
          </w:p>
        </w:tc>
        <w:tc>
          <w:tcPr>
            <w:tcW w:w="180" w:type="dxa"/>
            <w:vAlign w:val="bottom"/>
            <w:tcBorders>
              <w:bottom w:val="single" w:sz="8" w:color="auto"/>
            </w:tcBorders>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vMerge w:val="continue"/>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260" w:type="dxa"/>
            <w:vAlign w:val="bottom"/>
            <w:tcBorders>
              <w:bottom w:val="single" w:sz="8" w:color="auto"/>
            </w:tcBorders>
            <w:vMerge w:val="continue"/>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vMerge w:val="continue"/>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80" w:type="dxa"/>
            <w:vAlign w:val="bottom"/>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71</w:t>
            </w:r>
          </w:p>
        </w:tc>
        <w:tc>
          <w:tcPr>
            <w:tcW w:w="120" w:type="dxa"/>
            <w:vAlign w:val="bottom"/>
            <w:shd w:val="clear" w:color="auto" w:fill="B6D2E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6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39</w:t>
            </w:r>
          </w:p>
        </w:tc>
        <w:tc>
          <w:tcPr>
            <w:tcW w:w="12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80" w:type="dxa"/>
            <w:vAlign w:val="bottom"/>
            <w:shd w:val="clear" w:color="auto" w:fill="DEEAEB"/>
          </w:tcPr>
          <w:p>
            <w:pPr>
              <w:jc w:val="right"/>
              <w:spacing w:after="0" w:line="183" w:lineRule="exact"/>
              <w:rPr>
                <w:sz w:val="20"/>
                <w:szCs w:val="20"/>
                <w:color w:val="auto"/>
              </w:rPr>
            </w:pPr>
            <w:r>
              <w:rPr>
                <w:rFonts w:ascii="Arial" w:cs="Arial" w:eastAsia="Arial" w:hAnsi="Arial"/>
                <w:sz w:val="16"/>
                <w:szCs w:val="16"/>
                <w:color w:val="auto"/>
              </w:rPr>
              <w:t>(12)</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Foreign currency translation gain (loss)</w:t>
            </w:r>
          </w:p>
        </w:tc>
        <w:tc>
          <w:tcPr>
            <w:tcW w:w="180" w:type="dxa"/>
            <w:vAlign w:val="bottom"/>
            <w:tcBorders>
              <w:bottom w:val="single" w:sz="8" w:color="auto"/>
            </w:tcBorders>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128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auto"/>
            </w:tcBorders>
            <w:shd w:val="clear" w:color="auto" w:fill="B6D2E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380" w:type="dxa"/>
            <w:vAlign w:val="bottom"/>
            <w:tcBorders>
              <w:bottom w:val="single" w:sz="8" w:color="auto"/>
            </w:tcBorders>
            <w:gridSpan w:val="2"/>
            <w:shd w:val="clear" w:color="auto" w:fill="DEEAEB"/>
          </w:tcPr>
          <w:p>
            <w:pPr>
              <w:jc w:val="right"/>
              <w:ind w:right="6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28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80" w:type="dxa"/>
            <w:vAlign w:val="bottom"/>
            <w:tcBorders>
              <w:bottom w:val="single" w:sz="8" w:color="auto"/>
            </w:tcBorders>
            <w:shd w:val="clear" w:color="auto" w:fill="B6D2E2"/>
          </w:tcPr>
          <w:p>
            <w:pPr>
              <w:spacing w:after="0"/>
              <w:rPr>
                <w:sz w:val="17"/>
                <w:szCs w:val="17"/>
                <w:color w:val="auto"/>
              </w:rPr>
            </w:pPr>
          </w:p>
        </w:tc>
        <w:tc>
          <w:tcPr>
            <w:tcW w:w="120" w:type="dxa"/>
            <w:vAlign w:val="bottom"/>
            <w:tcBorders>
              <w:bottom w:val="single" w:sz="8" w:color="auto"/>
            </w:tcBorders>
            <w:shd w:val="clear" w:color="auto" w:fill="B6D2E2"/>
          </w:tcPr>
          <w:p>
            <w:pPr>
              <w:spacing w:after="0"/>
              <w:rPr>
                <w:sz w:val="17"/>
                <w:szCs w:val="17"/>
                <w:color w:val="auto"/>
              </w:rPr>
            </w:pPr>
          </w:p>
        </w:tc>
        <w:tc>
          <w:tcPr>
            <w:tcW w:w="1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73</w:t>
            </w:r>
          </w:p>
        </w:tc>
        <w:tc>
          <w:tcPr>
            <w:tcW w:w="120" w:type="dxa"/>
            <w:vAlign w:val="bottom"/>
            <w:tcBorders>
              <w:bottom w:val="single" w:sz="8" w:color="auto"/>
            </w:tcBorders>
            <w:shd w:val="clear" w:color="auto" w:fill="B6D2E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DEEAEB"/>
          </w:tcPr>
          <w:p>
            <w:pPr>
              <w:spacing w:after="0"/>
              <w:rPr>
                <w:sz w:val="17"/>
                <w:szCs w:val="17"/>
                <w:color w:val="auto"/>
              </w:rPr>
            </w:pPr>
          </w:p>
        </w:tc>
        <w:tc>
          <w:tcPr>
            <w:tcW w:w="10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36</w:t>
            </w:r>
          </w:p>
        </w:tc>
        <w:tc>
          <w:tcPr>
            <w:tcW w:w="120" w:type="dxa"/>
            <w:vAlign w:val="bottom"/>
            <w:tcBorders>
              <w:bottom w:val="single" w:sz="8" w:color="auto"/>
            </w:tcBorders>
            <w:shd w:val="clear" w:color="auto" w:fill="DEEAEB"/>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DEEAEB"/>
          </w:tcPr>
          <w:p>
            <w:pPr>
              <w:spacing w:after="0"/>
              <w:rPr>
                <w:sz w:val="17"/>
                <w:szCs w:val="17"/>
                <w:color w:val="auto"/>
              </w:rPr>
            </w:pPr>
          </w:p>
        </w:tc>
        <w:tc>
          <w:tcPr>
            <w:tcW w:w="10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gridSpan w:val="2"/>
            <w:shd w:val="clear" w:color="auto" w:fill="DEEAEB"/>
          </w:tcPr>
          <w:p>
            <w:pPr>
              <w:jc w:val="right"/>
              <w:ind w:right="60"/>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598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Comprehensive Earnings Attributable to Martin Marietta</w:t>
            </w:r>
          </w:p>
        </w:tc>
        <w:tc>
          <w:tcPr>
            <w:tcW w:w="180" w:type="dxa"/>
            <w:vAlign w:val="bottom"/>
            <w:tcBorders>
              <w:top w:val="single" w:sz="8" w:color="B6D2E2"/>
              <w:bottom w:val="single" w:sz="8" w:color="auto"/>
            </w:tcBorders>
            <w:shd w:val="clear" w:color="auto" w:fill="B6D2E2"/>
          </w:tcPr>
          <w:p>
            <w:pPr>
              <w:spacing w:after="0"/>
              <w:rPr>
                <w:sz w:val="18"/>
                <w:szCs w:val="18"/>
                <w:color w:val="auto"/>
              </w:rPr>
            </w:pPr>
          </w:p>
        </w:tc>
        <w:tc>
          <w:tcPr>
            <w:tcW w:w="120" w:type="dxa"/>
            <w:vAlign w:val="bottom"/>
            <w:tcBorders>
              <w:top w:val="single" w:sz="8" w:color="B6D2E2"/>
              <w:bottom w:val="single" w:sz="8" w:color="auto"/>
            </w:tcBorders>
            <w:shd w:val="clear" w:color="auto" w:fill="B6D2E2"/>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B6D2E2"/>
              <w:bottom w:val="single" w:sz="8" w:color="auto"/>
            </w:tcBorders>
            <w:shd w:val="clear" w:color="auto" w:fill="B6D2E2"/>
          </w:tcPr>
          <w:p>
            <w:pPr>
              <w:jc w:val="right"/>
              <w:spacing w:after="0" w:line="176" w:lineRule="exact"/>
              <w:rPr>
                <w:sz w:val="20"/>
                <w:szCs w:val="20"/>
                <w:color w:val="auto"/>
              </w:rPr>
            </w:pPr>
            <w:r>
              <w:rPr>
                <w:rFonts w:ascii="Arial" w:cs="Arial" w:eastAsia="Arial" w:hAnsi="Arial"/>
                <w:sz w:val="16"/>
                <w:szCs w:val="16"/>
                <w:b w:val="1"/>
                <w:bCs w:val="1"/>
                <w:color w:val="auto"/>
              </w:rPr>
              <w:t>1,210</w:t>
            </w:r>
          </w:p>
        </w:tc>
        <w:tc>
          <w:tcPr>
            <w:tcW w:w="120" w:type="dxa"/>
            <w:vAlign w:val="bottom"/>
            <w:tcBorders>
              <w:top w:val="single" w:sz="8" w:color="B6D2E2"/>
              <w:bottom w:val="single" w:sz="8" w:color="auto"/>
            </w:tcBorders>
            <w:shd w:val="clear" w:color="auto" w:fill="B6D2E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top w:val="single" w:sz="8" w:color="DEEAEB"/>
              <w:bottom w:val="single" w:sz="8" w:color="auto"/>
            </w:tcBorders>
            <w:shd w:val="clear" w:color="auto" w:fill="DEEAEB"/>
          </w:tcPr>
          <w:p>
            <w:pPr>
              <w:spacing w:after="0"/>
              <w:rPr>
                <w:sz w:val="18"/>
                <w:szCs w:val="18"/>
                <w:color w:val="auto"/>
              </w:rPr>
            </w:pPr>
          </w:p>
        </w:tc>
        <w:tc>
          <w:tcPr>
            <w:tcW w:w="100" w:type="dxa"/>
            <w:vAlign w:val="bottom"/>
            <w:tcBorders>
              <w:top w:val="single" w:sz="8" w:color="DEEAEB"/>
              <w:bottom w:val="single" w:sz="8" w:color="auto"/>
            </w:tcBorders>
            <w:shd w:val="clear" w:color="auto" w:fill="DEEAEB"/>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DEEAEB"/>
              <w:bottom w:val="single" w:sz="8" w:color="auto"/>
            </w:tcBorders>
            <w:shd w:val="clear" w:color="auto" w:fill="DEEAEB"/>
          </w:tcPr>
          <w:p>
            <w:pPr>
              <w:jc w:val="right"/>
              <w:spacing w:after="0" w:line="176" w:lineRule="exact"/>
              <w:rPr>
                <w:sz w:val="20"/>
                <w:szCs w:val="20"/>
                <w:color w:val="auto"/>
              </w:rPr>
            </w:pPr>
            <w:r>
              <w:rPr>
                <w:rFonts w:ascii="Arial" w:cs="Arial" w:eastAsia="Arial" w:hAnsi="Arial"/>
                <w:sz w:val="16"/>
                <w:szCs w:val="16"/>
                <w:color w:val="auto"/>
              </w:rPr>
              <w:t>2,032</w:t>
            </w:r>
          </w:p>
        </w:tc>
        <w:tc>
          <w:tcPr>
            <w:tcW w:w="120" w:type="dxa"/>
            <w:vAlign w:val="bottom"/>
            <w:tcBorders>
              <w:top w:val="single" w:sz="8" w:color="DEEAEB"/>
              <w:bottom w:val="single" w:sz="8" w:color="auto"/>
            </w:tcBorders>
            <w:shd w:val="clear" w:color="auto" w:fill="DEEAEB"/>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top w:val="single" w:sz="8" w:color="DEEAEB"/>
              <w:bottom w:val="single" w:sz="8" w:color="auto"/>
            </w:tcBorders>
            <w:shd w:val="clear" w:color="auto" w:fill="DEEAEB"/>
          </w:tcPr>
          <w:p>
            <w:pPr>
              <w:spacing w:after="0"/>
              <w:rPr>
                <w:sz w:val="18"/>
                <w:szCs w:val="18"/>
                <w:color w:val="auto"/>
              </w:rPr>
            </w:pPr>
          </w:p>
        </w:tc>
        <w:tc>
          <w:tcPr>
            <w:tcW w:w="100" w:type="dxa"/>
            <w:vAlign w:val="bottom"/>
            <w:tcBorders>
              <w:top w:val="single" w:sz="8" w:color="DEEAEB"/>
              <w:bottom w:val="single" w:sz="8" w:color="auto"/>
            </w:tcBorders>
            <w:shd w:val="clear" w:color="auto" w:fill="DEEAEB"/>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DEEAEB"/>
              <w:bottom w:val="single" w:sz="8" w:color="auto"/>
            </w:tcBorders>
            <w:shd w:val="clear" w:color="auto" w:fill="DEEAEB"/>
          </w:tcPr>
          <w:p>
            <w:pPr>
              <w:jc w:val="right"/>
              <w:spacing w:after="0" w:line="176" w:lineRule="exact"/>
              <w:rPr>
                <w:sz w:val="20"/>
                <w:szCs w:val="20"/>
                <w:color w:val="auto"/>
              </w:rPr>
            </w:pPr>
            <w:r>
              <w:rPr>
                <w:rFonts w:ascii="Arial" w:cs="Arial" w:eastAsia="Arial" w:hAnsi="Arial"/>
                <w:sz w:val="16"/>
                <w:szCs w:val="16"/>
                <w:color w:val="auto"/>
              </w:rPr>
              <w:t>1,159</w:t>
            </w:r>
          </w:p>
        </w:tc>
        <w:tc>
          <w:tcPr>
            <w:tcW w:w="100" w:type="dxa"/>
            <w:vAlign w:val="bottom"/>
            <w:tcBorders>
              <w:top w:val="single" w:sz="8" w:color="DEEAEB"/>
              <w:bottom w:val="single" w:sz="8" w:color="auto"/>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6"/>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c>
          <w:tcPr>
            <w:tcW w:w="0" w:type="dxa"/>
            <w:vAlign w:val="bottom"/>
          </w:tcPr>
          <w:p>
            <w:pPr>
              <w:spacing w:after="0"/>
              <w:rPr>
                <w:sz w:val="1"/>
                <w:szCs w:val="1"/>
                <w:color w:val="auto"/>
              </w:rPr>
            </w:pPr>
          </w:p>
        </w:tc>
      </w:tr>
      <w:tr>
        <w:trPr>
          <w:trHeight w:val="384"/>
        </w:trPr>
        <w:tc>
          <w:tcPr>
            <w:tcW w:w="9060" w:type="dxa"/>
            <w:vAlign w:val="bottom"/>
            <w:gridSpan w:val="4"/>
          </w:tcPr>
          <w:p>
            <w:pPr>
              <w:ind w:left="2640"/>
              <w:spacing w:after="0"/>
              <w:rPr>
                <w:sz w:val="20"/>
                <w:szCs w:val="20"/>
                <w:color w:val="auto"/>
              </w:rPr>
            </w:pPr>
            <w:r>
              <w:rPr>
                <w:rFonts w:ascii="Arial" w:cs="Arial" w:eastAsia="Arial" w:hAnsi="Arial"/>
                <w:sz w:val="22"/>
                <w:szCs w:val="22"/>
                <w:color w:val="auto"/>
              </w:rPr>
              <w:t>Martin Marietta Materials, Inc. and Consolidated Subsidiaries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60" w:type="dxa"/>
            <w:vAlign w:val="bottom"/>
            <w:gridSpan w:val="3"/>
          </w:tcPr>
          <w:p>
            <w:pPr>
              <w:ind w:left="4040"/>
              <w:spacing w:after="0"/>
              <w:rPr>
                <w:sz w:val="20"/>
                <w:szCs w:val="20"/>
                <w:color w:val="auto"/>
              </w:rPr>
            </w:pPr>
            <w:r>
              <w:rPr>
                <w:rFonts w:ascii="Arial" w:cs="Arial" w:eastAsia="Arial" w:hAnsi="Arial"/>
                <w:sz w:val="22"/>
                <w:szCs w:val="22"/>
                <w:b w:val="1"/>
                <w:bCs w:val="1"/>
                <w:color w:val="007DC6"/>
              </w:rPr>
              <w:t>Consolidated Balance Sheets</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560" w:type="dxa"/>
            <w:vAlign w:val="bottom"/>
            <w:vMerge w:val="restart"/>
          </w:tcPr>
          <w:p>
            <w:pPr>
              <w:spacing w:after="0"/>
              <w:rPr>
                <w:sz w:val="20"/>
                <w:szCs w:val="20"/>
                <w:color w:val="auto"/>
              </w:rPr>
            </w:pPr>
            <w:r>
              <w:rPr>
                <w:rFonts w:ascii="Arial" w:cs="Arial" w:eastAsia="Arial" w:hAnsi="Arial"/>
                <w:sz w:val="16"/>
                <w:szCs w:val="16"/>
                <w:i w:val="1"/>
                <w:iCs w:val="1"/>
                <w:color w:val="auto"/>
              </w:rPr>
              <w:t>December 31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shd w:val="clear" w:color="auto" w:fill="007DC6"/>
          </w:tcPr>
          <w:p>
            <w:pPr>
              <w:spacing w:after="0"/>
              <w:rPr>
                <w:sz w:val="15"/>
                <w:szCs w:val="15"/>
                <w:color w:val="auto"/>
              </w:rPr>
            </w:pPr>
          </w:p>
        </w:tc>
        <w:tc>
          <w:tcPr>
            <w:tcW w:w="1700" w:type="dxa"/>
            <w:vAlign w:val="bottom"/>
            <w:shd w:val="clear" w:color="auto" w:fill="007DC6"/>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 except share and par value data)</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007DC6"/>
          </w:tcPr>
          <w:p>
            <w:pPr>
              <w:spacing w:after="0"/>
              <w:rPr>
                <w:sz w:val="17"/>
                <w:szCs w:val="17"/>
                <w:color w:val="auto"/>
              </w:rPr>
            </w:pPr>
          </w:p>
        </w:tc>
        <w:tc>
          <w:tcPr>
            <w:tcW w:w="1700" w:type="dxa"/>
            <w:vAlign w:val="bottom"/>
            <w:tcBorders>
              <w:bottom w:val="single" w:sz="8" w:color="auto"/>
            </w:tcBorders>
            <w:shd w:val="clear" w:color="auto" w:fill="007DC6"/>
          </w:tcPr>
          <w:p>
            <w:pPr>
              <w:jc w:val="right"/>
              <w:ind w:right="699"/>
              <w:spacing w:after="0"/>
              <w:rPr>
                <w:sz w:val="20"/>
                <w:szCs w:val="20"/>
                <w:color w:val="auto"/>
              </w:rPr>
            </w:pPr>
            <w:r>
              <w:rPr>
                <w:rFonts w:ascii="Arial" w:cs="Arial" w:eastAsia="Arial" w:hAnsi="Arial"/>
                <w:sz w:val="16"/>
                <w:szCs w:val="16"/>
                <w:b w:val="1"/>
                <w:bCs w:val="1"/>
                <w:color w:val="FFFFFF"/>
              </w:rPr>
              <w:t>2025</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7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Assets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B6D2E2"/>
          </w:tcPr>
          <w:p>
            <w:pPr>
              <w:spacing w:after="0"/>
              <w:rPr>
                <w:sz w:val="15"/>
                <w:szCs w:val="15"/>
                <w:color w:val="auto"/>
              </w:rPr>
            </w:pPr>
          </w:p>
        </w:tc>
        <w:tc>
          <w:tcPr>
            <w:tcW w:w="1700" w:type="dxa"/>
            <w:vAlign w:val="bottom"/>
            <w:tcBorders>
              <w:bottom w:val="single" w:sz="8" w:color="auto"/>
            </w:tcBorders>
            <w:shd w:val="clear" w:color="auto" w:fill="B6D2E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DEEAEB"/>
          </w:tcPr>
          <w:p>
            <w:pPr>
              <w:spacing w:after="0"/>
              <w:rPr>
                <w:sz w:val="15"/>
                <w:szCs w:val="15"/>
                <w:color w:val="auto"/>
              </w:rPr>
            </w:pPr>
          </w:p>
        </w:tc>
        <w:tc>
          <w:tcPr>
            <w:tcW w:w="1720" w:type="dxa"/>
            <w:vAlign w:val="bottom"/>
            <w:tcBorders>
              <w:bottom w:val="single" w:sz="8" w:color="auto"/>
            </w:tcBorders>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spacing w:after="0"/>
              <w:rPr>
                <w:sz w:val="16"/>
                <w:szCs w:val="16"/>
                <w:color w:val="auto"/>
              </w:rPr>
            </w:pPr>
          </w:p>
        </w:tc>
        <w:tc>
          <w:tcPr>
            <w:tcW w:w="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67</w:t>
            </w:r>
          </w:p>
        </w:tc>
        <w:tc>
          <w:tcPr>
            <w:tcW w:w="180" w:type="dxa"/>
            <w:vAlign w:val="bottom"/>
          </w:tcPr>
          <w:p>
            <w:pPr>
              <w:spacing w:after="0"/>
              <w:rPr>
                <w:sz w:val="16"/>
                <w:szCs w:val="16"/>
                <w:color w:val="auto"/>
              </w:rPr>
            </w:pPr>
          </w:p>
        </w:tc>
        <w:tc>
          <w:tcPr>
            <w:tcW w:w="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723</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Inventories, net</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1,078</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Current assets held for sale</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1,230</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current assets</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B6D2E2"/>
          </w:tcPr>
          <w:p>
            <w:pPr>
              <w:spacing w:after="0"/>
              <w:rPr>
                <w:sz w:val="17"/>
                <w:szCs w:val="17"/>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95</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Total Current Assets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3,193</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10,290</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9,660</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Goodwill</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3,614</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Other intangibles, net</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459</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367</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Noncurrent assets held for sale</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assets</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B6D2E2"/>
          </w:tcPr>
          <w:p>
            <w:pPr>
              <w:spacing w:after="0"/>
              <w:rPr>
                <w:sz w:val="17"/>
                <w:szCs w:val="17"/>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788</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18,711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18,170</w:t>
            </w:r>
          </w:p>
        </w:tc>
        <w:tc>
          <w:tcPr>
            <w:tcW w:w="0" w:type="dxa"/>
            <w:vAlign w:val="bottom"/>
          </w:tcPr>
          <w:p>
            <w:pPr>
              <w:spacing w:after="0"/>
              <w:rPr>
                <w:sz w:val="1"/>
                <w:szCs w:val="1"/>
                <w:color w:val="auto"/>
              </w:rPr>
            </w:pPr>
          </w:p>
        </w:tc>
      </w:tr>
      <w:tr>
        <w:trPr>
          <w:trHeight w:val="358"/>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and Equity</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B6D2E2"/>
          </w:tcPr>
          <w:p>
            <w:pPr>
              <w:spacing w:after="0"/>
              <w:rPr>
                <w:sz w:val="24"/>
                <w:szCs w:val="24"/>
                <w:color w:val="auto"/>
              </w:rPr>
            </w:pPr>
          </w:p>
        </w:tc>
        <w:tc>
          <w:tcPr>
            <w:tcW w:w="1700" w:type="dxa"/>
            <w:vAlign w:val="bottom"/>
            <w:tcBorders>
              <w:bottom w:val="single" w:sz="8" w:color="auto"/>
            </w:tcBorders>
            <w:shd w:val="clear" w:color="auto" w:fill="B6D2E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DEEAEB"/>
          </w:tcPr>
          <w:p>
            <w:pPr>
              <w:spacing w:after="0"/>
              <w:rPr>
                <w:sz w:val="24"/>
                <w:szCs w:val="24"/>
                <w:color w:val="auto"/>
              </w:rPr>
            </w:pPr>
          </w:p>
        </w:tc>
        <w:tc>
          <w:tcPr>
            <w:tcW w:w="1720" w:type="dxa"/>
            <w:vAlign w:val="bottom"/>
            <w:tcBorders>
              <w:bottom w:val="single" w:sz="8" w:color="auto"/>
            </w:tcBorders>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Accounts payable</w:t>
            </w:r>
          </w:p>
        </w:tc>
        <w:tc>
          <w:tcPr>
            <w:tcW w:w="520" w:type="dxa"/>
            <w:vAlign w:val="bottom"/>
          </w:tcPr>
          <w:p>
            <w:pPr>
              <w:spacing w:after="0"/>
              <w:rPr>
                <w:sz w:val="16"/>
                <w:szCs w:val="16"/>
                <w:color w:val="auto"/>
              </w:rPr>
            </w:pPr>
          </w:p>
        </w:tc>
        <w:tc>
          <w:tcPr>
            <w:tcW w:w="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389</w:t>
            </w:r>
          </w:p>
        </w:tc>
        <w:tc>
          <w:tcPr>
            <w:tcW w:w="180" w:type="dxa"/>
            <w:vAlign w:val="bottom"/>
          </w:tcPr>
          <w:p>
            <w:pPr>
              <w:spacing w:after="0"/>
              <w:rPr>
                <w:sz w:val="16"/>
                <w:szCs w:val="16"/>
                <w:color w:val="auto"/>
              </w:rPr>
            </w:pPr>
          </w:p>
        </w:tc>
        <w:tc>
          <w:tcPr>
            <w:tcW w:w="2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Accrued salaries, benefits and payroll taxes</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Accrued income taxes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Accrued other taxes</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46</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Current operating lease liabilities</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62</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Unpaid commitments to limited liability companies</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51</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current liabilities</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B6D2E2"/>
          </w:tcPr>
          <w:p>
            <w:pPr>
              <w:spacing w:after="0"/>
              <w:rPr>
                <w:sz w:val="17"/>
                <w:szCs w:val="17"/>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212</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895</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Long-term debt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5,293</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1,266</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Noncurrent operating lease liabilities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320</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B6D2E2"/>
          </w:tcPr>
          <w:p>
            <w:pPr>
              <w:spacing w:after="0"/>
              <w:rPr>
                <w:sz w:val="17"/>
                <w:szCs w:val="17"/>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903</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B6D2E2"/>
          </w:tcPr>
          <w:p>
            <w:pPr>
              <w:spacing w:after="0"/>
              <w:rPr>
                <w:sz w:val="15"/>
                <w:szCs w:val="15"/>
                <w:color w:val="auto"/>
              </w:rPr>
            </w:pPr>
          </w:p>
        </w:tc>
        <w:tc>
          <w:tcPr>
            <w:tcW w:w="17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8,677</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DEEAEB"/>
          </w:tcPr>
          <w:p>
            <w:pPr>
              <w:spacing w:after="0"/>
              <w:rPr>
                <w:sz w:val="15"/>
                <w:szCs w:val="15"/>
                <w:color w:val="auto"/>
              </w:rPr>
            </w:pPr>
          </w:p>
        </w:tc>
        <w:tc>
          <w:tcPr>
            <w:tcW w:w="172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8,714</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Commitments and Contingent Liabilities - Note N</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Common stock ($0.01 par value; 100,000,000 shares authorized; 60,309,739 shares</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40"/>
              <w:spacing w:after="0"/>
              <w:rPr>
                <w:sz w:val="20"/>
                <w:szCs w:val="20"/>
                <w:color w:val="auto"/>
              </w:rPr>
            </w:pPr>
            <w:r>
              <w:rPr>
                <w:rFonts w:ascii="Arial" w:cs="Arial" w:eastAsia="Arial" w:hAnsi="Arial"/>
                <w:sz w:val="16"/>
                <w:szCs w:val="16"/>
                <w:color w:val="auto"/>
              </w:rPr>
              <w:t>and 61,126,646 shares outstanding at December 31, 2025 and 2024, respectively)</w:t>
            </w:r>
          </w:p>
        </w:tc>
        <w:tc>
          <w:tcPr>
            <w:tcW w:w="520" w:type="dxa"/>
            <w:vAlign w:val="bottom"/>
          </w:tcPr>
          <w:p>
            <w:pPr>
              <w:spacing w:after="0"/>
              <w:rPr>
                <w:sz w:val="17"/>
                <w:szCs w:val="17"/>
                <w:color w:val="auto"/>
              </w:rPr>
            </w:pPr>
          </w:p>
        </w:tc>
        <w:tc>
          <w:tcPr>
            <w:tcW w:w="280" w:type="dxa"/>
            <w:vAlign w:val="bottom"/>
            <w:shd w:val="clear" w:color="auto" w:fill="B6D2E2"/>
          </w:tcPr>
          <w:p>
            <w:pPr>
              <w:spacing w:after="0"/>
              <w:rPr>
                <w:sz w:val="17"/>
                <w:szCs w:val="17"/>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7"/>
                <w:szCs w:val="17"/>
                <w:color w:val="auto"/>
              </w:rPr>
            </w:pPr>
          </w:p>
        </w:tc>
        <w:tc>
          <w:tcPr>
            <w:tcW w:w="280" w:type="dxa"/>
            <w:vAlign w:val="bottom"/>
            <w:shd w:val="clear" w:color="auto" w:fill="DEEAEB"/>
          </w:tcPr>
          <w:p>
            <w:pPr>
              <w:spacing w:after="0"/>
              <w:rPr>
                <w:sz w:val="17"/>
                <w:szCs w:val="17"/>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Preferred stock ($0.01 par value; 10,000,000 shares authorized; no shares outstanding)</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3,569</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Accumulated other comprehensive earnings (loss)</w:t>
            </w:r>
          </w:p>
        </w:tc>
        <w:tc>
          <w:tcPr>
            <w:tcW w:w="520" w:type="dxa"/>
            <w:vAlign w:val="bottom"/>
          </w:tcPr>
          <w:p>
            <w:pPr>
              <w:spacing w:after="0"/>
              <w:rPr>
                <w:sz w:val="16"/>
                <w:szCs w:val="16"/>
                <w:color w:val="auto"/>
              </w:rPr>
            </w:pPr>
          </w:p>
        </w:tc>
        <w:tc>
          <w:tcPr>
            <w:tcW w:w="280" w:type="dxa"/>
            <w:vAlign w:val="bottom"/>
            <w:shd w:val="clear" w:color="auto" w:fill="B6D2E2"/>
          </w:tcPr>
          <w:p>
            <w:pPr>
              <w:spacing w:after="0"/>
              <w:rPr>
                <w:sz w:val="16"/>
                <w:szCs w:val="16"/>
                <w:color w:val="auto"/>
              </w:rPr>
            </w:pPr>
          </w:p>
        </w:tc>
        <w:tc>
          <w:tcPr>
            <w:tcW w:w="17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60</w:t>
            </w:r>
          </w:p>
        </w:tc>
        <w:tc>
          <w:tcPr>
            <w:tcW w:w="180" w:type="dxa"/>
            <w:vAlign w:val="bottom"/>
          </w:tcPr>
          <w:p>
            <w:pPr>
              <w:spacing w:after="0"/>
              <w:rPr>
                <w:sz w:val="16"/>
                <w:szCs w:val="16"/>
                <w:color w:val="auto"/>
              </w:rPr>
            </w:pPr>
          </w:p>
        </w:tc>
        <w:tc>
          <w:tcPr>
            <w:tcW w:w="280" w:type="dxa"/>
            <w:vAlign w:val="bottom"/>
            <w:shd w:val="clear" w:color="auto" w:fill="DEEAEB"/>
          </w:tcPr>
          <w:p>
            <w:pPr>
              <w:spacing w:after="0"/>
              <w:rPr>
                <w:sz w:val="16"/>
                <w:szCs w:val="16"/>
                <w:color w:val="auto"/>
              </w:rPr>
            </w:pPr>
          </w:p>
        </w:tc>
        <w:tc>
          <w:tcPr>
            <w:tcW w:w="172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B6D2E2"/>
          </w:tcPr>
          <w:p>
            <w:pPr>
              <w:spacing w:after="0"/>
              <w:rPr>
                <w:sz w:val="17"/>
                <w:szCs w:val="17"/>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6,402</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DEEAEB"/>
          </w:tcPr>
          <w:p>
            <w:pPr>
              <w:spacing w:after="0"/>
              <w:rPr>
                <w:sz w:val="17"/>
                <w:szCs w:val="17"/>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5,915</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Total Shareholders’ Equity</w:t>
            </w:r>
          </w:p>
        </w:tc>
        <w:tc>
          <w:tcPr>
            <w:tcW w:w="520" w:type="dxa"/>
            <w:vAlign w:val="bottom"/>
          </w:tcPr>
          <w:p>
            <w:pPr>
              <w:spacing w:after="0"/>
              <w:rPr>
                <w:sz w:val="15"/>
                <w:szCs w:val="15"/>
                <w:color w:val="auto"/>
              </w:rPr>
            </w:pPr>
          </w:p>
        </w:tc>
        <w:tc>
          <w:tcPr>
            <w:tcW w:w="280" w:type="dxa"/>
            <w:vAlign w:val="bottom"/>
            <w:shd w:val="clear" w:color="auto" w:fill="B6D2E2"/>
          </w:tcPr>
          <w:p>
            <w:pPr>
              <w:spacing w:after="0"/>
              <w:rPr>
                <w:sz w:val="15"/>
                <w:szCs w:val="15"/>
                <w:color w:val="auto"/>
              </w:rPr>
            </w:pPr>
          </w:p>
        </w:tc>
        <w:tc>
          <w:tcPr>
            <w:tcW w:w="1700" w:type="dxa"/>
            <w:vAlign w:val="bottom"/>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10,032</w:t>
            </w:r>
          </w:p>
        </w:tc>
        <w:tc>
          <w:tcPr>
            <w:tcW w:w="180" w:type="dxa"/>
            <w:vAlign w:val="bottom"/>
          </w:tcPr>
          <w:p>
            <w:pPr>
              <w:spacing w:after="0"/>
              <w:rPr>
                <w:sz w:val="15"/>
                <w:szCs w:val="15"/>
                <w:color w:val="auto"/>
              </w:rPr>
            </w:pPr>
          </w:p>
        </w:tc>
        <w:tc>
          <w:tcPr>
            <w:tcW w:w="280" w:type="dxa"/>
            <w:vAlign w:val="bottom"/>
            <w:shd w:val="clear" w:color="auto" w:fill="DEEAEB"/>
          </w:tcPr>
          <w:p>
            <w:pPr>
              <w:spacing w:after="0"/>
              <w:rPr>
                <w:sz w:val="15"/>
                <w:szCs w:val="15"/>
                <w:color w:val="auto"/>
              </w:rPr>
            </w:pPr>
          </w:p>
        </w:tc>
        <w:tc>
          <w:tcPr>
            <w:tcW w:w="1720" w:type="dxa"/>
            <w:vAlign w:val="bottom"/>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interests</w:t>
            </w: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B6D2E2"/>
          </w:tcPr>
          <w:p>
            <w:pPr>
              <w:spacing w:after="0"/>
              <w:rPr>
                <w:sz w:val="16"/>
                <w:szCs w:val="16"/>
                <w:color w:val="auto"/>
              </w:rPr>
            </w:pPr>
          </w:p>
        </w:tc>
        <w:tc>
          <w:tcPr>
            <w:tcW w:w="17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DEEAEB"/>
          </w:tcPr>
          <w:p>
            <w:pPr>
              <w:spacing w:after="0"/>
              <w:rPr>
                <w:sz w:val="16"/>
                <w:szCs w:val="16"/>
                <w:color w:val="auto"/>
              </w:rPr>
            </w:pPr>
          </w:p>
        </w:tc>
        <w:tc>
          <w:tcPr>
            <w:tcW w:w="172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B6D2E2"/>
          </w:tcPr>
          <w:p>
            <w:pPr>
              <w:spacing w:after="0"/>
              <w:rPr>
                <w:sz w:val="15"/>
                <w:szCs w:val="15"/>
                <w:color w:val="auto"/>
              </w:rPr>
            </w:pPr>
          </w:p>
        </w:tc>
        <w:tc>
          <w:tcPr>
            <w:tcW w:w="17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10,034</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DEEAEB"/>
          </w:tcPr>
          <w:p>
            <w:pPr>
              <w:spacing w:after="0"/>
              <w:rPr>
                <w:sz w:val="15"/>
                <w:szCs w:val="15"/>
                <w:color w:val="auto"/>
              </w:rPr>
            </w:pPr>
          </w:p>
        </w:tc>
        <w:tc>
          <w:tcPr>
            <w:tcW w:w="172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9,456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Liabilities and Equity</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18,711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18,170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38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Cash Flows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0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280" w:type="dxa"/>
            <w:vAlign w:val="bottom"/>
            <w:shd w:val="clear" w:color="auto" w:fill="007DC6"/>
          </w:tcPr>
          <w:p>
            <w:pPr>
              <w:spacing w:after="0"/>
              <w:rPr>
                <w:sz w:val="16"/>
                <w:szCs w:val="16"/>
                <w:color w:val="auto"/>
              </w:rPr>
            </w:pPr>
          </w:p>
        </w:tc>
        <w:tc>
          <w:tcPr>
            <w:tcW w:w="1400" w:type="dxa"/>
            <w:vAlign w:val="bottom"/>
            <w:shd w:val="clear" w:color="auto" w:fill="007DC6"/>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spacing w:after="0"/>
              <w:rPr>
                <w:sz w:val="16"/>
                <w:szCs w:val="16"/>
                <w:color w:val="auto"/>
              </w:rPr>
            </w:pPr>
          </w:p>
        </w:tc>
      </w:tr>
      <w:tr>
        <w:trPr>
          <w:trHeight w:val="203"/>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shd w:val="clear" w:color="auto" w:fill="007DC6"/>
          </w:tcPr>
          <w:p>
            <w:pPr>
              <w:spacing w:after="0"/>
              <w:rPr>
                <w:sz w:val="17"/>
                <w:szCs w:val="17"/>
                <w:color w:val="auto"/>
              </w:rPr>
            </w:pPr>
          </w:p>
        </w:tc>
        <w:tc>
          <w:tcPr>
            <w:tcW w:w="1400" w:type="dxa"/>
            <w:vAlign w:val="bottom"/>
            <w:tcBorders>
              <w:bottom w:val="single" w:sz="8" w:color="auto"/>
            </w:tcBorders>
            <w:shd w:val="clear" w:color="auto" w:fill="007DC6"/>
          </w:tcPr>
          <w:p>
            <w:pPr>
              <w:jc w:val="right"/>
              <w:ind w:right="559"/>
              <w:spacing w:after="0"/>
              <w:rPr>
                <w:sz w:val="20"/>
                <w:szCs w:val="20"/>
                <w:color w:val="auto"/>
              </w:rPr>
            </w:pPr>
            <w:r>
              <w:rPr>
                <w:rFonts w:ascii="Arial" w:cs="Arial" w:eastAsia="Arial" w:hAnsi="Arial"/>
                <w:sz w:val="16"/>
                <w:szCs w:val="16"/>
                <w:b w:val="1"/>
                <w:bCs w:val="1"/>
                <w:color w:val="FFFFFF"/>
              </w:rPr>
              <w:t>2025</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shd w:val="clear" w:color="auto" w:fill="DEEAEB"/>
          </w:tcPr>
          <w:p>
            <w:pPr>
              <w:jc w:val="right"/>
              <w:ind w:right="559"/>
              <w:spacing w:after="0"/>
              <w:rPr>
                <w:sz w:val="20"/>
                <w:szCs w:val="20"/>
                <w:color w:val="auto"/>
              </w:rPr>
            </w:pPr>
            <w:r>
              <w:rPr>
                <w:rFonts w:ascii="Arial" w:cs="Arial" w:eastAsia="Arial" w:hAnsi="Arial"/>
                <w:sz w:val="16"/>
                <w:szCs w:val="16"/>
                <w:color w:val="auto"/>
              </w:rPr>
              <w:t>2024</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40" w:type="dxa"/>
            <w:vAlign w:val="bottom"/>
            <w:tcBorders>
              <w:bottom w:val="single" w:sz="8" w:color="auto"/>
            </w:tcBorders>
            <w:shd w:val="clear" w:color="auto" w:fill="DEEAEB"/>
          </w:tcPr>
          <w:p>
            <w:pPr>
              <w:jc w:val="right"/>
              <w:ind w:right="539"/>
              <w:spacing w:after="0"/>
              <w:rPr>
                <w:sz w:val="20"/>
                <w:szCs w:val="20"/>
                <w:color w:val="auto"/>
              </w:rPr>
            </w:pPr>
            <w:r>
              <w:rPr>
                <w:rFonts w:ascii="Arial" w:cs="Arial" w:eastAsia="Arial" w:hAnsi="Arial"/>
                <w:sz w:val="16"/>
                <w:szCs w:val="16"/>
                <w:color w:val="auto"/>
              </w:rPr>
              <w:t>2023</w:t>
            </w: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spacing w:after="0"/>
              <w:rPr>
                <w:sz w:val="15"/>
                <w:szCs w:val="15"/>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Consolidated net earnings</w:t>
            </w:r>
          </w:p>
        </w:tc>
        <w:tc>
          <w:tcPr>
            <w:tcW w:w="28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1,137</w:t>
            </w:r>
          </w:p>
        </w:tc>
        <w:tc>
          <w:tcPr>
            <w:tcW w:w="160" w:type="dxa"/>
            <w:vAlign w:val="bottom"/>
          </w:tcPr>
          <w:p>
            <w:pPr>
              <w:spacing w:after="0"/>
              <w:rPr>
                <w:sz w:val="16"/>
                <w:szCs w:val="16"/>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1,996</w:t>
            </w:r>
          </w:p>
        </w:tc>
        <w:tc>
          <w:tcPr>
            <w:tcW w:w="140" w:type="dxa"/>
            <w:vAlign w:val="bottom"/>
          </w:tcPr>
          <w:p>
            <w:pPr>
              <w:spacing w:after="0"/>
              <w:rPr>
                <w:sz w:val="16"/>
                <w:szCs w:val="16"/>
                <w:color w:val="auto"/>
              </w:rPr>
            </w:pPr>
          </w:p>
        </w:tc>
        <w:tc>
          <w:tcPr>
            <w:tcW w:w="260" w:type="dxa"/>
            <w:vAlign w:val="bottom"/>
            <w:shd w:val="clear" w:color="auto" w:fill="DEEAEB"/>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1,170</w:t>
            </w:r>
          </w:p>
        </w:tc>
      </w:tr>
      <w:tr>
        <w:trPr>
          <w:trHeight w:val="175"/>
        </w:trPr>
        <w:tc>
          <w:tcPr>
            <w:tcW w:w="5900" w:type="dxa"/>
            <w:vAlign w:val="bottom"/>
            <w:gridSpan w:val="2"/>
          </w:tcPr>
          <w:p>
            <w:pPr>
              <w:spacing w:after="0" w:line="175" w:lineRule="exact"/>
              <w:rPr>
                <w:sz w:val="20"/>
                <w:szCs w:val="20"/>
                <w:color w:val="auto"/>
              </w:rPr>
            </w:pPr>
            <w:r>
              <w:rPr>
                <w:rFonts w:ascii="Arial" w:cs="Arial" w:eastAsia="Arial" w:hAnsi="Arial"/>
                <w:sz w:val="16"/>
                <w:szCs w:val="16"/>
                <w:color w:val="auto"/>
              </w:rPr>
              <w:t>Adjustments to reconcile consolidated net earnings to net cash</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provided by operating activities:</w:t>
            </w:r>
          </w:p>
        </w:tc>
        <w:tc>
          <w:tcPr>
            <w:tcW w:w="280" w:type="dxa"/>
            <w:vAlign w:val="bottom"/>
            <w:shd w:val="clear" w:color="auto" w:fill="B6D2E2"/>
          </w:tcPr>
          <w:p>
            <w:pPr>
              <w:spacing w:after="0"/>
              <w:rPr>
                <w:sz w:val="17"/>
                <w:szCs w:val="17"/>
                <w:color w:val="auto"/>
              </w:rPr>
            </w:pPr>
          </w:p>
        </w:tc>
        <w:tc>
          <w:tcPr>
            <w:tcW w:w="14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8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40" w:type="dxa"/>
            <w:vAlign w:val="bottom"/>
            <w:shd w:val="clear" w:color="auto" w:fill="DEEAEB"/>
          </w:tcPr>
          <w:p>
            <w:pPr>
              <w:spacing w:after="0"/>
              <w:rPr>
                <w:sz w:val="17"/>
                <w:szCs w:val="17"/>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637</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573</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513</w:t>
            </w:r>
          </w:p>
        </w:tc>
      </w:tr>
      <w:tr>
        <w:trPr>
          <w:trHeight w:val="175"/>
        </w:trPr>
        <w:tc>
          <w:tcPr>
            <w:tcW w:w="5900" w:type="dxa"/>
            <w:vAlign w:val="bottom"/>
            <w:gridSpan w:val="2"/>
          </w:tcPr>
          <w:p>
            <w:pPr>
              <w:spacing w:after="0" w:line="175" w:lineRule="exact"/>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jc w:val="right"/>
              <w:ind w:right="59"/>
              <w:spacing w:after="0" w:line="175" w:lineRule="exact"/>
              <w:rPr>
                <w:sz w:val="20"/>
                <w:szCs w:val="20"/>
                <w:color w:val="auto"/>
              </w:rPr>
            </w:pPr>
            <w:r>
              <w:rPr>
                <w:rFonts w:ascii="Arial" w:cs="Arial" w:eastAsia="Arial" w:hAnsi="Arial"/>
                <w:sz w:val="16"/>
                <w:szCs w:val="16"/>
                <w:b w:val="1"/>
                <w:bCs w:val="1"/>
                <w:color w:val="auto"/>
              </w:rPr>
              <w:t>46</w:t>
            </w: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58</w:t>
            </w: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jc w:val="right"/>
              <w:ind w:right="39"/>
              <w:spacing w:after="0" w:line="175" w:lineRule="exact"/>
              <w:rPr>
                <w:sz w:val="20"/>
                <w:szCs w:val="20"/>
                <w:color w:val="auto"/>
              </w:rPr>
            </w:pPr>
            <w:r>
              <w:rPr>
                <w:rFonts w:ascii="Arial" w:cs="Arial" w:eastAsia="Arial" w:hAnsi="Arial"/>
                <w:sz w:val="16"/>
                <w:szCs w:val="16"/>
                <w:color w:val="auto"/>
              </w:rPr>
              <w:t>50</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Net gains on divestitures and sales of assets</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(1,369)</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(2)</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69</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(36)</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Asset and portfolio rationalization charges</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color w:val="auto"/>
              </w:rPr>
              <w:t>Other items, net</w:t>
            </w:r>
          </w:p>
        </w:tc>
        <w:tc>
          <w:tcPr>
            <w:tcW w:w="280" w:type="dxa"/>
            <w:vAlign w:val="bottom"/>
            <w:shd w:val="clear" w:color="auto" w:fill="B6D2E2"/>
          </w:tcPr>
          <w:p>
            <w:pPr>
              <w:spacing w:after="0"/>
              <w:rPr>
                <w:sz w:val="17"/>
                <w:szCs w:val="17"/>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(16)</w:t>
            </w:r>
          </w:p>
        </w:tc>
      </w:tr>
      <w:tr>
        <w:trPr>
          <w:trHeight w:val="175"/>
        </w:trPr>
        <w:tc>
          <w:tcPr>
            <w:tcW w:w="5900" w:type="dxa"/>
            <w:vAlign w:val="bottom"/>
            <w:gridSpan w:val="2"/>
          </w:tcPr>
          <w:p>
            <w:pPr>
              <w:spacing w:after="0" w:line="175" w:lineRule="exact"/>
              <w:rPr>
                <w:sz w:val="20"/>
                <w:szCs w:val="20"/>
                <w:color w:val="auto"/>
              </w:rPr>
            </w:pPr>
            <w:r>
              <w:rPr>
                <w:rFonts w:ascii="Arial" w:cs="Arial" w:eastAsia="Arial" w:hAnsi="Arial"/>
                <w:sz w:val="16"/>
                <w:szCs w:val="16"/>
                <w:color w:val="auto"/>
              </w:rPr>
              <w:t>Changes in operating assets and liabilities, net of effects of acquisitions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and divestitures:</w:t>
            </w:r>
          </w:p>
        </w:tc>
        <w:tc>
          <w:tcPr>
            <w:tcW w:w="280" w:type="dxa"/>
            <w:vAlign w:val="bottom"/>
            <w:shd w:val="clear" w:color="auto" w:fill="B6D2E2"/>
          </w:tcPr>
          <w:p>
            <w:pPr>
              <w:spacing w:after="0"/>
              <w:rPr>
                <w:sz w:val="17"/>
                <w:szCs w:val="17"/>
                <w:color w:val="auto"/>
              </w:rPr>
            </w:pPr>
          </w:p>
        </w:tc>
        <w:tc>
          <w:tcPr>
            <w:tcW w:w="14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8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40" w:type="dxa"/>
            <w:vAlign w:val="bottom"/>
            <w:shd w:val="clear" w:color="auto" w:fill="DEEAEB"/>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(51)</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31</w:t>
            </w:r>
          </w:p>
        </w:tc>
      </w:tr>
      <w:tr>
        <w:trPr>
          <w:trHeight w:val="175"/>
        </w:trPr>
        <w:tc>
          <w:tcPr>
            <w:tcW w:w="20" w:type="dxa"/>
            <w:vAlign w:val="bottom"/>
          </w:tcPr>
          <w:p>
            <w:pPr>
              <w:spacing w:after="0"/>
              <w:rPr>
                <w:sz w:val="15"/>
                <w:szCs w:val="15"/>
                <w:color w:val="auto"/>
              </w:rPr>
            </w:pPr>
          </w:p>
        </w:tc>
        <w:tc>
          <w:tcPr>
            <w:tcW w:w="5880" w:type="dxa"/>
            <w:vAlign w:val="bottom"/>
          </w:tcPr>
          <w:p>
            <w:pPr>
              <w:ind w:left="140"/>
              <w:spacing w:after="0" w:line="175" w:lineRule="exact"/>
              <w:rPr>
                <w:sz w:val="20"/>
                <w:szCs w:val="20"/>
                <w:color w:val="auto"/>
              </w:rPr>
            </w:pPr>
            <w:r>
              <w:rPr>
                <w:rFonts w:ascii="Arial" w:cs="Arial" w:eastAsia="Arial" w:hAnsi="Arial"/>
                <w:sz w:val="16"/>
                <w:szCs w:val="16"/>
                <w:color w:val="auto"/>
              </w:rPr>
              <w:t>Inventories, net</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jc w:val="right"/>
              <w:ind w:right="39"/>
              <w:spacing w:after="0" w:line="175" w:lineRule="exact"/>
              <w:rPr>
                <w:sz w:val="20"/>
                <w:szCs w:val="20"/>
                <w:color w:val="auto"/>
              </w:rPr>
            </w:pPr>
            <w:r>
              <w:rPr>
                <w:rFonts w:ascii="Arial" w:cs="Arial" w:eastAsia="Arial" w:hAnsi="Arial"/>
                <w:sz w:val="16"/>
                <w:szCs w:val="16"/>
                <w:color w:val="auto"/>
              </w:rPr>
              <w:t>(52)</w:t>
            </w: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jc w:val="right"/>
              <w:ind w:right="19"/>
              <w:spacing w:after="0" w:line="175" w:lineRule="exact"/>
              <w:rPr>
                <w:sz w:val="20"/>
                <w:szCs w:val="20"/>
                <w:color w:val="auto"/>
              </w:rPr>
            </w:pPr>
            <w:r>
              <w:rPr>
                <w:rFonts w:ascii="Arial" w:cs="Arial" w:eastAsia="Arial" w:hAnsi="Arial"/>
                <w:sz w:val="16"/>
                <w:szCs w:val="16"/>
                <w:color w:val="auto"/>
              </w:rPr>
              <w:t>(189)</w:t>
            </w:r>
          </w:p>
        </w:tc>
      </w:tr>
      <w:tr>
        <w:trPr>
          <w:trHeight w:val="189"/>
        </w:trPr>
        <w:tc>
          <w:tcPr>
            <w:tcW w:w="2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(17)</w:t>
            </w: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 and liabilities, net</w:t>
            </w:r>
          </w:p>
        </w:tc>
        <w:tc>
          <w:tcPr>
            <w:tcW w:w="280" w:type="dxa"/>
            <w:vAlign w:val="bottom"/>
            <w:tcBorders>
              <w:bottom w:val="single" w:sz="8" w:color="auto"/>
            </w:tcBorders>
            <w:shd w:val="clear" w:color="auto" w:fill="B6D2E2"/>
          </w:tcPr>
          <w:p>
            <w:pPr>
              <w:spacing w:after="0"/>
              <w:rPr>
                <w:sz w:val="17"/>
                <w:szCs w:val="17"/>
                <w:color w:val="auto"/>
              </w:rPr>
            </w:pPr>
          </w:p>
        </w:tc>
        <w:tc>
          <w:tcPr>
            <w:tcW w:w="14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(32)</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40" w:type="dxa"/>
            <w:vAlign w:val="bottom"/>
            <w:tcBorders>
              <w:bottom w:val="single" w:sz="8" w:color="auto"/>
            </w:tcBorders>
            <w:shd w:val="clear" w:color="auto" w:fill="DEEAEB"/>
          </w:tcPr>
          <w:p>
            <w:pPr>
              <w:jc w:val="right"/>
              <w:ind w:right="39"/>
              <w:spacing w:after="0"/>
              <w:rPr>
                <w:sz w:val="20"/>
                <w:szCs w:val="20"/>
                <w:color w:val="auto"/>
              </w:rPr>
            </w:pPr>
            <w:r>
              <w:rPr>
                <w:rFonts w:ascii="Arial" w:cs="Arial" w:eastAsia="Arial" w:hAnsi="Arial"/>
                <w:sz w:val="16"/>
                <w:szCs w:val="16"/>
                <w:color w:val="auto"/>
              </w:rPr>
              <w:t>24</w:t>
            </w:r>
          </w:p>
        </w:tc>
      </w:tr>
      <w:tr>
        <w:trPr>
          <w:trHeight w:val="183"/>
        </w:trPr>
        <w:tc>
          <w:tcPr>
            <w:tcW w:w="2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shd w:val="clear" w:color="auto" w:fill="B6D2E2"/>
          </w:tcPr>
          <w:p>
            <w:pPr>
              <w:spacing w:after="0"/>
              <w:rPr>
                <w:sz w:val="15"/>
                <w:szCs w:val="15"/>
                <w:color w:val="auto"/>
              </w:rPr>
            </w:pPr>
          </w:p>
        </w:tc>
        <w:tc>
          <w:tcPr>
            <w:tcW w:w="1400" w:type="dxa"/>
            <w:vAlign w:val="bottom"/>
            <w:tcBorders>
              <w:bottom w:val="single" w:sz="8" w:color="auto"/>
            </w:tcBorders>
            <w:shd w:val="clear" w:color="auto" w:fill="B6D2E2"/>
          </w:tcPr>
          <w:p>
            <w:pPr>
              <w:jc w:val="right"/>
              <w:ind w:right="59"/>
              <w:spacing w:after="0" w:line="183" w:lineRule="exact"/>
              <w:rPr>
                <w:sz w:val="20"/>
                <w:szCs w:val="20"/>
                <w:color w:val="auto"/>
              </w:rPr>
            </w:pPr>
            <w:r>
              <w:rPr>
                <w:rFonts w:ascii="Arial" w:cs="Arial" w:eastAsia="Arial" w:hAnsi="Arial"/>
                <w:sz w:val="16"/>
                <w:szCs w:val="16"/>
                <w:b w:val="1"/>
                <w:bCs w:val="1"/>
                <w:color w:val="auto"/>
              </w:rPr>
              <w:t>1,785</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8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1,459</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40" w:type="dxa"/>
            <w:vAlign w:val="bottom"/>
            <w:tcBorders>
              <w:bottom w:val="single" w:sz="8" w:color="auto"/>
            </w:tcBorders>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1,528</w:t>
            </w: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spacing w:after="0"/>
              <w:rPr>
                <w:sz w:val="15"/>
                <w:szCs w:val="15"/>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spacing w:after="0"/>
              <w:rPr>
                <w:sz w:val="20"/>
                <w:szCs w:val="20"/>
                <w:color w:val="auto"/>
              </w:rPr>
            </w:pPr>
            <w:r>
              <w:rPr>
                <w:rFonts w:ascii="Arial" w:cs="Arial" w:eastAsia="Arial" w:hAnsi="Arial"/>
                <w:sz w:val="16"/>
                <w:szCs w:val="16"/>
                <w:b w:val="1"/>
                <w:bCs w:val="1"/>
                <w:color w:val="auto"/>
              </w:rPr>
              <w:t>(807)</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spacing w:after="0"/>
              <w:rPr>
                <w:sz w:val="20"/>
                <w:szCs w:val="20"/>
                <w:color w:val="auto"/>
              </w:rPr>
            </w:pPr>
            <w:r>
              <w:rPr>
                <w:rFonts w:ascii="Arial" w:cs="Arial" w:eastAsia="Arial" w:hAnsi="Arial"/>
                <w:sz w:val="16"/>
                <w:szCs w:val="16"/>
                <w:color w:val="auto"/>
              </w:rPr>
              <w:t>(855)</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spacing w:after="0"/>
              <w:rPr>
                <w:sz w:val="20"/>
                <w:szCs w:val="20"/>
                <w:color w:val="auto"/>
              </w:rPr>
            </w:pPr>
            <w:r>
              <w:rPr>
                <w:rFonts w:ascii="Arial" w:cs="Arial" w:eastAsia="Arial" w:hAnsi="Arial"/>
                <w:sz w:val="16"/>
                <w:szCs w:val="16"/>
                <w:color w:val="auto"/>
              </w:rPr>
              <w:t>(650)</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(685)</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(3,642)</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5900" w:type="dxa"/>
            <w:vAlign w:val="bottom"/>
            <w:gridSpan w:val="2"/>
          </w:tcPr>
          <w:p>
            <w:pPr>
              <w:spacing w:after="0" w:line="175" w:lineRule="exact"/>
              <w:rPr>
                <w:sz w:val="20"/>
                <w:szCs w:val="20"/>
                <w:color w:val="auto"/>
              </w:rPr>
            </w:pPr>
            <w:r>
              <w:rPr>
                <w:rFonts w:ascii="Arial" w:cs="Arial" w:eastAsia="Arial" w:hAnsi="Arial"/>
                <w:sz w:val="16"/>
                <w:szCs w:val="16"/>
                <w:color w:val="auto"/>
              </w:rPr>
              <w:t>Proceeds from divestitures and sales of assets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jc w:val="right"/>
              <w:ind w:right="59"/>
              <w:spacing w:after="0" w:line="175" w:lineRule="exact"/>
              <w:rPr>
                <w:sz w:val="20"/>
                <w:szCs w:val="20"/>
                <w:color w:val="auto"/>
              </w:rPr>
            </w:pPr>
            <w:r>
              <w:rPr>
                <w:rFonts w:ascii="Arial" w:cs="Arial" w:eastAsia="Arial" w:hAnsi="Arial"/>
                <w:sz w:val="16"/>
                <w:szCs w:val="16"/>
                <w:b w:val="1"/>
                <w:bCs w:val="1"/>
                <w:color w:val="auto"/>
              </w:rPr>
              <w:t>38</w:t>
            </w: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jc w:val="right"/>
              <w:ind w:right="59"/>
              <w:spacing w:after="0" w:line="175" w:lineRule="exact"/>
              <w:rPr>
                <w:sz w:val="20"/>
                <w:szCs w:val="20"/>
                <w:color w:val="auto"/>
              </w:rPr>
            </w:pPr>
            <w:r>
              <w:rPr>
                <w:rFonts w:ascii="Arial" w:cs="Arial" w:eastAsia="Arial" w:hAnsi="Arial"/>
                <w:sz w:val="16"/>
                <w:szCs w:val="16"/>
                <w:color w:val="auto"/>
              </w:rPr>
              <w:t>2,160</w:t>
            </w: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jc w:val="right"/>
              <w:ind w:right="39"/>
              <w:spacing w:after="0" w:line="175" w:lineRule="exact"/>
              <w:rPr>
                <w:sz w:val="20"/>
                <w:szCs w:val="20"/>
                <w:color w:val="auto"/>
              </w:rPr>
            </w:pPr>
            <w:r>
              <w:rPr>
                <w:rFonts w:ascii="Arial" w:cs="Arial" w:eastAsia="Arial" w:hAnsi="Arial"/>
                <w:sz w:val="16"/>
                <w:szCs w:val="16"/>
                <w:color w:val="auto"/>
              </w:rPr>
              <w:t>427</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Proceeds from sale of restricted investments to discharge</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700</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Investments in limited liability companies</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(128)</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(27)</w:t>
            </w:r>
          </w:p>
        </w:tc>
      </w:tr>
      <w:tr>
        <w:trPr>
          <w:trHeight w:val="203"/>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investing activities, net</w:t>
            </w:r>
          </w:p>
        </w:tc>
        <w:tc>
          <w:tcPr>
            <w:tcW w:w="280" w:type="dxa"/>
            <w:vAlign w:val="bottom"/>
            <w:tcBorders>
              <w:bottom w:val="single" w:sz="8" w:color="auto"/>
            </w:tcBorders>
            <w:shd w:val="clear" w:color="auto" w:fill="B6D2E2"/>
          </w:tcPr>
          <w:p>
            <w:pPr>
              <w:spacing w:after="0"/>
              <w:rPr>
                <w:sz w:val="17"/>
                <w:szCs w:val="17"/>
                <w:color w:val="auto"/>
              </w:rPr>
            </w:pPr>
          </w:p>
        </w:tc>
        <w:tc>
          <w:tcPr>
            <w:tcW w:w="14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(6)</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shd w:val="clear" w:color="auto" w:fill="DEEAEB"/>
          </w:tcPr>
          <w:p>
            <w:pPr>
              <w:jc w:val="right"/>
              <w:ind w:right="59"/>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40" w:type="dxa"/>
            <w:vAlign w:val="bottom"/>
            <w:tcBorders>
              <w:bottom w:val="single" w:sz="8" w:color="auto"/>
            </w:tcBorders>
            <w:shd w:val="clear" w:color="auto" w:fill="DEEAEB"/>
          </w:tcPr>
          <w:p>
            <w:pPr>
              <w:jc w:val="right"/>
              <w:ind w:right="39"/>
              <w:spacing w:after="0"/>
              <w:rPr>
                <w:sz w:val="20"/>
                <w:szCs w:val="20"/>
                <w:color w:val="auto"/>
              </w:rPr>
            </w:pPr>
            <w:r>
              <w:rPr>
                <w:rFonts w:ascii="Arial" w:cs="Arial" w:eastAsia="Arial" w:hAnsi="Arial"/>
                <w:sz w:val="16"/>
                <w:szCs w:val="16"/>
                <w:color w:val="auto"/>
              </w:rPr>
              <w:t>9</w:t>
            </w:r>
          </w:p>
        </w:tc>
      </w:tr>
      <w:tr>
        <w:trPr>
          <w:trHeight w:val="183"/>
        </w:trPr>
        <w:tc>
          <w:tcPr>
            <w:tcW w:w="590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Net Cash (Used for) Provided by Investing Activities</w:t>
            </w:r>
          </w:p>
        </w:tc>
        <w:tc>
          <w:tcPr>
            <w:tcW w:w="280" w:type="dxa"/>
            <w:vAlign w:val="bottom"/>
            <w:tcBorders>
              <w:bottom w:val="single" w:sz="8" w:color="auto"/>
            </w:tcBorders>
            <w:shd w:val="clear" w:color="auto" w:fill="B6D2E2"/>
          </w:tcPr>
          <w:p>
            <w:pPr>
              <w:spacing w:after="0"/>
              <w:rPr>
                <w:sz w:val="15"/>
                <w:szCs w:val="15"/>
                <w:color w:val="auto"/>
              </w:rPr>
            </w:pPr>
          </w:p>
        </w:tc>
        <w:tc>
          <w:tcPr>
            <w:tcW w:w="14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(1,588)</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80" w:type="dxa"/>
            <w:vAlign w:val="bottom"/>
            <w:tcBorders>
              <w:bottom w:val="single" w:sz="8" w:color="auto"/>
            </w:tcBorders>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(2,444)</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40" w:type="dxa"/>
            <w:vAlign w:val="bottom"/>
            <w:tcBorders>
              <w:bottom w:val="single" w:sz="8" w:color="auto"/>
            </w:tcBorders>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459</w:t>
            </w: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spacing w:after="0"/>
              <w:rPr>
                <w:sz w:val="15"/>
                <w:szCs w:val="15"/>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Proceeds from borrowings</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640</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2,758</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Repayments of debt</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(735)</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(1,690)</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(700)</w:t>
            </w:r>
          </w:p>
        </w:tc>
      </w:tr>
      <w:tr>
        <w:trPr>
          <w:trHeight w:val="175"/>
        </w:trPr>
        <w:tc>
          <w:tcPr>
            <w:tcW w:w="5900" w:type="dxa"/>
            <w:vAlign w:val="bottom"/>
            <w:gridSpan w:val="2"/>
          </w:tcPr>
          <w:p>
            <w:pPr>
              <w:spacing w:after="0" w:line="175" w:lineRule="exact"/>
              <w:rPr>
                <w:sz w:val="20"/>
                <w:szCs w:val="20"/>
                <w:color w:val="auto"/>
              </w:rPr>
            </w:pPr>
            <w:r>
              <w:rPr>
                <w:rFonts w:ascii="Arial" w:cs="Arial" w:eastAsia="Arial" w:hAnsi="Arial"/>
                <w:sz w:val="16"/>
                <w:szCs w:val="16"/>
                <w:color w:val="auto"/>
              </w:rPr>
              <w:t>Payments on finance lease obligations</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jc w:val="right"/>
              <w:ind w:right="39"/>
              <w:spacing w:after="0" w:line="175" w:lineRule="exact"/>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jc w:val="right"/>
              <w:ind w:right="39"/>
              <w:spacing w:after="0" w:line="175" w:lineRule="exact"/>
              <w:rPr>
                <w:sz w:val="20"/>
                <w:szCs w:val="20"/>
                <w:color w:val="auto"/>
              </w:rPr>
            </w:pPr>
            <w:r>
              <w:rPr>
                <w:rFonts w:ascii="Arial" w:cs="Arial" w:eastAsia="Arial" w:hAnsi="Arial"/>
                <w:sz w:val="16"/>
                <w:szCs w:val="16"/>
                <w:color w:val="auto"/>
              </w:rPr>
              <w:t>(20)</w:t>
            </w: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jc w:val="right"/>
              <w:ind w:right="19"/>
              <w:spacing w:after="0" w:line="175" w:lineRule="exact"/>
              <w:rPr>
                <w:sz w:val="20"/>
                <w:szCs w:val="20"/>
                <w:color w:val="auto"/>
              </w:rPr>
            </w:pPr>
            <w:r>
              <w:rPr>
                <w:rFonts w:ascii="Arial" w:cs="Arial" w:eastAsia="Arial" w:hAnsi="Arial"/>
                <w:sz w:val="16"/>
                <w:szCs w:val="16"/>
                <w:color w:val="auto"/>
              </w:rPr>
              <w:t>(17)</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Dividends paid</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(197)</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(174)</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(450)</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(150)</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Shares withheld for employees’ income tax obligations</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(31)</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19"/>
              <w:spacing w:after="0"/>
              <w:rPr>
                <w:sz w:val="20"/>
                <w:szCs w:val="20"/>
                <w:color w:val="auto"/>
              </w:rPr>
            </w:pPr>
            <w:r>
              <w:rPr>
                <w:rFonts w:ascii="Arial" w:cs="Arial" w:eastAsia="Arial" w:hAnsi="Arial"/>
                <w:sz w:val="16"/>
                <w:szCs w:val="16"/>
                <w:color w:val="auto"/>
              </w:rPr>
              <w:t>(22)</w:t>
            </w:r>
          </w:p>
        </w:tc>
      </w:tr>
      <w:tr>
        <w:trPr>
          <w:trHeight w:val="203"/>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financing activities, net</w:t>
            </w:r>
          </w:p>
        </w:tc>
        <w:tc>
          <w:tcPr>
            <w:tcW w:w="280" w:type="dxa"/>
            <w:vAlign w:val="bottom"/>
            <w:tcBorders>
              <w:bottom w:val="single" w:sz="8" w:color="auto"/>
            </w:tcBorders>
            <w:shd w:val="clear" w:color="auto" w:fill="B6D2E2"/>
          </w:tcPr>
          <w:p>
            <w:pPr>
              <w:spacing w:after="0"/>
              <w:rPr>
                <w:sz w:val="17"/>
                <w:szCs w:val="17"/>
                <w:color w:val="auto"/>
              </w:rPr>
            </w:pPr>
          </w:p>
        </w:tc>
        <w:tc>
          <w:tcPr>
            <w:tcW w:w="1400" w:type="dxa"/>
            <w:vAlign w:val="bottom"/>
            <w:tcBorders>
              <w:bottom w:val="single" w:sz="8" w:color="auto"/>
            </w:tcBorders>
            <w:shd w:val="clear" w:color="auto" w:fill="B6D2E2"/>
          </w:tcPr>
          <w:p>
            <w:pPr>
              <w:jc w:val="right"/>
              <w:ind w:right="39"/>
              <w:spacing w:after="0"/>
              <w:rPr>
                <w:sz w:val="20"/>
                <w:szCs w:val="20"/>
                <w:color w:val="auto"/>
              </w:rPr>
            </w:pPr>
            <w:r>
              <w:rPr>
                <w:rFonts w:ascii="Arial" w:cs="Arial" w:eastAsia="Arial" w:hAnsi="Arial"/>
                <w:sz w:val="16"/>
                <w:szCs w:val="16"/>
                <w:b w:val="1"/>
                <w:bCs w:val="1"/>
                <w:color w:val="auto"/>
              </w:rPr>
              <w:t>(4)</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shd w:val="clear" w:color="auto" w:fill="DEEAEB"/>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40" w:type="dxa"/>
            <w:vAlign w:val="bottom"/>
            <w:tcBorders>
              <w:bottom w:val="single" w:sz="8" w:color="auto"/>
            </w:tcBorders>
            <w:shd w:val="clear" w:color="auto" w:fill="DEEAEB"/>
          </w:tcPr>
          <w:p>
            <w:pPr>
              <w:jc w:val="right"/>
              <w:ind w:right="19"/>
              <w:spacing w:after="0"/>
              <w:rPr>
                <w:sz w:val="20"/>
                <w:szCs w:val="20"/>
                <w:color w:val="auto"/>
              </w:rPr>
            </w:pPr>
            <w:r>
              <w:rPr>
                <w:rFonts w:ascii="Arial" w:cs="Arial" w:eastAsia="Arial" w:hAnsi="Arial"/>
                <w:sz w:val="16"/>
                <w:szCs w:val="16"/>
                <w:color w:val="auto"/>
              </w:rPr>
              <w:t>(1)</w:t>
            </w:r>
          </w:p>
        </w:tc>
      </w:tr>
      <w:tr>
        <w:trPr>
          <w:trHeight w:val="183"/>
        </w:trPr>
        <w:tc>
          <w:tcPr>
            <w:tcW w:w="590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Net Cash (Used for) Provided by Financing Activities</w:t>
            </w:r>
          </w:p>
        </w:tc>
        <w:tc>
          <w:tcPr>
            <w:tcW w:w="280" w:type="dxa"/>
            <w:vAlign w:val="bottom"/>
            <w:tcBorders>
              <w:bottom w:val="single" w:sz="8" w:color="auto"/>
            </w:tcBorders>
            <w:shd w:val="clear" w:color="auto" w:fill="B6D2E2"/>
          </w:tcPr>
          <w:p>
            <w:pPr>
              <w:spacing w:after="0"/>
              <w:rPr>
                <w:sz w:val="15"/>
                <w:szCs w:val="15"/>
                <w:color w:val="auto"/>
              </w:rPr>
            </w:pPr>
          </w:p>
        </w:tc>
        <w:tc>
          <w:tcPr>
            <w:tcW w:w="1400" w:type="dxa"/>
            <w:vAlign w:val="bottom"/>
            <w:tcBorders>
              <w:bottom w:val="single" w:sz="8" w:color="auto"/>
            </w:tcBorders>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(800)</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80" w:type="dxa"/>
            <w:vAlign w:val="bottom"/>
            <w:tcBorders>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373</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shd w:val="clear" w:color="auto" w:fill="DEEAEB"/>
          </w:tcPr>
          <w:p>
            <w:pPr>
              <w:spacing w:after="0"/>
              <w:rPr>
                <w:sz w:val="15"/>
                <w:szCs w:val="15"/>
                <w:color w:val="auto"/>
              </w:rPr>
            </w:pPr>
          </w:p>
        </w:tc>
        <w:tc>
          <w:tcPr>
            <w:tcW w:w="1340" w:type="dxa"/>
            <w:vAlign w:val="bottom"/>
            <w:tcBorders>
              <w:bottom w:val="single" w:sz="8" w:color="auto"/>
            </w:tcBorders>
            <w:shd w:val="clear" w:color="auto" w:fill="DEEAEB"/>
          </w:tcPr>
          <w:p>
            <w:pPr>
              <w:jc w:val="right"/>
              <w:ind w:right="19"/>
              <w:spacing w:after="0" w:line="183" w:lineRule="exact"/>
              <w:rPr>
                <w:sz w:val="20"/>
                <w:szCs w:val="20"/>
                <w:color w:val="auto"/>
              </w:rPr>
            </w:pPr>
            <w:r>
              <w:rPr>
                <w:rFonts w:ascii="Arial" w:cs="Arial" w:eastAsia="Arial" w:hAnsi="Arial"/>
                <w:sz w:val="16"/>
                <w:szCs w:val="16"/>
                <w:color w:val="auto"/>
              </w:rPr>
              <w:t>(1,064)</w:t>
            </w: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B6D2E2"/>
          </w:tcPr>
          <w:p>
            <w:pPr>
              <w:spacing w:after="0"/>
              <w:rPr>
                <w:sz w:val="15"/>
                <w:szCs w:val="15"/>
                <w:color w:val="auto"/>
              </w:rPr>
            </w:pPr>
          </w:p>
        </w:tc>
        <w:tc>
          <w:tcPr>
            <w:tcW w:w="1400" w:type="dxa"/>
            <w:vAlign w:val="bottom"/>
            <w:shd w:val="clear" w:color="auto" w:fill="B6D2E2"/>
          </w:tcPr>
          <w:p>
            <w:pPr>
              <w:jc w:val="right"/>
              <w:ind w:right="39"/>
              <w:spacing w:after="0" w:line="183" w:lineRule="exact"/>
              <w:rPr>
                <w:sz w:val="20"/>
                <w:szCs w:val="20"/>
                <w:color w:val="auto"/>
              </w:rPr>
            </w:pPr>
            <w:r>
              <w:rPr>
                <w:rFonts w:ascii="Arial" w:cs="Arial" w:eastAsia="Arial" w:hAnsi="Arial"/>
                <w:sz w:val="16"/>
                <w:szCs w:val="16"/>
                <w:b w:val="1"/>
                <w:bCs w:val="1"/>
                <w:color w:val="auto"/>
              </w:rPr>
              <w:t>(603)</w:t>
            </w:r>
          </w:p>
        </w:tc>
        <w:tc>
          <w:tcPr>
            <w:tcW w:w="16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80" w:type="dxa"/>
            <w:vAlign w:val="bottom"/>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(612)</w:t>
            </w:r>
          </w:p>
        </w:tc>
        <w:tc>
          <w:tcPr>
            <w:tcW w:w="140" w:type="dxa"/>
            <w:vAlign w:val="bottom"/>
          </w:tcPr>
          <w:p>
            <w:pPr>
              <w:spacing w:after="0"/>
              <w:rPr>
                <w:sz w:val="15"/>
                <w:szCs w:val="15"/>
                <w:color w:val="auto"/>
              </w:rPr>
            </w:pPr>
          </w:p>
        </w:tc>
        <w:tc>
          <w:tcPr>
            <w:tcW w:w="260" w:type="dxa"/>
            <w:vAlign w:val="bottom"/>
            <w:shd w:val="clear" w:color="auto" w:fill="DEEAEB"/>
          </w:tcPr>
          <w:p>
            <w:pPr>
              <w:spacing w:after="0"/>
              <w:rPr>
                <w:sz w:val="15"/>
                <w:szCs w:val="15"/>
                <w:color w:val="auto"/>
              </w:rPr>
            </w:pPr>
          </w:p>
        </w:tc>
        <w:tc>
          <w:tcPr>
            <w:tcW w:w="1340" w:type="dxa"/>
            <w:vAlign w:val="bottom"/>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923</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280" w:type="dxa"/>
            <w:vAlign w:val="bottom"/>
            <w:shd w:val="clear" w:color="auto" w:fill="B6D2E2"/>
          </w:tcPr>
          <w:p>
            <w:pPr>
              <w:spacing w:after="0"/>
              <w:rPr>
                <w:sz w:val="16"/>
                <w:szCs w:val="16"/>
                <w:color w:val="auto"/>
              </w:rPr>
            </w:pPr>
          </w:p>
        </w:tc>
        <w:tc>
          <w:tcPr>
            <w:tcW w:w="1400" w:type="dxa"/>
            <w:vAlign w:val="bottom"/>
            <w:shd w:val="clear" w:color="auto" w:fill="B6D2E2"/>
          </w:tcPr>
          <w:p>
            <w:pPr>
              <w:jc w:val="right"/>
              <w:ind w:right="59"/>
              <w:spacing w:after="0"/>
              <w:rPr>
                <w:sz w:val="20"/>
                <w:szCs w:val="20"/>
                <w:color w:val="auto"/>
              </w:rPr>
            </w:pPr>
            <w:r>
              <w:rPr>
                <w:rFonts w:ascii="Arial" w:cs="Arial" w:eastAsia="Arial" w:hAnsi="Arial"/>
                <w:sz w:val="16"/>
                <w:szCs w:val="16"/>
                <w:b w:val="1"/>
                <w:bCs w:val="1"/>
                <w:color w:val="auto"/>
              </w:rPr>
              <w:t>670</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80" w:type="dxa"/>
            <w:vAlign w:val="bottom"/>
            <w:shd w:val="clear" w:color="auto" w:fill="DEEAEB"/>
          </w:tcPr>
          <w:p>
            <w:pPr>
              <w:jc w:val="right"/>
              <w:ind w:right="59"/>
              <w:spacing w:after="0"/>
              <w:rPr>
                <w:sz w:val="20"/>
                <w:szCs w:val="20"/>
                <w:color w:val="auto"/>
              </w:rPr>
            </w:pPr>
            <w:r>
              <w:rPr>
                <w:rFonts w:ascii="Arial" w:cs="Arial" w:eastAsia="Arial" w:hAnsi="Arial"/>
                <w:sz w:val="16"/>
                <w:szCs w:val="16"/>
                <w:color w:val="auto"/>
              </w:rPr>
              <w:t>1,282</w:t>
            </w:r>
          </w:p>
        </w:tc>
        <w:tc>
          <w:tcPr>
            <w:tcW w:w="14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40" w:type="dxa"/>
            <w:vAlign w:val="bottom"/>
            <w:shd w:val="clear" w:color="auto" w:fill="DEEAEB"/>
          </w:tcPr>
          <w:p>
            <w:pPr>
              <w:jc w:val="right"/>
              <w:ind w:right="39"/>
              <w:spacing w:after="0"/>
              <w:rPr>
                <w:sz w:val="20"/>
                <w:szCs w:val="20"/>
                <w:color w:val="auto"/>
              </w:rPr>
            </w:pPr>
            <w:r>
              <w:rPr>
                <w:rFonts w:ascii="Arial" w:cs="Arial" w:eastAsia="Arial" w:hAnsi="Arial"/>
                <w:sz w:val="16"/>
                <w:szCs w:val="16"/>
                <w:color w:val="auto"/>
              </w:rPr>
              <w:t>359</w:t>
            </w:r>
          </w:p>
        </w:tc>
      </w:tr>
      <w:tr>
        <w:trPr>
          <w:trHeight w:val="222"/>
        </w:trPr>
        <w:tc>
          <w:tcPr>
            <w:tcW w:w="20" w:type="dxa"/>
            <w:vAlign w:val="bottom"/>
          </w:tcPr>
          <w:p>
            <w:pPr>
              <w:spacing w:after="0"/>
              <w:rPr>
                <w:sz w:val="19"/>
                <w:szCs w:val="19"/>
                <w:color w:val="auto"/>
              </w:rPr>
            </w:pPr>
          </w:p>
        </w:tc>
        <w:tc>
          <w:tcPr>
            <w:tcW w:w="58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Cash, Cash Equivalents and Restricted Cash, end of year</w:t>
            </w:r>
          </w:p>
        </w:tc>
        <w:tc>
          <w:tcPr>
            <w:tcW w:w="280" w:type="dxa"/>
            <w:vAlign w:val="bottom"/>
            <w:tcBorders>
              <w:top w:val="single" w:sz="8" w:color="auto"/>
              <w:bottom w:val="single" w:sz="8" w:color="auto"/>
            </w:tcBorders>
            <w:shd w:val="clear" w:color="auto" w:fill="B6D2E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shd w:val="clear" w:color="auto" w:fill="B6D2E2"/>
          </w:tcPr>
          <w:p>
            <w:pPr>
              <w:jc w:val="right"/>
              <w:ind w:right="59"/>
              <w:spacing w:after="0" w:line="183" w:lineRule="exact"/>
              <w:rPr>
                <w:sz w:val="20"/>
                <w:szCs w:val="20"/>
                <w:color w:val="auto"/>
              </w:rPr>
            </w:pPr>
            <w:r>
              <w:rPr>
                <w:rFonts w:ascii="Arial" w:cs="Arial" w:eastAsia="Arial" w:hAnsi="Arial"/>
                <w:sz w:val="16"/>
                <w:szCs w:val="16"/>
                <w:b w:val="1"/>
                <w:bCs w:val="1"/>
                <w:color w:val="auto"/>
              </w:rPr>
              <w:t>67</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DEEAEB"/>
          </w:tcPr>
          <w:p>
            <w:pPr>
              <w:jc w:val="right"/>
              <w:ind w:right="59"/>
              <w:spacing w:after="0" w:line="183" w:lineRule="exact"/>
              <w:rPr>
                <w:sz w:val="20"/>
                <w:szCs w:val="20"/>
                <w:color w:val="auto"/>
              </w:rPr>
            </w:pPr>
            <w:r>
              <w:rPr>
                <w:rFonts w:ascii="Arial" w:cs="Arial" w:eastAsia="Arial" w:hAnsi="Arial"/>
                <w:sz w:val="16"/>
                <w:szCs w:val="16"/>
                <w:color w:val="auto"/>
              </w:rPr>
              <w:t>670</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shd w:val="clear" w:color="auto" w:fill="DEEAEB"/>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DEEAEB"/>
          </w:tcPr>
          <w:p>
            <w:pPr>
              <w:jc w:val="right"/>
              <w:ind w:right="39"/>
              <w:spacing w:after="0" w:line="183" w:lineRule="exact"/>
              <w:rPr>
                <w:sz w:val="20"/>
                <w:szCs w:val="20"/>
                <w:color w:val="auto"/>
              </w:rPr>
            </w:pPr>
            <w:r>
              <w:rPr>
                <w:rFonts w:ascii="Arial" w:cs="Arial" w:eastAsia="Arial" w:hAnsi="Arial"/>
                <w:sz w:val="16"/>
                <w:szCs w:val="16"/>
                <w:color w:val="auto"/>
              </w:rPr>
              <w:t>1,282</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38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Total Equity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Shareholde</w:t>
            </w: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Noncontroll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share and per share data)</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9"/>
              </w:rPr>
              <w:t>Interests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6"/>
        </w:trPr>
        <w:tc>
          <w:tcPr>
            <w:tcW w:w="3080" w:type="dxa"/>
            <w:vAlign w:val="bottom"/>
            <w:tcBorders>
              <w:right w:val="single" w:sz="8" w:color="007CBA"/>
            </w:tcBorders>
            <w:vMerge w:val="restart"/>
          </w:tcPr>
          <w:p>
            <w:pPr>
              <w:spacing w:after="0"/>
              <w:rPr>
                <w:sz w:val="20"/>
                <w:szCs w:val="20"/>
                <w:color w:val="auto"/>
              </w:rPr>
            </w:pPr>
            <w:r>
              <w:rPr>
                <w:rFonts w:ascii="Arial" w:cs="Arial" w:eastAsia="Arial" w:hAnsi="Arial"/>
                <w:sz w:val="14"/>
                <w:szCs w:val="14"/>
                <w:color w:val="auto"/>
              </w:rPr>
              <w:t>Balance at December 31, 2022</w:t>
            </w:r>
          </w:p>
        </w:tc>
        <w:tc>
          <w:tcPr>
            <w:tcW w:w="100" w:type="dxa"/>
            <w:vAlign w:val="bottom"/>
            <w:shd w:val="clear" w:color="auto" w:fill="DEEAEB"/>
          </w:tcPr>
          <w:p>
            <w:pPr>
              <w:spacing w:after="0"/>
              <w:rPr>
                <w:sz w:val="12"/>
                <w:szCs w:val="12"/>
                <w:color w:val="auto"/>
              </w:rPr>
            </w:pPr>
          </w:p>
        </w:tc>
        <w:tc>
          <w:tcPr>
            <w:tcW w:w="600" w:type="dxa"/>
            <w:vAlign w:val="bottom"/>
            <w:shd w:val="clear" w:color="auto" w:fill="DEEAEB"/>
          </w:tcPr>
          <w:p>
            <w:pPr>
              <w:jc w:val="right"/>
              <w:spacing w:after="0" w:line="147" w:lineRule="exact"/>
              <w:rPr>
                <w:sz w:val="20"/>
                <w:szCs w:val="20"/>
                <w:color w:val="auto"/>
              </w:rPr>
            </w:pPr>
            <w:r>
              <w:rPr>
                <w:rFonts w:ascii="Arial" w:cs="Arial" w:eastAsia="Arial" w:hAnsi="Arial"/>
                <w:sz w:val="14"/>
                <w:szCs w:val="14"/>
                <w:color w:val="auto"/>
              </w:rPr>
              <w:t>62,102,3</w:t>
            </w:r>
          </w:p>
        </w:tc>
        <w:tc>
          <w:tcPr>
            <w:tcW w:w="100" w:type="dxa"/>
            <w:vAlign w:val="bottom"/>
            <w:tcBorders>
              <w:right w:val="single" w:sz="8" w:color="007CBA"/>
            </w:tcBorders>
            <w:shd w:val="clear" w:color="auto" w:fill="DEEAEB"/>
          </w:tcPr>
          <w:p>
            <w:pPr>
              <w:spacing w:after="0"/>
              <w:rPr>
                <w:sz w:val="12"/>
                <w:szCs w:val="12"/>
                <w:color w:val="auto"/>
              </w:rPr>
            </w:pPr>
          </w:p>
        </w:tc>
        <w:tc>
          <w:tcPr>
            <w:tcW w:w="12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20" w:type="dxa"/>
            <w:vAlign w:val="bottom"/>
            <w:shd w:val="clear" w:color="auto" w:fill="DEEAEB"/>
          </w:tcPr>
          <w:p>
            <w:pPr>
              <w:spacing w:after="0"/>
              <w:rPr>
                <w:sz w:val="12"/>
                <w:szCs w:val="12"/>
                <w:color w:val="auto"/>
              </w:rPr>
            </w:pPr>
          </w:p>
        </w:tc>
        <w:tc>
          <w:tcPr>
            <w:tcW w:w="820" w:type="dxa"/>
            <w:vAlign w:val="bottom"/>
            <w:shd w:val="clear" w:color="auto" w:fill="DEEAEB"/>
          </w:tcPr>
          <w:p>
            <w:pPr>
              <w:spacing w:after="0"/>
              <w:rPr>
                <w:sz w:val="12"/>
                <w:szCs w:val="12"/>
                <w:color w:val="auto"/>
              </w:rPr>
            </w:pPr>
          </w:p>
        </w:tc>
        <w:tc>
          <w:tcPr>
            <w:tcW w:w="10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2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2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6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tcBorders>
              <w:right w:val="single" w:sz="8" w:color="007CBA"/>
            </w:tcBorders>
            <w:vMerge w:val="continue"/>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6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right w:val="single" w:sz="8" w:color="007CBA"/>
            </w:tcBorders>
            <w:shd w:val="clear" w:color="auto" w:fill="DEEAEB"/>
          </w:tcPr>
          <w:p>
            <w:pPr>
              <w:spacing w:after="0"/>
              <w:rPr>
                <w:sz w:val="9"/>
                <w:szCs w:val="9"/>
                <w:color w:val="auto"/>
              </w:rPr>
            </w:pPr>
          </w:p>
        </w:tc>
        <w:tc>
          <w:tcPr>
            <w:tcW w:w="12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3,489</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2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007CBA"/>
            </w:tcBorders>
            <w:gridSpan w:val="2"/>
            <w:vMerge w:val="restart"/>
            <w:shd w:val="clear" w:color="auto" w:fill="DEEAEB"/>
          </w:tcPr>
          <w:p>
            <w:pPr>
              <w:jc w:val="right"/>
              <w:ind w:right="6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3,719</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7,171</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vMerge w:val="restart"/>
            <w:shd w:val="clear" w:color="auto" w:fill="DEEAEB"/>
          </w:tcPr>
          <w:p>
            <w:pP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7,173</w:t>
            </w:r>
          </w:p>
        </w:tc>
        <w:tc>
          <w:tcPr>
            <w:tcW w:w="100" w:type="dxa"/>
            <w:vAlign w:val="bottom"/>
            <w:shd w:val="clear" w:color="auto" w:fill="DEEAEB"/>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080" w:type="dxa"/>
            <w:vAlign w:val="bottom"/>
            <w:tcBorders>
              <w:right w:val="single" w:sz="8" w:color="007CBA"/>
            </w:tcBorders>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600" w:type="dxa"/>
            <w:vAlign w:val="bottom"/>
            <w:vMerge w:val="continue"/>
            <w:shd w:val="clear" w:color="auto" w:fill="DEEAEB"/>
          </w:tcPr>
          <w:p>
            <w:pPr>
              <w:spacing w:after="0"/>
              <w:rPr>
                <w:sz w:val="5"/>
                <w:szCs w:val="5"/>
                <w:color w:val="auto"/>
              </w:rPr>
            </w:pPr>
          </w:p>
        </w:tc>
        <w:tc>
          <w:tcPr>
            <w:tcW w:w="100" w:type="dxa"/>
            <w:vAlign w:val="bottom"/>
            <w:tcBorders>
              <w:right w:val="single" w:sz="8" w:color="007CBA"/>
            </w:tcBorders>
            <w:shd w:val="clear" w:color="auto" w:fill="DEEAEB"/>
          </w:tcPr>
          <w:p>
            <w:pPr>
              <w:spacing w:after="0"/>
              <w:rPr>
                <w:sz w:val="5"/>
                <w:szCs w:val="5"/>
                <w:color w:val="auto"/>
              </w:rPr>
            </w:pPr>
          </w:p>
        </w:tc>
        <w:tc>
          <w:tcPr>
            <w:tcW w:w="12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20" w:type="dxa"/>
            <w:vAlign w:val="bottom"/>
            <w:vMerge w:val="continue"/>
            <w:shd w:val="clear" w:color="auto" w:fill="DEEAEB"/>
          </w:tcPr>
          <w:p>
            <w:pPr>
              <w:spacing w:after="0"/>
              <w:rPr>
                <w:sz w:val="5"/>
                <w:szCs w:val="5"/>
                <w:color w:val="auto"/>
              </w:rPr>
            </w:pPr>
          </w:p>
        </w:tc>
        <w:tc>
          <w:tcPr>
            <w:tcW w:w="920" w:type="dxa"/>
            <w:vAlign w:val="bottom"/>
            <w:tcBorders>
              <w:right w:val="single" w:sz="8" w:color="007CBA"/>
            </w:tcBorders>
            <w:gridSpan w:val="2"/>
            <w:vMerge w:val="continue"/>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2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2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vMerge w:val="continue"/>
            <w:shd w:val="clear" w:color="auto" w:fill="DEEAEB"/>
          </w:tcPr>
          <w:p>
            <w:pPr>
              <w:spacing w:after="0"/>
              <w:rPr>
                <w:sz w:val="5"/>
                <w:szCs w:val="5"/>
                <w:color w:val="auto"/>
              </w:rPr>
            </w:pPr>
          </w:p>
        </w:tc>
        <w:tc>
          <w:tcPr>
            <w:tcW w:w="760" w:type="dxa"/>
            <w:vAlign w:val="bottom"/>
            <w:vMerge w:val="continue"/>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Consolidated net earnings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820" w:type="dxa"/>
            <w:vAlign w:val="bottom"/>
            <w:tcBorders>
              <w:right w:val="single" w:sz="8" w:color="007CBA"/>
            </w:tcBorders>
            <w:gridSpan w:val="2"/>
            <w:shd w:val="clear" w:color="auto" w:fill="DEEAE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920" w:type="dxa"/>
            <w:vAlign w:val="bottom"/>
            <w:tcBorders>
              <w:right w:val="single" w:sz="8" w:color="007CBA"/>
            </w:tcBorders>
            <w:gridSpan w:val="2"/>
            <w:shd w:val="clear" w:color="auto" w:fill="DEEAE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Borders>
              <w:right w:val="single" w:sz="8" w:color="007CBA"/>
            </w:tcBorders>
          </w:tcPr>
          <w:p>
            <w:pPr>
              <w:ind w:left="60"/>
              <w:spacing w:after="0" w:line="153" w:lineRule="exact"/>
              <w:rPr>
                <w:sz w:val="20"/>
                <w:szCs w:val="20"/>
                <w:color w:val="auto"/>
              </w:rPr>
            </w:pPr>
            <w:r>
              <w:rPr>
                <w:rFonts w:ascii="Arial" w:cs="Arial" w:eastAsia="Arial" w:hAnsi="Arial"/>
                <w:sz w:val="14"/>
                <w:szCs w:val="14"/>
                <w:color w:val="auto"/>
              </w:rPr>
              <w:t>Dividends declared ($2.80 per common</w:t>
            </w:r>
          </w:p>
        </w:tc>
        <w:tc>
          <w:tcPr>
            <w:tcW w:w="100" w:type="dxa"/>
            <w:vAlign w:val="bottom"/>
            <w:shd w:val="clear" w:color="auto" w:fill="DEEAEB"/>
          </w:tcPr>
          <w:p>
            <w:pPr>
              <w:spacing w:after="0"/>
              <w:rPr>
                <w:sz w:val="13"/>
                <w:szCs w:val="13"/>
                <w:color w:val="auto"/>
              </w:rPr>
            </w:pPr>
          </w:p>
        </w:tc>
        <w:tc>
          <w:tcPr>
            <w:tcW w:w="600" w:type="dxa"/>
            <w:vAlign w:val="bottom"/>
            <w:shd w:val="clear" w:color="auto" w:fill="DEEAEB"/>
          </w:tcPr>
          <w:p>
            <w:pPr>
              <w:spacing w:after="0"/>
              <w:rPr>
                <w:sz w:val="13"/>
                <w:szCs w:val="13"/>
                <w:color w:val="auto"/>
              </w:rPr>
            </w:pPr>
          </w:p>
        </w:tc>
        <w:tc>
          <w:tcPr>
            <w:tcW w:w="100" w:type="dxa"/>
            <w:vAlign w:val="bottom"/>
            <w:tcBorders>
              <w:right w:val="single" w:sz="8" w:color="007CBA"/>
            </w:tcBorders>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820" w:type="dxa"/>
            <w:vAlign w:val="bottom"/>
            <w:shd w:val="clear" w:color="auto" w:fill="DEEAEB"/>
          </w:tcPr>
          <w:p>
            <w:pPr>
              <w:spacing w:after="0"/>
              <w:rPr>
                <w:sz w:val="13"/>
                <w:szCs w:val="13"/>
                <w:color w:val="auto"/>
              </w:rPr>
            </w:pPr>
          </w:p>
        </w:tc>
        <w:tc>
          <w:tcPr>
            <w:tcW w:w="10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007CBA"/>
            </w:tcBorders>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Issuances of common stock for stock award</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100,588</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Shares withheld for employees’ income tax</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18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w w:val="96"/>
              </w:rPr>
              <w:t>(381,520)</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60"/>
              <w:spacing w:after="0" w:line="153" w:lineRule="exact"/>
              <w:rPr>
                <w:sz w:val="20"/>
                <w:szCs w:val="20"/>
                <w:color w:val="auto"/>
              </w:rPr>
            </w:pPr>
            <w:r>
              <w:rPr>
                <w:rFonts w:ascii="Arial" w:cs="Arial" w:eastAsia="Arial" w:hAnsi="Arial"/>
                <w:sz w:val="14"/>
                <w:szCs w:val="14"/>
                <w:color w:val="auto"/>
              </w:rPr>
              <w:t>Distribution to owners of noncontrolling</w:t>
            </w:r>
          </w:p>
        </w:tc>
        <w:tc>
          <w:tcPr>
            <w:tcW w:w="100" w:type="dxa"/>
            <w:vAlign w:val="bottom"/>
            <w:shd w:val="clear" w:color="auto" w:fill="DEEAEB"/>
          </w:tcPr>
          <w:p>
            <w:pPr>
              <w:spacing w:after="0"/>
              <w:rPr>
                <w:sz w:val="13"/>
                <w:szCs w:val="13"/>
                <w:color w:val="auto"/>
              </w:rPr>
            </w:pPr>
          </w:p>
        </w:tc>
        <w:tc>
          <w:tcPr>
            <w:tcW w:w="600" w:type="dxa"/>
            <w:vAlign w:val="bottom"/>
            <w:shd w:val="clear" w:color="auto" w:fill="DEEAEB"/>
          </w:tcPr>
          <w:p>
            <w:pPr>
              <w:spacing w:after="0"/>
              <w:rPr>
                <w:sz w:val="13"/>
                <w:szCs w:val="13"/>
                <w:color w:val="auto"/>
              </w:rPr>
            </w:pPr>
          </w:p>
        </w:tc>
        <w:tc>
          <w:tcPr>
            <w:tcW w:w="100" w:type="dxa"/>
            <w:vAlign w:val="bottom"/>
            <w:tcBorders>
              <w:right w:val="single" w:sz="8" w:color="DEEAEB"/>
            </w:tcBorders>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DEEAEB"/>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DEEAEB"/>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820" w:type="dxa"/>
            <w:vAlign w:val="bottom"/>
            <w:shd w:val="clear" w:color="auto" w:fill="DEEAEB"/>
          </w:tcPr>
          <w:p>
            <w:pPr>
              <w:spacing w:after="0"/>
              <w:rPr>
                <w:sz w:val="13"/>
                <w:szCs w:val="13"/>
                <w:color w:val="auto"/>
              </w:rPr>
            </w:pPr>
          </w:p>
        </w:tc>
        <w:tc>
          <w:tcPr>
            <w:tcW w:w="100" w:type="dxa"/>
            <w:vAlign w:val="bottom"/>
            <w:tcBorders>
              <w:right w:val="single" w:sz="8" w:color="DEEAEB"/>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shd w:val="clear" w:color="auto" w:fill="DEEAEB"/>
          </w:tcPr>
          <w:p>
            <w:pPr>
              <w:spacing w:after="0"/>
              <w:rPr>
                <w:sz w:val="13"/>
                <w:szCs w:val="13"/>
                <w:color w:val="auto"/>
              </w:rPr>
            </w:pPr>
          </w:p>
        </w:tc>
        <w:tc>
          <w:tcPr>
            <w:tcW w:w="120" w:type="dxa"/>
            <w:vAlign w:val="bottom"/>
            <w:tcBorders>
              <w:right w:val="single" w:sz="8" w:color="DEEAEB"/>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DEEAEB"/>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interest</w:t>
            </w:r>
          </w:p>
        </w:tc>
        <w:tc>
          <w:tcPr>
            <w:tcW w:w="100" w:type="dxa"/>
            <w:vAlign w:val="bottom"/>
            <w:tcBorders>
              <w:bottom w:val="single" w:sz="8" w:color="auto"/>
            </w:tcBorders>
            <w:shd w:val="clear" w:color="auto" w:fill="DEEAEB"/>
          </w:tcPr>
          <w:p>
            <w:pPr>
              <w:spacing w:after="0"/>
              <w:rPr>
                <w:sz w:val="14"/>
                <w:szCs w:val="14"/>
                <w:color w:val="auto"/>
              </w:rPr>
            </w:pPr>
          </w:p>
        </w:tc>
        <w:tc>
          <w:tcPr>
            <w:tcW w:w="6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DEEAEB"/>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82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2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6"/>
        </w:trPr>
        <w:tc>
          <w:tcPr>
            <w:tcW w:w="3080" w:type="dxa"/>
            <w:vAlign w:val="bottom"/>
            <w:tcBorders>
              <w:right w:val="single" w:sz="8" w:color="007CBA"/>
            </w:tcBorders>
            <w:vMerge w:val="restart"/>
          </w:tcPr>
          <w:p>
            <w:pPr>
              <w:spacing w:after="0"/>
              <w:rPr>
                <w:sz w:val="20"/>
                <w:szCs w:val="20"/>
                <w:color w:val="auto"/>
              </w:rPr>
            </w:pPr>
            <w:r>
              <w:rPr>
                <w:rFonts w:ascii="Arial" w:cs="Arial" w:eastAsia="Arial" w:hAnsi="Arial"/>
                <w:sz w:val="14"/>
                <w:szCs w:val="14"/>
                <w:color w:val="auto"/>
              </w:rPr>
              <w:t>Balance at December 31, 2023</w:t>
            </w:r>
          </w:p>
        </w:tc>
        <w:tc>
          <w:tcPr>
            <w:tcW w:w="100" w:type="dxa"/>
            <w:vAlign w:val="bottom"/>
            <w:shd w:val="clear" w:color="auto" w:fill="DEEAEB"/>
          </w:tcPr>
          <w:p>
            <w:pPr>
              <w:spacing w:after="0"/>
              <w:rPr>
                <w:sz w:val="12"/>
                <w:szCs w:val="12"/>
                <w:color w:val="auto"/>
              </w:rPr>
            </w:pPr>
          </w:p>
        </w:tc>
        <w:tc>
          <w:tcPr>
            <w:tcW w:w="600" w:type="dxa"/>
            <w:vAlign w:val="bottom"/>
            <w:shd w:val="clear" w:color="auto" w:fill="DEEAEB"/>
          </w:tcPr>
          <w:p>
            <w:pPr>
              <w:jc w:val="right"/>
              <w:spacing w:after="0" w:line="147" w:lineRule="exact"/>
              <w:rPr>
                <w:sz w:val="20"/>
                <w:szCs w:val="20"/>
                <w:color w:val="auto"/>
              </w:rPr>
            </w:pPr>
            <w:r>
              <w:rPr>
                <w:rFonts w:ascii="Arial" w:cs="Arial" w:eastAsia="Arial" w:hAnsi="Arial"/>
                <w:sz w:val="14"/>
                <w:szCs w:val="14"/>
                <w:color w:val="auto"/>
              </w:rPr>
              <w:t>61,821,4</w:t>
            </w:r>
          </w:p>
        </w:tc>
        <w:tc>
          <w:tcPr>
            <w:tcW w:w="100" w:type="dxa"/>
            <w:vAlign w:val="bottom"/>
            <w:tcBorders>
              <w:right w:val="single" w:sz="8" w:color="007CBA"/>
            </w:tcBorders>
            <w:shd w:val="clear" w:color="auto" w:fill="DEEAEB"/>
          </w:tcPr>
          <w:p>
            <w:pPr>
              <w:spacing w:after="0"/>
              <w:rPr>
                <w:sz w:val="12"/>
                <w:szCs w:val="12"/>
                <w:color w:val="auto"/>
              </w:rPr>
            </w:pPr>
          </w:p>
        </w:tc>
        <w:tc>
          <w:tcPr>
            <w:tcW w:w="12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20" w:type="dxa"/>
            <w:vAlign w:val="bottom"/>
            <w:shd w:val="clear" w:color="auto" w:fill="DEEAEB"/>
          </w:tcPr>
          <w:p>
            <w:pPr>
              <w:spacing w:after="0"/>
              <w:rPr>
                <w:sz w:val="12"/>
                <w:szCs w:val="12"/>
                <w:color w:val="auto"/>
              </w:rPr>
            </w:pPr>
          </w:p>
        </w:tc>
        <w:tc>
          <w:tcPr>
            <w:tcW w:w="820" w:type="dxa"/>
            <w:vAlign w:val="bottom"/>
            <w:shd w:val="clear" w:color="auto" w:fill="DEEAEB"/>
          </w:tcPr>
          <w:p>
            <w:pPr>
              <w:spacing w:after="0"/>
              <w:rPr>
                <w:sz w:val="12"/>
                <w:szCs w:val="12"/>
                <w:color w:val="auto"/>
              </w:rPr>
            </w:pPr>
          </w:p>
        </w:tc>
        <w:tc>
          <w:tcPr>
            <w:tcW w:w="10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2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0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20" w:type="dxa"/>
            <w:vAlign w:val="bottom"/>
            <w:shd w:val="clear" w:color="auto" w:fill="DEEAEB"/>
          </w:tcPr>
          <w:p>
            <w:pPr>
              <w:spacing w:after="0"/>
              <w:rPr>
                <w:sz w:val="12"/>
                <w:szCs w:val="12"/>
                <w:color w:val="auto"/>
              </w:rPr>
            </w:pPr>
          </w:p>
        </w:tc>
        <w:tc>
          <w:tcPr>
            <w:tcW w:w="120" w:type="dxa"/>
            <w:vAlign w:val="bottom"/>
            <w:tcBorders>
              <w:right w:val="single" w:sz="8" w:color="007CBA"/>
            </w:tcBorders>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760" w:type="dxa"/>
            <w:vAlign w:val="bottom"/>
            <w:shd w:val="clear" w:color="auto" w:fill="DEEAEB"/>
          </w:tcPr>
          <w:p>
            <w:pPr>
              <w:spacing w:after="0"/>
              <w:rPr>
                <w:sz w:val="12"/>
                <w:szCs w:val="12"/>
                <w:color w:val="auto"/>
              </w:rPr>
            </w:pPr>
          </w:p>
        </w:tc>
        <w:tc>
          <w:tcPr>
            <w:tcW w:w="100" w:type="dxa"/>
            <w:vAlign w:val="bottom"/>
            <w:shd w:val="clear" w:color="auto" w:fill="DEEAEB"/>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tcBorders>
              <w:right w:val="single" w:sz="8" w:color="007CBA"/>
            </w:tcBorders>
            <w:vMerge w:val="continue"/>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6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right w:val="single" w:sz="8" w:color="007CBA"/>
            </w:tcBorders>
            <w:shd w:val="clear" w:color="auto" w:fill="DEEAEB"/>
          </w:tcPr>
          <w:p>
            <w:pPr>
              <w:spacing w:after="0"/>
              <w:rPr>
                <w:sz w:val="9"/>
                <w:szCs w:val="9"/>
                <w:color w:val="auto"/>
              </w:rPr>
            </w:pPr>
          </w:p>
        </w:tc>
        <w:tc>
          <w:tcPr>
            <w:tcW w:w="12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3,519</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20" w:type="dxa"/>
            <w:vAlign w:val="bottom"/>
            <w:shd w:val="clear" w:color="auto" w:fill="DEEAEB"/>
          </w:tcPr>
          <w:p>
            <w:pPr>
              <w:spacing w:after="0"/>
              <w:rPr>
                <w:sz w:val="9"/>
                <w:szCs w:val="9"/>
                <w:color w:val="auto"/>
              </w:rPr>
            </w:pPr>
          </w:p>
        </w:tc>
        <w:tc>
          <w:tcPr>
            <w:tcW w:w="920" w:type="dxa"/>
            <w:vAlign w:val="bottom"/>
            <w:tcBorders>
              <w:right w:val="single" w:sz="8" w:color="007CBA"/>
            </w:tcBorders>
            <w:gridSpan w:val="2"/>
            <w:vMerge w:val="restart"/>
            <w:shd w:val="clear" w:color="auto" w:fill="DEEAEB"/>
          </w:tcPr>
          <w:p>
            <w:pPr>
              <w:jc w:val="right"/>
              <w:ind w:right="6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2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4,563</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0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8,034</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2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007CBA"/>
            </w:tcBorders>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100" w:type="dxa"/>
            <w:vAlign w:val="bottom"/>
            <w:shd w:val="clear" w:color="auto" w:fill="DEEAEB"/>
          </w:tcPr>
          <w:p>
            <w:pPr>
              <w:spacing w:after="0"/>
              <w:rPr>
                <w:sz w:val="9"/>
                <w:szCs w:val="9"/>
                <w:color w:val="auto"/>
              </w:rPr>
            </w:pPr>
          </w:p>
        </w:tc>
        <w:tc>
          <w:tcPr>
            <w:tcW w:w="760" w:type="dxa"/>
            <w:vAlign w:val="bottom"/>
            <w:vMerge w:val="restart"/>
            <w:shd w:val="clear" w:color="auto" w:fill="DEEAEB"/>
          </w:tcPr>
          <w:p>
            <w:pPr>
              <w:jc w:val="right"/>
              <w:spacing w:after="0"/>
              <w:rPr>
                <w:sz w:val="20"/>
                <w:szCs w:val="20"/>
                <w:color w:val="auto"/>
              </w:rPr>
            </w:pPr>
            <w:r>
              <w:rPr>
                <w:rFonts w:ascii="Arial" w:cs="Arial" w:eastAsia="Arial" w:hAnsi="Arial"/>
                <w:sz w:val="14"/>
                <w:szCs w:val="14"/>
                <w:color w:val="auto"/>
              </w:rPr>
              <w:t>8,036</w:t>
            </w:r>
          </w:p>
        </w:tc>
        <w:tc>
          <w:tcPr>
            <w:tcW w:w="100" w:type="dxa"/>
            <w:vAlign w:val="bottom"/>
            <w:shd w:val="clear" w:color="auto" w:fill="DEEAEB"/>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080" w:type="dxa"/>
            <w:vAlign w:val="bottom"/>
            <w:tcBorders>
              <w:right w:val="single" w:sz="8" w:color="007CBA"/>
            </w:tcBorders>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600" w:type="dxa"/>
            <w:vAlign w:val="bottom"/>
            <w:vMerge w:val="continue"/>
            <w:shd w:val="clear" w:color="auto" w:fill="DEEAEB"/>
          </w:tcPr>
          <w:p>
            <w:pPr>
              <w:spacing w:after="0"/>
              <w:rPr>
                <w:sz w:val="5"/>
                <w:szCs w:val="5"/>
                <w:color w:val="auto"/>
              </w:rPr>
            </w:pPr>
          </w:p>
        </w:tc>
        <w:tc>
          <w:tcPr>
            <w:tcW w:w="100" w:type="dxa"/>
            <w:vAlign w:val="bottom"/>
            <w:tcBorders>
              <w:right w:val="single" w:sz="8" w:color="007CBA"/>
            </w:tcBorders>
            <w:shd w:val="clear" w:color="auto" w:fill="DEEAEB"/>
          </w:tcPr>
          <w:p>
            <w:pPr>
              <w:spacing w:after="0"/>
              <w:rPr>
                <w:sz w:val="5"/>
                <w:szCs w:val="5"/>
                <w:color w:val="auto"/>
              </w:rPr>
            </w:pPr>
          </w:p>
        </w:tc>
        <w:tc>
          <w:tcPr>
            <w:tcW w:w="12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20" w:type="dxa"/>
            <w:vAlign w:val="bottom"/>
            <w:shd w:val="clear" w:color="auto" w:fill="DEEAEB"/>
          </w:tcPr>
          <w:p>
            <w:pPr>
              <w:spacing w:after="0"/>
              <w:rPr>
                <w:sz w:val="5"/>
                <w:szCs w:val="5"/>
                <w:color w:val="auto"/>
              </w:rPr>
            </w:pPr>
          </w:p>
        </w:tc>
        <w:tc>
          <w:tcPr>
            <w:tcW w:w="920" w:type="dxa"/>
            <w:vAlign w:val="bottom"/>
            <w:tcBorders>
              <w:right w:val="single" w:sz="8" w:color="007CBA"/>
            </w:tcBorders>
            <w:gridSpan w:val="2"/>
            <w:vMerge w:val="continue"/>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2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0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20" w:type="dxa"/>
            <w:vAlign w:val="bottom"/>
            <w:vMerge w:val="continue"/>
            <w:shd w:val="clear" w:color="auto" w:fill="DEEAEB"/>
          </w:tcPr>
          <w:p>
            <w:pPr>
              <w:spacing w:after="0"/>
              <w:rPr>
                <w:sz w:val="5"/>
                <w:szCs w:val="5"/>
                <w:color w:val="auto"/>
              </w:rPr>
            </w:pPr>
          </w:p>
        </w:tc>
        <w:tc>
          <w:tcPr>
            <w:tcW w:w="120" w:type="dxa"/>
            <w:vAlign w:val="bottom"/>
            <w:tcBorders>
              <w:right w:val="single" w:sz="8" w:color="007CBA"/>
            </w:tcBorders>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760" w:type="dxa"/>
            <w:vAlign w:val="bottom"/>
            <w:vMerge w:val="continue"/>
            <w:shd w:val="clear" w:color="auto" w:fill="DEEAEB"/>
          </w:tcPr>
          <w:p>
            <w:pPr>
              <w:spacing w:after="0"/>
              <w:rPr>
                <w:sz w:val="5"/>
                <w:szCs w:val="5"/>
                <w:color w:val="auto"/>
              </w:rPr>
            </w:pPr>
          </w:p>
        </w:tc>
        <w:tc>
          <w:tcPr>
            <w:tcW w:w="100" w:type="dxa"/>
            <w:vAlign w:val="bottom"/>
            <w:shd w:val="clear" w:color="auto" w:fill="DEEAE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Consolidated net earnings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820" w:type="dxa"/>
            <w:vAlign w:val="bottom"/>
            <w:tcBorders>
              <w:right w:val="single" w:sz="8" w:color="007CBA"/>
            </w:tcBorders>
            <w:gridSpan w:val="2"/>
            <w:shd w:val="clear" w:color="auto" w:fill="DEEAE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920" w:type="dxa"/>
            <w:vAlign w:val="bottom"/>
            <w:tcBorders>
              <w:right w:val="single" w:sz="8" w:color="007CBA"/>
            </w:tcBorders>
            <w:gridSpan w:val="2"/>
            <w:shd w:val="clear" w:color="auto" w:fill="DEEAE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1,995</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1,995</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Other comprehensive earnings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Borders>
              <w:right w:val="single" w:sz="8" w:color="007CBA"/>
            </w:tcBorders>
          </w:tcPr>
          <w:p>
            <w:pPr>
              <w:ind w:left="60"/>
              <w:spacing w:after="0" w:line="153" w:lineRule="exact"/>
              <w:rPr>
                <w:sz w:val="20"/>
                <w:szCs w:val="20"/>
                <w:color w:val="auto"/>
              </w:rPr>
            </w:pPr>
            <w:r>
              <w:rPr>
                <w:rFonts w:ascii="Arial" w:cs="Arial" w:eastAsia="Arial" w:hAnsi="Arial"/>
                <w:sz w:val="14"/>
                <w:szCs w:val="14"/>
                <w:color w:val="auto"/>
              </w:rPr>
              <w:t>Dividends declared ($3.06 per common</w:t>
            </w:r>
          </w:p>
        </w:tc>
        <w:tc>
          <w:tcPr>
            <w:tcW w:w="100" w:type="dxa"/>
            <w:vAlign w:val="bottom"/>
            <w:shd w:val="clear" w:color="auto" w:fill="DEEAEB"/>
          </w:tcPr>
          <w:p>
            <w:pPr>
              <w:spacing w:after="0"/>
              <w:rPr>
                <w:sz w:val="13"/>
                <w:szCs w:val="13"/>
                <w:color w:val="auto"/>
              </w:rPr>
            </w:pPr>
          </w:p>
        </w:tc>
        <w:tc>
          <w:tcPr>
            <w:tcW w:w="600" w:type="dxa"/>
            <w:vAlign w:val="bottom"/>
            <w:shd w:val="clear" w:color="auto" w:fill="DEEAEB"/>
          </w:tcPr>
          <w:p>
            <w:pPr>
              <w:spacing w:after="0"/>
              <w:rPr>
                <w:sz w:val="13"/>
                <w:szCs w:val="13"/>
                <w:color w:val="auto"/>
              </w:rPr>
            </w:pPr>
          </w:p>
        </w:tc>
        <w:tc>
          <w:tcPr>
            <w:tcW w:w="100" w:type="dxa"/>
            <w:vAlign w:val="bottom"/>
            <w:tcBorders>
              <w:right w:val="single" w:sz="8" w:color="007CBA"/>
            </w:tcBorders>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20" w:type="dxa"/>
            <w:vAlign w:val="bottom"/>
            <w:shd w:val="clear" w:color="auto" w:fill="DEEAEB"/>
          </w:tcPr>
          <w:p>
            <w:pPr>
              <w:spacing w:after="0"/>
              <w:rPr>
                <w:sz w:val="13"/>
                <w:szCs w:val="13"/>
                <w:color w:val="auto"/>
              </w:rPr>
            </w:pPr>
          </w:p>
        </w:tc>
        <w:tc>
          <w:tcPr>
            <w:tcW w:w="820" w:type="dxa"/>
            <w:vAlign w:val="bottom"/>
            <w:shd w:val="clear" w:color="auto" w:fill="DEEAEB"/>
          </w:tcPr>
          <w:p>
            <w:pPr>
              <w:spacing w:after="0"/>
              <w:rPr>
                <w:sz w:val="13"/>
                <w:szCs w:val="13"/>
                <w:color w:val="auto"/>
              </w:rPr>
            </w:pPr>
          </w:p>
        </w:tc>
        <w:tc>
          <w:tcPr>
            <w:tcW w:w="10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0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20" w:type="dxa"/>
            <w:vAlign w:val="bottom"/>
            <w:shd w:val="clear" w:color="auto" w:fill="DEEAEB"/>
          </w:tcPr>
          <w:p>
            <w:pPr>
              <w:spacing w:after="0"/>
              <w:rPr>
                <w:sz w:val="13"/>
                <w:szCs w:val="13"/>
                <w:color w:val="auto"/>
              </w:rPr>
            </w:pPr>
          </w:p>
        </w:tc>
        <w:tc>
          <w:tcPr>
            <w:tcW w:w="120" w:type="dxa"/>
            <w:vAlign w:val="bottom"/>
            <w:tcBorders>
              <w:right w:val="single" w:sz="8" w:color="007CBA"/>
            </w:tcBorders>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760" w:type="dxa"/>
            <w:vAlign w:val="bottom"/>
            <w:shd w:val="clear" w:color="auto" w:fill="DEEAEB"/>
          </w:tcPr>
          <w:p>
            <w:pPr>
              <w:spacing w:after="0"/>
              <w:rPr>
                <w:sz w:val="13"/>
                <w:szCs w:val="13"/>
                <w:color w:val="auto"/>
              </w:rPr>
            </w:pPr>
          </w:p>
        </w:tc>
        <w:tc>
          <w:tcPr>
            <w:tcW w:w="100" w:type="dxa"/>
            <w:vAlign w:val="bottom"/>
            <w:shd w:val="clear" w:color="auto" w:fill="DEEAE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Issuances of common stock for stock award</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90,983</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Shares withheld for employees’ income tax</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18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DEEAEB"/>
          </w:tcPr>
          <w:p>
            <w:pPr>
              <w:spacing w:after="0"/>
              <w:rPr>
                <w:sz w:val="14"/>
                <w:szCs w:val="14"/>
                <w:color w:val="auto"/>
              </w:rPr>
            </w:pPr>
          </w:p>
        </w:tc>
        <w:tc>
          <w:tcPr>
            <w:tcW w:w="600" w:type="dxa"/>
            <w:vAlign w:val="bottom"/>
            <w:shd w:val="clear" w:color="auto" w:fill="DEEAEB"/>
          </w:tcPr>
          <w:p>
            <w:pPr>
              <w:jc w:val="right"/>
              <w:spacing w:after="0"/>
              <w:rPr>
                <w:sz w:val="20"/>
                <w:szCs w:val="20"/>
                <w:color w:val="auto"/>
              </w:rPr>
            </w:pPr>
            <w:r>
              <w:rPr>
                <w:rFonts w:ascii="Arial" w:cs="Arial" w:eastAsia="Arial" w:hAnsi="Arial"/>
                <w:sz w:val="14"/>
                <w:szCs w:val="14"/>
                <w:color w:val="auto"/>
                <w:w w:val="96"/>
              </w:rPr>
              <w:t>(785,758)</w:t>
            </w: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20" w:type="dxa"/>
            <w:vAlign w:val="bottom"/>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60" w:type="dxa"/>
            <w:vAlign w:val="bottom"/>
            <w:shd w:val="clear" w:color="auto" w:fill="DEEAEB"/>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right w:val="single" w:sz="8" w:color="007CBA"/>
            </w:tcBorders>
          </w:tcPr>
          <w:p>
            <w:pPr>
              <w:ind w:left="6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Borders>
              <w:bottom w:val="single" w:sz="8" w:color="auto"/>
            </w:tcBorders>
            <w:shd w:val="clear" w:color="auto" w:fill="DEEAEB"/>
          </w:tcPr>
          <w:p>
            <w:pPr>
              <w:spacing w:after="0"/>
              <w:rPr>
                <w:sz w:val="14"/>
                <w:szCs w:val="14"/>
                <w:color w:val="auto"/>
              </w:rPr>
            </w:pPr>
          </w:p>
        </w:tc>
        <w:tc>
          <w:tcPr>
            <w:tcW w:w="6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007CBA"/>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82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2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2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60" w:type="dxa"/>
            <w:vAlign w:val="bottom"/>
            <w:tcBorders>
              <w:bottom w:val="single" w:sz="8" w:color="auto"/>
            </w:tcBorders>
            <w:shd w:val="clear" w:color="auto" w:fill="DEEAEB"/>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auto"/>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80" w:type="dxa"/>
            <w:vAlign w:val="bottom"/>
            <w:vMerge w:val="restart"/>
          </w:tcPr>
          <w:p>
            <w:pPr>
              <w:spacing w:after="0"/>
              <w:rPr>
                <w:sz w:val="20"/>
                <w:szCs w:val="20"/>
                <w:color w:val="auto"/>
              </w:rPr>
            </w:pPr>
            <w:r>
              <w:rPr>
                <w:rFonts w:ascii="Arial" w:cs="Arial" w:eastAsia="Arial" w:hAnsi="Arial"/>
                <w:sz w:val="14"/>
                <w:szCs w:val="14"/>
                <w:color w:val="auto"/>
              </w:rPr>
              <w:t>Balance at December 31, 2024</w:t>
            </w:r>
          </w:p>
        </w:tc>
        <w:tc>
          <w:tcPr>
            <w:tcW w:w="700" w:type="dxa"/>
            <w:vAlign w:val="bottom"/>
            <w:gridSpan w:val="2"/>
            <w:shd w:val="clear" w:color="auto" w:fill="B6D2E2"/>
          </w:tcPr>
          <w:p>
            <w:pPr>
              <w:jc w:val="right"/>
              <w:spacing w:after="0" w:line="147" w:lineRule="exact"/>
              <w:rPr>
                <w:sz w:val="20"/>
                <w:szCs w:val="20"/>
                <w:color w:val="auto"/>
              </w:rPr>
            </w:pPr>
            <w:r>
              <w:rPr>
                <w:rFonts w:ascii="Arial" w:cs="Arial" w:eastAsia="Arial" w:hAnsi="Arial"/>
                <w:sz w:val="14"/>
                <w:szCs w:val="14"/>
                <w:color w:val="auto"/>
              </w:rPr>
              <w:t>61,126,6</w:t>
            </w:r>
          </w:p>
        </w:tc>
        <w:tc>
          <w:tcPr>
            <w:tcW w:w="100" w:type="dxa"/>
            <w:vAlign w:val="bottom"/>
            <w:tcBorders>
              <w:right w:val="single" w:sz="8" w:color="B6D2E2"/>
            </w:tcBorders>
            <w:shd w:val="clear" w:color="auto" w:fill="B6D2E2"/>
          </w:tcPr>
          <w:p>
            <w:pPr>
              <w:spacing w:after="0"/>
              <w:rPr>
                <w:sz w:val="12"/>
                <w:szCs w:val="12"/>
                <w:color w:val="auto"/>
              </w:rPr>
            </w:pPr>
          </w:p>
        </w:tc>
        <w:tc>
          <w:tcPr>
            <w:tcW w:w="12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20" w:type="dxa"/>
            <w:vAlign w:val="bottom"/>
            <w:shd w:val="clear" w:color="auto" w:fill="B6D2E2"/>
          </w:tcPr>
          <w:p>
            <w:pPr>
              <w:spacing w:after="0"/>
              <w:rPr>
                <w:sz w:val="12"/>
                <w:szCs w:val="12"/>
                <w:color w:val="auto"/>
              </w:rPr>
            </w:pPr>
          </w:p>
        </w:tc>
        <w:tc>
          <w:tcPr>
            <w:tcW w:w="820" w:type="dxa"/>
            <w:vAlign w:val="bottom"/>
            <w:shd w:val="clear" w:color="auto" w:fill="B6D2E2"/>
          </w:tcPr>
          <w:p>
            <w:pPr>
              <w:spacing w:after="0"/>
              <w:rPr>
                <w:sz w:val="12"/>
                <w:szCs w:val="12"/>
                <w:color w:val="auto"/>
              </w:rPr>
            </w:pPr>
          </w:p>
        </w:tc>
        <w:tc>
          <w:tcPr>
            <w:tcW w:w="10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2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2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6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vMerge w:val="continue"/>
          </w:tcPr>
          <w:p>
            <w:pPr>
              <w:spacing w:after="0"/>
              <w:rPr>
                <w:sz w:val="9"/>
                <w:szCs w:val="9"/>
                <w:color w:val="auto"/>
              </w:rPr>
            </w:pPr>
          </w:p>
        </w:tc>
        <w:tc>
          <w:tcPr>
            <w:tcW w:w="700" w:type="dxa"/>
            <w:vAlign w:val="bottom"/>
            <w:gridSpan w:val="2"/>
            <w:vMerge w:val="restart"/>
            <w:shd w:val="clear" w:color="auto" w:fill="B6D2E2"/>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right w:val="single" w:sz="8" w:color="B6D2E2"/>
            </w:tcBorders>
            <w:shd w:val="clear" w:color="auto" w:fill="B6D2E2"/>
          </w:tcPr>
          <w:p>
            <w:pPr>
              <w:spacing w:after="0"/>
              <w:rPr>
                <w:sz w:val="9"/>
                <w:szCs w:val="9"/>
                <w:color w:val="auto"/>
              </w:rPr>
            </w:pPr>
          </w:p>
        </w:tc>
        <w:tc>
          <w:tcPr>
            <w:tcW w:w="12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0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B6D2E2"/>
            </w:tcBorders>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0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3,550</w:t>
            </w:r>
          </w:p>
        </w:tc>
        <w:tc>
          <w:tcPr>
            <w:tcW w:w="120" w:type="dxa"/>
            <w:vAlign w:val="bottom"/>
            <w:tcBorders>
              <w:right w:val="single" w:sz="8" w:color="B6D2E2"/>
            </w:tcBorders>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120" w:type="dxa"/>
            <w:vAlign w:val="bottom"/>
            <w:shd w:val="clear" w:color="auto" w:fill="B6D2E2"/>
          </w:tcPr>
          <w:p>
            <w:pPr>
              <w:spacing w:after="0"/>
              <w:rPr>
                <w:sz w:val="9"/>
                <w:szCs w:val="9"/>
                <w:color w:val="auto"/>
              </w:rPr>
            </w:pPr>
          </w:p>
        </w:tc>
        <w:tc>
          <w:tcPr>
            <w:tcW w:w="920" w:type="dxa"/>
            <w:vAlign w:val="bottom"/>
            <w:tcBorders>
              <w:right w:val="single" w:sz="8" w:color="B6D2E2"/>
            </w:tcBorders>
            <w:gridSpan w:val="2"/>
            <w:vMerge w:val="restart"/>
            <w:shd w:val="clear" w:color="auto" w:fill="B6D2E2"/>
          </w:tcPr>
          <w:p>
            <w:pPr>
              <w:jc w:val="right"/>
              <w:ind w:right="6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2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5,915</w:t>
            </w:r>
          </w:p>
        </w:tc>
        <w:tc>
          <w:tcPr>
            <w:tcW w:w="120" w:type="dxa"/>
            <w:vAlign w:val="bottom"/>
            <w:tcBorders>
              <w:right w:val="single" w:sz="8" w:color="B6D2E2"/>
            </w:tcBorders>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0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9,453</w:t>
            </w:r>
          </w:p>
        </w:tc>
        <w:tc>
          <w:tcPr>
            <w:tcW w:w="120" w:type="dxa"/>
            <w:vAlign w:val="bottom"/>
            <w:tcBorders>
              <w:right w:val="single" w:sz="8" w:color="B6D2E2"/>
            </w:tcBorders>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2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B6D2E2"/>
            </w:tcBorders>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100" w:type="dxa"/>
            <w:vAlign w:val="bottom"/>
            <w:shd w:val="clear" w:color="auto" w:fill="B6D2E2"/>
          </w:tcPr>
          <w:p>
            <w:pPr>
              <w:spacing w:after="0"/>
              <w:rPr>
                <w:sz w:val="9"/>
                <w:szCs w:val="9"/>
                <w:color w:val="auto"/>
              </w:rPr>
            </w:pPr>
          </w:p>
        </w:tc>
        <w:tc>
          <w:tcPr>
            <w:tcW w:w="760" w:type="dxa"/>
            <w:vAlign w:val="bottom"/>
            <w:vMerge w:val="restart"/>
            <w:shd w:val="clear" w:color="auto" w:fill="B6D2E2"/>
          </w:tcPr>
          <w:p>
            <w:pPr>
              <w:jc w:val="right"/>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B6D2E2"/>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080" w:type="dxa"/>
            <w:vAlign w:val="bottom"/>
          </w:tcPr>
          <w:p>
            <w:pPr>
              <w:spacing w:after="0"/>
              <w:rPr>
                <w:sz w:val="5"/>
                <w:szCs w:val="5"/>
                <w:color w:val="auto"/>
              </w:rPr>
            </w:pPr>
          </w:p>
        </w:tc>
        <w:tc>
          <w:tcPr>
            <w:tcW w:w="700" w:type="dxa"/>
            <w:vAlign w:val="bottom"/>
            <w:gridSpan w:val="2"/>
            <w:vMerge w:val="continue"/>
            <w:shd w:val="clear" w:color="auto" w:fill="B6D2E2"/>
          </w:tcPr>
          <w:p>
            <w:pPr>
              <w:spacing w:after="0"/>
              <w:rPr>
                <w:sz w:val="5"/>
                <w:szCs w:val="5"/>
                <w:color w:val="auto"/>
              </w:rPr>
            </w:pPr>
          </w:p>
        </w:tc>
        <w:tc>
          <w:tcPr>
            <w:tcW w:w="100" w:type="dxa"/>
            <w:vAlign w:val="bottom"/>
            <w:tcBorders>
              <w:right w:val="single" w:sz="8" w:color="B6D2E2"/>
            </w:tcBorders>
            <w:shd w:val="clear" w:color="auto" w:fill="B6D2E2"/>
          </w:tcPr>
          <w:p>
            <w:pPr>
              <w:spacing w:after="0"/>
              <w:rPr>
                <w:sz w:val="5"/>
                <w:szCs w:val="5"/>
                <w:color w:val="auto"/>
              </w:rPr>
            </w:pPr>
          </w:p>
        </w:tc>
        <w:tc>
          <w:tcPr>
            <w:tcW w:w="12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00" w:type="dxa"/>
            <w:vAlign w:val="bottom"/>
            <w:vMerge w:val="continue"/>
            <w:shd w:val="clear" w:color="auto" w:fill="B6D2E2"/>
          </w:tcPr>
          <w:p>
            <w:pPr>
              <w:spacing w:after="0"/>
              <w:rPr>
                <w:sz w:val="5"/>
                <w:szCs w:val="5"/>
                <w:color w:val="auto"/>
              </w:rPr>
            </w:pPr>
          </w:p>
        </w:tc>
        <w:tc>
          <w:tcPr>
            <w:tcW w:w="120" w:type="dxa"/>
            <w:vAlign w:val="bottom"/>
            <w:tcBorders>
              <w:right w:val="single" w:sz="8" w:color="B6D2E2"/>
            </w:tcBorders>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00" w:type="dxa"/>
            <w:vAlign w:val="bottom"/>
            <w:vMerge w:val="continue"/>
            <w:shd w:val="clear" w:color="auto" w:fill="B6D2E2"/>
          </w:tcPr>
          <w:p>
            <w:pPr>
              <w:spacing w:after="0"/>
              <w:rPr>
                <w:sz w:val="5"/>
                <w:szCs w:val="5"/>
                <w:color w:val="auto"/>
              </w:rPr>
            </w:pPr>
          </w:p>
        </w:tc>
        <w:tc>
          <w:tcPr>
            <w:tcW w:w="120" w:type="dxa"/>
            <w:vAlign w:val="bottom"/>
            <w:tcBorders>
              <w:right w:val="single" w:sz="8" w:color="B6D2E2"/>
            </w:tcBorders>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20" w:type="dxa"/>
            <w:vAlign w:val="bottom"/>
            <w:shd w:val="clear" w:color="auto" w:fill="B6D2E2"/>
          </w:tcPr>
          <w:p>
            <w:pPr>
              <w:spacing w:after="0"/>
              <w:rPr>
                <w:sz w:val="5"/>
                <w:szCs w:val="5"/>
                <w:color w:val="auto"/>
              </w:rPr>
            </w:pPr>
          </w:p>
        </w:tc>
        <w:tc>
          <w:tcPr>
            <w:tcW w:w="920" w:type="dxa"/>
            <w:vAlign w:val="bottom"/>
            <w:tcBorders>
              <w:right w:val="single" w:sz="8" w:color="B6D2E2"/>
            </w:tcBorders>
            <w:gridSpan w:val="2"/>
            <w:vMerge w:val="continue"/>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20" w:type="dxa"/>
            <w:vAlign w:val="bottom"/>
            <w:vMerge w:val="continue"/>
            <w:shd w:val="clear" w:color="auto" w:fill="B6D2E2"/>
          </w:tcPr>
          <w:p>
            <w:pPr>
              <w:spacing w:after="0"/>
              <w:rPr>
                <w:sz w:val="5"/>
                <w:szCs w:val="5"/>
                <w:color w:val="auto"/>
              </w:rPr>
            </w:pPr>
          </w:p>
        </w:tc>
        <w:tc>
          <w:tcPr>
            <w:tcW w:w="120" w:type="dxa"/>
            <w:vAlign w:val="bottom"/>
            <w:tcBorders>
              <w:right w:val="single" w:sz="8" w:color="B6D2E2"/>
            </w:tcBorders>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00" w:type="dxa"/>
            <w:vAlign w:val="bottom"/>
            <w:vMerge w:val="continue"/>
            <w:shd w:val="clear" w:color="auto" w:fill="B6D2E2"/>
          </w:tcPr>
          <w:p>
            <w:pPr>
              <w:spacing w:after="0"/>
              <w:rPr>
                <w:sz w:val="5"/>
                <w:szCs w:val="5"/>
                <w:color w:val="auto"/>
              </w:rPr>
            </w:pPr>
          </w:p>
        </w:tc>
        <w:tc>
          <w:tcPr>
            <w:tcW w:w="120" w:type="dxa"/>
            <w:vAlign w:val="bottom"/>
            <w:tcBorders>
              <w:right w:val="single" w:sz="8" w:color="B6D2E2"/>
            </w:tcBorders>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20" w:type="dxa"/>
            <w:vAlign w:val="bottom"/>
            <w:vMerge w:val="continue"/>
            <w:shd w:val="clear" w:color="auto" w:fill="B6D2E2"/>
          </w:tcPr>
          <w:p>
            <w:pPr>
              <w:spacing w:after="0"/>
              <w:rPr>
                <w:sz w:val="5"/>
                <w:szCs w:val="5"/>
                <w:color w:val="auto"/>
              </w:rPr>
            </w:pPr>
          </w:p>
        </w:tc>
        <w:tc>
          <w:tcPr>
            <w:tcW w:w="120" w:type="dxa"/>
            <w:vAlign w:val="bottom"/>
            <w:tcBorders>
              <w:right w:val="single" w:sz="8" w:color="B6D2E2"/>
            </w:tcBorders>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760" w:type="dxa"/>
            <w:vAlign w:val="bottom"/>
            <w:vMerge w:val="continue"/>
            <w:shd w:val="clear" w:color="auto" w:fill="B6D2E2"/>
          </w:tcPr>
          <w:p>
            <w:pPr>
              <w:spacing w:after="0"/>
              <w:rPr>
                <w:sz w:val="5"/>
                <w:szCs w:val="5"/>
                <w:color w:val="auto"/>
              </w:rPr>
            </w:pPr>
          </w:p>
        </w:tc>
        <w:tc>
          <w:tcPr>
            <w:tcW w:w="100" w:type="dxa"/>
            <w:vAlign w:val="bottom"/>
            <w:shd w:val="clear" w:color="auto" w:fill="B6D2E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Consolidated net earnings</w:t>
            </w:r>
          </w:p>
        </w:tc>
        <w:tc>
          <w:tcPr>
            <w:tcW w:w="100" w:type="dxa"/>
            <w:vAlign w:val="bottom"/>
            <w:shd w:val="clear" w:color="auto" w:fill="B6D2E2"/>
          </w:tcPr>
          <w:p>
            <w:pPr>
              <w:spacing w:after="0"/>
              <w:rPr>
                <w:sz w:val="14"/>
                <w:szCs w:val="14"/>
                <w:color w:val="auto"/>
              </w:rPr>
            </w:pPr>
          </w:p>
        </w:tc>
        <w:tc>
          <w:tcPr>
            <w:tcW w:w="70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92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1,137</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1,137</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4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1,137</w:t>
            </w: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Other comprehensive earnings</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40" w:type="dxa"/>
            <w:vAlign w:val="bottom"/>
            <w:tcBorders>
              <w:right w:val="single" w:sz="8" w:color="007CBA"/>
            </w:tcBorders>
            <w:gridSpan w:val="2"/>
            <w:shd w:val="clear" w:color="auto" w:fill="B6D2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73</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40" w:type="dxa"/>
            <w:vAlign w:val="bottom"/>
            <w:tcBorders>
              <w:right w:val="single" w:sz="8" w:color="007CBA"/>
            </w:tcBorders>
            <w:gridSpan w:val="2"/>
            <w:shd w:val="clear" w:color="auto" w:fill="B6D2E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Borders>
              <w:right w:val="single" w:sz="8" w:color="007CBA"/>
            </w:tcBorders>
          </w:tcPr>
          <w:p>
            <w:pPr>
              <w:ind w:left="60"/>
              <w:spacing w:after="0" w:line="153" w:lineRule="exact"/>
              <w:rPr>
                <w:sz w:val="20"/>
                <w:szCs w:val="20"/>
                <w:color w:val="auto"/>
              </w:rPr>
            </w:pPr>
            <w:r>
              <w:rPr>
                <w:rFonts w:ascii="Arial" w:cs="Arial" w:eastAsia="Arial" w:hAnsi="Arial"/>
                <w:sz w:val="14"/>
                <w:szCs w:val="14"/>
                <w:b w:val="1"/>
                <w:bCs w:val="1"/>
                <w:color w:val="auto"/>
              </w:rPr>
              <w:t>Dividends declared ($3.24 per common</w:t>
            </w:r>
          </w:p>
        </w:tc>
        <w:tc>
          <w:tcPr>
            <w:tcW w:w="100" w:type="dxa"/>
            <w:vAlign w:val="bottom"/>
            <w:shd w:val="clear" w:color="auto" w:fill="B6D2E2"/>
          </w:tcPr>
          <w:p>
            <w:pPr>
              <w:spacing w:after="0"/>
              <w:rPr>
                <w:sz w:val="13"/>
                <w:szCs w:val="13"/>
                <w:color w:val="auto"/>
              </w:rPr>
            </w:pPr>
          </w:p>
        </w:tc>
        <w:tc>
          <w:tcPr>
            <w:tcW w:w="600" w:type="dxa"/>
            <w:vAlign w:val="bottom"/>
            <w:shd w:val="clear" w:color="auto" w:fill="B6D2E2"/>
          </w:tcPr>
          <w:p>
            <w:pPr>
              <w:spacing w:after="0"/>
              <w:rPr>
                <w:sz w:val="13"/>
                <w:szCs w:val="13"/>
                <w:color w:val="auto"/>
              </w:rPr>
            </w:pPr>
          </w:p>
        </w:tc>
        <w:tc>
          <w:tcPr>
            <w:tcW w:w="100" w:type="dxa"/>
            <w:vAlign w:val="bottom"/>
            <w:tcBorders>
              <w:right w:val="single" w:sz="8" w:color="007CBA"/>
            </w:tcBorders>
            <w:shd w:val="clear" w:color="auto" w:fill="B6D2E2"/>
          </w:tcPr>
          <w:p>
            <w:pPr>
              <w:spacing w:after="0"/>
              <w:rPr>
                <w:sz w:val="13"/>
                <w:szCs w:val="13"/>
                <w:color w:val="auto"/>
              </w:rPr>
            </w:pPr>
          </w:p>
        </w:tc>
        <w:tc>
          <w:tcPr>
            <w:tcW w:w="12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20" w:type="dxa"/>
            <w:vAlign w:val="bottom"/>
            <w:shd w:val="clear" w:color="auto" w:fill="B6D2E2"/>
          </w:tcPr>
          <w:p>
            <w:pPr>
              <w:spacing w:after="0"/>
              <w:rPr>
                <w:sz w:val="13"/>
                <w:szCs w:val="13"/>
                <w:color w:val="auto"/>
              </w:rPr>
            </w:pPr>
          </w:p>
        </w:tc>
        <w:tc>
          <w:tcPr>
            <w:tcW w:w="820" w:type="dxa"/>
            <w:vAlign w:val="bottom"/>
            <w:shd w:val="clear" w:color="auto" w:fill="B6D2E2"/>
          </w:tcPr>
          <w:p>
            <w:pPr>
              <w:spacing w:after="0"/>
              <w:rPr>
                <w:sz w:val="13"/>
                <w:szCs w:val="13"/>
                <w:color w:val="auto"/>
              </w:rPr>
            </w:pPr>
          </w:p>
        </w:tc>
        <w:tc>
          <w:tcPr>
            <w:tcW w:w="10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2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2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6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share)</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Borders>
              <w:right w:val="single" w:sz="8" w:color="007CBA"/>
            </w:tcBorders>
          </w:tcPr>
          <w:p>
            <w:pPr>
              <w:ind w:left="60"/>
              <w:spacing w:after="0" w:line="153" w:lineRule="exact"/>
              <w:rPr>
                <w:sz w:val="20"/>
                <w:szCs w:val="20"/>
                <w:color w:val="auto"/>
              </w:rPr>
            </w:pPr>
            <w:r>
              <w:rPr>
                <w:rFonts w:ascii="Arial" w:cs="Arial" w:eastAsia="Arial" w:hAnsi="Arial"/>
                <w:sz w:val="14"/>
                <w:szCs w:val="14"/>
                <w:b w:val="1"/>
                <w:bCs w:val="1"/>
                <w:color w:val="auto"/>
              </w:rPr>
              <w:t>Issuances of common stock for stock</w:t>
            </w:r>
          </w:p>
        </w:tc>
        <w:tc>
          <w:tcPr>
            <w:tcW w:w="100" w:type="dxa"/>
            <w:vAlign w:val="bottom"/>
            <w:shd w:val="clear" w:color="auto" w:fill="B6D2E2"/>
          </w:tcPr>
          <w:p>
            <w:pPr>
              <w:spacing w:after="0"/>
              <w:rPr>
                <w:sz w:val="13"/>
                <w:szCs w:val="13"/>
                <w:color w:val="auto"/>
              </w:rPr>
            </w:pPr>
          </w:p>
        </w:tc>
        <w:tc>
          <w:tcPr>
            <w:tcW w:w="600" w:type="dxa"/>
            <w:vAlign w:val="bottom"/>
            <w:shd w:val="clear" w:color="auto" w:fill="B6D2E2"/>
          </w:tcPr>
          <w:p>
            <w:pPr>
              <w:spacing w:after="0"/>
              <w:rPr>
                <w:sz w:val="13"/>
                <w:szCs w:val="13"/>
                <w:color w:val="auto"/>
              </w:rPr>
            </w:pPr>
          </w:p>
        </w:tc>
        <w:tc>
          <w:tcPr>
            <w:tcW w:w="100" w:type="dxa"/>
            <w:vAlign w:val="bottom"/>
            <w:tcBorders>
              <w:right w:val="single" w:sz="8" w:color="007CBA"/>
            </w:tcBorders>
            <w:shd w:val="clear" w:color="auto" w:fill="B6D2E2"/>
          </w:tcPr>
          <w:p>
            <w:pPr>
              <w:spacing w:after="0"/>
              <w:rPr>
                <w:sz w:val="13"/>
                <w:szCs w:val="13"/>
                <w:color w:val="auto"/>
              </w:rPr>
            </w:pPr>
          </w:p>
        </w:tc>
        <w:tc>
          <w:tcPr>
            <w:tcW w:w="12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20" w:type="dxa"/>
            <w:vAlign w:val="bottom"/>
            <w:shd w:val="clear" w:color="auto" w:fill="B6D2E2"/>
          </w:tcPr>
          <w:p>
            <w:pPr>
              <w:spacing w:after="0"/>
              <w:rPr>
                <w:sz w:val="13"/>
                <w:szCs w:val="13"/>
                <w:color w:val="auto"/>
              </w:rPr>
            </w:pPr>
          </w:p>
        </w:tc>
        <w:tc>
          <w:tcPr>
            <w:tcW w:w="820" w:type="dxa"/>
            <w:vAlign w:val="bottom"/>
            <w:shd w:val="clear" w:color="auto" w:fill="B6D2E2"/>
          </w:tcPr>
          <w:p>
            <w:pPr>
              <w:spacing w:after="0"/>
              <w:rPr>
                <w:sz w:val="13"/>
                <w:szCs w:val="13"/>
                <w:color w:val="auto"/>
              </w:rPr>
            </w:pPr>
          </w:p>
        </w:tc>
        <w:tc>
          <w:tcPr>
            <w:tcW w:w="10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2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00" w:type="dxa"/>
            <w:vAlign w:val="bottom"/>
            <w:shd w:val="clear" w:color="auto" w:fill="B6D2E2"/>
          </w:tcPr>
          <w:p>
            <w:pPr>
              <w:spacing w:after="0"/>
              <w:rPr>
                <w:sz w:val="13"/>
                <w:szCs w:val="13"/>
                <w:color w:val="auto"/>
              </w:rPr>
            </w:pPr>
          </w:p>
        </w:tc>
        <w:tc>
          <w:tcPr>
            <w:tcW w:w="120" w:type="dxa"/>
            <w:vAlign w:val="bottom"/>
            <w:tcBorders>
              <w:right w:val="single" w:sz="8" w:color="007CBA"/>
            </w:tcBorders>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007CBA"/>
            </w:tcBorders>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100" w:type="dxa"/>
            <w:vAlign w:val="bottom"/>
            <w:shd w:val="clear" w:color="auto" w:fill="B6D2E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award plans</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93,924</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Shares withheld for employees’ income</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tax</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180"/>
              <w:spacing w:after="0"/>
              <w:rPr>
                <w:sz w:val="20"/>
                <w:szCs w:val="20"/>
                <w:color w:val="auto"/>
              </w:rPr>
            </w:pPr>
            <w:r>
              <w:rPr>
                <w:rFonts w:ascii="Arial" w:cs="Arial" w:eastAsia="Arial" w:hAnsi="Arial"/>
                <w:sz w:val="14"/>
                <w:szCs w:val="14"/>
                <w:b w:val="1"/>
                <w:bCs w:val="1"/>
                <w:color w:val="auto"/>
              </w:rPr>
              <w:t>obligations</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Repurchases of common stock</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w w:val="96"/>
              </w:rPr>
              <w:t>(910,831)</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Stock-based compensation expense</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Distribution to owners of noncontrolling</w:t>
            </w:r>
          </w:p>
        </w:tc>
        <w:tc>
          <w:tcPr>
            <w:tcW w:w="100" w:type="dxa"/>
            <w:vAlign w:val="bottom"/>
            <w:shd w:val="clear" w:color="auto" w:fill="B6D2E2"/>
          </w:tcPr>
          <w:p>
            <w:pPr>
              <w:spacing w:after="0"/>
              <w:rPr>
                <w:sz w:val="14"/>
                <w:szCs w:val="14"/>
                <w:color w:val="auto"/>
              </w:rPr>
            </w:pPr>
          </w:p>
        </w:tc>
        <w:tc>
          <w:tcPr>
            <w:tcW w:w="60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007CBA"/>
            </w:tcBorders>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right w:val="single" w:sz="8" w:color="007CBA"/>
            </w:tcBorders>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auto"/>
            </w:tcBorders>
            <w:shd w:val="clear" w:color="auto" w:fill="B6D2E2"/>
          </w:tcPr>
          <w:p>
            <w:pPr>
              <w:spacing w:after="0"/>
              <w:rPr>
                <w:sz w:val="14"/>
                <w:szCs w:val="14"/>
                <w:color w:val="auto"/>
              </w:rPr>
            </w:pPr>
          </w:p>
        </w:tc>
        <w:tc>
          <w:tcPr>
            <w:tcW w:w="60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right w:val="single" w:sz="8" w:color="007CBA"/>
            </w:tcBorders>
            <w:shd w:val="clear" w:color="auto" w:fill="B6D2E2"/>
          </w:tcPr>
          <w:p>
            <w:pPr>
              <w:spacing w:after="0"/>
              <w:rPr>
                <w:sz w:val="14"/>
                <w:szCs w:val="14"/>
                <w:color w:val="auto"/>
              </w:rPr>
            </w:pPr>
          </w:p>
        </w:tc>
        <w:tc>
          <w:tcPr>
            <w:tcW w:w="12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120" w:type="dxa"/>
            <w:vAlign w:val="bottom"/>
            <w:tcBorders>
              <w:bottom w:val="single" w:sz="8" w:color="auto"/>
            </w:tcBorders>
            <w:shd w:val="clear" w:color="auto" w:fill="B6D2E2"/>
          </w:tcPr>
          <w:p>
            <w:pPr>
              <w:spacing w:after="0"/>
              <w:rPr>
                <w:sz w:val="14"/>
                <w:szCs w:val="14"/>
                <w:color w:val="auto"/>
              </w:rPr>
            </w:pPr>
          </w:p>
        </w:tc>
        <w:tc>
          <w:tcPr>
            <w:tcW w:w="82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right w:val="single" w:sz="8" w:color="007CBA"/>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72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840" w:type="dxa"/>
            <w:vAlign w:val="bottom"/>
            <w:tcBorders>
              <w:bottom w:val="single" w:sz="8" w:color="auto"/>
              <w:right w:val="single" w:sz="8" w:color="007CBA"/>
            </w:tcBorders>
            <w:gridSpan w:val="2"/>
          </w:tcPr>
          <w:p>
            <w:pPr>
              <w:jc w:val="right"/>
              <w:ind w:right="6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shd w:val="clear" w:color="auto" w:fill="B6D2E2"/>
          </w:tcPr>
          <w:p>
            <w:pPr>
              <w:spacing w:after="0"/>
              <w:rPr>
                <w:sz w:val="14"/>
                <w:szCs w:val="14"/>
                <w:color w:val="auto"/>
              </w:rPr>
            </w:pPr>
          </w:p>
        </w:tc>
        <w:tc>
          <w:tcPr>
            <w:tcW w:w="100" w:type="dxa"/>
            <w:vAlign w:val="bottom"/>
            <w:tcBorders>
              <w:bottom w:val="single" w:sz="8" w:color="auto"/>
            </w:tcBorders>
            <w:shd w:val="clear" w:color="auto" w:fill="B6D2E2"/>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6"/>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2025</w:t>
            </w:r>
          </w:p>
        </w:tc>
        <w:tc>
          <w:tcPr>
            <w:tcW w:w="100" w:type="dxa"/>
            <w:vAlign w:val="bottom"/>
            <w:shd w:val="clear" w:color="auto" w:fill="B6D2E2"/>
          </w:tcPr>
          <w:p>
            <w:pPr>
              <w:spacing w:after="0"/>
              <w:rPr>
                <w:sz w:val="12"/>
                <w:szCs w:val="12"/>
                <w:color w:val="auto"/>
              </w:rPr>
            </w:pPr>
          </w:p>
        </w:tc>
        <w:tc>
          <w:tcPr>
            <w:tcW w:w="600" w:type="dxa"/>
            <w:vAlign w:val="bottom"/>
            <w:shd w:val="clear" w:color="auto" w:fill="B6D2E2"/>
          </w:tcPr>
          <w:p>
            <w:pPr>
              <w:jc w:val="right"/>
              <w:spacing w:after="0" w:line="147" w:lineRule="exact"/>
              <w:rPr>
                <w:sz w:val="20"/>
                <w:szCs w:val="20"/>
                <w:color w:val="auto"/>
              </w:rPr>
            </w:pPr>
            <w:r>
              <w:rPr>
                <w:rFonts w:ascii="Arial" w:cs="Arial" w:eastAsia="Arial" w:hAnsi="Arial"/>
                <w:sz w:val="14"/>
                <w:szCs w:val="14"/>
                <w:b w:val="1"/>
                <w:bCs w:val="1"/>
                <w:color w:val="auto"/>
              </w:rPr>
              <w:t>60,309,7</w:t>
            </w:r>
          </w:p>
        </w:tc>
        <w:tc>
          <w:tcPr>
            <w:tcW w:w="100" w:type="dxa"/>
            <w:vAlign w:val="bottom"/>
            <w:tcBorders>
              <w:right w:val="single" w:sz="8" w:color="B6D2E2"/>
            </w:tcBorders>
            <w:shd w:val="clear" w:color="auto" w:fill="B6D2E2"/>
          </w:tcPr>
          <w:p>
            <w:pPr>
              <w:spacing w:after="0"/>
              <w:rPr>
                <w:sz w:val="12"/>
                <w:szCs w:val="12"/>
                <w:color w:val="auto"/>
              </w:rPr>
            </w:pPr>
          </w:p>
        </w:tc>
        <w:tc>
          <w:tcPr>
            <w:tcW w:w="12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20" w:type="dxa"/>
            <w:vAlign w:val="bottom"/>
            <w:shd w:val="clear" w:color="auto" w:fill="B6D2E2"/>
          </w:tcPr>
          <w:p>
            <w:pPr>
              <w:spacing w:after="0"/>
              <w:rPr>
                <w:sz w:val="12"/>
                <w:szCs w:val="12"/>
                <w:color w:val="auto"/>
              </w:rPr>
            </w:pPr>
          </w:p>
        </w:tc>
        <w:tc>
          <w:tcPr>
            <w:tcW w:w="820" w:type="dxa"/>
            <w:vAlign w:val="bottom"/>
            <w:shd w:val="clear" w:color="auto" w:fill="B6D2E2"/>
          </w:tcPr>
          <w:p>
            <w:pPr>
              <w:spacing w:after="0"/>
              <w:rPr>
                <w:sz w:val="12"/>
                <w:szCs w:val="12"/>
                <w:color w:val="auto"/>
              </w:rPr>
            </w:pPr>
          </w:p>
        </w:tc>
        <w:tc>
          <w:tcPr>
            <w:tcW w:w="10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2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00" w:type="dxa"/>
            <w:vAlign w:val="bottom"/>
            <w:shd w:val="clear" w:color="auto" w:fill="B6D2E2"/>
          </w:tcPr>
          <w:p>
            <w:pPr>
              <w:spacing w:after="0"/>
              <w:rPr>
                <w:sz w:val="12"/>
                <w:szCs w:val="12"/>
                <w:color w:val="auto"/>
              </w:rPr>
            </w:pPr>
          </w:p>
        </w:tc>
        <w:tc>
          <w:tcPr>
            <w:tcW w:w="120" w:type="dxa"/>
            <w:vAlign w:val="bottom"/>
            <w:tcBorders>
              <w:right w:val="single" w:sz="8" w:color="B6D2E2"/>
            </w:tcBorders>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100" w:type="dxa"/>
            <w:vAlign w:val="bottom"/>
            <w:shd w:val="clear" w:color="auto" w:fill="B6D2E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80" w:type="dxa"/>
            <w:vAlign w:val="bottom"/>
            <w:vMerge w:val="continue"/>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6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B6D2E2"/>
              <w:right w:val="single" w:sz="8" w:color="B6D2E2"/>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B6D2E2"/>
              <w:right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3,569</w:t>
            </w:r>
          </w:p>
        </w:tc>
        <w:tc>
          <w:tcPr>
            <w:tcW w:w="120" w:type="dxa"/>
            <w:vAlign w:val="bottom"/>
            <w:tcBorders>
              <w:bottom w:val="single" w:sz="8" w:color="B6D2E2"/>
              <w:right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Borders>
              <w:bottom w:val="single" w:sz="8" w:color="B6D2E2"/>
              <w:right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6,402</w:t>
            </w:r>
          </w:p>
        </w:tc>
        <w:tc>
          <w:tcPr>
            <w:tcW w:w="120" w:type="dxa"/>
            <w:vAlign w:val="bottom"/>
            <w:tcBorders>
              <w:bottom w:val="single" w:sz="8" w:color="B6D2E2"/>
              <w:right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B6D2E2"/>
            </w:tcBorders>
            <w:shd w:val="clear" w:color="auto" w:fill="B6D2E2"/>
          </w:tcPr>
          <w:p>
            <w:pPr>
              <w:jc w:val="right"/>
              <w:spacing w:after="0"/>
              <w:rPr>
                <w:sz w:val="20"/>
                <w:szCs w:val="20"/>
                <w:color w:val="auto"/>
              </w:rPr>
            </w:pPr>
            <w:r>
              <w:rPr>
                <w:rFonts w:ascii="Arial" w:cs="Arial" w:eastAsia="Arial" w:hAnsi="Arial"/>
                <w:sz w:val="14"/>
                <w:szCs w:val="14"/>
                <w:b w:val="1"/>
                <w:bCs w:val="1"/>
                <w:color w:val="auto"/>
              </w:rPr>
              <w:t>10,032</w:t>
            </w:r>
          </w:p>
        </w:tc>
        <w:tc>
          <w:tcPr>
            <w:tcW w:w="120" w:type="dxa"/>
            <w:vAlign w:val="bottom"/>
            <w:tcBorders>
              <w:bottom w:val="single" w:sz="8" w:color="B6D2E2"/>
              <w:right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10,034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197485</wp:posOffset>
            </wp:positionV>
            <wp:extent cx="325755" cy="1968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41789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417893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Notes to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A: Accounting Policies</w:t>
      </w:r>
    </w:p>
    <w:p>
      <w:pPr>
        <w:spacing w:after="0" w:line="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4EAD8A"/>
        </w:rPr>
        <w:t xml:space="preserve">Organization. </w:t>
      </w:r>
      <w:r>
        <w:rPr>
          <w:rFonts w:ascii="Arial" w:cs="Arial" w:eastAsia="Arial" w:hAnsi="Arial"/>
          <w:sz w:val="18"/>
          <w:szCs w:val="18"/>
          <w:color w:val="000000"/>
        </w:rPr>
        <w:t>Martin Marietta is a natural resource-based building materials company. As of December 31, 2025, the Company supplies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aggregates (crushed stone, sand and gravel) through its network of approximately 400 quarries, mines and distribution yards in 28 states, Canada and The Bahamas. Martin Marietta also provides other building materials, namely, cement, ready mixed concrete, asphalt and paving services, in vertically-integrated structured markets where the Company also has a notable aggregates position. Specifically, the Company has one cement plant and four cement distribution facilities in Texas; ready mixed concrete plants in Arizona and Texas; and asphalt plants in Arizona, California, Colorado and Minnesota. Asphalt paving services are located in Colorado.</w:t>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heavy-side building materials are used in infrastructure, nonresidential and residential construction projects. Aggregates are also used in agricultural, utility and environmental applications and as railroad ballast. The aggregates and other business materials product lines are reported collectively as the Building Materials business.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December 31, 2025, the Building Materials business includes two reportable segments: East Group and West Group. The East Group consists of the East and Central divisions and operates in Alabama, Florida, Georgia, Indiana, Iowa, Kansas, Kentucky, Maryland, Minnesota, Missouri, Nebraska, North Carolina, Ohio, Pennsylvania, South Carolina, Tennessee, Virginia, West Virginia, Nova Scotia and The Bahamas. The West Group is comprised of the Southwest and West divisions and operates in Arizona, Arkansas, California, Colorado, Louisiana, Oklahoma, Texas, Utah, Washington and Wyoming. The following ten states accounted for 76% of the Building Materials business’ 2025 revenues: Texas, North Carolina, Colorado, California, Georgia, Florida, South Carolina, Arizona, Iowa, and Minnesota.</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also operates a Specialties business (formerly known as the Magnesia Specialties business), which represents a separate reportable segment. The Specialties business produces high-purity natural and synthetic magnesia-based products, including magnesium sulfate, magnesium oxide and magnesium hydroxide, used in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 The July 2025 acquisition of Premier Magnesia expanded the Company's product portfolio and enhanced its dolomitic magnesia mineral reserves and processing capabilities. Specialties’ production facilities are in Michigan, Ohio, Nevada, North Carolina, Indiana and Pennsylvania, and products are shipped to customers domestically and worldwide.</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2025, the Company entered into a definitive agreement for the exchange of certain assets (see Note B). The pending disposal of the Company's cement plant, related cement terminals and Texas ready mixed concrete plants meets the criteria for held for sale and the associated financial results of these operations are reported as discontinued operations for all periods presented. The Company has recast all comparative prior-period financial information presented in the financial statements and related notes to the financial statements, unless otherwise noted, to reflect this presentation.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4EAD8A"/>
        </w:rPr>
        <w:t xml:space="preserve">Basis of Presentation and Use of Estimates. </w:t>
      </w:r>
      <w:r>
        <w:rPr>
          <w:rFonts w:ascii="Arial" w:cs="Arial" w:eastAsia="Arial" w:hAnsi="Arial"/>
          <w:sz w:val="18"/>
          <w:szCs w:val="18"/>
          <w:color w:val="000000"/>
        </w:rPr>
        <w:t>The Company’s consolidated financial statements are presented in conformity with</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accounting principles generally accepted in the United States, which require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other intangible assets and other long-lived assets, as well as assumptions used in the calculation of income tax expense, retirement and postemployment benefits, stock-based compensation, the allocation of the purchase price to the fair values of assets acquired and liabilities assumed as part of business combinations and revenue recognition for service contracts.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interest rates, credit, equity and energy markets and changes in construction activity increase the uncertainty inherent in certain estimates and assumptions. Because future events and their effects cannot be determined with precision, actual results could differ significantly from estimates. Changes in estimates, including those resulting from changes in the economic environment, are reflected in the consolidated financial statements for the period in which the change in estimate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48895</wp:posOffset>
            </wp:positionV>
            <wp:extent cx="325755" cy="1968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7" w:name="page78"/>
    <w:bookmarkEnd w:id="77"/>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Basis of Consolidation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consolidated financial statements include the accounts of the Company and its wholly-owned and majority-owned subsidiaries. Partially-owned affiliates are either consolidated or accounted for using the cost method or the equity method, depending on the level of ownership interest or the Company’s ability to exercise significant influence or control over the affiliates’ operations. Intercompany balances and transactions between subsidiaries have been eliminated in consolidation.</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4EAD8A"/>
        </w:rPr>
        <w:t>Revenue Recognition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Revenues include sales of products and services provided to customers, net of discounts or allowances, if any,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freight and delivery costs billed to customers. Product revenues are recognized when control of the promised good is transferred to unaffiliated customers, typically when finished products are shipped. Intersegment and interproduct revenues are eliminated in consolidation. Service revenues are derived from the paving business and are recognized using the percentage-of-completion method under the cost-to-cost approach. Under the cost-to-cost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cost-to-cost approach is appropriate, as the use of asphalt in a paving contract is relatively consistent with the performance of the related paving services. When the Company arranges third-party freight to deliver products to customers, the Company has elected the delivery to be a fulfillment activity rather than a separate performance obligation. Further, the Company acts as a principal in the delivery arrangements and, as required by Accounting Standards Codification 606, </w:t>
      </w:r>
      <w:r>
        <w:rPr>
          <w:rFonts w:ascii="Arial" w:cs="Arial" w:eastAsia="Arial" w:hAnsi="Arial"/>
          <w:sz w:val="18"/>
          <w:szCs w:val="18"/>
          <w:i w:val="1"/>
          <w:iCs w:val="1"/>
          <w:color w:val="000000"/>
        </w:rPr>
        <w:t>Revenues from Contracts with Customers</w:t>
      </w:r>
      <w:r>
        <w:rPr>
          <w:rFonts w:ascii="Arial" w:cs="Arial" w:eastAsia="Arial" w:hAnsi="Arial"/>
          <w:sz w:val="18"/>
          <w:szCs w:val="18"/>
          <w:color w:val="000000"/>
        </w:rPr>
        <w:t xml:space="preserve"> (ASC 606)</w:t>
      </w:r>
      <w:r>
        <w:rPr>
          <w:rFonts w:ascii="Arial" w:cs="Arial" w:eastAsia="Arial" w:hAnsi="Arial"/>
          <w:sz w:val="18"/>
          <w:szCs w:val="18"/>
          <w:i w:val="1"/>
          <w:iCs w:val="1"/>
          <w:color w:val="000000"/>
        </w:rPr>
        <w:t>,</w:t>
      </w:r>
      <w:r>
        <w:rPr>
          <w:rFonts w:ascii="Arial" w:cs="Arial" w:eastAsia="Arial" w:hAnsi="Arial"/>
          <w:sz w:val="18"/>
          <w:szCs w:val="18"/>
          <w:color w:val="000000"/>
        </w:rPr>
        <w:t xml:space="preserve"> the related revenues and costs are presented gross in the consolidated statements of earnings and are recognized consistently with the timing of the product revenues.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4EAD8A"/>
        </w:rPr>
        <w:t>Cash, Cash Equivalents and Restricted Cash</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Cash equivalents are comprised of highly-liquid instruments with original maturities of three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months or less from the date of purchase.</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December 31, 2023, the Company had $10 million of restricted cash, which was invested in an account designated for the purchase of like-kind exchange replacement assets under Section 1031 of the Internal Revenue Code and related IRS procedures (Section 1031). The Company was restricted from utilizing the cash for purposes other than the purchase of qualified assets for 180 days from receipt of the proceeds from the sale of the exchanged property. Any unused restricted cash at the end of the 180 days was transferred to unrestricted accounts of the Company and used for general corporate purposes. The Company had no restricted cash as of December 31, 2025 and 2024.</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statements of cash flows reflect cash flow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c>
          <w:tcPr>
            <w:tcW w:w="4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00" w:type="dxa"/>
            <w:vAlign w:val="bottom"/>
            <w:shd w:val="clear" w:color="auto" w:fill="007CBA"/>
          </w:tcPr>
          <w:p>
            <w:pPr>
              <w:spacing w:after="0"/>
              <w:rPr>
                <w:sz w:val="18"/>
                <w:szCs w:val="18"/>
                <w:color w:val="auto"/>
              </w:rPr>
            </w:pPr>
          </w:p>
        </w:tc>
      </w:tr>
      <w:tr>
        <w:trPr>
          <w:trHeight w:val="221"/>
        </w:trPr>
        <w:tc>
          <w:tcPr>
            <w:tcW w:w="6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right"/>
              <w:ind w:right="47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jc w:val="right"/>
              <w:ind w:right="45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00" w:type="dxa"/>
            <w:vAlign w:val="bottom"/>
            <w:shd w:val="clear" w:color="auto" w:fill="007CBA"/>
          </w:tcPr>
          <w:p>
            <w:pPr>
              <w:jc w:val="right"/>
              <w:ind w:right="450"/>
              <w:spacing w:after="0"/>
              <w:rPr>
                <w:sz w:val="20"/>
                <w:szCs w:val="20"/>
                <w:color w:val="auto"/>
              </w:rPr>
            </w:pPr>
            <w:r>
              <w:rPr>
                <w:rFonts w:ascii="Arial" w:cs="Arial" w:eastAsia="Arial" w:hAnsi="Arial"/>
                <w:sz w:val="18"/>
                <w:szCs w:val="18"/>
                <w:color w:val="FFFFFF"/>
              </w:rPr>
              <w:t>2023</w:t>
            </w:r>
          </w:p>
        </w:tc>
      </w:tr>
      <w:tr>
        <w:trPr>
          <w:trHeight w:val="203"/>
        </w:trPr>
        <w:tc>
          <w:tcPr>
            <w:tcW w:w="65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67</w:t>
            </w:r>
          </w:p>
        </w:tc>
        <w:tc>
          <w:tcPr>
            <w:tcW w:w="44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670</w:t>
            </w:r>
          </w:p>
        </w:tc>
        <w:tc>
          <w:tcPr>
            <w:tcW w:w="44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1,272</w:t>
            </w:r>
          </w:p>
        </w:tc>
      </w:tr>
      <w:tr>
        <w:trPr>
          <w:trHeight w:val="203"/>
        </w:trPr>
        <w:tc>
          <w:tcPr>
            <w:tcW w:w="65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177"/>
        </w:trPr>
        <w:tc>
          <w:tcPr>
            <w:tcW w:w="6580" w:type="dxa"/>
            <w:vAlign w:val="bottom"/>
            <w:tcBorders>
              <w:right w:val="single" w:sz="8" w:color="E5F1F8"/>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Total cash, cash equivalents and restricted cash</w:t>
            </w:r>
          </w:p>
        </w:tc>
        <w:tc>
          <w:tcPr>
            <w:tcW w:w="440" w:type="dxa"/>
            <w:vAlign w:val="bottom"/>
            <w:shd w:val="clear" w:color="auto" w:fill="E5F1F8"/>
          </w:tcPr>
          <w:p>
            <w:pPr>
              <w:spacing w:after="0"/>
              <w:rPr>
                <w:sz w:val="15"/>
                <w:szCs w:val="15"/>
                <w:color w:val="auto"/>
              </w:rPr>
            </w:pPr>
          </w:p>
        </w:tc>
        <w:tc>
          <w:tcPr>
            <w:tcW w:w="1140" w:type="dxa"/>
            <w:vAlign w:val="bottom"/>
            <w:tcBorders>
              <w:right w:val="single" w:sz="8" w:color="E5F1F8"/>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100" w:type="dxa"/>
            <w:vAlign w:val="bottom"/>
            <w:tcBorders>
              <w:right w:val="single" w:sz="8" w:color="E5F1F8"/>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100" w:type="dxa"/>
            <w:vAlign w:val="bottom"/>
            <w:shd w:val="clear" w:color="auto" w:fill="E5F1F8"/>
          </w:tcPr>
          <w:p>
            <w:pPr>
              <w:spacing w:after="0"/>
              <w:rPr>
                <w:sz w:val="15"/>
                <w:szCs w:val="15"/>
                <w:color w:val="auto"/>
              </w:rPr>
            </w:pPr>
          </w:p>
        </w:tc>
      </w:tr>
      <w:tr>
        <w:trPr>
          <w:trHeight w:val="261"/>
        </w:trPr>
        <w:tc>
          <w:tcPr>
            <w:tcW w:w="6580" w:type="dxa"/>
            <w:vAlign w:val="bottom"/>
            <w:tcBorders>
              <w:bottom w:val="single" w:sz="8" w:color="auto"/>
              <w:right w:val="single" w:sz="8" w:color="E5F1F8"/>
            </w:tcBorders>
            <w:shd w:val="clear" w:color="auto" w:fill="E5F1F8"/>
          </w:tcPr>
          <w:p>
            <w:pPr>
              <w:ind w:left="220"/>
              <w:spacing w:after="0"/>
              <w:rPr>
                <w:sz w:val="20"/>
                <w:szCs w:val="20"/>
                <w:color w:val="auto"/>
              </w:rPr>
            </w:pPr>
            <w:r>
              <w:rPr>
                <w:rFonts w:ascii="Arial" w:cs="Arial" w:eastAsia="Arial" w:hAnsi="Arial"/>
                <w:sz w:val="18"/>
                <w:szCs w:val="18"/>
                <w:color w:val="auto"/>
              </w:rPr>
              <w:t>presented in the consolidated statements of cash flows</w:t>
            </w:r>
          </w:p>
        </w:tc>
        <w:tc>
          <w:tcPr>
            <w:tcW w:w="44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67</w:t>
            </w:r>
          </w:p>
        </w:tc>
        <w:tc>
          <w:tcPr>
            <w:tcW w:w="44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E5F1F8"/>
            </w:tcBorders>
            <w:shd w:val="clear" w:color="auto" w:fill="E5F1F8"/>
          </w:tcPr>
          <w:p>
            <w:pPr>
              <w:jc w:val="right"/>
              <w:ind w:right="10"/>
              <w:spacing w:after="0"/>
              <w:rPr>
                <w:sz w:val="20"/>
                <w:szCs w:val="20"/>
                <w:color w:val="auto"/>
              </w:rPr>
            </w:pPr>
            <w:r>
              <w:rPr>
                <w:rFonts w:ascii="Arial" w:cs="Arial" w:eastAsia="Arial" w:hAnsi="Arial"/>
                <w:sz w:val="18"/>
                <w:szCs w:val="18"/>
                <w:color w:val="auto"/>
              </w:rPr>
              <w:t>670</w:t>
            </w:r>
          </w:p>
        </w:tc>
        <w:tc>
          <w:tcPr>
            <w:tcW w:w="44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1,282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-432435</wp:posOffset>
            </wp:positionV>
            <wp:extent cx="33655" cy="4457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5161280</wp:posOffset>
            </wp:positionH>
            <wp:positionV relativeFrom="paragraph">
              <wp:posOffset>-432435</wp:posOffset>
            </wp:positionV>
            <wp:extent cx="33655" cy="4457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-432435</wp:posOffset>
            </wp:positionV>
            <wp:extent cx="34290" cy="4457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45770"/>
                    </a:xfrm>
                    <a:prstGeom prst="rect">
                      <a:avLst/>
                    </a:prstGeom>
                    <a:noFill/>
                  </pic:spPr>
                </pic:pic>
              </a:graphicData>
            </a:graphic>
          </wp:anchor>
        </w:drawing>
      </w:r>
    </w:p>
    <w:p>
      <w:pPr>
        <w:spacing w:after="0" w:line="6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4EAD8A"/>
        </w:rPr>
        <w:t xml:space="preserve">Accounts Receivable. </w:t>
      </w:r>
      <w:r>
        <w:rPr>
          <w:rFonts w:ascii="Arial" w:cs="Arial" w:eastAsia="Arial" w:hAnsi="Arial"/>
          <w:sz w:val="18"/>
          <w:szCs w:val="18"/>
          <w:color w:val="000000"/>
        </w:rPr>
        <w:t>Accounts receivable are stated at cost. The Company does not typically charge interest on customer accounts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receivable. The Company records an allowance for credit losses, which includes a provision for probable losses based on historical write-offs, adjusted for current conditions as deemed necessary, and a specific reserve for accounts deemed at risk. Current conditions are assessed by considering factors such as changes in the economic environment, customer payment trends, and industry specific risks that may affect collectability. The allowance is the Company’s estimate for receivables as of the balance sheet date that ultimately will not be collected. Any changes in the allowance are reflected in earnings in the period in which the change occurs. The Company writes off accounts receivable when it becomes probable, based upon facts and circumstances, that such amounts will not be collected.</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Inventories Valuation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Finished products and in-process inventories are stated at the lower of cost or net realizable value using standard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costs, which approximate the first-in, first-out method. Carrying value for parts and supplies are determined by the weighted-average cost method. The Company records an allowance for finished product inventories based on an analysis of future demand and inventory on hand in excess of one year's sales using an average of the last two years of sales. The Company also establishes an allowance for parts over five years old and supplies over a year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46990</wp:posOffset>
            </wp:positionV>
            <wp:extent cx="325755" cy="1974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8" w:name="page79"/>
    <w:bookmarkEnd w:id="78"/>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Post-production stripping costs, which represent costs of removing overburden and waste materials to access mineral deposits, are a component of inventory production costs and recognized as incurred.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4EAD8A"/>
              </w:rPr>
              <w:t>Property, Plant and Equipment</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Property, plant and equipment are stated at cost.</w:t>
            </w:r>
          </w:p>
        </w:tc>
        <w:tc>
          <w:tcPr>
            <w:tcW w:w="3580" w:type="dxa"/>
            <w:vAlign w:val="bottom"/>
          </w:tcPr>
          <w:p>
            <w:pPr>
              <w:spacing w:after="0"/>
              <w:rPr>
                <w:sz w:val="21"/>
                <w:szCs w:val="21"/>
                <w:color w:val="auto"/>
              </w:rPr>
            </w:pPr>
          </w:p>
        </w:tc>
      </w:tr>
      <w:tr>
        <w:trPr>
          <w:trHeight w:val="303"/>
        </w:trPr>
        <w:tc>
          <w:tcPr>
            <w:tcW w:w="7660" w:type="dxa"/>
            <w:vAlign w:val="bottom"/>
          </w:tcPr>
          <w:p>
            <w:pPr>
              <w:spacing w:after="0"/>
              <w:rPr>
                <w:sz w:val="20"/>
                <w:szCs w:val="20"/>
                <w:color w:val="auto"/>
              </w:rPr>
            </w:pPr>
            <w:r>
              <w:rPr>
                <w:rFonts w:ascii="Arial" w:cs="Arial" w:eastAsia="Arial" w:hAnsi="Arial"/>
                <w:sz w:val="18"/>
                <w:szCs w:val="18"/>
                <w:color w:val="auto"/>
              </w:rPr>
              <w:t>The estimated service lives for property, plant and equipment are as follows:</w:t>
            </w:r>
          </w:p>
        </w:tc>
        <w:tc>
          <w:tcPr>
            <w:tcW w:w="3580" w:type="dxa"/>
            <w:vAlign w:val="bottom"/>
          </w:tcPr>
          <w:p>
            <w:pPr>
              <w:spacing w:after="0"/>
              <w:rPr>
                <w:sz w:val="24"/>
                <w:szCs w:val="24"/>
                <w:color w:val="auto"/>
              </w:rPr>
            </w:pPr>
          </w:p>
        </w:tc>
      </w:tr>
      <w:tr>
        <w:trPr>
          <w:trHeight w:val="90"/>
        </w:trPr>
        <w:tc>
          <w:tcPr>
            <w:tcW w:w="7660" w:type="dxa"/>
            <w:vAlign w:val="bottom"/>
          </w:tcPr>
          <w:p>
            <w:pPr>
              <w:spacing w:after="0"/>
              <w:rPr>
                <w:sz w:val="7"/>
                <w:szCs w:val="7"/>
                <w:color w:val="auto"/>
              </w:rPr>
            </w:pPr>
          </w:p>
        </w:tc>
        <w:tc>
          <w:tcPr>
            <w:tcW w:w="3580" w:type="dxa"/>
            <w:vAlign w:val="bottom"/>
          </w:tcPr>
          <w:p>
            <w:pPr>
              <w:spacing w:after="0"/>
              <w:rPr>
                <w:sz w:val="7"/>
                <w:szCs w:val="7"/>
                <w:color w:val="auto"/>
              </w:rPr>
            </w:pPr>
          </w:p>
        </w:tc>
      </w:tr>
      <w:tr>
        <w:trPr>
          <w:trHeight w:val="203"/>
        </w:trPr>
        <w:tc>
          <w:tcPr>
            <w:tcW w:w="7660" w:type="dxa"/>
            <w:vAlign w:val="bottom"/>
            <w:tcBorders>
              <w:right w:val="single" w:sz="8" w:color="007CBA"/>
            </w:tcBorders>
            <w:shd w:val="clear" w:color="auto" w:fill="007CBA"/>
          </w:tcPr>
          <w:p>
            <w:pPr>
              <w:ind w:left="80"/>
              <w:spacing w:after="0" w:line="202" w:lineRule="exact"/>
              <w:rPr>
                <w:sz w:val="20"/>
                <w:szCs w:val="20"/>
                <w:color w:val="auto"/>
              </w:rPr>
            </w:pPr>
            <w:r>
              <w:rPr>
                <w:rFonts w:ascii="Arial" w:cs="Arial" w:eastAsia="Arial" w:hAnsi="Arial"/>
                <w:sz w:val="18"/>
                <w:szCs w:val="18"/>
                <w:b w:val="1"/>
                <w:bCs w:val="1"/>
                <w:color w:val="FFFFFF"/>
              </w:rPr>
              <w:t>Class of Assets</w:t>
            </w:r>
          </w:p>
        </w:tc>
        <w:tc>
          <w:tcPr>
            <w:tcW w:w="3580" w:type="dxa"/>
            <w:vAlign w:val="bottom"/>
            <w:shd w:val="clear" w:color="auto" w:fill="007CBA"/>
          </w:tcPr>
          <w:p>
            <w:pPr>
              <w:jc w:val="center"/>
              <w:ind w:left="190"/>
              <w:spacing w:after="0" w:line="202" w:lineRule="exact"/>
              <w:rPr>
                <w:sz w:val="20"/>
                <w:szCs w:val="20"/>
                <w:color w:val="auto"/>
              </w:rPr>
            </w:pPr>
            <w:r>
              <w:rPr>
                <w:rFonts w:ascii="Arial" w:cs="Arial" w:eastAsia="Arial" w:hAnsi="Arial"/>
                <w:sz w:val="18"/>
                <w:szCs w:val="18"/>
                <w:b w:val="1"/>
                <w:bCs w:val="1"/>
                <w:color w:val="FFFFFF"/>
              </w:rPr>
              <w:t>Range of Service Lives</w:t>
            </w:r>
          </w:p>
        </w:tc>
      </w:tr>
      <w:tr>
        <w:trPr>
          <w:trHeight w:val="203"/>
        </w:trPr>
        <w:tc>
          <w:tcPr>
            <w:tcW w:w="76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Buildings</w:t>
            </w:r>
          </w:p>
        </w:tc>
        <w:tc>
          <w:tcPr>
            <w:tcW w:w="358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5 to 30 years</w:t>
            </w:r>
          </w:p>
        </w:tc>
      </w:tr>
      <w:tr>
        <w:trPr>
          <w:trHeight w:val="203"/>
        </w:trPr>
        <w:tc>
          <w:tcPr>
            <w:tcW w:w="76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Machinery &amp; Equipment</w:t>
            </w:r>
          </w:p>
        </w:tc>
        <w:tc>
          <w:tcPr>
            <w:tcW w:w="3580" w:type="dxa"/>
            <w:vAlign w:val="bottom"/>
            <w:shd w:val="clear" w:color="auto" w:fill="E5F1F8"/>
          </w:tcPr>
          <w:p>
            <w:pPr>
              <w:jc w:val="center"/>
              <w:ind w:left="210"/>
              <w:spacing w:after="0" w:line="202" w:lineRule="exact"/>
              <w:rPr>
                <w:sz w:val="20"/>
                <w:szCs w:val="20"/>
                <w:color w:val="auto"/>
              </w:rPr>
            </w:pPr>
            <w:r>
              <w:rPr>
                <w:rFonts w:ascii="Arial" w:cs="Arial" w:eastAsia="Arial" w:hAnsi="Arial"/>
                <w:sz w:val="18"/>
                <w:szCs w:val="18"/>
                <w:color w:val="auto"/>
                <w:w w:val="99"/>
              </w:rPr>
              <w:t>2 to 20 years</w:t>
            </w:r>
          </w:p>
        </w:tc>
      </w:tr>
      <w:tr>
        <w:trPr>
          <w:trHeight w:val="203"/>
        </w:trPr>
        <w:tc>
          <w:tcPr>
            <w:tcW w:w="76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Land Improvements</w:t>
            </w:r>
          </w:p>
        </w:tc>
        <w:tc>
          <w:tcPr>
            <w:tcW w:w="3580" w:type="dxa"/>
            <w:vAlign w:val="bottom"/>
            <w:tcBorders>
              <w:bottom w:val="single" w:sz="8" w:color="auto"/>
            </w:tcBorders>
          </w:tcPr>
          <w:p>
            <w:pPr>
              <w:jc w:val="center"/>
              <w:ind w:left="210"/>
              <w:spacing w:after="0" w:line="202" w:lineRule="exact"/>
              <w:rPr>
                <w:sz w:val="20"/>
                <w:szCs w:val="20"/>
                <w:color w:val="auto"/>
              </w:rPr>
            </w:pPr>
            <w:r>
              <w:rPr>
                <w:rFonts w:ascii="Arial" w:cs="Arial" w:eastAsia="Arial" w:hAnsi="Arial"/>
                <w:sz w:val="18"/>
                <w:szCs w:val="18"/>
                <w:color w:val="auto"/>
                <w:w w:val="99"/>
              </w:rPr>
              <w:t>5 to 60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-149225</wp:posOffset>
            </wp:positionV>
            <wp:extent cx="34290"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Mineral reserves and mineral interests acquired in connection with a business combination are valued using an income approach for the estimated life of the reserves.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is computed based on estimated service lives using the straight-line method. Depletion of mineral reserves is calculated based on proven and probable reserves using the units-of-production method on a quarry-by-quarry basis. For the years ended December 31, 2025, 2024 and 2023, depletion expense was $103 million, $78 million and $53 million, respectively.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group are less than the asset group’s carrying value.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4EAD8A"/>
        </w:rPr>
        <w:t xml:space="preserve">Repair and Maintenance Costs. </w:t>
      </w:r>
      <w:r>
        <w:rPr>
          <w:rFonts w:ascii="Arial" w:cs="Arial" w:eastAsia="Arial" w:hAnsi="Arial"/>
          <w:sz w:val="18"/>
          <w:szCs w:val="18"/>
          <w:color w:val="000000"/>
        </w:rPr>
        <w:t>Repair and maintenance costs that do not substantially extend the life of the Company’s plant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equipment are expensed as incurred.</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4EAD8A"/>
        </w:rPr>
        <w:t xml:space="preserve">Leases. </w:t>
      </w:r>
      <w:r>
        <w:rPr>
          <w:rFonts w:ascii="Arial" w:cs="Arial" w:eastAsia="Arial" w:hAnsi="Arial"/>
          <w:sz w:val="18"/>
          <w:szCs w:val="18"/>
          <w:color w:val="000000"/>
        </w:rPr>
        <w:t>Pursuant to Accounting Standards Codification 842,</w:t>
      </w:r>
      <w:r>
        <w:rPr>
          <w:rFonts w:ascii="Arial" w:cs="Arial" w:eastAsia="Arial" w:hAnsi="Arial"/>
          <w:sz w:val="18"/>
          <w:szCs w:val="18"/>
          <w:b w:val="1"/>
          <w:bCs w:val="1"/>
          <w:i w:val="1"/>
          <w:iCs w:val="1"/>
          <w:color w:val="4EAD8A"/>
        </w:rPr>
        <w:t xml:space="preserve"> </w:t>
      </w:r>
      <w:r>
        <w:rPr>
          <w:rFonts w:ascii="Arial" w:cs="Arial" w:eastAsia="Arial" w:hAnsi="Arial"/>
          <w:sz w:val="18"/>
          <w:szCs w:val="18"/>
          <w:i w:val="1"/>
          <w:iCs w:val="1"/>
          <w:color w:val="000000"/>
        </w:rPr>
        <w:t>Leases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(ASC 842), if the Company determines a contract is or contains a lease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at the inception of an agreement, the Company records a right-of-use (ROU) asset, which represents the Company’s right to use an underlying leased asset, and a lease liability, which represents the Company’s obligation to make lease payments. The ROU asset and lease liability are recorded on the consolidated balance sheets at the present value of the future lease payments over the lease term at commencement date. The Company determines the present value of lease payments based on the implicit interest rate, which may be explicitly stated in the lease, if available, or may be the Company’s estimated collateralized incremental borrowing rate based on the term of the lease. Initial ROU assets also include any lease payments made at or before commencement date and any initial direct costs incurred and are reduced by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leases require the Company to pay non-lease components, which are primarily variable costs and may include taxes, maintenance, insurance and certain other expenses applicable to the leased property. The Company accounts for lease and non-lease components as a single amount, except for railcar, fleet vehicle and pipeline leases, for which the Company separately accounts for the lease and non-lease components.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Leases are evaluated and determined to be either finance leases or operating leases. The lease is a finance lease if it transfers ownership to the underlying asset by the end of the lease term; includes a purchase option that is reasonably certain to be exercised; has a lease term for the major part of the underlying asset's remaining economic life; has a present value of the sum of the lease payments (including renewal options) that equals or exceeds substantially all of the fair value of the underlying asset; or is for an underlying asset that is of a specialized nature and is expected to have no alternative use to the lessor at the end of the lease term. If none of these terms exist, the lease is an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48260</wp:posOffset>
            </wp:positionV>
            <wp:extent cx="325755" cy="1968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9" w:name="page80"/>
    <w:bookmarkEnd w:id="79"/>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Leases with an initial lease term of one year or less are not recorded on the consolidated balance sheets. Costs for these leases are expensed as incurred.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the consolidated statements of earnings, operating lease expense, which is recognized on a straight-line basis over the lease term, and the amortization of finance lease ROU assets are included in the </w:t>
      </w:r>
      <w:r>
        <w:rPr>
          <w:rFonts w:ascii="Arial" w:cs="Arial" w:eastAsia="Arial" w:hAnsi="Arial"/>
          <w:sz w:val="18"/>
          <w:szCs w:val="18"/>
          <w:i w:val="1"/>
          <w:iCs w:val="1"/>
          <w:color w:val="auto"/>
        </w:rPr>
        <w:t>Cost of revenues</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line items in the consolidated statements of earnings. Accretion on the liabilities for finance leases is included in interest expense.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 xml:space="preserve">Goodwill and Other Intangible Assets. </w:t>
      </w:r>
      <w:r>
        <w:rPr>
          <w:rFonts w:ascii="Arial" w:cs="Arial" w:eastAsia="Arial" w:hAnsi="Arial"/>
          <w:sz w:val="18"/>
          <w:szCs w:val="18"/>
          <w:color w:val="000000"/>
        </w:rPr>
        <w:t>Goodwill represents the excess purchase price paid for acquired businesses over the estimated fair</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value of identifiable assets and liabilities. Other intangible assets represent amounts assigned principally to contractual agreements and are either amortized ratably over the useful lives to the Company or not amortized if deemed to have an indefinite useful life. The Company intends, and believes it has the ability, to renew royalty agreements and extend permits that support the value of certain intangible assets.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reporting units, which represent the level at which goodwill is tested for impairment, are based on the operating segments of the Building Materials and Specialties businesses. Goodwill is assigned to the respective reporting unit(s) based on the location of acquisitions at the time of consummation. If subsequent organizational changes result in operations being transferred to a different reporting unit, a proportionate amount of goodwill is transferred from the former to the new reporting unit. For divestitures, goodwill is allocated on a proportional basis based on the relative fair values of the portion of the reporting unit being disposed of and the portion of the reporting unit remaining.</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Goodwill is tested for impairment by comparing each reporting unit’s fair value to its carrying value, which represents a Step-1 approach. However, prior to Step 1, the Company may perform a qualitative assessment and evaluate macroeconomic conditions, industry and market conditions, cost factors, overall financial performance and other business or reporting unit-specific events that contribute to the fair value of a reporting unit. If the Company concludes, based on its qualitative assessment, it is more-likely-than-not (</w:t>
      </w:r>
      <w:r>
        <w:rPr>
          <w:rFonts w:ascii="Arial" w:cs="Arial" w:eastAsia="Arial" w:hAnsi="Arial"/>
          <w:sz w:val="18"/>
          <w:szCs w:val="18"/>
          <w:i w:val="1"/>
          <w:iCs w:val="1"/>
          <w:color w:val="auto"/>
        </w:rPr>
        <w:t>i.e</w:t>
      </w:r>
      <w:r>
        <w:rPr>
          <w:rFonts w:ascii="Arial" w:cs="Arial" w:eastAsia="Arial" w:hAnsi="Arial"/>
          <w:sz w:val="18"/>
          <w:szCs w:val="18"/>
          <w:color w:val="auto"/>
        </w:rPr>
        <w:t>., a likelihood of more than 50%) that a reporting unit’s fair value is higher than its carrying value, the Company is not required to perform any further goodwill impairment testing for that reporting unit. Otherwise, the Company proceeds to Step 1, and if a reporting unit’s fair value exceeds its carrying value, there is no impairment. A reporting unit with a carrying value in excess of its fair value results in an impairment charge equal to the difference. When the Company validates its conclusion by measuring fair value, it may resume performing a qualitative assessment for a reporting unit in any subsequent period. The Company may bypass the qualitative assessment for any reporting unit in any period and proceed directly with the quantitative calculation in Step 1.</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reviews the carrying values of goodwill and other indefinite-lived intangible assets for impairment as of October 1, which represents the annual evaluation date. An interim review is performed between annual tests if facts and circumstances indicate potential impairment. The carrying value of other amortizable intangible assets is reviewed if facts and circumstances indicate potential impairment. If a review indicates the carrying value is impaired, a charge is recorded equal to the amount by which the carrying value exceeds the fair value.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4EAD8A"/>
        </w:rPr>
        <w:t xml:space="preserve">Retirement Plans and Postretirement Benefits. </w:t>
      </w:r>
      <w:r>
        <w:rPr>
          <w:rFonts w:ascii="Arial" w:cs="Arial" w:eastAsia="Arial" w:hAnsi="Arial"/>
          <w:sz w:val="18"/>
          <w:szCs w:val="18"/>
          <w:color w:val="000000"/>
        </w:rPr>
        <w:t>The Company sponsors defined benefit retirement plans and provides other</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postretirement benefits. The Company recognizes the funded status, defined as the difference between the fair value of plan assets and the benefit obligation, of its pension plans and other postretirement benefits as an asset or liability on the consolidated balance sheets. The measurement date for the Company’s defined benefit plans and postretirement benefit plans is December 31. Actuarial gains or losses that arise during the year are recognized as a component of accumulated other comprehensive earnings or loss. Those amounts are amortized over the participants’ average remaining service period and recognized as a component of net periodic benefit cost. The amount amortized is determined on a plan-by-plan basis using a corridor approach and represents the excess over 10% of the greater of the projected benefit obligation or pension plan assets.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Insurance Accruals. </w:t>
      </w:r>
      <w:r>
        <w:rPr>
          <w:rFonts w:ascii="Arial" w:cs="Arial" w:eastAsia="Arial" w:hAnsi="Arial"/>
          <w:sz w:val="18"/>
          <w:szCs w:val="18"/>
          <w:color w:val="000000"/>
        </w:rPr>
        <w:t>The Company has insurance coverage with deductibles for workers’ compensation, automobile liability, marine liability</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and general liability claims, and is also self-insured for health claims. The Company records insurance accruals based on an actuarially-determined analysis, which calculates development factors that are applied to total case reserves within the insurance programs. While the Company believes the assumptions used to calculate these liabilities are appropriate, significant differences in actual experience and/or significant changes in these assumptions may materially affect insurance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46990</wp:posOffset>
            </wp:positionV>
            <wp:extent cx="325755" cy="1968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0" w:name="page81"/>
    <w:bookmarkEnd w:id="80"/>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Stock-Based Compensation. </w:t>
      </w:r>
      <w:r>
        <w:rPr>
          <w:rFonts w:ascii="Arial" w:cs="Arial" w:eastAsia="Arial" w:hAnsi="Arial"/>
          <w:sz w:val="18"/>
          <w:szCs w:val="18"/>
          <w:color w:val="000000"/>
        </w:rPr>
        <w:t>The Company has stock-based compensation plans for employees and its Board of Directors. The Company</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recognizes all forms of stock-based awards that vest as compensation expense. The compensation expense is the fair value of the awards at the measurement date and is recognized over the requisite service period. Forfeitures are recognized as they occur.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restricted stock awards, incentive compensation stock awards and Board of Directors’ fees paid in the form of common stock are based on the closing price of the Company’s common stock on the grant dates. The fair value of performance stock awards as of the grant dates is determined using a Monte Carlo simulation methodology.</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 xml:space="preserve">Environmental Matters. </w:t>
      </w:r>
      <w:r>
        <w:rPr>
          <w:rFonts w:ascii="Arial" w:cs="Arial" w:eastAsia="Arial" w:hAnsi="Arial"/>
          <w:sz w:val="18"/>
          <w:szCs w:val="18"/>
          <w:color w:val="000000"/>
        </w:rPr>
        <w:t>The Company records a liability for an asset retirement obligation at fair value in the period in which it is incurred.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asset retirement obligation is recorded at the acquisition date of a long-lived tangible asset if the fair value can be reasonably estimated. A corresponding amount is capitalized as part of the asset’s carrying amount. The fair value is affected by management’s assumptions regarding the scope of the work, inflation rates and asset retirement dates.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the Company records an accrual for other environmental remediation liabilities in the period in which it is probable that a liability has been incurred and the appropriate amounts can be reasonably estimated. Such accruals are adjusted as further information develops or circumstances change. Generally, these costs are not discounted to their present value or offset for potential insurance or other claims or potential gains from future alternative uses for a site.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Income Taxes</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uses the liability method to determine its current and deferred incomes taxes. Deferred income taxes, net, on</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consolidated balance sheets reflect the net tax effects of temporary differences between the carrying amounts of assets and liabilities for financial reporting purposes and the amounts used for income tax purposes. The effect of changes in enacted tax rates on deferred income tax assets and liabilities is charged or credited to income tax expense in the period of enactment.</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Company applies the proportional amortization method to equity investments in renewable energy tax credit (RETC) programs that meet the following specified criteria: it is probable that the income tax credits allocable to the Company will be available; the Company does not have the ability to exercise significant influence over the operating and financial policies of the underlying project; substantially all of the projected benefits are from income tax credits and other income tax benefits, as determined on a discounted basis; the Company's projected yield based solely on the cash flows from the income tax credits and other income tax benefits is positive; and the Company is a limited liability investor in the limited liability entity for both legal and tax purposes and its liability is limited to its capital investment. Under the proportional amortization method, the equity investment is amortized in proportion to the income tax credits and other income tax benefits received, with the amortization expense and the income tax benefits presented on a net basis in the line item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in the consolidated statements of earnings. The RETC investments are included in the line item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on the consolidated balance sheets and the line item </w:t>
      </w:r>
      <w:r>
        <w:rPr>
          <w:rFonts w:ascii="Arial" w:cs="Arial" w:eastAsia="Arial" w:hAnsi="Arial"/>
          <w:sz w:val="18"/>
          <w:szCs w:val="18"/>
          <w:i w:val="1"/>
          <w:iCs w:val="1"/>
          <w:color w:val="auto"/>
        </w:rPr>
        <w:t>Investments in limited liability companies</w:t>
      </w:r>
      <w:r>
        <w:rPr>
          <w:rFonts w:ascii="Arial" w:cs="Arial" w:eastAsia="Arial" w:hAnsi="Arial"/>
          <w:sz w:val="18"/>
          <w:szCs w:val="18"/>
          <w:color w:val="auto"/>
        </w:rPr>
        <w:t xml:space="preserve"> on the consolidated statements of cash flows.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Uncertain Tax Positions. </w:t>
      </w:r>
      <w:r>
        <w:rPr>
          <w:rFonts w:ascii="Arial" w:cs="Arial" w:eastAsia="Arial" w:hAnsi="Arial"/>
          <w:sz w:val="18"/>
          <w:szCs w:val="18"/>
          <w:color w:val="000000"/>
        </w:rPr>
        <w:t>The Company recognizes a tax benefit when it is more-likely-than-not, based on the technical merits, that a tax</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position would be sustained upon examination by a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records interest accrued in relation to unrecognized tax benefits as income tax expense. Penalties, if incurred, are recorded as operating expenses in the consolidated statements of earnings.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Sales Taxes. </w:t>
      </w:r>
      <w:r>
        <w:rPr>
          <w:rFonts w:ascii="Arial" w:cs="Arial" w:eastAsia="Arial" w:hAnsi="Arial"/>
          <w:sz w:val="18"/>
          <w:szCs w:val="18"/>
          <w:color w:val="000000"/>
        </w:rPr>
        <w:t>The Company is deemed to be an agent when collecting sales taxes from customers. Sales taxes collected from customers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are recorded as liabilities until remitted to taxing authorities and therefore are not reflected in the consolidated statements of earnings as revenues and expenses.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 xml:space="preserve">Start-Up Costs. </w:t>
      </w:r>
      <w:r>
        <w:rPr>
          <w:rFonts w:ascii="Arial" w:cs="Arial" w:eastAsia="Arial" w:hAnsi="Arial"/>
          <w:sz w:val="18"/>
          <w:szCs w:val="18"/>
          <w:color w:val="000000"/>
        </w:rPr>
        <w:t>Noncapital start-up costs for new facilities and products are charged to operations as incurred.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Consolidated Comprehensive Earnings and Accumulated Other Comprehensive Earnings (Loss)</w:t>
      </w:r>
      <w:r>
        <w:rPr>
          <w:rFonts w:ascii="Arial" w:cs="Arial" w:eastAsia="Arial" w:hAnsi="Arial"/>
          <w:sz w:val="18"/>
          <w:szCs w:val="18"/>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comprehensive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earnings (loss) consist of consolidated net earnings, adjustments for the funded status of pension and postretirement benefit plans and foreign currency translation adjustments and are presented in the Company’s consolidated statements of comprehensive earnings.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Accumulated other comprehensive earnings (loss) consists of unrecognized gains and losses related to the funded status of the pension and postretirement benefit plans and foreign currency translation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32385</wp:posOffset>
            </wp:positionV>
            <wp:extent cx="325755" cy="1968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1" w:name="page82"/>
    <w:bookmarkEnd w:id="81"/>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components of the changes in accumulated other comprehensive earnings (loss) and related cumulative noncurrent deferred tax assets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42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rPr>
              <w:t>Pension and</w:t>
            </w:r>
          </w:p>
        </w:tc>
        <w:tc>
          <w:tcPr>
            <w:tcW w:w="38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03"/>
        </w:trPr>
        <w:tc>
          <w:tcPr>
            <w:tcW w:w="6220" w:type="dxa"/>
            <w:vAlign w:val="bottom"/>
            <w:tcBorders>
              <w:right w:val="single" w:sz="8" w:color="007CBA"/>
            </w:tcBorders>
            <w:shd w:val="clear" w:color="auto" w:fill="007CBA"/>
          </w:tcPr>
          <w:p>
            <w:pPr>
              <w:spacing w:after="0"/>
              <w:rPr>
                <w:sz w:val="17"/>
                <w:szCs w:val="17"/>
                <w:color w:val="auto"/>
              </w:rPr>
            </w:pPr>
          </w:p>
        </w:tc>
        <w:tc>
          <w:tcPr>
            <w:tcW w:w="1700" w:type="dxa"/>
            <w:vAlign w:val="bottom"/>
            <w:tcBorders>
              <w:right w:val="single" w:sz="8" w:color="007CBA"/>
            </w:tcBorders>
            <w:gridSpan w:val="2"/>
            <w:shd w:val="clear" w:color="auto" w:fill="007CBA"/>
          </w:tcPr>
          <w:p>
            <w:pPr>
              <w:jc w:val="right"/>
              <w:ind w:right="130"/>
              <w:spacing w:after="0" w:line="202" w:lineRule="exact"/>
              <w:rPr>
                <w:sz w:val="20"/>
                <w:szCs w:val="20"/>
                <w:color w:val="auto"/>
              </w:rPr>
            </w:pPr>
            <w:r>
              <w:rPr>
                <w:rFonts w:ascii="Arial" w:cs="Arial" w:eastAsia="Arial" w:hAnsi="Arial"/>
                <w:sz w:val="18"/>
                <w:szCs w:val="18"/>
                <w:b w:val="1"/>
                <w:bCs w:val="1"/>
                <w:color w:val="FFFFFF"/>
              </w:rPr>
              <w:t>Postretirement</w:t>
            </w:r>
          </w:p>
        </w:tc>
        <w:tc>
          <w:tcPr>
            <w:tcW w:w="38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jc w:val="center"/>
              <w:ind w:right="270"/>
              <w:spacing w:after="0" w:line="202" w:lineRule="exact"/>
              <w:rPr>
                <w:sz w:val="20"/>
                <w:szCs w:val="20"/>
                <w:color w:val="auto"/>
              </w:rPr>
            </w:pPr>
            <w:r>
              <w:rPr>
                <w:rFonts w:ascii="Arial" w:cs="Arial" w:eastAsia="Arial" w:hAnsi="Arial"/>
                <w:sz w:val="18"/>
                <w:szCs w:val="18"/>
                <w:b w:val="1"/>
                <w:bCs w:val="1"/>
                <w:color w:val="FFFFFF"/>
                <w:w w:val="99"/>
              </w:rPr>
              <w:t>Foreign</w:t>
            </w:r>
          </w:p>
        </w:tc>
        <w:tc>
          <w:tcPr>
            <w:tcW w:w="44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16"/>
        </w:trPr>
        <w:tc>
          <w:tcPr>
            <w:tcW w:w="62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280" w:type="dxa"/>
            <w:vAlign w:val="bottom"/>
            <w:shd w:val="clear" w:color="auto" w:fill="007CBA"/>
          </w:tcPr>
          <w:p>
            <w:pPr>
              <w:spacing w:after="0"/>
              <w:rPr>
                <w:sz w:val="18"/>
                <w:szCs w:val="18"/>
                <w:color w:val="auto"/>
              </w:rPr>
            </w:pPr>
          </w:p>
        </w:tc>
        <w:tc>
          <w:tcPr>
            <w:tcW w:w="1420" w:type="dxa"/>
            <w:vAlign w:val="bottom"/>
            <w:tcBorders>
              <w:right w:val="single" w:sz="8" w:color="007CBA"/>
            </w:tcBorders>
            <w:shd w:val="clear" w:color="auto" w:fill="007CBA"/>
          </w:tcPr>
          <w:p>
            <w:pPr>
              <w:jc w:val="right"/>
              <w:ind w:right="170"/>
              <w:spacing w:after="0"/>
              <w:rPr>
                <w:sz w:val="20"/>
                <w:szCs w:val="20"/>
                <w:color w:val="auto"/>
              </w:rPr>
            </w:pPr>
            <w:r>
              <w:rPr>
                <w:rFonts w:ascii="Arial" w:cs="Arial" w:eastAsia="Arial" w:hAnsi="Arial"/>
                <w:sz w:val="18"/>
                <w:szCs w:val="18"/>
                <w:b w:val="1"/>
                <w:bCs w:val="1"/>
                <w:color w:val="FFFFFF"/>
                <w:w w:val="99"/>
              </w:rPr>
              <w:t>Benefit Plans</w:t>
            </w:r>
          </w:p>
        </w:tc>
        <w:tc>
          <w:tcPr>
            <w:tcW w:w="38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8"/>
              </w:rPr>
              <w:t>Currency</w:t>
            </w:r>
          </w:p>
        </w:tc>
        <w:tc>
          <w:tcPr>
            <w:tcW w:w="440" w:type="dxa"/>
            <w:vAlign w:val="bottom"/>
            <w:shd w:val="clear" w:color="auto" w:fill="007CBA"/>
          </w:tcPr>
          <w:p>
            <w:pPr>
              <w:spacing w:after="0"/>
              <w:rPr>
                <w:sz w:val="18"/>
                <w:szCs w:val="18"/>
                <w:color w:val="auto"/>
              </w:rPr>
            </w:pPr>
          </w:p>
        </w:tc>
        <w:tc>
          <w:tcPr>
            <w:tcW w:w="1200" w:type="dxa"/>
            <w:vAlign w:val="bottom"/>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Total</w:t>
            </w:r>
          </w:p>
        </w:tc>
      </w:tr>
      <w:tr>
        <w:trPr>
          <w:trHeight w:val="221"/>
        </w:trPr>
        <w:tc>
          <w:tcPr>
            <w:tcW w:w="62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280" w:type="dxa"/>
            <w:vAlign w:val="bottom"/>
            <w:shd w:val="clear" w:color="auto" w:fill="007CBA"/>
          </w:tcPr>
          <w:p>
            <w:pPr>
              <w:spacing w:after="0"/>
              <w:rPr>
                <w:sz w:val="19"/>
                <w:szCs w:val="19"/>
                <w:color w:val="auto"/>
              </w:rPr>
            </w:pPr>
          </w:p>
        </w:tc>
        <w:tc>
          <w:tcPr>
            <w:tcW w:w="14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jc w:val="center"/>
              <w:ind w:right="290"/>
              <w:spacing w:after="0"/>
              <w:rPr>
                <w:sz w:val="20"/>
                <w:szCs w:val="20"/>
                <w:color w:val="auto"/>
              </w:rPr>
            </w:pPr>
            <w:r>
              <w:rPr>
                <w:rFonts w:ascii="Arial" w:cs="Arial" w:eastAsia="Arial" w:hAnsi="Arial"/>
                <w:sz w:val="18"/>
                <w:szCs w:val="18"/>
                <w:b w:val="1"/>
                <w:bCs w:val="1"/>
                <w:color w:val="FFFFFF"/>
                <w:w w:val="99"/>
              </w:rPr>
              <w:t>2025</w:t>
            </w:r>
          </w:p>
        </w:tc>
        <w:tc>
          <w:tcPr>
            <w:tcW w:w="440" w:type="dxa"/>
            <w:vAlign w:val="bottom"/>
            <w:shd w:val="clear" w:color="auto" w:fill="007CBA"/>
          </w:tcPr>
          <w:p>
            <w:pPr>
              <w:spacing w:after="0"/>
              <w:rPr>
                <w:sz w:val="19"/>
                <w:szCs w:val="19"/>
                <w:color w:val="auto"/>
              </w:rPr>
            </w:pPr>
          </w:p>
        </w:tc>
        <w:tc>
          <w:tcPr>
            <w:tcW w:w="1200" w:type="dxa"/>
            <w:vAlign w:val="bottom"/>
            <w:shd w:val="clear" w:color="auto" w:fill="007CBA"/>
          </w:tcPr>
          <w:p>
            <w:pPr>
              <w:spacing w:after="0"/>
              <w:rPr>
                <w:sz w:val="19"/>
                <w:szCs w:val="19"/>
                <w:color w:val="auto"/>
              </w:rPr>
            </w:pPr>
          </w:p>
        </w:tc>
      </w:tr>
      <w:tr>
        <w:trPr>
          <w:trHeight w:val="203"/>
        </w:trPr>
        <w:tc>
          <w:tcPr>
            <w:tcW w:w="62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Accumulated other comprehensive loss at beginning of period</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w:t>
            </w:r>
          </w:p>
        </w:tc>
      </w:tr>
      <w:tr>
        <w:trPr>
          <w:trHeight w:val="177"/>
        </w:trPr>
        <w:tc>
          <w:tcPr>
            <w:tcW w:w="6220" w:type="dxa"/>
            <w:vAlign w:val="bottom"/>
            <w:tcBorders>
              <w:right w:val="single" w:sz="8" w:color="007CBA"/>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Other comprehensive earnings before</w:t>
            </w:r>
          </w:p>
        </w:tc>
        <w:tc>
          <w:tcPr>
            <w:tcW w:w="280" w:type="dxa"/>
            <w:vAlign w:val="bottom"/>
            <w:shd w:val="clear" w:color="auto" w:fill="E5F1F8"/>
          </w:tcPr>
          <w:p>
            <w:pPr>
              <w:spacing w:after="0"/>
              <w:rPr>
                <w:sz w:val="15"/>
                <w:szCs w:val="15"/>
                <w:color w:val="auto"/>
              </w:rPr>
            </w:pPr>
          </w:p>
        </w:tc>
        <w:tc>
          <w:tcPr>
            <w:tcW w:w="1420" w:type="dxa"/>
            <w:vAlign w:val="bottom"/>
            <w:tcBorders>
              <w:right w:val="single" w:sz="8" w:color="007CBA"/>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300" w:type="dxa"/>
            <w:vAlign w:val="bottom"/>
            <w:tcBorders>
              <w:right w:val="single" w:sz="8" w:color="007CBA"/>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20" w:type="dxa"/>
            <w:vAlign w:val="bottom"/>
            <w:tcBorders>
              <w:right w:val="single" w:sz="8" w:color="007CBA"/>
            </w:tcBorders>
            <w:shd w:val="clear" w:color="auto" w:fill="E5F1F8"/>
          </w:tcPr>
          <w:p>
            <w:pPr>
              <w:ind w:left="220"/>
              <w:spacing w:after="0"/>
              <w:rPr>
                <w:sz w:val="20"/>
                <w:szCs w:val="20"/>
                <w:color w:val="auto"/>
              </w:rPr>
            </w:pPr>
            <w:r>
              <w:rPr>
                <w:rFonts w:ascii="Arial" w:cs="Arial" w:eastAsia="Arial" w:hAnsi="Arial"/>
                <w:sz w:val="18"/>
                <w:szCs w:val="18"/>
                <w:color w:val="auto"/>
              </w:rPr>
              <w:t>reclassifications, net of tax</w:t>
            </w:r>
          </w:p>
        </w:tc>
        <w:tc>
          <w:tcPr>
            <w:tcW w:w="28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62</w:t>
            </w:r>
          </w:p>
        </w:tc>
        <w:tc>
          <w:tcPr>
            <w:tcW w:w="38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64</w:t>
            </w:r>
          </w:p>
        </w:tc>
      </w:tr>
      <w:tr>
        <w:trPr>
          <w:trHeight w:val="184"/>
        </w:trPr>
        <w:tc>
          <w:tcPr>
            <w:tcW w:w="6220" w:type="dxa"/>
            <w:vAlign w:val="bottom"/>
          </w:tcPr>
          <w:p>
            <w:pPr>
              <w:ind w:left="60"/>
              <w:spacing w:after="0" w:line="183" w:lineRule="exact"/>
              <w:rPr>
                <w:sz w:val="20"/>
                <w:szCs w:val="20"/>
                <w:color w:val="auto"/>
              </w:rPr>
            </w:pPr>
            <w:r>
              <w:rPr>
                <w:rFonts w:ascii="Arial" w:cs="Arial" w:eastAsia="Arial" w:hAnsi="Arial"/>
                <w:sz w:val="18"/>
                <w:szCs w:val="18"/>
                <w:color w:val="auto"/>
              </w:rPr>
              <w:t>Amounts reclassified from accumulated other</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comprehensive loss, net of tax</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r>
      <w:tr>
        <w:trPr>
          <w:trHeight w:val="196"/>
        </w:trPr>
        <w:tc>
          <w:tcPr>
            <w:tcW w:w="622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Other comprehensive earnings, net of tax</w:t>
            </w:r>
          </w:p>
        </w:tc>
        <w:tc>
          <w:tcPr>
            <w:tcW w:w="280" w:type="dxa"/>
            <w:vAlign w:val="bottom"/>
            <w:tcBorders>
              <w:bottom w:val="single" w:sz="8" w:color="auto"/>
            </w:tcBorders>
            <w:shd w:val="clear" w:color="auto" w:fill="E5F1F8"/>
          </w:tcPr>
          <w:p>
            <w:pPr>
              <w:spacing w:after="0"/>
              <w:rPr>
                <w:sz w:val="17"/>
                <w:szCs w:val="17"/>
                <w:color w:val="auto"/>
              </w:rPr>
            </w:pPr>
          </w:p>
        </w:tc>
        <w:tc>
          <w:tcPr>
            <w:tcW w:w="142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71</w:t>
            </w:r>
          </w:p>
        </w:tc>
        <w:tc>
          <w:tcPr>
            <w:tcW w:w="380" w:type="dxa"/>
            <w:vAlign w:val="bottom"/>
            <w:tcBorders>
              <w:bottom w:val="single" w:sz="8" w:color="auto"/>
            </w:tcBorders>
            <w:shd w:val="clear" w:color="auto" w:fill="E5F1F8"/>
          </w:tcPr>
          <w:p>
            <w:pPr>
              <w:spacing w:after="0"/>
              <w:rPr>
                <w:sz w:val="17"/>
                <w:szCs w:val="17"/>
                <w:color w:val="auto"/>
              </w:rPr>
            </w:pPr>
          </w:p>
        </w:tc>
        <w:tc>
          <w:tcPr>
            <w:tcW w:w="13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b w:val="1"/>
                <w:bCs w:val="1"/>
                <w:color w:val="auto"/>
              </w:rPr>
              <w:t>73</w:t>
            </w:r>
          </w:p>
        </w:tc>
      </w:tr>
      <w:tr>
        <w:trPr>
          <w:trHeight w:val="196"/>
        </w:trPr>
        <w:tc>
          <w:tcPr>
            <w:tcW w:w="6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Accumulated other comprehensive earnings (loss) at end of period</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62</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60</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tcBorders>
              <w:bottom w:val="single" w:sz="8" w:color="auto"/>
              <w:right w:val="single" w:sz="8" w:color="E5F1F8"/>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Cumulative noncurrent deferred tax assets at end of period</w:t>
            </w:r>
          </w:p>
        </w:tc>
        <w:tc>
          <w:tcPr>
            <w:tcW w:w="280" w:type="dxa"/>
            <w:vAlign w:val="bottom"/>
            <w:tcBorders>
              <w:bottom w:val="single" w:sz="8" w:color="auto"/>
            </w:tcBorders>
            <w:shd w:val="clear" w:color="auto" w:fill="E5F1F8"/>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b w:val="1"/>
                <w:bCs w:val="1"/>
                <w:color w:val="auto"/>
              </w:rPr>
              <w:t>18</w:t>
            </w:r>
          </w:p>
        </w:tc>
        <w:tc>
          <w:tcPr>
            <w:tcW w:w="38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F1F8"/>
          </w:tcPr>
          <w:p>
            <w:pPr>
              <w:jc w:val="right"/>
              <w:ind w:right="90"/>
              <w:spacing w:after="0" w:line="183"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b w:val="1"/>
                <w:bCs w:val="1"/>
                <w:color w:val="auto"/>
              </w:rPr>
              <w:t>18</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22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42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jc w:val="center"/>
              <w:ind w:right="290"/>
              <w:spacing w:after="0" w:line="202" w:lineRule="exact"/>
              <w:rPr>
                <w:sz w:val="20"/>
                <w:szCs w:val="20"/>
                <w:color w:val="auto"/>
              </w:rPr>
            </w:pPr>
            <w:r>
              <w:rPr>
                <w:rFonts w:ascii="Arial" w:cs="Arial" w:eastAsia="Arial" w:hAnsi="Arial"/>
                <w:sz w:val="18"/>
                <w:szCs w:val="18"/>
                <w:color w:val="FFFFFF"/>
                <w:w w:val="99"/>
              </w:rPr>
              <w:t>2024</w:t>
            </w:r>
          </w:p>
        </w:tc>
        <w:tc>
          <w:tcPr>
            <w:tcW w:w="44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02"/>
        </w:trPr>
        <w:tc>
          <w:tcPr>
            <w:tcW w:w="62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Accumulated other comprehensive loss at beginning of period</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r>
      <w:tr>
        <w:trPr>
          <w:trHeight w:val="177"/>
        </w:trPr>
        <w:tc>
          <w:tcPr>
            <w:tcW w:w="6220" w:type="dxa"/>
            <w:vAlign w:val="bottom"/>
            <w:tcBorders>
              <w:right w:val="single" w:sz="8" w:color="007CBA"/>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Other comprehensive earnings (loss) before</w:t>
            </w:r>
          </w:p>
        </w:tc>
        <w:tc>
          <w:tcPr>
            <w:tcW w:w="280" w:type="dxa"/>
            <w:vAlign w:val="bottom"/>
            <w:shd w:val="clear" w:color="auto" w:fill="E5F1F8"/>
          </w:tcPr>
          <w:p>
            <w:pPr>
              <w:spacing w:after="0"/>
              <w:rPr>
                <w:sz w:val="15"/>
                <w:szCs w:val="15"/>
                <w:color w:val="auto"/>
              </w:rPr>
            </w:pPr>
          </w:p>
        </w:tc>
        <w:tc>
          <w:tcPr>
            <w:tcW w:w="1420" w:type="dxa"/>
            <w:vAlign w:val="bottom"/>
            <w:tcBorders>
              <w:right w:val="single" w:sz="8" w:color="007CBA"/>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300" w:type="dxa"/>
            <w:vAlign w:val="bottom"/>
            <w:tcBorders>
              <w:right w:val="single" w:sz="8" w:color="007CBA"/>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20" w:type="dxa"/>
            <w:vAlign w:val="bottom"/>
            <w:tcBorders>
              <w:right w:val="single" w:sz="8" w:color="007CBA"/>
            </w:tcBorders>
            <w:shd w:val="clear" w:color="auto" w:fill="E5F1F8"/>
          </w:tcPr>
          <w:p>
            <w:pPr>
              <w:ind w:left="220"/>
              <w:spacing w:after="0"/>
              <w:rPr>
                <w:sz w:val="20"/>
                <w:szCs w:val="20"/>
                <w:color w:val="auto"/>
              </w:rPr>
            </w:pPr>
            <w:r>
              <w:rPr>
                <w:rFonts w:ascii="Arial" w:cs="Arial" w:eastAsia="Arial" w:hAnsi="Arial"/>
                <w:sz w:val="18"/>
                <w:szCs w:val="18"/>
                <w:color w:val="auto"/>
              </w:rPr>
              <w:t>reclassifications, net of tax</w:t>
            </w:r>
          </w:p>
        </w:tc>
        <w:tc>
          <w:tcPr>
            <w:tcW w:w="28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30</w:t>
            </w:r>
          </w:p>
        </w:tc>
      </w:tr>
      <w:tr>
        <w:trPr>
          <w:trHeight w:val="184"/>
        </w:trPr>
        <w:tc>
          <w:tcPr>
            <w:tcW w:w="6220" w:type="dxa"/>
            <w:vAlign w:val="bottom"/>
          </w:tcPr>
          <w:p>
            <w:pPr>
              <w:ind w:left="60"/>
              <w:spacing w:after="0" w:line="183" w:lineRule="exact"/>
              <w:rPr>
                <w:sz w:val="20"/>
                <w:szCs w:val="20"/>
                <w:color w:val="auto"/>
              </w:rPr>
            </w:pPr>
            <w:r>
              <w:rPr>
                <w:rFonts w:ascii="Arial" w:cs="Arial" w:eastAsia="Arial" w:hAnsi="Arial"/>
                <w:sz w:val="18"/>
                <w:szCs w:val="18"/>
                <w:color w:val="auto"/>
              </w:rPr>
              <w:t>Amounts reclassified from accumulated other</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comprehensive loss, net of tax</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196"/>
        </w:trPr>
        <w:tc>
          <w:tcPr>
            <w:tcW w:w="622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bottom w:val="single" w:sz="8" w:color="auto"/>
            </w:tcBorders>
            <w:shd w:val="clear" w:color="auto" w:fill="E5F1F8"/>
          </w:tcPr>
          <w:p>
            <w:pPr>
              <w:spacing w:after="0"/>
              <w:rPr>
                <w:sz w:val="17"/>
                <w:szCs w:val="17"/>
                <w:color w:val="auto"/>
              </w:rPr>
            </w:pPr>
          </w:p>
        </w:tc>
        <w:tc>
          <w:tcPr>
            <w:tcW w:w="142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shd w:val="clear" w:color="auto" w:fill="E5F1F8"/>
          </w:tcPr>
          <w:p>
            <w:pPr>
              <w:spacing w:after="0"/>
              <w:rPr>
                <w:sz w:val="17"/>
                <w:szCs w:val="17"/>
                <w:color w:val="auto"/>
              </w:rPr>
            </w:pPr>
          </w:p>
        </w:tc>
        <w:tc>
          <w:tcPr>
            <w:tcW w:w="130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6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Accumulated other comprehensive loss at end of period</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tcBorders>
              <w:bottom w:val="single" w:sz="8" w:color="auto"/>
              <w:right w:val="single" w:sz="8" w:color="E5F1F8"/>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Cumulative noncurrent deferred tax assets at end of period</w:t>
            </w:r>
          </w:p>
        </w:tc>
        <w:tc>
          <w:tcPr>
            <w:tcW w:w="280" w:type="dxa"/>
            <w:vAlign w:val="bottom"/>
            <w:tcBorders>
              <w:bottom w:val="single" w:sz="8" w:color="auto"/>
            </w:tcBorders>
            <w:shd w:val="clear" w:color="auto" w:fill="E5F1F8"/>
          </w:tcPr>
          <w:p>
            <w:pPr>
              <w:jc w:val="right"/>
              <w:spacing w:after="0" w:line="18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color w:val="auto"/>
              </w:rPr>
              <w:t>41</w:t>
            </w:r>
          </w:p>
        </w:tc>
        <w:tc>
          <w:tcPr>
            <w:tcW w:w="38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F1F8"/>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color w:val="auto"/>
              </w:rPr>
              <w:t>41</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22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42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jc w:val="center"/>
              <w:ind w:right="290"/>
              <w:spacing w:after="0" w:line="202" w:lineRule="exact"/>
              <w:rPr>
                <w:sz w:val="20"/>
                <w:szCs w:val="20"/>
                <w:color w:val="auto"/>
              </w:rPr>
            </w:pPr>
            <w:r>
              <w:rPr>
                <w:rFonts w:ascii="Arial" w:cs="Arial" w:eastAsia="Arial" w:hAnsi="Arial"/>
                <w:sz w:val="18"/>
                <w:szCs w:val="18"/>
                <w:color w:val="FFFFFF"/>
                <w:w w:val="99"/>
              </w:rPr>
              <w:t>2023</w:t>
            </w:r>
          </w:p>
        </w:tc>
        <w:tc>
          <w:tcPr>
            <w:tcW w:w="440" w:type="dxa"/>
            <w:vAlign w:val="bottom"/>
            <w:shd w:val="clear" w:color="auto" w:fill="007CBA"/>
          </w:tcPr>
          <w:p>
            <w:pPr>
              <w:spacing w:after="0"/>
              <w:rPr>
                <w:sz w:val="17"/>
                <w:szCs w:val="17"/>
                <w:color w:val="auto"/>
              </w:rPr>
            </w:pPr>
          </w:p>
        </w:tc>
        <w:tc>
          <w:tcPr>
            <w:tcW w:w="1200" w:type="dxa"/>
            <w:vAlign w:val="bottom"/>
            <w:shd w:val="clear" w:color="auto" w:fill="007CBA"/>
          </w:tcPr>
          <w:p>
            <w:pPr>
              <w:spacing w:after="0"/>
              <w:rPr>
                <w:sz w:val="17"/>
                <w:szCs w:val="17"/>
                <w:color w:val="auto"/>
              </w:rPr>
            </w:pPr>
          </w:p>
        </w:tc>
      </w:tr>
      <w:tr>
        <w:trPr>
          <w:trHeight w:val="202"/>
        </w:trPr>
        <w:tc>
          <w:tcPr>
            <w:tcW w:w="62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Accumulated other comprehensive loss at beginning of period</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r>
      <w:tr>
        <w:trPr>
          <w:trHeight w:val="177"/>
        </w:trPr>
        <w:tc>
          <w:tcPr>
            <w:tcW w:w="6220" w:type="dxa"/>
            <w:vAlign w:val="bottom"/>
            <w:tcBorders>
              <w:right w:val="single" w:sz="8" w:color="007CBA"/>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Other comprehensive (loss) earnings before reclassifications,</w:t>
            </w:r>
          </w:p>
        </w:tc>
        <w:tc>
          <w:tcPr>
            <w:tcW w:w="280" w:type="dxa"/>
            <w:vAlign w:val="bottom"/>
            <w:shd w:val="clear" w:color="auto" w:fill="E5F1F8"/>
          </w:tcPr>
          <w:p>
            <w:pPr>
              <w:spacing w:after="0"/>
              <w:rPr>
                <w:sz w:val="15"/>
                <w:szCs w:val="15"/>
                <w:color w:val="auto"/>
              </w:rPr>
            </w:pPr>
          </w:p>
        </w:tc>
        <w:tc>
          <w:tcPr>
            <w:tcW w:w="1420" w:type="dxa"/>
            <w:vAlign w:val="bottom"/>
            <w:tcBorders>
              <w:right w:val="single" w:sz="8" w:color="007CBA"/>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300" w:type="dxa"/>
            <w:vAlign w:val="bottom"/>
            <w:tcBorders>
              <w:right w:val="single" w:sz="8" w:color="007CBA"/>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200" w:type="dxa"/>
            <w:vAlign w:val="bottom"/>
            <w:shd w:val="clear" w:color="auto" w:fill="E5F1F8"/>
          </w:tcPr>
          <w:p>
            <w:pPr>
              <w:spacing w:after="0"/>
              <w:rPr>
                <w:sz w:val="15"/>
                <w:szCs w:val="15"/>
                <w:color w:val="auto"/>
              </w:rPr>
            </w:pPr>
          </w:p>
        </w:tc>
      </w:tr>
      <w:tr>
        <w:trPr>
          <w:trHeight w:val="221"/>
        </w:trPr>
        <w:tc>
          <w:tcPr>
            <w:tcW w:w="6220" w:type="dxa"/>
            <w:vAlign w:val="bottom"/>
            <w:tcBorders>
              <w:right w:val="single" w:sz="8" w:color="007CBA"/>
            </w:tcBorders>
            <w:shd w:val="clear" w:color="auto" w:fill="E5F1F8"/>
          </w:tcPr>
          <w:p>
            <w:pPr>
              <w:ind w:left="220"/>
              <w:spacing w:after="0"/>
              <w:rPr>
                <w:sz w:val="20"/>
                <w:szCs w:val="20"/>
                <w:color w:val="auto"/>
              </w:rPr>
            </w:pPr>
            <w:r>
              <w:rPr>
                <w:rFonts w:ascii="Arial" w:cs="Arial" w:eastAsia="Arial" w:hAnsi="Arial"/>
                <w:sz w:val="18"/>
                <w:szCs w:val="18"/>
                <w:color w:val="auto"/>
              </w:rPr>
              <w:t>net of tax</w:t>
            </w:r>
          </w:p>
        </w:tc>
        <w:tc>
          <w:tcPr>
            <w:tcW w:w="28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F1F8"/>
          </w:tcPr>
          <w:p>
            <w:pPr>
              <w:spacing w:after="0"/>
              <w:rPr>
                <w:sz w:val="19"/>
                <w:szCs w:val="19"/>
                <w:color w:val="auto"/>
              </w:rPr>
            </w:pPr>
          </w:p>
        </w:tc>
        <w:tc>
          <w:tcPr>
            <w:tcW w:w="12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(15)</w:t>
            </w:r>
          </w:p>
        </w:tc>
      </w:tr>
      <w:tr>
        <w:trPr>
          <w:trHeight w:val="184"/>
        </w:trPr>
        <w:tc>
          <w:tcPr>
            <w:tcW w:w="6220" w:type="dxa"/>
            <w:vAlign w:val="bottom"/>
          </w:tcPr>
          <w:p>
            <w:pPr>
              <w:ind w:left="60"/>
              <w:spacing w:after="0" w:line="183" w:lineRule="exact"/>
              <w:rPr>
                <w:sz w:val="20"/>
                <w:szCs w:val="20"/>
                <w:color w:val="auto"/>
              </w:rPr>
            </w:pPr>
            <w:r>
              <w:rPr>
                <w:rFonts w:ascii="Arial" w:cs="Arial" w:eastAsia="Arial" w:hAnsi="Arial"/>
                <w:sz w:val="18"/>
                <w:szCs w:val="18"/>
                <w:color w:val="auto"/>
              </w:rPr>
              <w:t>Amounts reclassified from accumulated other</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6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comprehensive loss, net of tax</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196"/>
        </w:trPr>
        <w:tc>
          <w:tcPr>
            <w:tcW w:w="622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Other comprehensive (loss) earnings, net of tax</w:t>
            </w:r>
          </w:p>
        </w:tc>
        <w:tc>
          <w:tcPr>
            <w:tcW w:w="280" w:type="dxa"/>
            <w:vAlign w:val="bottom"/>
            <w:tcBorders>
              <w:bottom w:val="single" w:sz="8" w:color="auto"/>
            </w:tcBorders>
            <w:shd w:val="clear" w:color="auto" w:fill="E5F1F8"/>
          </w:tcPr>
          <w:p>
            <w:pPr>
              <w:spacing w:after="0"/>
              <w:rPr>
                <w:sz w:val="17"/>
                <w:szCs w:val="17"/>
                <w:color w:val="auto"/>
              </w:rPr>
            </w:pPr>
          </w:p>
        </w:tc>
        <w:tc>
          <w:tcPr>
            <w:tcW w:w="142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E5F1F8"/>
          </w:tcPr>
          <w:p>
            <w:pPr>
              <w:spacing w:after="0"/>
              <w:rPr>
                <w:sz w:val="17"/>
                <w:szCs w:val="17"/>
                <w:color w:val="auto"/>
              </w:rPr>
            </w:pPr>
          </w:p>
        </w:tc>
        <w:tc>
          <w:tcPr>
            <w:tcW w:w="13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6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Accumulated other comprehensive loss at end of period</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tcBorders>
              <w:bottom w:val="single" w:sz="8" w:color="auto"/>
              <w:right w:val="single" w:sz="8" w:color="E5F1F8"/>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Cumulative noncurrent deferred tax assets at end of period</w:t>
            </w:r>
          </w:p>
        </w:tc>
        <w:tc>
          <w:tcPr>
            <w:tcW w:w="280" w:type="dxa"/>
            <w:vAlign w:val="bottom"/>
            <w:tcBorders>
              <w:bottom w:val="single" w:sz="8" w:color="auto"/>
            </w:tcBorders>
            <w:shd w:val="clear" w:color="auto" w:fill="E5F1F8"/>
          </w:tcPr>
          <w:p>
            <w:pPr>
              <w:jc w:val="right"/>
              <w:spacing w:after="0" w:line="18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E5F1F8"/>
            </w:tcBorders>
            <w:shd w:val="clear" w:color="auto" w:fill="E5F1F8"/>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F1F8"/>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10"/>
              <w:spacing w:after="0" w:line="183" w:lineRule="exact"/>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-3916680</wp:posOffset>
            </wp:positionV>
            <wp:extent cx="31889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-3792220</wp:posOffset>
            </wp:positionV>
            <wp:extent cx="33655" cy="162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-3792220</wp:posOffset>
            </wp:positionV>
            <wp:extent cx="33655"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-3792220</wp:posOffset>
            </wp:positionV>
            <wp:extent cx="33655"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-3398520</wp:posOffset>
            </wp:positionV>
            <wp:extent cx="33655" cy="7200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72009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-3398520</wp:posOffset>
            </wp:positionV>
            <wp:extent cx="33655" cy="7200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72009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-3398520</wp:posOffset>
            </wp:positionV>
            <wp:extent cx="33655" cy="7200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72009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-2446655</wp:posOffset>
            </wp:positionV>
            <wp:extent cx="33655"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-2446655</wp:posOffset>
            </wp:positionV>
            <wp:extent cx="33655" cy="162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-2446655</wp:posOffset>
            </wp:positionV>
            <wp:extent cx="33655" cy="162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-2052320</wp:posOffset>
            </wp:positionV>
            <wp:extent cx="33655" cy="7194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-2052320</wp:posOffset>
            </wp:positionV>
            <wp:extent cx="33655" cy="7194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-2052320</wp:posOffset>
            </wp:positionV>
            <wp:extent cx="33655" cy="7194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-1100455</wp:posOffset>
            </wp:positionV>
            <wp:extent cx="33655" cy="162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-1100455</wp:posOffset>
            </wp:positionV>
            <wp:extent cx="33655"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-1100455</wp:posOffset>
            </wp:positionV>
            <wp:extent cx="33655"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-706120</wp:posOffset>
            </wp:positionV>
            <wp:extent cx="33655" cy="7194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-706120</wp:posOffset>
            </wp:positionV>
            <wp:extent cx="33655" cy="7194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-706120</wp:posOffset>
            </wp:positionV>
            <wp:extent cx="33655" cy="7194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7194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84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860" w:type="dxa"/>
            <w:vAlign w:val="bottom"/>
            <w:tcBorders>
              <w:right w:val="single" w:sz="8" w:color="007CBA"/>
            </w:tcBorders>
            <w:shd w:val="clear" w:color="auto" w:fill="007CBA"/>
          </w:tcPr>
          <w:p>
            <w:pPr>
              <w:spacing w:after="0"/>
              <w:rPr>
                <w:sz w:val="18"/>
                <w:szCs w:val="18"/>
                <w:color w:val="auto"/>
              </w:rPr>
            </w:pPr>
          </w:p>
        </w:tc>
        <w:tc>
          <w:tcPr>
            <w:tcW w:w="760" w:type="dxa"/>
            <w:vAlign w:val="bottom"/>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3120" w:type="dxa"/>
            <w:vAlign w:val="bottom"/>
            <w:shd w:val="clear" w:color="auto" w:fill="007CBA"/>
          </w:tcPr>
          <w:p>
            <w:pPr>
              <w:jc w:val="center"/>
              <w:ind w:left="30"/>
              <w:spacing w:after="0"/>
              <w:rPr>
                <w:sz w:val="20"/>
                <w:szCs w:val="20"/>
                <w:color w:val="auto"/>
              </w:rPr>
            </w:pPr>
            <w:r>
              <w:rPr>
                <w:rFonts w:ascii="Arial" w:cs="Arial" w:eastAsia="Arial" w:hAnsi="Arial"/>
                <w:sz w:val="18"/>
                <w:szCs w:val="18"/>
                <w:b w:val="1"/>
                <w:bCs w:val="1"/>
                <w:color w:val="FFFFFF"/>
                <w:w w:val="99"/>
              </w:rPr>
              <w:t>Affected line items in the</w:t>
            </w:r>
          </w:p>
        </w:tc>
      </w:tr>
      <w:tr>
        <w:trPr>
          <w:trHeight w:val="203"/>
        </w:trPr>
        <w:tc>
          <w:tcPr>
            <w:tcW w:w="4740" w:type="dxa"/>
            <w:vAlign w:val="bottom"/>
            <w:tcBorders>
              <w:right w:val="single" w:sz="8" w:color="007CBA"/>
            </w:tcBorders>
            <w:shd w:val="clear" w:color="auto" w:fill="007CBA"/>
          </w:tcPr>
          <w:p>
            <w:pPr>
              <w:ind w:left="60"/>
              <w:spacing w:after="0" w:line="202" w:lineRule="exact"/>
              <w:rPr>
                <w:sz w:val="20"/>
                <w:szCs w:val="20"/>
                <w:color w:val="auto"/>
              </w:rPr>
            </w:pPr>
            <w:r>
              <w:rPr>
                <w:rFonts w:ascii="Arial" w:cs="Arial" w:eastAsia="Arial" w:hAnsi="Arial"/>
                <w:sz w:val="18"/>
                <w:szCs w:val="18"/>
                <w:i w:val="1"/>
                <w:iCs w:val="1"/>
                <w:color w:val="FFFFFF"/>
              </w:rPr>
              <w:t>years ended December 31</w:t>
            </w:r>
          </w:p>
        </w:tc>
        <w:tc>
          <w:tcPr>
            <w:tcW w:w="300" w:type="dxa"/>
            <w:vAlign w:val="bottom"/>
            <w:shd w:val="clear" w:color="auto" w:fill="007CBA"/>
          </w:tcPr>
          <w:p>
            <w:pPr>
              <w:spacing w:after="0"/>
              <w:rPr>
                <w:sz w:val="17"/>
                <w:szCs w:val="17"/>
                <w:color w:val="auto"/>
              </w:rPr>
            </w:pPr>
          </w:p>
        </w:tc>
        <w:tc>
          <w:tcPr>
            <w:tcW w:w="840" w:type="dxa"/>
            <w:vAlign w:val="bottom"/>
            <w:tcBorders>
              <w:right w:val="single" w:sz="8" w:color="007CBA"/>
            </w:tcBorders>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860" w:type="dxa"/>
            <w:vAlign w:val="bottom"/>
            <w:tcBorders>
              <w:right w:val="single" w:sz="8" w:color="007CBA"/>
            </w:tcBorders>
            <w:shd w:val="clear" w:color="auto" w:fill="007CBA"/>
          </w:tcPr>
          <w:p>
            <w:pPr>
              <w:spacing w:after="0"/>
              <w:rPr>
                <w:sz w:val="17"/>
                <w:szCs w:val="17"/>
                <w:color w:val="auto"/>
              </w:rPr>
            </w:pPr>
          </w:p>
        </w:tc>
        <w:tc>
          <w:tcPr>
            <w:tcW w:w="760" w:type="dxa"/>
            <w:vAlign w:val="bottom"/>
            <w:shd w:val="clear" w:color="auto" w:fill="007CBA"/>
          </w:tcPr>
          <w:p>
            <w:pPr>
              <w:spacing w:after="0"/>
              <w:rPr>
                <w:sz w:val="17"/>
                <w:szCs w:val="17"/>
                <w:color w:val="auto"/>
              </w:rPr>
            </w:pPr>
          </w:p>
        </w:tc>
        <w:tc>
          <w:tcPr>
            <w:tcW w:w="320" w:type="dxa"/>
            <w:vAlign w:val="bottom"/>
            <w:tcBorders>
              <w:right w:val="single" w:sz="8" w:color="007CBA"/>
            </w:tcBorders>
            <w:shd w:val="clear" w:color="auto" w:fill="007CBA"/>
          </w:tcPr>
          <w:p>
            <w:pPr>
              <w:spacing w:after="0"/>
              <w:rPr>
                <w:sz w:val="17"/>
                <w:szCs w:val="17"/>
                <w:color w:val="auto"/>
              </w:rPr>
            </w:pPr>
          </w:p>
        </w:tc>
        <w:tc>
          <w:tcPr>
            <w:tcW w:w="3120" w:type="dxa"/>
            <w:vAlign w:val="bottom"/>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consolidated statements of</w:t>
            </w:r>
          </w:p>
        </w:tc>
      </w:tr>
      <w:tr>
        <w:trPr>
          <w:trHeight w:val="221"/>
        </w:trPr>
        <w:tc>
          <w:tcPr>
            <w:tcW w:w="47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19"/>
                <w:szCs w:val="19"/>
                <w:color w:val="auto"/>
              </w:rPr>
            </w:pPr>
          </w:p>
        </w:tc>
        <w:tc>
          <w:tcPr>
            <w:tcW w:w="840" w:type="dxa"/>
            <w:vAlign w:val="bottom"/>
            <w:tcBorders>
              <w:right w:val="single" w:sz="8" w:color="007CBA"/>
            </w:tcBorders>
            <w:shd w:val="clear" w:color="auto" w:fill="007CBA"/>
          </w:tcPr>
          <w:p>
            <w:pPr>
              <w:jc w:val="right"/>
              <w:ind w:right="270"/>
              <w:spacing w:after="0"/>
              <w:rPr>
                <w:sz w:val="20"/>
                <w:szCs w:val="20"/>
                <w:color w:val="auto"/>
              </w:rPr>
            </w:pPr>
            <w:r>
              <w:rPr>
                <w:rFonts w:ascii="Arial" w:cs="Arial" w:eastAsia="Arial" w:hAnsi="Arial"/>
                <w:sz w:val="18"/>
                <w:szCs w:val="18"/>
                <w:b w:val="1"/>
                <w:bCs w:val="1"/>
                <w:color w:val="FFFFFF"/>
              </w:rPr>
              <w:t>2025</w:t>
            </w:r>
          </w:p>
        </w:tc>
        <w:tc>
          <w:tcPr>
            <w:tcW w:w="300" w:type="dxa"/>
            <w:vAlign w:val="bottom"/>
            <w:shd w:val="clear" w:color="auto" w:fill="007CBA"/>
          </w:tcPr>
          <w:p>
            <w:pPr>
              <w:spacing w:after="0"/>
              <w:rPr>
                <w:sz w:val="19"/>
                <w:szCs w:val="19"/>
                <w:color w:val="auto"/>
              </w:rPr>
            </w:pPr>
          </w:p>
        </w:tc>
        <w:tc>
          <w:tcPr>
            <w:tcW w:w="86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color w:val="FFFFFF"/>
              </w:rPr>
              <w:t>2024</w:t>
            </w:r>
          </w:p>
        </w:tc>
        <w:tc>
          <w:tcPr>
            <w:tcW w:w="76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2023</w:t>
            </w:r>
          </w:p>
        </w:tc>
        <w:tc>
          <w:tcPr>
            <w:tcW w:w="320" w:type="dxa"/>
            <w:vAlign w:val="bottom"/>
            <w:tcBorders>
              <w:right w:val="single" w:sz="8" w:color="007CBA"/>
            </w:tcBorders>
            <w:shd w:val="clear" w:color="auto" w:fill="007CBA"/>
          </w:tcPr>
          <w:p>
            <w:pPr>
              <w:spacing w:after="0"/>
              <w:rPr>
                <w:sz w:val="19"/>
                <w:szCs w:val="19"/>
                <w:color w:val="auto"/>
              </w:rPr>
            </w:pPr>
          </w:p>
        </w:tc>
        <w:tc>
          <w:tcPr>
            <w:tcW w:w="3120" w:type="dxa"/>
            <w:vAlign w:val="bottom"/>
            <w:shd w:val="clear" w:color="auto" w:fill="007CBA"/>
          </w:tcPr>
          <w:p>
            <w:pPr>
              <w:jc w:val="center"/>
              <w:ind w:left="30"/>
              <w:spacing w:after="0"/>
              <w:rPr>
                <w:sz w:val="20"/>
                <w:szCs w:val="20"/>
                <w:color w:val="auto"/>
              </w:rPr>
            </w:pPr>
            <w:r>
              <w:rPr>
                <w:rFonts w:ascii="Arial" w:cs="Arial" w:eastAsia="Arial" w:hAnsi="Arial"/>
                <w:sz w:val="18"/>
                <w:szCs w:val="18"/>
                <w:b w:val="1"/>
                <w:bCs w:val="1"/>
                <w:color w:val="FFFFFF"/>
              </w:rPr>
              <w:t>earnings</w:t>
            </w:r>
          </w:p>
        </w:tc>
      </w:tr>
      <w:tr>
        <w:trPr>
          <w:trHeight w:val="203"/>
        </w:trPr>
        <w:tc>
          <w:tcPr>
            <w:tcW w:w="47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Pension and postretirement benefit plans:</w:t>
            </w:r>
          </w:p>
        </w:tc>
        <w:tc>
          <w:tcPr>
            <w:tcW w:w="300" w:type="dxa"/>
            <w:vAlign w:val="bottom"/>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007CBA"/>
            </w:tcBorders>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74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Settlement charge</w:t>
            </w:r>
          </w:p>
        </w:tc>
        <w:tc>
          <w:tcPr>
            <w:tcW w:w="30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1F8"/>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right w:val="single" w:sz="8" w:color="007CBA"/>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120" w:type="dxa"/>
            <w:vAlign w:val="bottom"/>
            <w:shd w:val="clear" w:color="auto" w:fill="E5F1F8"/>
          </w:tcPr>
          <w:p>
            <w:pPr>
              <w:spacing w:after="0"/>
              <w:rPr>
                <w:sz w:val="17"/>
                <w:szCs w:val="17"/>
                <w:color w:val="auto"/>
              </w:rPr>
            </w:pPr>
          </w:p>
        </w:tc>
      </w:tr>
      <w:tr>
        <w:trPr>
          <w:trHeight w:val="203"/>
        </w:trPr>
        <w:tc>
          <w:tcPr>
            <w:tcW w:w="474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007CBA"/>
            </w:tcBorders>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74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Prior service cost</w:t>
            </w:r>
          </w:p>
        </w:tc>
        <w:tc>
          <w:tcPr>
            <w:tcW w:w="30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E5F1F8"/>
          </w:tcPr>
          <w:p>
            <w:pPr>
              <w:spacing w:after="0"/>
              <w:rPr>
                <w:sz w:val="17"/>
                <w:szCs w:val="17"/>
                <w:color w:val="auto"/>
              </w:rPr>
            </w:pPr>
          </w:p>
        </w:tc>
        <w:tc>
          <w:tcPr>
            <w:tcW w:w="8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6</w:t>
            </w:r>
          </w:p>
        </w:tc>
        <w:tc>
          <w:tcPr>
            <w:tcW w:w="760" w:type="dxa"/>
            <w:vAlign w:val="bottom"/>
            <w:shd w:val="clear" w:color="auto" w:fill="E5F1F8"/>
          </w:tcPr>
          <w:p>
            <w:pPr>
              <w:spacing w:after="0"/>
              <w:rPr>
                <w:sz w:val="17"/>
                <w:szCs w:val="17"/>
                <w:color w:val="auto"/>
              </w:rPr>
            </w:pPr>
          </w:p>
        </w:tc>
        <w:tc>
          <w:tcPr>
            <w:tcW w:w="320" w:type="dxa"/>
            <w:vAlign w:val="bottom"/>
            <w:tcBorders>
              <w:right w:val="single" w:sz="8" w:color="007CBA"/>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3120" w:type="dxa"/>
            <w:vAlign w:val="bottom"/>
            <w:shd w:val="clear" w:color="auto" w:fill="E5F1F8"/>
          </w:tcPr>
          <w:p>
            <w:pPr>
              <w:spacing w:after="0"/>
              <w:rPr>
                <w:sz w:val="17"/>
                <w:szCs w:val="17"/>
                <w:color w:val="auto"/>
              </w:rPr>
            </w:pPr>
          </w:p>
        </w:tc>
      </w:tr>
      <w:tr>
        <w:trPr>
          <w:trHeight w:val="203"/>
        </w:trPr>
        <w:tc>
          <w:tcPr>
            <w:tcW w:w="47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120" w:type="dxa"/>
            <w:vAlign w:val="bottom"/>
          </w:tcPr>
          <w:p>
            <w:pPr>
              <w:spacing w:after="0"/>
              <w:rPr>
                <w:sz w:val="17"/>
                <w:szCs w:val="17"/>
                <w:color w:val="auto"/>
              </w:rPr>
            </w:pPr>
          </w:p>
        </w:tc>
      </w:tr>
      <w:tr>
        <w:trPr>
          <w:trHeight w:val="196"/>
        </w:trPr>
        <w:tc>
          <w:tcPr>
            <w:tcW w:w="4740" w:type="dxa"/>
            <w:vAlign w:val="bottom"/>
            <w:tcBorders>
              <w:right w:val="single" w:sz="8" w:color="007CBA"/>
            </w:tcBorders>
            <w:shd w:val="clear" w:color="auto" w:fill="E5F1F8"/>
          </w:tcPr>
          <w:p>
            <w:pPr>
              <w:spacing w:after="0"/>
              <w:rPr>
                <w:sz w:val="17"/>
                <w:szCs w:val="17"/>
                <w:color w:val="auto"/>
              </w:rPr>
            </w:pPr>
          </w:p>
        </w:tc>
        <w:tc>
          <w:tcPr>
            <w:tcW w:w="300" w:type="dxa"/>
            <w:vAlign w:val="bottom"/>
            <w:shd w:val="clear" w:color="auto" w:fill="E5F1F8"/>
          </w:tcPr>
          <w:p>
            <w:pPr>
              <w:spacing w:after="0"/>
              <w:rPr>
                <w:sz w:val="17"/>
                <w:szCs w:val="17"/>
                <w:color w:val="auto"/>
              </w:rPr>
            </w:pPr>
          </w:p>
        </w:tc>
        <w:tc>
          <w:tcPr>
            <w:tcW w:w="84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E5F1F8"/>
          </w:tcPr>
          <w:p>
            <w:pPr>
              <w:spacing w:after="0"/>
              <w:rPr>
                <w:sz w:val="17"/>
                <w:szCs w:val="17"/>
                <w:color w:val="auto"/>
              </w:rPr>
            </w:pPr>
          </w:p>
        </w:tc>
        <w:tc>
          <w:tcPr>
            <w:tcW w:w="860" w:type="dxa"/>
            <w:vAlign w:val="bottom"/>
            <w:tcBorders>
              <w:right w:val="single" w:sz="8" w:color="007CBA"/>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7</w:t>
            </w:r>
          </w:p>
        </w:tc>
        <w:tc>
          <w:tcPr>
            <w:tcW w:w="760" w:type="dxa"/>
            <w:vAlign w:val="bottom"/>
            <w:shd w:val="clear" w:color="auto" w:fill="E5F1F8"/>
          </w:tcPr>
          <w:p>
            <w:pPr>
              <w:spacing w:after="0"/>
              <w:rPr>
                <w:sz w:val="17"/>
                <w:szCs w:val="17"/>
                <w:color w:val="auto"/>
              </w:rPr>
            </w:pPr>
          </w:p>
        </w:tc>
        <w:tc>
          <w:tcPr>
            <w:tcW w:w="320" w:type="dxa"/>
            <w:vAlign w:val="bottom"/>
            <w:tcBorders>
              <w:right w:val="single" w:sz="8" w:color="007CBA"/>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6</w:t>
            </w:r>
          </w:p>
        </w:tc>
        <w:tc>
          <w:tcPr>
            <w:tcW w:w="3120" w:type="dxa"/>
            <w:vAlign w:val="bottom"/>
            <w:shd w:val="clear" w:color="auto" w:fill="E5F1F8"/>
          </w:tcPr>
          <w:p>
            <w:pPr>
              <w:ind w:left="120"/>
              <w:spacing w:after="0" w:line="196" w:lineRule="exact"/>
              <w:rPr>
                <w:sz w:val="20"/>
                <w:szCs w:val="20"/>
                <w:color w:val="auto"/>
              </w:rPr>
            </w:pPr>
            <w:r>
              <w:rPr>
                <w:rFonts w:ascii="Arial" w:cs="Arial" w:eastAsia="Arial" w:hAnsi="Arial"/>
                <w:sz w:val="18"/>
                <w:szCs w:val="18"/>
                <w:color w:val="auto"/>
              </w:rPr>
              <w:t>Other nonoperating income, net</w:t>
            </w:r>
          </w:p>
        </w:tc>
      </w:tr>
      <w:tr>
        <w:trPr>
          <w:trHeight w:val="203"/>
        </w:trPr>
        <w:tc>
          <w:tcPr>
            <w:tcW w:w="474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Tax effect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120" w:type="dxa"/>
            <w:vAlign w:val="bottom"/>
            <w:tcBorders>
              <w:bottom w:val="single" w:sz="8" w:color="E5F1F8"/>
            </w:tcBorders>
          </w:tcPr>
          <w:p>
            <w:pPr>
              <w:ind w:left="120"/>
              <w:spacing w:after="0" w:line="202" w:lineRule="exact"/>
              <w:rPr>
                <w:sz w:val="20"/>
                <w:szCs w:val="20"/>
                <w:color w:val="auto"/>
              </w:rPr>
            </w:pPr>
            <w:r>
              <w:rPr>
                <w:rFonts w:ascii="Arial" w:cs="Arial" w:eastAsia="Arial" w:hAnsi="Arial"/>
                <w:sz w:val="18"/>
                <w:szCs w:val="18"/>
                <w:color w:val="auto"/>
              </w:rPr>
              <w:t>Income tax expense</w:t>
            </w:r>
          </w:p>
        </w:tc>
      </w:tr>
      <w:tr>
        <w:trPr>
          <w:trHeight w:val="236"/>
        </w:trPr>
        <w:tc>
          <w:tcPr>
            <w:tcW w:w="474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shd w:val="clear" w:color="auto" w:fill="E5F1F8"/>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E5F1F8"/>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4</w:t>
            </w:r>
          </w:p>
        </w:tc>
        <w:tc>
          <w:tcPr>
            <w:tcW w:w="3120" w:type="dxa"/>
            <w:vAlign w:val="bottom"/>
            <w:tcBorders>
              <w:bottom w:val="single" w:sz="8" w:color="E5F1F8"/>
            </w:tcBorders>
            <w:shd w:val="clear" w:color="auto" w:fill="E5F1F8"/>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188595</wp:posOffset>
            </wp:positionV>
            <wp:extent cx="325755" cy="1974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-569595</wp:posOffset>
            </wp:positionV>
            <wp:extent cx="34290" cy="162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-569595</wp:posOffset>
            </wp:positionV>
            <wp:extent cx="33655" cy="162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-569595</wp:posOffset>
            </wp:positionV>
            <wp:extent cx="34290" cy="162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-569595</wp:posOffset>
            </wp:positionV>
            <wp:extent cx="98425"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8425" cy="16256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-303530</wp:posOffset>
            </wp:positionV>
            <wp:extent cx="34290" cy="3168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-303530</wp:posOffset>
            </wp:positionV>
            <wp:extent cx="33655" cy="3168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-303530</wp:posOffset>
            </wp:positionV>
            <wp:extent cx="34290" cy="316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-303530</wp:posOffset>
            </wp:positionV>
            <wp:extent cx="98425" cy="3168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8425" cy="31686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2" w:name="page83"/>
    <w:bookmarkEnd w:id="82"/>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Earnings Per Common Share</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numerator for basic and diluted earnings per common share is net earnings attributable to Martin</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denominator for basic and diluted earnings from continuing operations per common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1600" w:type="dxa"/>
            <w:vAlign w:val="bottom"/>
            <w:tcBorders>
              <w:right w:val="single" w:sz="8" w:color="007CBA"/>
            </w:tcBorders>
            <w:shd w:val="clear" w:color="auto" w:fill="007CBA"/>
          </w:tcPr>
          <w:p>
            <w:pPr>
              <w:spacing w:after="0"/>
              <w:rPr>
                <w:sz w:val="17"/>
                <w:szCs w:val="17"/>
                <w:color w:val="auto"/>
              </w:rPr>
            </w:pPr>
          </w:p>
        </w:tc>
        <w:tc>
          <w:tcPr>
            <w:tcW w:w="1580" w:type="dxa"/>
            <w:vAlign w:val="bottom"/>
            <w:tcBorders>
              <w:right w:val="single" w:sz="8" w:color="007CBA"/>
            </w:tcBorders>
            <w:shd w:val="clear" w:color="auto" w:fill="007CBA"/>
          </w:tcPr>
          <w:p>
            <w:pPr>
              <w:spacing w:after="0"/>
              <w:rPr>
                <w:sz w:val="17"/>
                <w:szCs w:val="17"/>
                <w:color w:val="auto"/>
              </w:rPr>
            </w:pPr>
          </w:p>
        </w:tc>
        <w:tc>
          <w:tcPr>
            <w:tcW w:w="1620" w:type="dxa"/>
            <w:vAlign w:val="bottom"/>
            <w:shd w:val="clear" w:color="auto" w:fill="007CBA"/>
          </w:tcPr>
          <w:p>
            <w:pPr>
              <w:spacing w:after="0"/>
              <w:rPr>
                <w:sz w:val="17"/>
                <w:szCs w:val="17"/>
                <w:color w:val="auto"/>
              </w:rPr>
            </w:pPr>
          </w:p>
        </w:tc>
      </w:tr>
      <w:tr>
        <w:trPr>
          <w:trHeight w:val="221"/>
        </w:trPr>
        <w:tc>
          <w:tcPr>
            <w:tcW w:w="64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160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2025</w:t>
            </w:r>
          </w:p>
        </w:tc>
        <w:tc>
          <w:tcPr>
            <w:tcW w:w="15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162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3"/>
        </w:trPr>
        <w:tc>
          <w:tcPr>
            <w:tcW w:w="6440" w:type="dxa"/>
            <w:vAlign w:val="bottom"/>
            <w:tcBorders>
              <w:right w:val="single" w:sz="8" w:color="007CBA"/>
            </w:tcBorders>
            <w:shd w:val="clear" w:color="auto" w:fill="E5F1F8"/>
          </w:tcPr>
          <w:p>
            <w:pPr>
              <w:spacing w:after="0"/>
              <w:rPr>
                <w:sz w:val="17"/>
                <w:szCs w:val="17"/>
                <w:color w:val="auto"/>
              </w:rPr>
            </w:pPr>
          </w:p>
        </w:tc>
        <w:tc>
          <w:tcPr>
            <w:tcW w:w="1600" w:type="dxa"/>
            <w:vAlign w:val="bottom"/>
            <w:tcBorders>
              <w:right w:val="single" w:sz="8" w:color="007CBA"/>
            </w:tcBorders>
            <w:shd w:val="clear" w:color="auto" w:fill="E5F1F8"/>
          </w:tcPr>
          <w:p>
            <w:pPr>
              <w:spacing w:after="0"/>
              <w:rPr>
                <w:sz w:val="17"/>
                <w:szCs w:val="17"/>
                <w:color w:val="auto"/>
              </w:rPr>
            </w:pPr>
          </w:p>
        </w:tc>
        <w:tc>
          <w:tcPr>
            <w:tcW w:w="1580" w:type="dxa"/>
            <w:vAlign w:val="bottom"/>
            <w:tcBorders>
              <w:right w:val="single" w:sz="8" w:color="007CBA"/>
            </w:tcBorders>
            <w:shd w:val="clear" w:color="auto" w:fill="E5F1F8"/>
          </w:tcPr>
          <w:p>
            <w:pPr>
              <w:spacing w:after="0"/>
              <w:rPr>
                <w:sz w:val="17"/>
                <w:szCs w:val="17"/>
                <w:color w:val="auto"/>
              </w:rPr>
            </w:pPr>
          </w:p>
        </w:tc>
        <w:tc>
          <w:tcPr>
            <w:tcW w:w="1620" w:type="dxa"/>
            <w:vAlign w:val="bottom"/>
            <w:shd w:val="clear" w:color="auto" w:fill="E5F1F8"/>
          </w:tcPr>
          <w:p>
            <w:pPr>
              <w:spacing w:after="0"/>
              <w:rPr>
                <w:sz w:val="17"/>
                <w:szCs w:val="17"/>
                <w:color w:val="auto"/>
              </w:rPr>
            </w:pP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Basic weighted-average common shares outstanding</w:t>
            </w:r>
          </w:p>
        </w:tc>
        <w:tc>
          <w:tcPr>
            <w:tcW w:w="16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60.5</w:t>
            </w:r>
          </w:p>
        </w:tc>
        <w:tc>
          <w:tcPr>
            <w:tcW w:w="15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61.4</w:t>
            </w:r>
          </w:p>
        </w:tc>
        <w:tc>
          <w:tcPr>
            <w:tcW w:w="1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61.9</w:t>
            </w:r>
          </w:p>
        </w:tc>
      </w:tr>
      <w:tr>
        <w:trPr>
          <w:trHeight w:val="203"/>
        </w:trPr>
        <w:tc>
          <w:tcPr>
            <w:tcW w:w="64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Effect of dilutive employee and director awards</w:t>
            </w:r>
          </w:p>
        </w:tc>
        <w:tc>
          <w:tcPr>
            <w:tcW w:w="160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0.1</w:t>
            </w:r>
          </w:p>
        </w:tc>
        <w:tc>
          <w:tcPr>
            <w:tcW w:w="15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1620" w:type="dxa"/>
            <w:vAlign w:val="bottom"/>
            <w:tcBorders>
              <w:bottom w:val="single" w:sz="8" w:color="auto"/>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0.2</w:t>
            </w:r>
          </w:p>
        </w:tc>
      </w:tr>
      <w:tr>
        <w:trPr>
          <w:trHeight w:val="196"/>
        </w:trPr>
        <w:tc>
          <w:tcPr>
            <w:tcW w:w="64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Diluted weighted-average common shares outstanding</w:t>
            </w:r>
          </w:p>
        </w:tc>
        <w:tc>
          <w:tcPr>
            <w:tcW w:w="16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60.6</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61.6</w:t>
            </w:r>
          </w:p>
        </w:tc>
        <w:tc>
          <w:tcPr>
            <w:tcW w:w="16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62.1</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-303530</wp:posOffset>
            </wp:positionV>
            <wp:extent cx="33655" cy="3168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-303530</wp:posOffset>
            </wp:positionV>
            <wp:extent cx="33655" cy="3168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Reclassifications. </w:t>
      </w:r>
      <w:r>
        <w:rPr>
          <w:rFonts w:ascii="Arial" w:cs="Arial" w:eastAsia="Arial" w:hAnsi="Arial"/>
          <w:sz w:val="18"/>
          <w:szCs w:val="18"/>
          <w:color w:val="000000"/>
        </w:rPr>
        <w:t>Certain reclassifications have been made in the Company's financial statements and related notes of the prior years to</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conform to the current-year presentation, including recasting to reflect assets held for sale and discontinued operations. The reclassifications had no impact on the Company's previously reported results of operations, financial condition or cash flows.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4EAD8A"/>
        </w:rPr>
        <w:t xml:space="preserve">New Accounting Pronouncements. </w:t>
      </w:r>
      <w:r>
        <w:rPr>
          <w:rFonts w:ascii="Arial" w:cs="Arial" w:eastAsia="Arial" w:hAnsi="Arial"/>
          <w:sz w:val="18"/>
          <w:szCs w:val="18"/>
          <w:color w:val="000000"/>
        </w:rPr>
        <w:t>In December 2023, the FASB issued ASU 2023-09,</w:t>
      </w:r>
      <w:r>
        <w:rPr>
          <w:rFonts w:ascii="Arial" w:cs="Arial" w:eastAsia="Arial" w:hAnsi="Arial"/>
          <w:sz w:val="18"/>
          <w:szCs w:val="18"/>
          <w:b w:val="1"/>
          <w:bCs w:val="1"/>
          <w:i w:val="1"/>
          <w:iCs w:val="1"/>
          <w:color w:val="4EAD8A"/>
        </w:rPr>
        <w:t xml:space="preserve"> </w:t>
      </w:r>
      <w:r>
        <w:rPr>
          <w:rFonts w:ascii="Arial" w:cs="Arial" w:eastAsia="Arial" w:hAnsi="Arial"/>
          <w:sz w:val="18"/>
          <w:szCs w:val="18"/>
          <w:i w:val="1"/>
          <w:iCs w:val="1"/>
          <w:color w:val="000000"/>
        </w:rPr>
        <w:t>Income Taxes (Topic 740): Improvements to</w:t>
      </w:r>
      <w:r>
        <w:rPr>
          <w:rFonts w:ascii="Arial" w:cs="Arial" w:eastAsia="Arial" w:hAnsi="Arial"/>
          <w:sz w:val="18"/>
          <w:szCs w:val="18"/>
          <w:b w:val="1"/>
          <w:bCs w:val="1"/>
          <w:i w:val="1"/>
          <w:iCs w:val="1"/>
          <w:color w:val="4EAD8A"/>
        </w:rPr>
        <w:t xml:space="preserve"> </w:t>
      </w:r>
      <w:r>
        <w:rPr>
          <w:rFonts w:ascii="Arial" w:cs="Arial" w:eastAsia="Arial" w:hAnsi="Arial"/>
          <w:sz w:val="18"/>
          <w:szCs w:val="18"/>
          <w:i w:val="1"/>
          <w:iCs w:val="1"/>
          <w:color w:val="000000"/>
        </w:rPr>
        <w:t>Income Tax Disclosures</w:t>
      </w:r>
      <w:r>
        <w:rPr>
          <w:rFonts w:ascii="Arial" w:cs="Arial" w:eastAsia="Arial" w:hAnsi="Arial"/>
          <w:sz w:val="18"/>
          <w:szCs w:val="18"/>
          <w:color w:val="000000"/>
        </w:rPr>
        <w:t>, which focuses on the rate reconciliation and income taxes paid. ASU 2023-09 requires public entities to disclose, on</w:t>
      </w:r>
      <w:r>
        <w:rPr>
          <w:rFonts w:ascii="Arial" w:cs="Arial" w:eastAsia="Arial" w:hAnsi="Arial"/>
          <w:sz w:val="18"/>
          <w:szCs w:val="18"/>
          <w:i w:val="1"/>
          <w:iCs w:val="1"/>
          <w:color w:val="000000"/>
        </w:rPr>
        <w:t xml:space="preserve"> </w:t>
      </w:r>
      <w:r>
        <w:rPr>
          <w:rFonts w:ascii="Arial" w:cs="Arial" w:eastAsia="Arial" w:hAnsi="Arial"/>
          <w:sz w:val="18"/>
          <w:szCs w:val="18"/>
          <w:color w:val="000000"/>
        </w:rPr>
        <w:t>an annual basis, a tabular tax rate reconciliation using both percentages and currency amounts, disaggregated into specified categories. Certain reconciling items are further disaggregated by nature and jurisdiction to the extent those items exceed a specified threshold. Additionally, all entities are required to disclose income taxes paid, net of refunds received, disaggregated by federal, state/local, and foreign taxes and by individual jurisdiction if the amount is at least 5% of total income tax payments, net of refunds received. The ASU also requires additional qualitative disclosures. The Company adopted ASU 2023-09 as of December 31, 2025 and applied the disclosure requirements retrospectively to all prior periods presented in these financial statements (see Note I). The adoption had no impact on the Company's results of operations, cash flows or financial condition.</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(DISE), which requires public entities to disaggregate any</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notes to the financial statements. 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impact the Company's expense disclosures beginning with the financial statements included in the 2027 Annual Report on Form 10-K, but will have no impact on its results of operations, cash flows or financial condition.</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b w:val="1"/>
          <w:bCs w:val="1"/>
          <w:color w:val="007DC6"/>
        </w:rPr>
        <w:t>Note B: Business Combinations, Divestitures, Discontinued Operations and Assets and Liabilities Held for Sale</w:t>
      </w:r>
    </w:p>
    <w:p>
      <w:pPr>
        <w:spacing w:after="0"/>
        <w:rPr>
          <w:sz w:val="20"/>
          <w:szCs w:val="20"/>
          <w:color w:val="auto"/>
        </w:rPr>
      </w:pPr>
      <w:r>
        <w:rPr>
          <w:rFonts w:ascii="Arial" w:cs="Arial" w:eastAsia="Arial" w:hAnsi="Arial"/>
          <w:sz w:val="22"/>
          <w:szCs w:val="22"/>
          <w:b w:val="1"/>
          <w:bCs w:val="1"/>
          <w:i w:val="1"/>
          <w:iCs w:val="1"/>
          <w:color w:val="965F6E"/>
        </w:rPr>
        <w:t>Business Combinations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4EAD8A"/>
        </w:rPr>
        <w:t xml:space="preserve">Premier Magnesia, LLC. </w:t>
      </w:r>
      <w:r>
        <w:rPr>
          <w:rFonts w:ascii="Arial" w:cs="Arial" w:eastAsia="Arial" w:hAnsi="Arial"/>
          <w:sz w:val="18"/>
          <w:szCs w:val="18"/>
          <w:color w:val="000000"/>
        </w:rPr>
        <w:t>On July 25, 2025, the Company acquired Premier Magnesia, LLC (Premier), a privately-owned producer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distributor of magnesia-based products, using cash on hand and credit-facility borrowings. Premier is the largest producer of natural magnesite and magnesium sulfate, or Epsom salt, in the United States, with facilities in Nevada, North Carolina, Indiana and Pennsylvania. This transaction expands the Company's product offerings to new and existing customers and enhances the Company's Specialties business.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December 31, 2025. Specific accounts subject to ongoing purchase accounting adjustments, include, but are not limited to, property, plant and equipment; goodwill; and other liabilities. The goodwill generated by the transaction is deductible for income tax purposes.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51435</wp:posOffset>
            </wp:positionV>
            <wp:extent cx="325755" cy="1968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3" w:name="page84"/>
    <w:bookmarkEnd w:id="83"/>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is reported in the Company's Specialties reportable segment and is immaterial for other business combination disclosures, including pro-forma results of operations.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4EAD8A"/>
        </w:rPr>
        <w:t xml:space="preserve">QUIKRETE Holdings, Inc. </w:t>
      </w:r>
      <w:r>
        <w:rPr>
          <w:rFonts w:ascii="Arial" w:cs="Arial" w:eastAsia="Arial" w:hAnsi="Arial"/>
          <w:sz w:val="18"/>
          <w:szCs w:val="18"/>
          <w:color w:val="000000"/>
        </w:rPr>
        <w:t>On August 3, 2025, the Company entered into a definitive agreement with Quikrete Holdings, Inc. (QUIKRETE)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for the exchange of certain assets. Under the agreement, Martin Marietta will receive aggregates facilities producing approximately 20 million tons annually in Virginia, Missouri, Kansas and Vancouver, British Columbia, as well as cash proceeds. In exchange, QUIKRETE will receive the Company’s Midlothian cement plant, related cement distribution terminals, Texas ready mixed concrete assets and certain nonoperating land. The aggregates facilities to be acquired will complement Martin Marietta’s existing geographic footprint in its Central Division and allow the Company to expand into new growth platforms in the target markets of Virginia and the Pacific Northwest.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Business Combinations (2024)</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Revenues and pretax earnings attributable to operations acquired in 2024 (as subsequently described) included in the Company's consolidated statement of earnings for the year ended December 31, 2024 were $261 million and $38 million, respectively. Pretax earnings attributable to acquired operations for 2024 reflected the impact of selling acquired inventory after its markup to fair value as part of acquisition accounting, including $20 million related to the Blue Water Industries LLC transaction.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Blue Water Industries LLC. </w:t>
      </w:r>
      <w:r>
        <w:rPr>
          <w:rFonts w:ascii="Arial" w:cs="Arial" w:eastAsia="Arial" w:hAnsi="Arial"/>
          <w:sz w:val="18"/>
          <w:szCs w:val="18"/>
          <w:color w:val="000000"/>
        </w:rPr>
        <w:t>On April 5, 2024, the Company completed the acquisition of 20 active aggregates operations in Alabama, South</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Carolina, South Florida, Tennessee, and Virginia from affiliates of Blue Water Industries LLC (BWI Southeast) for $2.05 billion in cash. The BWI Southeast acquisition complemented Martin Marietta’s existing geographic footprint in the southeast region by allowing the Company to expand into new growth platforms in target markets, including Tennessee and South Florida. The results from the acquired operations are reported in the Company's East Group.</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determined the acquisition-date fair values of assets acquired and liabilities assumed. Notably, during the measurement period, which was closed as of April 5, 2025, the Company increased the acquisition-date fair value of property, plant and equipment by $91 million and reduced goodwill by $83 million. The goodwill generated by the transaction is not deductible for income tax purposes.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Pr>
          <w:p>
            <w:pPr>
              <w:spacing w:after="0"/>
              <w:rPr>
                <w:sz w:val="20"/>
                <w:szCs w:val="20"/>
                <w:color w:val="auto"/>
              </w:rPr>
            </w:pPr>
            <w:r>
              <w:rPr>
                <w:rFonts w:ascii="Arial" w:cs="Arial" w:eastAsia="Arial" w:hAnsi="Arial"/>
                <w:sz w:val="18"/>
                <w:szCs w:val="18"/>
                <w:color w:val="auto"/>
              </w:rPr>
              <w:t>The following is a summary of the fair values of the assets acquired and liabilities assumed as of April 5, 2024:</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77"/>
        </w:trPr>
        <w:tc>
          <w:tcPr>
            <w:tcW w:w="9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03"/>
        </w:trPr>
        <w:tc>
          <w:tcPr>
            <w:tcW w:w="9000" w:type="dxa"/>
            <w:vAlign w:val="bottom"/>
            <w:tcBorders>
              <w:right w:val="single" w:sz="8" w:color="007CBA"/>
            </w:tcBorders>
            <w:shd w:val="clear" w:color="auto" w:fill="007CBA"/>
          </w:tcPr>
          <w:p>
            <w:pPr>
              <w:ind w:left="100"/>
              <w:spacing w:after="0" w:line="202" w:lineRule="exact"/>
              <w:rPr>
                <w:sz w:val="20"/>
                <w:szCs w:val="20"/>
                <w:color w:val="auto"/>
              </w:rPr>
            </w:pPr>
            <w:r>
              <w:rPr>
                <w:rFonts w:ascii="Arial" w:cs="Arial" w:eastAsia="Arial" w:hAnsi="Arial"/>
                <w:sz w:val="18"/>
                <w:szCs w:val="18"/>
                <w:color w:val="FFFFFF"/>
              </w:rPr>
              <w:t>(in millions)</w:t>
            </w:r>
          </w:p>
        </w:tc>
        <w:tc>
          <w:tcPr>
            <w:tcW w:w="1020" w:type="dxa"/>
            <w:vAlign w:val="bottom"/>
            <w:shd w:val="clear" w:color="auto" w:fill="007CBA"/>
          </w:tcPr>
          <w:p>
            <w:pPr>
              <w:spacing w:after="0"/>
              <w:rPr>
                <w:sz w:val="17"/>
                <w:szCs w:val="17"/>
                <w:color w:val="auto"/>
              </w:rPr>
            </w:pPr>
          </w:p>
        </w:tc>
        <w:tc>
          <w:tcPr>
            <w:tcW w:w="1220" w:type="dxa"/>
            <w:vAlign w:val="bottom"/>
            <w:shd w:val="clear" w:color="auto" w:fill="007CBA"/>
          </w:tcPr>
          <w:p>
            <w:pPr>
              <w:spacing w:after="0"/>
              <w:rPr>
                <w:sz w:val="17"/>
                <w:szCs w:val="17"/>
                <w:color w:val="auto"/>
              </w:rPr>
            </w:pPr>
          </w:p>
        </w:tc>
      </w:tr>
      <w:tr>
        <w:trPr>
          <w:trHeight w:val="203"/>
        </w:trPr>
        <w:tc>
          <w:tcPr>
            <w:tcW w:w="900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Assets: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900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Inventories</w:t>
            </w:r>
          </w:p>
        </w:tc>
        <w:tc>
          <w:tcPr>
            <w:tcW w:w="1020" w:type="dxa"/>
            <w:vAlign w:val="bottom"/>
            <w:shd w:val="clear" w:color="auto" w:fill="E5F1F8"/>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203"/>
        </w:trPr>
        <w:tc>
          <w:tcPr>
            <w:tcW w:w="900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7"/>
                <w:szCs w:val="17"/>
                <w:color w:val="auto"/>
              </w:rPr>
              <w:t>Property, plant and equipment</w:t>
            </w:r>
            <w:r>
              <w:rPr>
                <w:rFonts w:ascii="Arial" w:cs="Arial" w:eastAsia="Arial" w:hAnsi="Arial"/>
                <w:sz w:val="23"/>
                <w:szCs w:val="23"/>
                <w:color w:val="auto"/>
                <w:vertAlign w:val="superscript"/>
              </w:rPr>
              <w:t>1</w:t>
            </w:r>
          </w:p>
        </w:tc>
        <w:tc>
          <w:tcPr>
            <w:tcW w:w="102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2,052</w:t>
            </w:r>
          </w:p>
        </w:tc>
      </w:tr>
      <w:tr>
        <w:trPr>
          <w:trHeight w:val="203"/>
        </w:trPr>
        <w:tc>
          <w:tcPr>
            <w:tcW w:w="900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Intangible assets, other than goodwill</w:t>
            </w:r>
          </w:p>
        </w:tc>
        <w:tc>
          <w:tcPr>
            <w:tcW w:w="1020" w:type="dxa"/>
            <w:vAlign w:val="bottom"/>
            <w:shd w:val="clear" w:color="auto" w:fill="E5F1F8"/>
          </w:tcPr>
          <w:p>
            <w:pPr>
              <w:spacing w:after="0"/>
              <w:rPr>
                <w:sz w:val="17"/>
                <w:szCs w:val="17"/>
                <w:color w:val="auto"/>
              </w:rPr>
            </w:pPr>
          </w:p>
        </w:tc>
        <w:tc>
          <w:tcPr>
            <w:tcW w:w="12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02"/>
        </w:trPr>
        <w:tc>
          <w:tcPr>
            <w:tcW w:w="900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w:t>
            </w:r>
          </w:p>
        </w:tc>
      </w:tr>
      <w:tr>
        <w:trPr>
          <w:trHeight w:val="196"/>
        </w:trPr>
        <w:tc>
          <w:tcPr>
            <w:tcW w:w="9000" w:type="dxa"/>
            <w:vAlign w:val="bottom"/>
            <w:tcBorders>
              <w:bottom w:val="single" w:sz="8" w:color="auto"/>
              <w:right w:val="single" w:sz="8" w:color="E5F1F8"/>
            </w:tcBorders>
            <w:shd w:val="clear" w:color="auto" w:fill="E5F1F8"/>
          </w:tcPr>
          <w:p>
            <w:pPr>
              <w:ind w:left="100"/>
              <w:spacing w:after="0" w:line="196" w:lineRule="exact"/>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shd w:val="clear" w:color="auto" w:fill="E5F1F8"/>
          </w:tcPr>
          <w:p>
            <w:pPr>
              <w:spacing w:after="0"/>
              <w:rPr>
                <w:sz w:val="17"/>
                <w:szCs w:val="17"/>
                <w:color w:val="auto"/>
              </w:rPr>
            </w:pPr>
          </w:p>
        </w:tc>
        <w:tc>
          <w:tcPr>
            <w:tcW w:w="122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2,120</w:t>
            </w:r>
          </w:p>
        </w:tc>
      </w:tr>
      <w:tr>
        <w:trPr>
          <w:trHeight w:val="196"/>
        </w:trPr>
        <w:tc>
          <w:tcPr>
            <w:tcW w:w="9000" w:type="dxa"/>
            <w:vAlign w:val="bottom"/>
            <w:tcBorders>
              <w:right w:val="single" w:sz="8" w:color="007CBA"/>
            </w:tcBorders>
          </w:tcPr>
          <w:p>
            <w:pPr>
              <w:ind w:left="100"/>
              <w:spacing w:after="0" w:line="196" w:lineRule="exact"/>
              <w:rPr>
                <w:sz w:val="20"/>
                <w:szCs w:val="20"/>
                <w:color w:val="auto"/>
              </w:rPr>
            </w:pPr>
            <w:r>
              <w:rPr>
                <w:rFonts w:ascii="Arial" w:cs="Arial" w:eastAsia="Arial" w:hAnsi="Arial"/>
                <w:sz w:val="18"/>
                <w:szCs w:val="18"/>
                <w:color w:val="auto"/>
              </w:rPr>
              <w:t>Liabilities: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900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E5F1F8"/>
          </w:tcPr>
          <w:p>
            <w:pPr>
              <w:spacing w:after="0"/>
              <w:rPr>
                <w:sz w:val="17"/>
                <w:szCs w:val="17"/>
                <w:color w:val="auto"/>
              </w:rPr>
            </w:pPr>
          </w:p>
        </w:tc>
        <w:tc>
          <w:tcPr>
            <w:tcW w:w="12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234</w:t>
            </w:r>
          </w:p>
        </w:tc>
      </w:tr>
      <w:tr>
        <w:trPr>
          <w:trHeight w:val="203"/>
        </w:trPr>
        <w:tc>
          <w:tcPr>
            <w:tcW w:w="900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Asset retirement obligations</w:t>
            </w:r>
          </w:p>
        </w:tc>
        <w:tc>
          <w:tcPr>
            <w:tcW w:w="102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9000" w:type="dxa"/>
            <w:vAlign w:val="bottom"/>
            <w:tcBorders>
              <w:bottom w:val="single" w:sz="8" w:color="auto"/>
              <w:right w:val="single" w:sz="8" w:color="E5F1F8"/>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auto"/>
            </w:tcBorders>
            <w:shd w:val="clear" w:color="auto" w:fill="E5F1F8"/>
          </w:tcPr>
          <w:p>
            <w:pPr>
              <w:spacing w:after="0"/>
              <w:rPr>
                <w:sz w:val="17"/>
                <w:szCs w:val="17"/>
                <w:color w:val="auto"/>
              </w:rPr>
            </w:pPr>
          </w:p>
        </w:tc>
        <w:tc>
          <w:tcPr>
            <w:tcW w:w="122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95</w:t>
            </w:r>
          </w:p>
        </w:tc>
      </w:tr>
      <w:tr>
        <w:trPr>
          <w:trHeight w:val="196"/>
        </w:trPr>
        <w:tc>
          <w:tcPr>
            <w:tcW w:w="90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332</w:t>
            </w:r>
          </w:p>
        </w:tc>
      </w:tr>
      <w:tr>
        <w:trPr>
          <w:trHeight w:val="196"/>
        </w:trPr>
        <w:tc>
          <w:tcPr>
            <w:tcW w:w="9000" w:type="dxa"/>
            <w:vAlign w:val="bottom"/>
            <w:tcBorders>
              <w:right w:val="single" w:sz="8" w:color="007CBA"/>
            </w:tcBorders>
            <w:shd w:val="clear" w:color="auto" w:fill="E5F1F8"/>
          </w:tcPr>
          <w:p>
            <w:pPr>
              <w:ind w:left="100"/>
              <w:spacing w:after="0" w:line="196" w:lineRule="exact"/>
              <w:rPr>
                <w:sz w:val="20"/>
                <w:szCs w:val="20"/>
                <w:color w:val="auto"/>
              </w:rPr>
            </w:pPr>
            <w:r>
              <w:rPr>
                <w:rFonts w:ascii="Arial" w:cs="Arial" w:eastAsia="Arial" w:hAnsi="Arial"/>
                <w:sz w:val="18"/>
                <w:szCs w:val="18"/>
                <w:color w:val="auto"/>
              </w:rPr>
              <w:t>Net identifiable assets acquired</w:t>
            </w:r>
          </w:p>
        </w:tc>
        <w:tc>
          <w:tcPr>
            <w:tcW w:w="1020" w:type="dxa"/>
            <w:vAlign w:val="bottom"/>
            <w:shd w:val="clear" w:color="auto" w:fill="E5F1F8"/>
          </w:tcPr>
          <w:p>
            <w:pPr>
              <w:spacing w:after="0"/>
              <w:rPr>
                <w:sz w:val="17"/>
                <w:szCs w:val="17"/>
                <w:color w:val="auto"/>
              </w:rPr>
            </w:pPr>
          </w:p>
        </w:tc>
        <w:tc>
          <w:tcPr>
            <w:tcW w:w="1220" w:type="dxa"/>
            <w:vAlign w:val="bottom"/>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1,788</w:t>
            </w:r>
          </w:p>
        </w:tc>
      </w:tr>
      <w:tr>
        <w:trPr>
          <w:trHeight w:val="203"/>
        </w:trPr>
        <w:tc>
          <w:tcPr>
            <w:tcW w:w="900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Goodwill</w:t>
            </w:r>
          </w:p>
        </w:tc>
        <w:tc>
          <w:tcPr>
            <w:tcW w:w="1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262</w:t>
            </w:r>
          </w:p>
        </w:tc>
      </w:tr>
      <w:tr>
        <w:trPr>
          <w:trHeight w:val="236"/>
        </w:trPr>
        <w:tc>
          <w:tcPr>
            <w:tcW w:w="9000" w:type="dxa"/>
            <w:vAlign w:val="bottom"/>
            <w:tcBorders>
              <w:bottom w:val="single" w:sz="8" w:color="auto"/>
              <w:right w:val="single" w:sz="8" w:color="E5F1F8"/>
            </w:tcBorders>
            <w:shd w:val="clear" w:color="auto" w:fill="E5F1F8"/>
          </w:tcPr>
          <w:p>
            <w:pPr>
              <w:ind w:left="100"/>
              <w:spacing w:after="0" w:line="196" w:lineRule="exact"/>
              <w:rPr>
                <w:sz w:val="20"/>
                <w:szCs w:val="20"/>
                <w:color w:val="auto"/>
              </w:rPr>
            </w:pPr>
            <w:r>
              <w:rPr>
                <w:rFonts w:ascii="Arial" w:cs="Arial" w:eastAsia="Arial" w:hAnsi="Arial"/>
                <w:sz w:val="18"/>
                <w:szCs w:val="18"/>
                <w:color w:val="auto"/>
              </w:rPr>
              <w:t>Total consideration</w:t>
            </w:r>
          </w:p>
        </w:tc>
        <w:tc>
          <w:tcPr>
            <w:tcW w:w="1020" w:type="dxa"/>
            <w:vAlign w:val="bottom"/>
            <w:tcBorders>
              <w:bottom w:val="single" w:sz="8" w:color="auto"/>
            </w:tcBorders>
            <w:shd w:val="clear" w:color="auto" w:fill="E5F1F8"/>
          </w:tcPr>
          <w:p>
            <w:pPr>
              <w:jc w:val="right"/>
              <w:ind w:right="59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2,050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-1366520</wp:posOffset>
            </wp:positionV>
            <wp:extent cx="34290" cy="2997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-706120</wp:posOffset>
            </wp:positionV>
            <wp:extent cx="34290" cy="2997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-303530</wp:posOffset>
            </wp:positionV>
            <wp:extent cx="34290" cy="3168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45" w:lineRule="exact"/>
        <w:rPr>
          <w:sz w:val="20"/>
          <w:szCs w:val="20"/>
          <w:color w:val="auto"/>
        </w:rPr>
      </w:pPr>
    </w:p>
    <w:p>
      <w:pPr>
        <w:ind w:left="80" w:hanging="72"/>
        <w:spacing w:after="0"/>
        <w:tabs>
          <w:tab w:leader="none" w:pos="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mineral reserves of $1.9 billion.</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for the Company and BWI Southeast as though the companies were combined as of January 1, 2023. The unaudited pro forma financial information does not purport to project the future financial position or operating results of the combined company. Consistent with the assumed acquisition date of January 1, 2023, the pro forma financial results include acquisition and integration expenses of $23 million and a $20 million charge for selling inventory after its markup to fair value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46990</wp:posOffset>
            </wp:positionV>
            <wp:extent cx="325755" cy="1974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4" w:name="page85"/>
    <w:bookmarkEnd w:id="84"/>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pro forma financial information is for informational purposes only and is not indicative of the results of operations that would have been achieved if the acquisition had taken place as of January 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i w:val="1"/>
                <w:iCs w:val="1"/>
                <w:color w:val="FFFFFF"/>
              </w:rPr>
              <w:t>years ended December 31</w:t>
            </w:r>
          </w:p>
        </w:tc>
        <w:tc>
          <w:tcPr>
            <w:tcW w:w="560" w:type="dxa"/>
            <w:vAlign w:val="bottom"/>
            <w:shd w:val="clear" w:color="auto" w:fill="007CBA"/>
          </w:tcPr>
          <w:p>
            <w:pPr>
              <w:spacing w:after="0"/>
              <w:rPr>
                <w:sz w:val="17"/>
                <w:szCs w:val="17"/>
                <w:color w:val="auto"/>
              </w:rPr>
            </w:pPr>
          </w:p>
        </w:tc>
        <w:tc>
          <w:tcPr>
            <w:tcW w:w="1400" w:type="dxa"/>
            <w:vAlign w:val="bottom"/>
            <w:tcBorders>
              <w:right w:val="single" w:sz="8" w:color="007CBA"/>
            </w:tcBorders>
            <w:shd w:val="clear" w:color="auto" w:fill="007CBA"/>
          </w:tcPr>
          <w:p>
            <w:pPr>
              <w:spacing w:after="0"/>
              <w:rPr>
                <w:sz w:val="17"/>
                <w:szCs w:val="17"/>
                <w:color w:val="auto"/>
              </w:rPr>
            </w:pPr>
          </w:p>
        </w:tc>
        <w:tc>
          <w:tcPr>
            <w:tcW w:w="540" w:type="dxa"/>
            <w:vAlign w:val="bottom"/>
            <w:shd w:val="clear" w:color="auto" w:fill="007CBA"/>
          </w:tcPr>
          <w:p>
            <w:pPr>
              <w:spacing w:after="0"/>
              <w:rPr>
                <w:sz w:val="17"/>
                <w:szCs w:val="17"/>
                <w:color w:val="auto"/>
              </w:rPr>
            </w:pPr>
          </w:p>
        </w:tc>
        <w:tc>
          <w:tcPr>
            <w:tcW w:w="1380" w:type="dxa"/>
            <w:vAlign w:val="bottom"/>
            <w:shd w:val="clear" w:color="auto" w:fill="007CBA"/>
          </w:tcPr>
          <w:p>
            <w:pPr>
              <w:spacing w:after="0"/>
              <w:rPr>
                <w:sz w:val="17"/>
                <w:szCs w:val="17"/>
                <w:color w:val="auto"/>
              </w:rPr>
            </w:pPr>
          </w:p>
        </w:tc>
      </w:tr>
      <w:tr>
        <w:trPr>
          <w:trHeight w:val="221"/>
        </w:trPr>
        <w:tc>
          <w:tcPr>
            <w:tcW w:w="73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6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right"/>
              <w:ind w:right="650"/>
              <w:spacing w:after="0"/>
              <w:rPr>
                <w:sz w:val="20"/>
                <w:szCs w:val="20"/>
                <w:color w:val="auto"/>
              </w:rPr>
            </w:pPr>
            <w:r>
              <w:rPr>
                <w:rFonts w:ascii="Arial" w:cs="Arial" w:eastAsia="Arial" w:hAnsi="Arial"/>
                <w:sz w:val="18"/>
                <w:szCs w:val="18"/>
                <w:color w:val="FFFFFF"/>
              </w:rPr>
              <w:t>2024</w:t>
            </w:r>
          </w:p>
        </w:tc>
        <w:tc>
          <w:tcPr>
            <w:tcW w:w="54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2023</w:t>
            </w:r>
          </w:p>
        </w:tc>
      </w:tr>
      <w:tr>
        <w:trPr>
          <w:trHeight w:val="203"/>
        </w:trPr>
        <w:tc>
          <w:tcPr>
            <w:tcW w:w="73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Revenues</w:t>
            </w: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5,714</w:t>
            </w:r>
          </w:p>
        </w:tc>
        <w:tc>
          <w:tcPr>
            <w:tcW w:w="5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6,076</w:t>
            </w:r>
          </w:p>
        </w:tc>
      </w:tr>
      <w:tr>
        <w:trPr>
          <w:trHeight w:val="203"/>
        </w:trPr>
        <w:tc>
          <w:tcPr>
            <w:tcW w:w="73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Net earnings from continuing operations attributable to Martin Marietta</w:t>
            </w:r>
          </w:p>
        </w:tc>
        <w:tc>
          <w:tcPr>
            <w:tcW w:w="560" w:type="dxa"/>
            <w:vAlign w:val="bottom"/>
            <w:shd w:val="clear" w:color="auto" w:fill="E5F1F8"/>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1,848</w:t>
            </w:r>
          </w:p>
        </w:tc>
        <w:tc>
          <w:tcPr>
            <w:tcW w:w="540" w:type="dxa"/>
            <w:vAlign w:val="bottom"/>
            <w:shd w:val="clear" w:color="auto" w:fill="E5F1F8"/>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939</w:t>
            </w:r>
          </w:p>
        </w:tc>
      </w:tr>
    </w:tbl>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4EAD8A"/>
        </w:rPr>
        <w:t xml:space="preserve">Other Business Combinations. </w:t>
      </w:r>
      <w:r>
        <w:rPr>
          <w:rFonts w:ascii="Arial" w:cs="Arial" w:eastAsia="Arial" w:hAnsi="Arial"/>
          <w:sz w:val="18"/>
          <w:szCs w:val="18"/>
          <w:color w:val="000000"/>
        </w:rPr>
        <w:t>On January 12, 2024, the Company acquired Albert Frei &amp; Sons, Inc. (AFS), a leading aggregates producer</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in Colorado. This acquisition provided more than 60 years (at current production levels) of high-quality, hard rock reserves to better serve new and existing customers and enhances the Company's aggregates platform in the Denver metropolitan area. The Company determined the acquisition-date fair values of the assets acquired and liabilities assumed. As of December 31, 2024, the measurement period was closed. The goodwill generated by the transaction is not deductible for income tax purposes. The acquisition is reported in the Company's West Group and is immaterial for other business combination disclosures, including pro-forma results of operations.</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25, 2024, the Company completed the acquisition of Youngquist Brothers Rock, LLC (YBR), a leading aggregates supplier in the Fort Myers, Florida area. This acquisition allowed the Company to serve new and existing customers and enhances the Company's aggregates platform in South Florida. The acquisition was financed through short-term borrowings, which were repaid upon a public debt offering completed on November 4, 2024 (see Note G). The Company recorded fair values of the assets acquired and liabilities assumed, and the measurement period was closed as of September 30, 2025. The goodwill generated by the transaction is deductible for income tax purposes. The acquisition is reported in the Company's East Group and is immaterial for other business combination disclosures, including pro-forma results of operations.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13, 2024, the Company acquired R.E. Janes Gravel Co. (RE Janes), an aggregates bolt-on in Texas. The Company recorded fair values of the assets acquired and liabilities assumed. As of December 31, 2025, the measurement period is closed. The goodwill generated by the transaction is deductible for income tax purposes. The acquisition is reported in the Company's West Group and is immaterial for other business combination disclosures, including pro-forma results of operations.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2024, the Company completed acquisitions for total consideration of $1.6 billion, excluding the BWI Southeast transaction. On a combined basis, these acquisitions (excluding BWI Southeast) included $1.5 billion of property, plant and equipment (including $1.3 billion in mineral reserves), $123 million of goodwill, $28 million of other intangibles and $92 million of deferred income tax liabilities. Individually and on a combined basis, these acquisitions are immaterial for other business combination disclosures, including pro-forma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Divestitures</w:t>
      </w:r>
    </w:p>
    <w:p>
      <w:pPr>
        <w:spacing w:after="0" w:line="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February 9, 2024, the Company completed the sale of its South Texas cement business and certain of its related ready mixed concrete operations to CRH Americas Materials, Inc., a subsidiary of CRH plc, for $ 2.1 billion in cash plus normal customary closing adjustments. Specifically, the divested facilities included the Hunter cement plant in New Braunfels, Texas, related cement distribution terminals and 20 ready mixed concrete plants that served the Austin and San Antonio region. The divestiture provided proceeds the Company used to consummate the BWI Southeast acquisition. The transaction resulted in a pretax gain of $1.3 billion, which is included in </w:t>
      </w:r>
      <w:r>
        <w:rPr>
          <w:rFonts w:ascii="Arial" w:cs="Arial" w:eastAsia="Arial" w:hAnsi="Arial"/>
          <w:sz w:val="18"/>
          <w:szCs w:val="18"/>
          <w:i w:val="1"/>
          <w:iCs w:val="1"/>
          <w:color w:val="auto"/>
        </w:rPr>
        <w:t>Other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income, net</w:t>
      </w:r>
      <w:r>
        <w:rPr>
          <w:rFonts w:ascii="Arial" w:cs="Arial" w:eastAsia="Arial" w:hAnsi="Arial"/>
          <w:sz w:val="18"/>
          <w:szCs w:val="18"/>
          <w:color w:val="auto"/>
        </w:rPr>
        <w:t>, in the Company's consolidated statement of earnings for the year ended December 31, 2024 and is exclusive of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due to the divestiture. The historical financial results of these divested operations and the gain on divestiture were reported in continuing operations for the West Group.</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31, 2023, the Company completed the sale of its Tehachapi, California cement plant to UNACEM Corp S.A.A. for $315 million in cash. In connection with the divestiture, the Company recorded a $26 million pretax loss in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May 2023, the Company divested its Stockton cement import terminal in California.</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Discontinued Operations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pending QUIKRETE asset exchange, the Company's Midlothian cement plant, related cement distribution terminals and Texas ready mixed concrete plants, which are part of the West Group, have been classified as assets held for sale on the consolidated balance sheets as of December 31, 2025 and 2024 and their associated financial results are reported as discontinued operations on the consolidated statements of earnings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45085</wp:posOffset>
            </wp:positionV>
            <wp:extent cx="325755" cy="1974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5" w:name="page86"/>
    <w:bookmarkEnd w:id="85"/>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Additionally, the associated financial results for the Company's California cement operations, which were part of the Company's West Group, were reported as discontinued operations on the consolidated statements of earnings for 2023 through their respective divestiture dates.</w:t>
      </w:r>
    </w:p>
    <w:p>
      <w:pPr>
        <w:spacing w:after="0"/>
        <w:rPr>
          <w:sz w:val="20"/>
          <w:szCs w:val="20"/>
          <w:color w:val="auto"/>
        </w:rPr>
      </w:pPr>
      <w:r>
        <w:rPr>
          <w:rFonts w:ascii="Arial" w:cs="Arial" w:eastAsia="Arial" w:hAnsi="Arial"/>
          <w:sz w:val="18"/>
          <w:szCs w:val="18"/>
          <w:color w:val="auto"/>
        </w:rPr>
        <w:t>Financial results for the Company's discontinued operations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Borders>
              <w:right w:val="single" w:sz="8" w:color="007CBA"/>
            </w:tcBorders>
            <w:gridSpan w:val="2"/>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38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spacing w:after="0"/>
              <w:rPr>
                <w:sz w:val="17"/>
                <w:szCs w:val="17"/>
                <w:color w:val="auto"/>
              </w:rPr>
            </w:pPr>
          </w:p>
        </w:tc>
        <w:tc>
          <w:tcPr>
            <w:tcW w:w="12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spacing w:after="0"/>
              <w:rPr>
                <w:sz w:val="17"/>
                <w:szCs w:val="17"/>
                <w:color w:val="auto"/>
              </w:rPr>
            </w:pPr>
          </w:p>
        </w:tc>
        <w:tc>
          <w:tcPr>
            <w:tcW w:w="420" w:type="dxa"/>
            <w:vAlign w:val="bottom"/>
            <w:shd w:val="clear" w:color="auto" w:fill="007CBA"/>
          </w:tcPr>
          <w:p>
            <w:pPr>
              <w:spacing w:after="0"/>
              <w:rPr>
                <w:sz w:val="17"/>
                <w:szCs w:val="17"/>
                <w:color w:val="auto"/>
              </w:rPr>
            </w:pPr>
          </w:p>
        </w:tc>
        <w:tc>
          <w:tcPr>
            <w:tcW w:w="1120" w:type="dxa"/>
            <w:vAlign w:val="bottom"/>
            <w:shd w:val="clear" w:color="auto" w:fill="007CBA"/>
          </w:tcPr>
          <w:p>
            <w:pPr>
              <w:spacing w:after="0"/>
              <w:rPr>
                <w:sz w:val="17"/>
                <w:szCs w:val="17"/>
                <w:color w:val="auto"/>
              </w:rPr>
            </w:pPr>
          </w:p>
        </w:tc>
      </w:tr>
      <w:tr>
        <w:trPr>
          <w:trHeight w:val="221"/>
        </w:trPr>
        <w:tc>
          <w:tcPr>
            <w:tcW w:w="6540" w:type="dxa"/>
            <w:vAlign w:val="bottom"/>
            <w:tcBorders>
              <w:right w:val="single" w:sz="8" w:color="007CBA"/>
            </w:tcBorders>
            <w:gridSpan w:val="2"/>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2025</w:t>
            </w:r>
          </w:p>
        </w:tc>
        <w:tc>
          <w:tcPr>
            <w:tcW w:w="1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70"/>
              <w:spacing w:after="0"/>
              <w:rPr>
                <w:sz w:val="20"/>
                <w:szCs w:val="20"/>
                <w:color w:val="auto"/>
              </w:rPr>
            </w:pPr>
            <w:r>
              <w:rPr>
                <w:rFonts w:ascii="Arial" w:cs="Arial" w:eastAsia="Arial" w:hAnsi="Arial"/>
                <w:sz w:val="18"/>
                <w:szCs w:val="18"/>
                <w:color w:val="FFFFFF"/>
              </w:rPr>
              <w:t>2024</w:t>
            </w:r>
          </w:p>
        </w:tc>
        <w:tc>
          <w:tcPr>
            <w:tcW w:w="420" w:type="dxa"/>
            <w:vAlign w:val="bottom"/>
            <w:shd w:val="clear" w:color="auto" w:fill="007CBA"/>
          </w:tcPr>
          <w:p>
            <w:pPr>
              <w:spacing w:after="0"/>
              <w:rPr>
                <w:sz w:val="19"/>
                <w:szCs w:val="19"/>
                <w:color w:val="auto"/>
              </w:rPr>
            </w:pPr>
          </w:p>
        </w:tc>
        <w:tc>
          <w:tcPr>
            <w:tcW w:w="1120" w:type="dxa"/>
            <w:vAlign w:val="bottom"/>
            <w:shd w:val="clear" w:color="auto" w:fill="007CBA"/>
          </w:tcPr>
          <w:p>
            <w:pPr>
              <w:jc w:val="right"/>
              <w:ind w:right="470"/>
              <w:spacing w:after="0"/>
              <w:rPr>
                <w:sz w:val="20"/>
                <w:szCs w:val="20"/>
                <w:color w:val="auto"/>
              </w:rPr>
            </w:pPr>
            <w:r>
              <w:rPr>
                <w:rFonts w:ascii="Arial" w:cs="Arial" w:eastAsia="Arial" w:hAnsi="Arial"/>
                <w:sz w:val="18"/>
                <w:szCs w:val="18"/>
                <w:color w:val="FFFFFF"/>
              </w:rPr>
              <w:t>2023</w:t>
            </w:r>
          </w:p>
        </w:tc>
      </w:tr>
      <w:tr>
        <w:trPr>
          <w:trHeight w:val="203"/>
        </w:trPr>
        <w:tc>
          <w:tcPr>
            <w:tcW w:w="6540" w:type="dxa"/>
            <w:vAlign w:val="bottom"/>
            <w:tcBorders>
              <w:right w:val="single" w:sz="8" w:color="007CBA"/>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Revenues</w:t>
            </w:r>
          </w:p>
        </w:tc>
        <w:tc>
          <w:tcPr>
            <w:tcW w:w="3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007CBA"/>
            </w:tcBorders>
            <w:gridSpan w:val="2"/>
            <w:shd w:val="clear" w:color="auto" w:fill="E5F1F8"/>
          </w:tcPr>
          <w:p>
            <w:pPr>
              <w:jc w:val="right"/>
              <w:ind w:right="140"/>
              <w:spacing w:after="0" w:line="202" w:lineRule="exact"/>
              <w:rPr>
                <w:sz w:val="20"/>
                <w:szCs w:val="20"/>
                <w:color w:val="auto"/>
              </w:rPr>
            </w:pPr>
            <w:r>
              <w:rPr>
                <w:rFonts w:ascii="Arial" w:cs="Arial" w:eastAsia="Arial" w:hAnsi="Arial"/>
                <w:sz w:val="18"/>
                <w:szCs w:val="18"/>
                <w:b w:val="1"/>
                <w:bCs w:val="1"/>
                <w:color w:val="auto"/>
              </w:rPr>
              <w:t>845</w:t>
            </w:r>
          </w:p>
        </w:tc>
        <w:tc>
          <w:tcPr>
            <w:tcW w:w="3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874</w:t>
            </w:r>
          </w:p>
        </w:tc>
        <w:tc>
          <w:tcPr>
            <w:tcW w:w="42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1,021</w:t>
            </w:r>
          </w:p>
        </w:tc>
      </w:tr>
      <w:tr>
        <w:trPr>
          <w:trHeight w:val="203"/>
        </w:trPr>
        <w:tc>
          <w:tcPr>
            <w:tcW w:w="654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633</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632</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745</w:t>
            </w:r>
          </w:p>
        </w:tc>
      </w:tr>
      <w:tr>
        <w:trPr>
          <w:trHeight w:val="196"/>
        </w:trPr>
        <w:tc>
          <w:tcPr>
            <w:tcW w:w="654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212</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242</w:t>
            </w:r>
          </w:p>
        </w:tc>
        <w:tc>
          <w:tcPr>
            <w:tcW w:w="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276</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tcBorders>
              <w:right w:val="single" w:sz="8" w:color="E5F1F8"/>
            </w:tcBorders>
            <w:shd w:val="clear" w:color="auto" w:fill="E5F1F8"/>
          </w:tcPr>
          <w:p>
            <w:pPr>
              <w:spacing w:after="0"/>
              <w:rPr>
                <w:sz w:val="15"/>
                <w:szCs w:val="15"/>
                <w:color w:val="auto"/>
              </w:rPr>
            </w:pPr>
          </w:p>
        </w:tc>
        <w:tc>
          <w:tcPr>
            <w:tcW w:w="100" w:type="dxa"/>
            <w:vAlign w:val="bottom"/>
            <w:tcBorders>
              <w:right w:val="single" w:sz="8" w:color="007CBA"/>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120" w:type="dxa"/>
            <w:vAlign w:val="bottom"/>
            <w:tcBorders>
              <w:right w:val="single" w:sz="8" w:color="E5F1F8"/>
            </w:tcBorders>
            <w:shd w:val="clear" w:color="auto" w:fill="E5F1F8"/>
          </w:tcPr>
          <w:p>
            <w:pPr>
              <w:spacing w:after="0"/>
              <w:rPr>
                <w:sz w:val="15"/>
                <w:szCs w:val="15"/>
                <w:color w:val="auto"/>
              </w:rPr>
            </w:pPr>
          </w:p>
        </w:tc>
        <w:tc>
          <w:tcPr>
            <w:tcW w:w="120" w:type="dxa"/>
            <w:vAlign w:val="bottom"/>
            <w:tcBorders>
              <w:right w:val="single" w:sz="8" w:color="007CBA"/>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16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120" w:type="dxa"/>
            <w:vAlign w:val="bottom"/>
            <w:shd w:val="clear" w:color="auto" w:fill="E5F1F8"/>
          </w:tcPr>
          <w:p>
            <w:pPr>
              <w:spacing w:after="0"/>
              <w:rPr>
                <w:sz w:val="15"/>
                <w:szCs w:val="15"/>
                <w:color w:val="auto"/>
              </w:rPr>
            </w:pPr>
          </w:p>
        </w:tc>
      </w:tr>
      <w:tr>
        <w:trPr>
          <w:trHeight w:val="203"/>
        </w:trPr>
        <w:tc>
          <w:tcPr>
            <w:tcW w:w="6540" w:type="dxa"/>
            <w:vAlign w:val="bottom"/>
            <w:tcBorders>
              <w:right w:val="single" w:sz="8" w:color="007CBA"/>
            </w:tcBorders>
            <w:gridSpan w:val="2"/>
          </w:tcPr>
          <w:p>
            <w:pPr>
              <w:ind w:left="60"/>
              <w:spacing w:after="0" w:line="202" w:lineRule="exact"/>
              <w:rPr>
                <w:sz w:val="20"/>
                <w:szCs w:val="20"/>
                <w:color w:val="auto"/>
              </w:rPr>
            </w:pPr>
            <w:r>
              <w:rPr>
                <w:rFonts w:ascii="Arial" w:cs="Arial" w:eastAsia="Arial" w:hAnsi="Arial"/>
                <w:sz w:val="18"/>
                <w:szCs w:val="18"/>
                <w:color w:val="auto"/>
              </w:rPr>
              <w:t>Pretax earnings from operations</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007CBA"/>
            </w:tcBorders>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189</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231</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250</w:t>
            </w:r>
          </w:p>
        </w:tc>
      </w:tr>
      <w:tr>
        <w:trPr>
          <w:trHeight w:val="202"/>
        </w:trPr>
        <w:tc>
          <w:tcPr>
            <w:tcW w:w="6540" w:type="dxa"/>
            <w:vAlign w:val="bottom"/>
            <w:tcBorders>
              <w:bottom w:val="single" w:sz="8" w:color="auto"/>
              <w:right w:val="single" w:sz="8" w:color="E5F1F8"/>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Pretax loss on divestitures and sales of assets</w:t>
            </w:r>
          </w:p>
        </w:tc>
        <w:tc>
          <w:tcPr>
            <w:tcW w:w="380" w:type="dxa"/>
            <w:vAlign w:val="bottom"/>
            <w:tcBorders>
              <w:bottom w:val="single" w:sz="8" w:color="auto"/>
            </w:tcBorders>
            <w:shd w:val="clear" w:color="auto" w:fill="E5F1F8"/>
          </w:tcPr>
          <w:p>
            <w:pPr>
              <w:spacing w:after="0"/>
              <w:rPr>
                <w:sz w:val="17"/>
                <w:szCs w:val="17"/>
                <w:color w:val="auto"/>
              </w:rPr>
            </w:pPr>
          </w:p>
        </w:tc>
        <w:tc>
          <w:tcPr>
            <w:tcW w:w="1240" w:type="dxa"/>
            <w:vAlign w:val="bottom"/>
            <w:tcBorders>
              <w:bottom w:val="single" w:sz="8" w:color="auto"/>
              <w:right w:val="single" w:sz="8" w:color="E5F1F8"/>
            </w:tcBorders>
            <w:gridSpan w:val="2"/>
            <w:shd w:val="clear" w:color="auto" w:fill="E5F1F8"/>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(24)</w:t>
            </w:r>
          </w:p>
        </w:tc>
      </w:tr>
      <w:tr>
        <w:trPr>
          <w:trHeight w:val="196"/>
        </w:trPr>
        <w:tc>
          <w:tcPr>
            <w:tcW w:w="6540" w:type="dxa"/>
            <w:vAlign w:val="bottom"/>
            <w:tcBorders>
              <w:right w:val="single" w:sz="8" w:color="007CBA"/>
            </w:tcBorders>
            <w:gridSpan w:val="2"/>
          </w:tcPr>
          <w:p>
            <w:pPr>
              <w:ind w:left="60"/>
              <w:spacing w:after="0" w:line="196" w:lineRule="exact"/>
              <w:rPr>
                <w:sz w:val="20"/>
                <w:szCs w:val="20"/>
                <w:color w:val="auto"/>
              </w:rPr>
            </w:pPr>
            <w:r>
              <w:rPr>
                <w:rFonts w:ascii="Arial" w:cs="Arial" w:eastAsia="Arial" w:hAnsi="Arial"/>
                <w:sz w:val="18"/>
                <w:szCs w:val="18"/>
                <w:color w:val="auto"/>
              </w:rPr>
              <w:t>Pretax earnings</w:t>
            </w:r>
          </w:p>
        </w:tc>
        <w:tc>
          <w:tcPr>
            <w:tcW w:w="380" w:type="dxa"/>
            <w:vAlign w:val="bottom"/>
          </w:tcPr>
          <w:p>
            <w:pPr>
              <w:spacing w:after="0"/>
              <w:rPr>
                <w:sz w:val="17"/>
                <w:szCs w:val="17"/>
                <w:color w:val="auto"/>
              </w:rPr>
            </w:pPr>
          </w:p>
        </w:tc>
        <w:tc>
          <w:tcPr>
            <w:tcW w:w="1240" w:type="dxa"/>
            <w:vAlign w:val="bottom"/>
            <w:tcBorders>
              <w:right w:val="single" w:sz="8" w:color="007CBA"/>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189</w:t>
            </w:r>
          </w:p>
        </w:tc>
        <w:tc>
          <w:tcPr>
            <w:tcW w:w="380" w:type="dxa"/>
            <w:vAlign w:val="bottom"/>
          </w:tcPr>
          <w:p>
            <w:pPr>
              <w:spacing w:after="0"/>
              <w:rPr>
                <w:sz w:val="17"/>
                <w:szCs w:val="17"/>
                <w:color w:val="auto"/>
              </w:rPr>
            </w:pPr>
          </w:p>
        </w:tc>
        <w:tc>
          <w:tcPr>
            <w:tcW w:w="116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color w:val="auto"/>
              </w:rPr>
              <w:t>231</w:t>
            </w:r>
          </w:p>
        </w:tc>
        <w:tc>
          <w:tcPr>
            <w:tcW w:w="420" w:type="dxa"/>
            <w:vAlign w:val="bottom"/>
          </w:tcPr>
          <w:p>
            <w:pPr>
              <w:spacing w:after="0"/>
              <w:rPr>
                <w:sz w:val="17"/>
                <w:szCs w:val="17"/>
                <w:color w:val="auto"/>
              </w:rPr>
            </w:pPr>
          </w:p>
        </w:tc>
        <w:tc>
          <w:tcPr>
            <w:tcW w:w="11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226</w:t>
            </w:r>
          </w:p>
        </w:tc>
      </w:tr>
      <w:tr>
        <w:trPr>
          <w:trHeight w:val="203"/>
        </w:trPr>
        <w:tc>
          <w:tcPr>
            <w:tcW w:w="6540" w:type="dxa"/>
            <w:vAlign w:val="bottom"/>
            <w:tcBorders>
              <w:bottom w:val="single" w:sz="8" w:color="auto"/>
              <w:right w:val="single" w:sz="8" w:color="E5F1F8"/>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F1F8"/>
          </w:tcPr>
          <w:p>
            <w:pPr>
              <w:spacing w:after="0"/>
              <w:rPr>
                <w:sz w:val="17"/>
                <w:szCs w:val="17"/>
                <w:color w:val="auto"/>
              </w:rPr>
            </w:pPr>
          </w:p>
        </w:tc>
        <w:tc>
          <w:tcPr>
            <w:tcW w:w="1240" w:type="dxa"/>
            <w:vAlign w:val="bottom"/>
            <w:tcBorders>
              <w:bottom w:val="single" w:sz="8" w:color="auto"/>
              <w:right w:val="single" w:sz="8" w:color="E5F1F8"/>
            </w:tcBorders>
            <w:gridSpan w:val="2"/>
            <w:shd w:val="clear" w:color="auto" w:fill="E5F1F8"/>
          </w:tcPr>
          <w:p>
            <w:pPr>
              <w:jc w:val="right"/>
              <w:ind w:right="140"/>
              <w:spacing w:after="0" w:line="202" w:lineRule="exact"/>
              <w:rPr>
                <w:sz w:val="20"/>
                <w:szCs w:val="20"/>
                <w:color w:val="auto"/>
              </w:rPr>
            </w:pPr>
            <w:r>
              <w:rPr>
                <w:rFonts w:ascii="Arial" w:cs="Arial" w:eastAsia="Arial" w:hAnsi="Arial"/>
                <w:sz w:val="18"/>
                <w:szCs w:val="18"/>
                <w:b w:val="1"/>
                <w:bCs w:val="1"/>
                <w:color w:val="auto"/>
              </w:rPr>
              <w:t>42</w:t>
            </w:r>
          </w:p>
        </w:tc>
        <w:tc>
          <w:tcPr>
            <w:tcW w:w="38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51</w:t>
            </w:r>
          </w:p>
        </w:tc>
        <w:tc>
          <w:tcPr>
            <w:tcW w:w="42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48</w:t>
            </w:r>
          </w:p>
        </w:tc>
      </w:tr>
      <w:tr>
        <w:trPr>
          <w:trHeight w:val="177"/>
        </w:trPr>
        <w:tc>
          <w:tcPr>
            <w:tcW w:w="6540" w:type="dxa"/>
            <w:vAlign w:val="bottom"/>
            <w:gridSpan w:val="2"/>
          </w:tcPr>
          <w:p>
            <w:pPr>
              <w:ind w:left="60"/>
              <w:spacing w:after="0" w:line="177" w:lineRule="exact"/>
              <w:rPr>
                <w:sz w:val="20"/>
                <w:szCs w:val="20"/>
                <w:color w:val="auto"/>
              </w:rPr>
            </w:pPr>
            <w:r>
              <w:rPr>
                <w:rFonts w:ascii="Arial" w:cs="Arial" w:eastAsia="Arial" w:hAnsi="Arial"/>
                <w:sz w:val="18"/>
                <w:szCs w:val="18"/>
                <w:color w:val="auto"/>
              </w:rPr>
              <w:t>Earnings from discontinued operations, net of income tax</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65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expense</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147</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0"/>
        </w:trPr>
        <w:tc>
          <w:tcPr>
            <w:tcW w:w="6540" w:type="dxa"/>
            <w:vAlign w:val="bottom"/>
            <w:gridSpan w:val="2"/>
          </w:tcPr>
          <w:p>
            <w:pPr>
              <w:spacing w:after="0"/>
              <w:rPr>
                <w:sz w:val="20"/>
                <w:szCs w:val="20"/>
                <w:color w:val="auto"/>
              </w:rPr>
            </w:pPr>
            <w:r>
              <w:rPr>
                <w:rFonts w:ascii="Arial" w:cs="Arial" w:eastAsia="Arial" w:hAnsi="Arial"/>
                <w:sz w:val="18"/>
                <w:szCs w:val="18"/>
                <w:color w:val="auto"/>
              </w:rPr>
              <w:t>Cash flow information for the Company's discontinued operations is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0"/>
        </w:trPr>
        <w:tc>
          <w:tcPr>
            <w:tcW w:w="6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84"/>
        </w:trPr>
        <w:tc>
          <w:tcPr>
            <w:tcW w:w="6540" w:type="dxa"/>
            <w:vAlign w:val="bottom"/>
            <w:tcBorders>
              <w:right w:val="single" w:sz="8" w:color="007CBA"/>
            </w:tcBorders>
            <w:gridSpan w:val="2"/>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380" w:type="dxa"/>
            <w:vAlign w:val="bottom"/>
            <w:shd w:val="clear" w:color="auto" w:fill="007CBA"/>
          </w:tcPr>
          <w:p>
            <w:pPr>
              <w:spacing w:after="0"/>
              <w:rPr>
                <w:sz w:val="15"/>
                <w:szCs w:val="15"/>
                <w:color w:val="auto"/>
              </w:rPr>
            </w:pPr>
          </w:p>
        </w:tc>
        <w:tc>
          <w:tcPr>
            <w:tcW w:w="1120" w:type="dxa"/>
            <w:vAlign w:val="bottom"/>
            <w:tcBorders>
              <w:right w:val="single" w:sz="8" w:color="007CBA"/>
            </w:tcBorders>
            <w:shd w:val="clear" w:color="auto" w:fill="007CBA"/>
          </w:tcPr>
          <w:p>
            <w:pPr>
              <w:spacing w:after="0"/>
              <w:rPr>
                <w:sz w:val="15"/>
                <w:szCs w:val="15"/>
                <w:color w:val="auto"/>
              </w:rPr>
            </w:pPr>
          </w:p>
        </w:tc>
        <w:tc>
          <w:tcPr>
            <w:tcW w:w="120" w:type="dxa"/>
            <w:vAlign w:val="bottom"/>
            <w:tcBorders>
              <w:right w:val="single" w:sz="8" w:color="007CBA"/>
            </w:tcBorders>
            <w:shd w:val="clear" w:color="auto" w:fill="007CBA"/>
          </w:tcPr>
          <w:p>
            <w:pPr>
              <w:spacing w:after="0"/>
              <w:rPr>
                <w:sz w:val="15"/>
                <w:szCs w:val="15"/>
                <w:color w:val="auto"/>
              </w:rPr>
            </w:pPr>
          </w:p>
        </w:tc>
        <w:tc>
          <w:tcPr>
            <w:tcW w:w="38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120" w:type="dxa"/>
            <w:vAlign w:val="bottom"/>
            <w:shd w:val="clear" w:color="auto" w:fill="007CBA"/>
          </w:tcPr>
          <w:p>
            <w:pPr>
              <w:spacing w:after="0"/>
              <w:rPr>
                <w:sz w:val="15"/>
                <w:szCs w:val="15"/>
                <w:color w:val="auto"/>
              </w:rPr>
            </w:pPr>
          </w:p>
        </w:tc>
      </w:tr>
      <w:tr>
        <w:trPr>
          <w:trHeight w:val="221"/>
        </w:trPr>
        <w:tc>
          <w:tcPr>
            <w:tcW w:w="6540" w:type="dxa"/>
            <w:vAlign w:val="bottom"/>
            <w:tcBorders>
              <w:right w:val="single" w:sz="8" w:color="007CBA"/>
            </w:tcBorders>
            <w:gridSpan w:val="2"/>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1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color w:val="FFFFFF"/>
              </w:rPr>
              <w:t>2024</w:t>
            </w:r>
          </w:p>
        </w:tc>
        <w:tc>
          <w:tcPr>
            <w:tcW w:w="420" w:type="dxa"/>
            <w:vAlign w:val="bottom"/>
            <w:shd w:val="clear" w:color="auto" w:fill="007CBA"/>
          </w:tcPr>
          <w:p>
            <w:pPr>
              <w:spacing w:after="0"/>
              <w:rPr>
                <w:sz w:val="19"/>
                <w:szCs w:val="19"/>
                <w:color w:val="auto"/>
              </w:rPr>
            </w:pPr>
          </w:p>
        </w:tc>
        <w:tc>
          <w:tcPr>
            <w:tcW w:w="112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54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187</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232</w:t>
            </w:r>
          </w:p>
        </w:tc>
        <w:tc>
          <w:tcPr>
            <w:tcW w:w="4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221</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4"/>
        </w:trPr>
        <w:tc>
          <w:tcPr>
            <w:tcW w:w="6440" w:type="dxa"/>
            <w:vAlign w:val="bottom"/>
            <w:tcBorders>
              <w:right w:val="single" w:sz="8" w:color="007CBA"/>
            </w:tcBorders>
          </w:tcPr>
          <w:p>
            <w:pPr>
              <w:ind w:left="60"/>
              <w:spacing w:after="0" w:line="164" w:lineRule="exact"/>
              <w:rPr>
                <w:sz w:val="20"/>
                <w:szCs w:val="20"/>
                <w:color w:val="auto"/>
              </w:rPr>
            </w:pPr>
            <w:r>
              <w:rPr>
                <w:rFonts w:ascii="Arial" w:cs="Arial" w:eastAsia="Arial" w:hAnsi="Arial"/>
                <w:sz w:val="18"/>
                <w:szCs w:val="18"/>
                <w:color w:val="auto"/>
              </w:rPr>
              <w:t>Additions to property, plant and equipment</w:t>
            </w:r>
          </w:p>
        </w:tc>
        <w:tc>
          <w:tcPr>
            <w:tcW w:w="100" w:type="dxa"/>
            <w:vAlign w:val="bottom"/>
          </w:tcPr>
          <w:p>
            <w:pPr>
              <w:spacing w:after="0"/>
              <w:rPr>
                <w:sz w:val="14"/>
                <w:szCs w:val="14"/>
                <w:color w:val="auto"/>
              </w:rPr>
            </w:pPr>
          </w:p>
        </w:tc>
        <w:tc>
          <w:tcPr>
            <w:tcW w:w="380" w:type="dxa"/>
            <w:vAlign w:val="bottom"/>
          </w:tcPr>
          <w:p>
            <w:pPr>
              <w:jc w:val="right"/>
              <w:ind w:right="130"/>
              <w:spacing w:after="0" w:line="164" w:lineRule="exact"/>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spacing w:after="0" w:line="164" w:lineRule="exact"/>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14"/>
                <w:szCs w:val="14"/>
                <w:color w:val="auto"/>
              </w:rPr>
            </w:pPr>
          </w:p>
        </w:tc>
        <w:tc>
          <w:tcPr>
            <w:tcW w:w="380" w:type="dxa"/>
            <w:vAlign w:val="bottom"/>
          </w:tcPr>
          <w:p>
            <w:pPr>
              <w:jc w:val="right"/>
              <w:ind w:right="150"/>
              <w:spacing w:after="0" w:line="164"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30"/>
              <w:spacing w:after="0" w:line="164" w:lineRule="exact"/>
              <w:rPr>
                <w:sz w:val="20"/>
                <w:szCs w:val="20"/>
                <w:color w:val="auto"/>
              </w:rPr>
            </w:pPr>
            <w:r>
              <w:rPr>
                <w:rFonts w:ascii="Arial" w:cs="Arial" w:eastAsia="Arial" w:hAnsi="Arial"/>
                <w:sz w:val="18"/>
                <w:szCs w:val="18"/>
                <w:color w:val="auto"/>
              </w:rPr>
              <w:t>(100)</w:t>
            </w:r>
          </w:p>
        </w:tc>
        <w:tc>
          <w:tcPr>
            <w:tcW w:w="420" w:type="dxa"/>
            <w:vAlign w:val="bottom"/>
          </w:tcPr>
          <w:p>
            <w:pPr>
              <w:jc w:val="right"/>
              <w:ind w:right="130"/>
              <w:spacing w:after="0" w:line="164"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64" w:lineRule="exact"/>
              <w:rPr>
                <w:sz w:val="20"/>
                <w:szCs w:val="20"/>
                <w:color w:val="auto"/>
              </w:rPr>
            </w:pPr>
            <w:r>
              <w:rPr>
                <w:rFonts w:ascii="Arial" w:cs="Arial" w:eastAsia="Arial" w:hAnsi="Arial"/>
                <w:sz w:val="18"/>
                <w:szCs w:val="18"/>
                <w:color w:val="auto"/>
              </w:rPr>
              <w:t>(102)</w:t>
            </w:r>
          </w:p>
        </w:tc>
      </w:tr>
      <w:tr>
        <w:trPr>
          <w:trHeight w:val="221"/>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2"/>
        </w:trPr>
        <w:tc>
          <w:tcPr>
            <w:tcW w:w="64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Proceeds from divestitures and sales of assets</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376</w:t>
            </w:r>
          </w:p>
        </w:tc>
      </w:tr>
      <w:tr>
        <w:trPr>
          <w:trHeight w:val="196"/>
        </w:trPr>
        <w:tc>
          <w:tcPr>
            <w:tcW w:w="654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Net cash (used for) provided by investing activities</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(118)</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274</w:t>
            </w:r>
          </w:p>
        </w:tc>
      </w:tr>
      <w:tr>
        <w:trPr>
          <w:trHeight w:val="20"/>
        </w:trPr>
        <w:tc>
          <w:tcPr>
            <w:tcW w:w="65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54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50"/>
              <w:spacing w:after="0" w:line="18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-2652395</wp:posOffset>
            </wp:positionV>
            <wp:extent cx="33655" cy="3168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-2652395</wp:posOffset>
            </wp:positionV>
            <wp:extent cx="34290" cy="316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-2652395</wp:posOffset>
            </wp:positionV>
            <wp:extent cx="33655" cy="3168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-2103755</wp:posOffset>
            </wp:positionV>
            <wp:extent cx="33655"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-2103755</wp:posOffset>
            </wp:positionV>
            <wp:extent cx="34290" cy="162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-2103755</wp:posOffset>
            </wp:positionV>
            <wp:extent cx="33655"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-1838325</wp:posOffset>
            </wp:positionV>
            <wp:extent cx="33655" cy="4457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-1838325</wp:posOffset>
            </wp:positionV>
            <wp:extent cx="34290" cy="4457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-1838325</wp:posOffset>
            </wp:positionV>
            <wp:extent cx="33655" cy="4457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-869315</wp:posOffset>
            </wp:positionV>
            <wp:extent cx="33655" cy="1797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-869315</wp:posOffset>
            </wp:positionV>
            <wp:extent cx="33655" cy="1797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-869315</wp:posOffset>
            </wp:positionV>
            <wp:extent cx="34290" cy="1797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-457835</wp:posOffset>
            </wp:positionV>
            <wp:extent cx="33655" cy="4711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-457835</wp:posOffset>
            </wp:positionV>
            <wp:extent cx="33655" cy="4711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-457835</wp:posOffset>
            </wp:positionV>
            <wp:extent cx="34290" cy="4711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7117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Assets and Liabilities Held for Sale</w:t>
      </w:r>
    </w:p>
    <w:p>
      <w:pPr>
        <w:spacing w:after="0" w:line="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Assets and liabilities held for sale at December 31, 2025 and 2024 included the Company's Midlothian cement plant, related cement distribution terminals, Texas ready mixed concrete plants and certain nonoperating land.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r>
              <w:rPr>
                <w:rFonts w:ascii="Arial" w:cs="Arial" w:eastAsia="Arial" w:hAnsi="Arial"/>
                <w:sz w:val="18"/>
                <w:szCs w:val="18"/>
                <w:color w:val="auto"/>
              </w:rPr>
              <w:t>Assets and liabilities held for sale are as follows: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7"/>
        </w:trPr>
        <w:tc>
          <w:tcPr>
            <w:tcW w:w="6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97"/>
        </w:trPr>
        <w:tc>
          <w:tcPr>
            <w:tcW w:w="644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jc w:val="center"/>
              <w:ind w:right="170"/>
              <w:spacing w:after="0" w:line="197" w:lineRule="exact"/>
              <w:rPr>
                <w:sz w:val="20"/>
                <w:szCs w:val="20"/>
                <w:color w:val="auto"/>
              </w:rPr>
            </w:pPr>
            <w:r>
              <w:rPr>
                <w:rFonts w:ascii="Arial" w:cs="Arial" w:eastAsia="Arial" w:hAnsi="Arial"/>
                <w:sz w:val="18"/>
                <w:szCs w:val="18"/>
                <w:b w:val="1"/>
                <w:bCs w:val="1"/>
                <w:color w:val="FFFFFF"/>
                <w:w w:val="99"/>
              </w:rPr>
              <w:t>2025</w:t>
            </w:r>
          </w:p>
        </w:tc>
        <w:tc>
          <w:tcPr>
            <w:tcW w:w="44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03"/>
        </w:trPr>
        <w:tc>
          <w:tcPr>
            <w:tcW w:w="6440" w:type="dxa"/>
            <w:vAlign w:val="bottom"/>
            <w:tcBorders>
              <w:right w:val="single" w:sz="8" w:color="007CBA"/>
            </w:tcBorders>
            <w:shd w:val="clear" w:color="auto" w:fill="007CBA"/>
          </w:tcPr>
          <w:p>
            <w:pPr>
              <w:ind w:left="60"/>
              <w:spacing w:after="0" w:line="202" w:lineRule="exact"/>
              <w:rPr>
                <w:sz w:val="20"/>
                <w:szCs w:val="20"/>
                <w:color w:val="auto"/>
              </w:rPr>
            </w:pPr>
            <w:r>
              <w:rPr>
                <w:rFonts w:ascii="Arial" w:cs="Arial" w:eastAsia="Arial" w:hAnsi="Arial"/>
                <w:sz w:val="18"/>
                <w:szCs w:val="18"/>
                <w:i w:val="1"/>
                <w:iCs w:val="1"/>
                <w:color w:val="FFFFFF"/>
              </w:rPr>
              <w:t>December 31</w:t>
            </w:r>
          </w:p>
        </w:tc>
        <w:tc>
          <w:tcPr>
            <w:tcW w:w="28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jc w:val="right"/>
              <w:ind w:right="250"/>
              <w:spacing w:after="0" w:line="202" w:lineRule="exact"/>
              <w:rPr>
                <w:sz w:val="20"/>
                <w:szCs w:val="20"/>
                <w:color w:val="auto"/>
              </w:rPr>
            </w:pPr>
            <w:r>
              <w:rPr>
                <w:rFonts w:ascii="Arial" w:cs="Arial" w:eastAsia="Arial" w:hAnsi="Arial"/>
                <w:sz w:val="18"/>
                <w:szCs w:val="18"/>
                <w:b w:val="1"/>
                <w:bCs w:val="1"/>
                <w:color w:val="FFFFFF"/>
              </w:rPr>
              <w:t>Continuing</w:t>
            </w:r>
          </w:p>
        </w:tc>
        <w:tc>
          <w:tcPr>
            <w:tcW w:w="1600" w:type="dxa"/>
            <w:vAlign w:val="bottom"/>
            <w:tcBorders>
              <w:right w:val="single" w:sz="8" w:color="007CBA"/>
            </w:tcBorders>
            <w:gridSpan w:val="2"/>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Discontinued</w:t>
            </w:r>
          </w:p>
        </w:tc>
        <w:tc>
          <w:tcPr>
            <w:tcW w:w="44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21"/>
        </w:trPr>
        <w:tc>
          <w:tcPr>
            <w:tcW w:w="64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280" w:type="dxa"/>
            <w:vAlign w:val="bottom"/>
            <w:shd w:val="clear" w:color="auto" w:fill="007CBA"/>
          </w:tcPr>
          <w:p>
            <w:pPr>
              <w:spacing w:after="0"/>
              <w:rPr>
                <w:sz w:val="19"/>
                <w:szCs w:val="19"/>
                <w:color w:val="auto"/>
              </w:rPr>
            </w:pPr>
          </w:p>
        </w:tc>
        <w:tc>
          <w:tcPr>
            <w:tcW w:w="132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rPr>
              <w:t>Operations</w:t>
            </w:r>
          </w:p>
        </w:tc>
        <w:tc>
          <w:tcPr>
            <w:tcW w:w="30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b w:val="1"/>
                <w:bCs w:val="1"/>
                <w:color w:val="FFFFFF"/>
              </w:rPr>
              <w:t>Operations</w:t>
            </w: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70"/>
              <w:spacing w:after="0"/>
              <w:rPr>
                <w:sz w:val="20"/>
                <w:szCs w:val="20"/>
                <w:color w:val="auto"/>
              </w:rPr>
            </w:pPr>
            <w:r>
              <w:rPr>
                <w:rFonts w:ascii="Arial" w:cs="Arial" w:eastAsia="Arial" w:hAnsi="Arial"/>
                <w:sz w:val="18"/>
                <w:szCs w:val="18"/>
                <w:b w:val="1"/>
                <w:bCs w:val="1"/>
                <w:color w:val="FFFFFF"/>
              </w:rPr>
              <w:t>Total</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Inventories, net</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98</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98</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Investment land</w:t>
            </w:r>
          </w:p>
        </w:tc>
        <w:tc>
          <w:tcPr>
            <w:tcW w:w="28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11</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7"/>
                <w:szCs w:val="17"/>
                <w:color w:val="auto"/>
              </w:rPr>
            </w:pPr>
          </w:p>
        </w:tc>
        <w:tc>
          <w:tcPr>
            <w:tcW w:w="13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3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486</w:t>
            </w:r>
          </w:p>
        </w:tc>
        <w:tc>
          <w:tcPr>
            <w:tcW w:w="44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486</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374</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374</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Intangible assets, excluding goodwill</w:t>
            </w:r>
          </w:p>
        </w:tc>
        <w:tc>
          <w:tcPr>
            <w:tcW w:w="280" w:type="dxa"/>
            <w:vAlign w:val="bottom"/>
          </w:tcPr>
          <w:p>
            <w:pPr>
              <w:spacing w:after="0"/>
              <w:rPr>
                <w:sz w:val="17"/>
                <w:szCs w:val="17"/>
                <w:color w:val="auto"/>
              </w:rPr>
            </w:pPr>
          </w:p>
        </w:tc>
        <w:tc>
          <w:tcPr>
            <w:tcW w:w="13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3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249</w:t>
            </w:r>
          </w:p>
        </w:tc>
        <w:tc>
          <w:tcPr>
            <w:tcW w:w="44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249</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r>
      <w:tr>
        <w:trPr>
          <w:trHeight w:val="203"/>
        </w:trPr>
        <w:tc>
          <w:tcPr>
            <w:tcW w:w="64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644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current assets held for sale</w:t>
            </w:r>
          </w:p>
        </w:tc>
        <w:tc>
          <w:tcPr>
            <w:tcW w:w="28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11</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1,219</w:t>
            </w:r>
          </w:p>
        </w:tc>
        <w:tc>
          <w:tcPr>
            <w:tcW w:w="44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1,230</w:t>
            </w:r>
          </w:p>
        </w:tc>
      </w:tr>
      <w:tr>
        <w:trPr>
          <w:trHeight w:val="183"/>
        </w:trPr>
        <w:tc>
          <w:tcPr>
            <w:tcW w:w="6440" w:type="dxa"/>
            <w:vAlign w:val="bottom"/>
            <w:tcBorders>
              <w:right w:val="single" w:sz="8" w:color="007CBA"/>
            </w:tcBorders>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1320" w:type="dxa"/>
            <w:vAlign w:val="bottom"/>
            <w:tcBorders>
              <w:right w:val="single" w:sz="8" w:color="007CBA"/>
            </w:tcBorders>
            <w:shd w:val="clear" w:color="auto" w:fill="E5F1F8"/>
          </w:tcPr>
          <w:p>
            <w:pPr>
              <w:spacing w:after="0"/>
              <w:rPr>
                <w:sz w:val="15"/>
                <w:szCs w:val="15"/>
                <w:color w:val="auto"/>
              </w:rPr>
            </w:pPr>
          </w:p>
        </w:tc>
        <w:tc>
          <w:tcPr>
            <w:tcW w:w="300" w:type="dxa"/>
            <w:vAlign w:val="bottom"/>
            <w:shd w:val="clear" w:color="auto" w:fill="E5F1F8"/>
          </w:tcPr>
          <w:p>
            <w:pPr>
              <w:spacing w:after="0"/>
              <w:rPr>
                <w:sz w:val="15"/>
                <w:szCs w:val="15"/>
                <w:color w:val="auto"/>
              </w:rPr>
            </w:pPr>
          </w:p>
        </w:tc>
        <w:tc>
          <w:tcPr>
            <w:tcW w:w="1300" w:type="dxa"/>
            <w:vAlign w:val="bottom"/>
            <w:tcBorders>
              <w:right w:val="single" w:sz="8" w:color="007CBA"/>
            </w:tcBorders>
            <w:shd w:val="clear" w:color="auto" w:fill="E5F1F8"/>
          </w:tcPr>
          <w:p>
            <w:pPr>
              <w:spacing w:after="0"/>
              <w:rPr>
                <w:sz w:val="15"/>
                <w:szCs w:val="15"/>
                <w:color w:val="auto"/>
              </w:rPr>
            </w:pPr>
          </w:p>
        </w:tc>
        <w:tc>
          <w:tcPr>
            <w:tcW w:w="440" w:type="dxa"/>
            <w:vAlign w:val="bottom"/>
            <w:shd w:val="clear" w:color="auto" w:fill="E5F1F8"/>
          </w:tcPr>
          <w:p>
            <w:pPr>
              <w:spacing w:after="0"/>
              <w:rPr>
                <w:sz w:val="15"/>
                <w:szCs w:val="15"/>
                <w:color w:val="auto"/>
              </w:rPr>
            </w:pPr>
          </w:p>
        </w:tc>
        <w:tc>
          <w:tcPr>
            <w:tcW w:w="1160" w:type="dxa"/>
            <w:vAlign w:val="bottom"/>
            <w:shd w:val="clear" w:color="auto" w:fill="E5F1F8"/>
          </w:tcPr>
          <w:p>
            <w:pPr>
              <w:spacing w:after="0"/>
              <w:rPr>
                <w:sz w:val="15"/>
                <w:szCs w:val="15"/>
                <w:color w:val="auto"/>
              </w:rPr>
            </w:pP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Lease obligations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22</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w:t>
            </w:r>
          </w:p>
        </w:tc>
      </w:tr>
      <w:tr>
        <w:trPr>
          <w:trHeight w:val="203"/>
        </w:trPr>
        <w:tc>
          <w:tcPr>
            <w:tcW w:w="64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E5F1F8"/>
          </w:tcPr>
          <w:p>
            <w:pPr>
              <w:spacing w:after="0"/>
              <w:rPr>
                <w:sz w:val="17"/>
                <w:szCs w:val="17"/>
                <w:color w:val="auto"/>
              </w:rPr>
            </w:pPr>
          </w:p>
        </w:tc>
        <w:tc>
          <w:tcPr>
            <w:tcW w:w="132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F1F8"/>
          </w:tcPr>
          <w:p>
            <w:pPr>
              <w:spacing w:after="0"/>
              <w:rPr>
                <w:sz w:val="17"/>
                <w:szCs w:val="17"/>
                <w:color w:val="auto"/>
              </w:rPr>
            </w:pPr>
          </w:p>
        </w:tc>
        <w:tc>
          <w:tcPr>
            <w:tcW w:w="13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12</w:t>
            </w:r>
          </w:p>
        </w:tc>
        <w:tc>
          <w:tcPr>
            <w:tcW w:w="44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12</w:t>
            </w:r>
          </w:p>
        </w:tc>
      </w:tr>
      <w:tr>
        <w:trPr>
          <w:trHeight w:val="196"/>
        </w:trPr>
        <w:tc>
          <w:tcPr>
            <w:tcW w:w="64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 current liabilities held for sale</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34</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34</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196850</wp:posOffset>
            </wp:positionV>
            <wp:extent cx="325755" cy="1974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-1877060</wp:posOffset>
            </wp:positionV>
            <wp:extent cx="30518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-852170</wp:posOffset>
            </wp:positionV>
            <wp:extent cx="33655" cy="3168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-852170</wp:posOffset>
            </wp:positionV>
            <wp:extent cx="33655" cy="3168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-852170</wp:posOffset>
            </wp:positionV>
            <wp:extent cx="34290" cy="3168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-303530</wp:posOffset>
            </wp:positionV>
            <wp:extent cx="33655" cy="3168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-303530</wp:posOffset>
            </wp:positionV>
            <wp:extent cx="34290" cy="3168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308"/>
        </w:trPr>
        <w:tc>
          <w:tcPr>
            <w:tcW w:w="6540" w:type="dxa"/>
            <w:vAlign w:val="bottom"/>
            <w:gridSpan w:val="2"/>
          </w:tcPr>
          <w:p>
            <w:pPr>
              <w:ind w:left="6020"/>
              <w:spacing w:after="0"/>
              <w:rPr>
                <w:sz w:val="20"/>
                <w:szCs w:val="20"/>
                <w:color w:val="auto"/>
              </w:rPr>
            </w:pPr>
            <w:r>
              <w:rPr>
                <w:rFonts w:ascii="Arial" w:cs="Arial" w:eastAsia="Arial" w:hAnsi="Arial"/>
                <w:sz w:val="18"/>
                <w:szCs w:val="18"/>
                <w:color w:val="auto"/>
              </w:rPr>
              <w:t>Part II</w:t>
            </w:r>
          </w:p>
        </w:tc>
        <w:tc>
          <w:tcPr>
            <w:tcW w:w="4700" w:type="dxa"/>
            <w:vAlign w:val="bottom"/>
            <w:gridSpan w:val="8"/>
          </w:tcPr>
          <w:p>
            <w:pPr>
              <w:ind w:left="6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72"/>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7"/>
        </w:trPr>
        <w:tc>
          <w:tcPr>
            <w:tcW w:w="644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jc w:val="center"/>
              <w:ind w:right="130"/>
              <w:spacing w:after="0" w:line="197" w:lineRule="exact"/>
              <w:rPr>
                <w:sz w:val="20"/>
                <w:szCs w:val="20"/>
                <w:color w:val="auto"/>
              </w:rPr>
            </w:pPr>
            <w:r>
              <w:rPr>
                <w:rFonts w:ascii="Arial" w:cs="Arial" w:eastAsia="Arial" w:hAnsi="Arial"/>
                <w:sz w:val="18"/>
                <w:szCs w:val="18"/>
                <w:color w:val="FFFFFF"/>
                <w:w w:val="99"/>
              </w:rPr>
              <w:t>2024</w:t>
            </w:r>
          </w:p>
        </w:tc>
        <w:tc>
          <w:tcPr>
            <w:tcW w:w="160" w:type="dxa"/>
            <w:vAlign w:val="bottom"/>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03"/>
        </w:trPr>
        <w:tc>
          <w:tcPr>
            <w:tcW w:w="6440" w:type="dxa"/>
            <w:vAlign w:val="bottom"/>
            <w:tcBorders>
              <w:right w:val="single" w:sz="8" w:color="007CBA"/>
            </w:tcBorders>
            <w:shd w:val="clear" w:color="auto" w:fill="007CBA"/>
          </w:tcPr>
          <w:p>
            <w:pPr>
              <w:ind w:left="60"/>
              <w:spacing w:after="0" w:line="202" w:lineRule="exact"/>
              <w:rPr>
                <w:sz w:val="20"/>
                <w:szCs w:val="20"/>
                <w:color w:val="auto"/>
              </w:rPr>
            </w:pPr>
            <w:r>
              <w:rPr>
                <w:rFonts w:ascii="Arial" w:cs="Arial" w:eastAsia="Arial" w:hAnsi="Arial"/>
                <w:sz w:val="18"/>
                <w:szCs w:val="18"/>
                <w:i w:val="1"/>
                <w:iCs w:val="1"/>
                <w:color w:val="FFFFFF"/>
              </w:rPr>
              <w:t>December 31</w:t>
            </w:r>
          </w:p>
        </w:tc>
        <w:tc>
          <w:tcPr>
            <w:tcW w:w="100" w:type="dxa"/>
            <w:vAlign w:val="bottom"/>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300" w:type="dxa"/>
            <w:vAlign w:val="bottom"/>
            <w:tcBorders>
              <w:right w:val="single" w:sz="8" w:color="007CBA"/>
            </w:tcBorders>
            <w:shd w:val="clear" w:color="auto" w:fill="007CBA"/>
          </w:tcPr>
          <w:p>
            <w:pPr>
              <w:jc w:val="right"/>
              <w:ind w:right="290"/>
              <w:spacing w:after="0" w:line="202" w:lineRule="exact"/>
              <w:rPr>
                <w:sz w:val="20"/>
                <w:szCs w:val="20"/>
                <w:color w:val="auto"/>
              </w:rPr>
            </w:pPr>
            <w:r>
              <w:rPr>
                <w:rFonts w:ascii="Arial" w:cs="Arial" w:eastAsia="Arial" w:hAnsi="Arial"/>
                <w:sz w:val="18"/>
                <w:szCs w:val="18"/>
                <w:color w:val="FFFFFF"/>
              </w:rPr>
              <w:t>Continuing</w:t>
            </w:r>
          </w:p>
        </w:tc>
        <w:tc>
          <w:tcPr>
            <w:tcW w:w="160" w:type="dxa"/>
            <w:vAlign w:val="bottom"/>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jc w:val="center"/>
              <w:ind w:right="170"/>
              <w:spacing w:after="0" w:line="202" w:lineRule="exact"/>
              <w:rPr>
                <w:sz w:val="20"/>
                <w:szCs w:val="20"/>
                <w:color w:val="auto"/>
              </w:rPr>
            </w:pPr>
            <w:r>
              <w:rPr>
                <w:rFonts w:ascii="Arial" w:cs="Arial" w:eastAsia="Arial" w:hAnsi="Arial"/>
                <w:sz w:val="18"/>
                <w:szCs w:val="18"/>
                <w:color w:val="FFFFFF"/>
                <w:w w:val="99"/>
              </w:rPr>
              <w:t>Discontinued</w:t>
            </w:r>
          </w:p>
        </w:tc>
        <w:tc>
          <w:tcPr>
            <w:tcW w:w="160" w:type="dxa"/>
            <w:vAlign w:val="bottom"/>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21"/>
        </w:trPr>
        <w:tc>
          <w:tcPr>
            <w:tcW w:w="64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100" w:type="dxa"/>
            <w:vAlign w:val="bottom"/>
            <w:shd w:val="clear" w:color="auto" w:fill="007CBA"/>
          </w:tcPr>
          <w:p>
            <w:pPr>
              <w:spacing w:after="0"/>
              <w:rPr>
                <w:sz w:val="19"/>
                <w:szCs w:val="19"/>
                <w:color w:val="auto"/>
              </w:rPr>
            </w:pPr>
          </w:p>
        </w:tc>
        <w:tc>
          <w:tcPr>
            <w:tcW w:w="20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color w:val="FFFFFF"/>
              </w:rPr>
              <w:t>Operations</w:t>
            </w:r>
          </w:p>
        </w:tc>
        <w:tc>
          <w:tcPr>
            <w:tcW w:w="160" w:type="dxa"/>
            <w:vAlign w:val="bottom"/>
            <w:shd w:val="clear" w:color="auto" w:fill="007CBA"/>
          </w:tcPr>
          <w:p>
            <w:pPr>
              <w:spacing w:after="0"/>
              <w:rPr>
                <w:sz w:val="19"/>
                <w:szCs w:val="19"/>
                <w:color w:val="auto"/>
              </w:rPr>
            </w:pPr>
          </w:p>
        </w:tc>
        <w:tc>
          <w:tcPr>
            <w:tcW w:w="10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center"/>
              <w:ind w:right="130"/>
              <w:spacing w:after="0"/>
              <w:rPr>
                <w:sz w:val="20"/>
                <w:szCs w:val="20"/>
                <w:color w:val="auto"/>
              </w:rPr>
            </w:pPr>
            <w:r>
              <w:rPr>
                <w:rFonts w:ascii="Arial" w:cs="Arial" w:eastAsia="Arial" w:hAnsi="Arial"/>
                <w:sz w:val="18"/>
                <w:szCs w:val="18"/>
                <w:color w:val="FFFFFF"/>
                <w:w w:val="99"/>
              </w:rPr>
              <w:t>Operations</w:t>
            </w:r>
          </w:p>
        </w:tc>
        <w:tc>
          <w:tcPr>
            <w:tcW w:w="160" w:type="dxa"/>
            <w:vAlign w:val="bottom"/>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Total</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Investment land</w:t>
            </w:r>
          </w:p>
        </w:tc>
        <w:tc>
          <w:tcPr>
            <w:tcW w:w="100" w:type="dxa"/>
            <w:vAlign w:val="bottom"/>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8</w:t>
            </w:r>
          </w:p>
        </w:tc>
      </w:tr>
      <w:tr>
        <w:trPr>
          <w:trHeight w:val="202"/>
        </w:trPr>
        <w:tc>
          <w:tcPr>
            <w:tcW w:w="654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w:t>
            </w:r>
          </w:p>
        </w:tc>
      </w:tr>
      <w:tr>
        <w:trPr>
          <w:trHeight w:val="236"/>
        </w:trPr>
        <w:tc>
          <w:tcPr>
            <w:tcW w:w="644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current assets held for sale</w:t>
            </w:r>
          </w:p>
        </w:tc>
        <w:tc>
          <w:tcPr>
            <w:tcW w:w="100" w:type="dxa"/>
            <w:vAlign w:val="bottom"/>
            <w:tcBorders>
              <w:bottom w:val="single" w:sz="8" w:color="auto"/>
            </w:tcBorders>
            <w:shd w:val="clear" w:color="auto" w:fill="E5F1F8"/>
          </w:tcPr>
          <w:p>
            <w:pPr>
              <w:spacing w:after="0"/>
              <w:rPr>
                <w:sz w:val="20"/>
                <w:szCs w:val="20"/>
                <w:color w:val="auto"/>
              </w:rPr>
            </w:pPr>
          </w:p>
        </w:tc>
        <w:tc>
          <w:tcPr>
            <w:tcW w:w="200" w:type="dxa"/>
            <w:vAlign w:val="bottom"/>
            <w:tcBorders>
              <w:bottom w:val="single" w:sz="8" w:color="auto"/>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gridSpan w:val="2"/>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gridSpan w:val="2"/>
            <w:shd w:val="clear" w:color="auto" w:fill="E5F1F8"/>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15</w:t>
            </w:r>
          </w:p>
        </w:tc>
      </w:tr>
      <w:tr>
        <w:trPr>
          <w:trHeight w:val="183"/>
        </w:trPr>
        <w:tc>
          <w:tcPr>
            <w:tcW w:w="6440" w:type="dxa"/>
            <w:vAlign w:val="bottom"/>
            <w:tcBorders>
              <w:right w:val="single" w:sz="8" w:color="007CBA"/>
            </w:tcBorders>
            <w:shd w:val="clear" w:color="auto" w:fill="E5F1F8"/>
          </w:tcPr>
          <w:p>
            <w:pPr>
              <w:spacing w:after="0"/>
              <w:rPr>
                <w:sz w:val="15"/>
                <w:szCs w:val="15"/>
                <w:color w:val="auto"/>
              </w:rPr>
            </w:pPr>
          </w:p>
        </w:tc>
        <w:tc>
          <w:tcPr>
            <w:tcW w:w="100" w:type="dxa"/>
            <w:vAlign w:val="bottom"/>
            <w:shd w:val="clear" w:color="auto" w:fill="E5F1F8"/>
          </w:tcPr>
          <w:p>
            <w:pPr>
              <w:spacing w:after="0"/>
              <w:rPr>
                <w:sz w:val="15"/>
                <w:szCs w:val="15"/>
                <w:color w:val="auto"/>
              </w:rPr>
            </w:pPr>
          </w:p>
        </w:tc>
        <w:tc>
          <w:tcPr>
            <w:tcW w:w="200" w:type="dxa"/>
            <w:vAlign w:val="bottom"/>
            <w:shd w:val="clear" w:color="auto" w:fill="E5F1F8"/>
          </w:tcPr>
          <w:p>
            <w:pPr>
              <w:spacing w:after="0"/>
              <w:rPr>
                <w:sz w:val="15"/>
                <w:szCs w:val="15"/>
                <w:color w:val="auto"/>
              </w:rPr>
            </w:pPr>
          </w:p>
        </w:tc>
        <w:tc>
          <w:tcPr>
            <w:tcW w:w="1300" w:type="dxa"/>
            <w:vAlign w:val="bottom"/>
            <w:tcBorders>
              <w:right w:val="single" w:sz="8" w:color="007CBA"/>
            </w:tcBorders>
            <w:shd w:val="clear" w:color="auto" w:fill="E5F1F8"/>
          </w:tcPr>
          <w:p>
            <w:pPr>
              <w:spacing w:after="0"/>
              <w:rPr>
                <w:sz w:val="15"/>
                <w:szCs w:val="15"/>
                <w:color w:val="auto"/>
              </w:rPr>
            </w:pPr>
          </w:p>
        </w:tc>
        <w:tc>
          <w:tcPr>
            <w:tcW w:w="160" w:type="dxa"/>
            <w:vAlign w:val="bottom"/>
            <w:shd w:val="clear" w:color="auto" w:fill="E5F1F8"/>
          </w:tcPr>
          <w:p>
            <w:pPr>
              <w:spacing w:after="0"/>
              <w:rPr>
                <w:sz w:val="15"/>
                <w:szCs w:val="15"/>
                <w:color w:val="auto"/>
              </w:rPr>
            </w:pPr>
          </w:p>
        </w:tc>
        <w:tc>
          <w:tcPr>
            <w:tcW w:w="100" w:type="dxa"/>
            <w:vAlign w:val="bottom"/>
            <w:shd w:val="clear" w:color="auto" w:fill="E5F1F8"/>
          </w:tcPr>
          <w:p>
            <w:pPr>
              <w:spacing w:after="0"/>
              <w:rPr>
                <w:sz w:val="15"/>
                <w:szCs w:val="15"/>
                <w:color w:val="auto"/>
              </w:rPr>
            </w:pPr>
          </w:p>
        </w:tc>
        <w:tc>
          <w:tcPr>
            <w:tcW w:w="1340" w:type="dxa"/>
            <w:vAlign w:val="bottom"/>
            <w:tcBorders>
              <w:right w:val="single" w:sz="8" w:color="007CBA"/>
            </w:tcBorders>
            <w:shd w:val="clear" w:color="auto" w:fill="E5F1F8"/>
          </w:tcPr>
          <w:p>
            <w:pPr>
              <w:spacing w:after="0"/>
              <w:rPr>
                <w:sz w:val="15"/>
                <w:szCs w:val="15"/>
                <w:color w:val="auto"/>
              </w:rPr>
            </w:pPr>
          </w:p>
        </w:tc>
        <w:tc>
          <w:tcPr>
            <w:tcW w:w="16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1160" w:type="dxa"/>
            <w:vAlign w:val="bottom"/>
            <w:shd w:val="clear" w:color="auto" w:fill="E5F1F8"/>
          </w:tcPr>
          <w:p>
            <w:pPr>
              <w:spacing w:after="0"/>
              <w:rPr>
                <w:sz w:val="15"/>
                <w:szCs w:val="15"/>
                <w:color w:val="auto"/>
              </w:rPr>
            </w:pP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96</w:t>
            </w: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443</w:t>
            </w:r>
          </w:p>
        </w:tc>
        <w:tc>
          <w:tcPr>
            <w:tcW w:w="160" w:type="dxa"/>
            <w:vAlign w:val="bottom"/>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443</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374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374</w:t>
            </w:r>
          </w:p>
        </w:tc>
      </w:tr>
      <w:tr>
        <w:trPr>
          <w:trHeight w:val="203"/>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Intangible assets, excluding goodwill</w:t>
            </w:r>
          </w:p>
        </w:tc>
        <w:tc>
          <w:tcPr>
            <w:tcW w:w="100" w:type="dxa"/>
            <w:vAlign w:val="bottom"/>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13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253</w:t>
            </w:r>
          </w:p>
        </w:tc>
        <w:tc>
          <w:tcPr>
            <w:tcW w:w="160" w:type="dxa"/>
            <w:vAlign w:val="bottom"/>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64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540" w:type="dxa"/>
            <w:vAlign w:val="bottom"/>
            <w:tcBorders>
              <w:bottom w:val="single" w:sz="8" w:color="auto"/>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E5F1F8"/>
          </w:tcPr>
          <w:p>
            <w:pPr>
              <w:spacing w:after="0"/>
              <w:rPr>
                <w:sz w:val="17"/>
                <w:szCs w:val="17"/>
                <w:color w:val="auto"/>
              </w:rPr>
            </w:pPr>
          </w:p>
        </w:tc>
        <w:tc>
          <w:tcPr>
            <w:tcW w:w="130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F1F8"/>
          </w:tcPr>
          <w:p>
            <w:pPr>
              <w:spacing w:after="0"/>
              <w:rPr>
                <w:sz w:val="17"/>
                <w:szCs w:val="17"/>
                <w:color w:val="auto"/>
              </w:rPr>
            </w:pPr>
          </w:p>
        </w:tc>
        <w:tc>
          <w:tcPr>
            <w:tcW w:w="100" w:type="dxa"/>
            <w:vAlign w:val="bottom"/>
            <w:tcBorders>
              <w:bottom w:val="single" w:sz="8" w:color="auto"/>
            </w:tcBorders>
            <w:shd w:val="clear" w:color="auto" w:fill="E5F1F8"/>
          </w:tcPr>
          <w:p>
            <w:pPr>
              <w:spacing w:after="0"/>
              <w:rPr>
                <w:sz w:val="17"/>
                <w:szCs w:val="17"/>
                <w:color w:val="auto"/>
              </w:rPr>
            </w:pPr>
          </w:p>
        </w:tc>
        <w:tc>
          <w:tcPr>
            <w:tcW w:w="134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E5F1F8"/>
          </w:tcPr>
          <w:p>
            <w:pPr>
              <w:spacing w:after="0"/>
              <w:rPr>
                <w:sz w:val="17"/>
                <w:szCs w:val="17"/>
                <w:color w:val="auto"/>
              </w:rPr>
            </w:pPr>
          </w:p>
        </w:tc>
        <w:tc>
          <w:tcPr>
            <w:tcW w:w="28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w:t>
            </w:r>
          </w:p>
        </w:tc>
      </w:tr>
      <w:tr>
        <w:trPr>
          <w:trHeight w:val="196"/>
        </w:trPr>
        <w:tc>
          <w:tcPr>
            <w:tcW w:w="654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Total noncurrent assets held for sale</w:t>
            </w:r>
          </w:p>
        </w:tc>
        <w:tc>
          <w:tcPr>
            <w:tcW w:w="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1,179</w:t>
            </w:r>
          </w:p>
        </w:tc>
        <w:tc>
          <w:tcPr>
            <w:tcW w:w="44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1,179</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tcBorders>
              <w:right w:val="single" w:sz="8" w:color="007CBA"/>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Borders>
              <w:right w:val="single" w:sz="8" w:color="007CBA"/>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right w:val="single" w:sz="8" w:color="007CBA"/>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2"/>
        </w:trPr>
        <w:tc>
          <w:tcPr>
            <w:tcW w:w="64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Lease obligations</w:t>
            </w:r>
          </w:p>
        </w:tc>
        <w:tc>
          <w:tcPr>
            <w:tcW w:w="100" w:type="dxa"/>
            <w:vAlign w:val="bottom"/>
            <w:shd w:val="clear" w:color="auto" w:fill="E5F1F8"/>
          </w:tcPr>
          <w:p>
            <w:pPr>
              <w:spacing w:after="0"/>
              <w:rPr>
                <w:sz w:val="17"/>
                <w:szCs w:val="17"/>
                <w:color w:val="auto"/>
              </w:rPr>
            </w:pPr>
          </w:p>
        </w:tc>
        <w:tc>
          <w:tcPr>
            <w:tcW w:w="200" w:type="dxa"/>
            <w:vAlign w:val="bottom"/>
            <w:shd w:val="clear" w:color="auto" w:fill="E5F1F8"/>
          </w:tcPr>
          <w:p>
            <w:pPr>
              <w:ind w:left="6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440" w:type="dxa"/>
            <w:vAlign w:val="bottom"/>
            <w:gridSpan w:val="2"/>
            <w:shd w:val="clear" w:color="auto" w:fill="E5F1F8"/>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28</w:t>
            </w:r>
          </w:p>
        </w:tc>
      </w:tr>
      <w:tr>
        <w:trPr>
          <w:trHeight w:val="203"/>
        </w:trPr>
        <w:tc>
          <w:tcPr>
            <w:tcW w:w="654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36"/>
        </w:trPr>
        <w:tc>
          <w:tcPr>
            <w:tcW w:w="6540" w:type="dxa"/>
            <w:vAlign w:val="bottom"/>
            <w:tcBorders>
              <w:bottom w:val="single" w:sz="8" w:color="auto"/>
            </w:tcBorders>
            <w:gridSpan w:val="2"/>
            <w:shd w:val="clear" w:color="auto" w:fill="E5F1F8"/>
          </w:tcPr>
          <w:p>
            <w:pPr>
              <w:ind w:left="60"/>
              <w:spacing w:after="0" w:line="196" w:lineRule="exact"/>
              <w:rPr>
                <w:sz w:val="20"/>
                <w:szCs w:val="20"/>
                <w:color w:val="auto"/>
              </w:rPr>
            </w:pPr>
            <w:r>
              <w:rPr>
                <w:rFonts w:ascii="Arial" w:cs="Arial" w:eastAsia="Arial" w:hAnsi="Arial"/>
                <w:sz w:val="18"/>
                <w:szCs w:val="18"/>
                <w:color w:val="auto"/>
              </w:rPr>
              <w:t>Total noncurrent liabilities held for sale</w:t>
            </w:r>
          </w:p>
        </w:tc>
        <w:tc>
          <w:tcPr>
            <w:tcW w:w="200" w:type="dxa"/>
            <w:vAlign w:val="bottom"/>
            <w:tcBorders>
              <w:bottom w:val="single" w:sz="8" w:color="auto"/>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38</w:t>
            </w:r>
          </w:p>
        </w:tc>
        <w:tc>
          <w:tcPr>
            <w:tcW w:w="440" w:type="dxa"/>
            <w:vAlign w:val="bottom"/>
            <w:tcBorders>
              <w:bottom w:val="single" w:sz="8" w:color="auto"/>
            </w:tcBorders>
            <w:gridSpan w:val="2"/>
            <w:shd w:val="clear" w:color="auto" w:fill="E5F1F8"/>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-2425700</wp:posOffset>
            </wp:positionV>
            <wp:extent cx="30518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-1915160</wp:posOffset>
            </wp:positionV>
            <wp:extent cx="33655" cy="3168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-1915160</wp:posOffset>
            </wp:positionV>
            <wp:extent cx="132715" cy="3168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271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-1915160</wp:posOffset>
            </wp:positionV>
            <wp:extent cx="132715" cy="3168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2715"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-1778000</wp:posOffset>
            </wp:positionV>
            <wp:extent cx="33655" cy="1797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-852170</wp:posOffset>
            </wp:positionV>
            <wp:extent cx="33655" cy="3168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-852170</wp:posOffset>
            </wp:positionV>
            <wp:extent cx="33655" cy="3168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-852170</wp:posOffset>
            </wp:positionV>
            <wp:extent cx="34290" cy="3168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-303530</wp:posOffset>
            </wp:positionV>
            <wp:extent cx="33655" cy="3168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-303530</wp:posOffset>
            </wp:positionV>
            <wp:extent cx="34290" cy="3168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C: Goodwill and Other Intangible Assets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goodwill by reportable segment and in total: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470"/>
              <w:spacing w:after="0"/>
              <w:rPr>
                <w:sz w:val="20"/>
                <w:szCs w:val="20"/>
                <w:color w:val="auto"/>
              </w:rPr>
            </w:pPr>
            <w:r>
              <w:rPr>
                <w:rFonts w:ascii="Arial" w:cs="Arial" w:eastAsia="Arial" w:hAnsi="Arial"/>
                <w:sz w:val="18"/>
                <w:szCs w:val="18"/>
                <w:b w:val="1"/>
                <w:bCs w:val="1"/>
                <w:color w:val="FFFFFF"/>
              </w:rPr>
              <w:t>East</w:t>
            </w:r>
          </w:p>
        </w:tc>
        <w:tc>
          <w:tcPr>
            <w:tcW w:w="3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rPr>
              <w:t>West</w:t>
            </w:r>
          </w:p>
        </w:tc>
        <w:tc>
          <w:tcPr>
            <w:tcW w:w="26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r>
      <w:tr>
        <w:trPr>
          <w:trHeight w:val="216"/>
        </w:trPr>
        <w:tc>
          <w:tcPr>
            <w:tcW w:w="5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c>
          <w:tcPr>
            <w:tcW w:w="3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350"/>
              <w:spacing w:after="0"/>
              <w:rPr>
                <w:sz w:val="20"/>
                <w:szCs w:val="20"/>
                <w:color w:val="auto"/>
              </w:rPr>
            </w:pPr>
            <w:r>
              <w:rPr>
                <w:rFonts w:ascii="Arial" w:cs="Arial" w:eastAsia="Arial" w:hAnsi="Arial"/>
                <w:sz w:val="18"/>
                <w:szCs w:val="18"/>
                <w:b w:val="1"/>
                <w:bCs w:val="1"/>
                <w:color w:val="FFFFFF"/>
              </w:rPr>
              <w:t>Group</w:t>
            </w:r>
          </w:p>
        </w:tc>
        <w:tc>
          <w:tcPr>
            <w:tcW w:w="3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350"/>
              <w:spacing w:after="0"/>
              <w:rPr>
                <w:sz w:val="20"/>
                <w:szCs w:val="20"/>
                <w:color w:val="auto"/>
              </w:rPr>
            </w:pPr>
            <w:r>
              <w:rPr>
                <w:rFonts w:ascii="Arial" w:cs="Arial" w:eastAsia="Arial" w:hAnsi="Arial"/>
                <w:sz w:val="18"/>
                <w:szCs w:val="18"/>
                <w:b w:val="1"/>
                <w:bCs w:val="1"/>
                <w:color w:val="FFFFFF"/>
              </w:rPr>
              <w:t>Group</w:t>
            </w:r>
          </w:p>
        </w:tc>
        <w:tc>
          <w:tcPr>
            <w:tcW w:w="26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right"/>
              <w:ind w:right="170"/>
              <w:spacing w:after="0"/>
              <w:rPr>
                <w:sz w:val="20"/>
                <w:szCs w:val="20"/>
                <w:color w:val="auto"/>
              </w:rPr>
            </w:pPr>
            <w:r>
              <w:rPr>
                <w:rFonts w:ascii="Arial" w:cs="Arial" w:eastAsia="Arial" w:hAnsi="Arial"/>
                <w:sz w:val="18"/>
                <w:szCs w:val="18"/>
                <w:b w:val="1"/>
                <w:bCs w:val="1"/>
                <w:color w:val="FFFFFF"/>
                <w:w w:val="99"/>
              </w:rPr>
              <w:t>Specialties</w:t>
            </w:r>
          </w:p>
        </w:tc>
        <w:tc>
          <w:tcPr>
            <w:tcW w:w="380" w:type="dxa"/>
            <w:vAlign w:val="bottom"/>
            <w:shd w:val="clear" w:color="auto" w:fill="007CBA"/>
          </w:tcPr>
          <w:p>
            <w:pPr>
              <w:spacing w:after="0"/>
              <w:rPr>
                <w:sz w:val="18"/>
                <w:szCs w:val="18"/>
                <w:color w:val="auto"/>
              </w:rPr>
            </w:pPr>
          </w:p>
        </w:tc>
        <w:tc>
          <w:tcPr>
            <w:tcW w:w="1080" w:type="dxa"/>
            <w:vAlign w:val="bottom"/>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Total</w:t>
            </w:r>
          </w:p>
        </w:tc>
      </w:tr>
      <w:tr>
        <w:trPr>
          <w:trHeight w:val="221"/>
        </w:trPr>
        <w:tc>
          <w:tcPr>
            <w:tcW w:w="5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6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360" w:type="dxa"/>
            <w:vAlign w:val="bottom"/>
            <w:gridSpan w:val="2"/>
            <w:shd w:val="clear" w:color="auto" w:fill="007CBA"/>
          </w:tcPr>
          <w:p>
            <w:pPr>
              <w:jc w:val="right"/>
              <w:spacing w:after="0"/>
              <w:rPr>
                <w:sz w:val="20"/>
                <w:szCs w:val="20"/>
                <w:color w:val="auto"/>
              </w:rPr>
            </w:pPr>
            <w:r>
              <w:rPr>
                <w:rFonts w:ascii="Arial" w:cs="Arial" w:eastAsia="Arial" w:hAnsi="Arial"/>
                <w:sz w:val="18"/>
                <w:szCs w:val="18"/>
                <w:b w:val="1"/>
                <w:bCs w:val="1"/>
                <w:color w:val="FFFFFF"/>
              </w:rPr>
              <w:t>2025</w:t>
            </w:r>
          </w:p>
        </w:tc>
        <w:tc>
          <w:tcPr>
            <w:tcW w:w="12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080" w:type="dxa"/>
            <w:vAlign w:val="bottom"/>
            <w:shd w:val="clear" w:color="auto" w:fill="007CBA"/>
          </w:tcPr>
          <w:p>
            <w:pPr>
              <w:spacing w:after="0"/>
              <w:rPr>
                <w:sz w:val="19"/>
                <w:szCs w:val="19"/>
                <w:color w:val="auto"/>
              </w:rPr>
            </w:pPr>
          </w:p>
        </w:tc>
      </w:tr>
      <w:tr>
        <w:trPr>
          <w:trHeight w:val="203"/>
        </w:trPr>
        <w:tc>
          <w:tcPr>
            <w:tcW w:w="53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1,031</w:t>
            </w:r>
          </w:p>
        </w:tc>
        <w:tc>
          <w:tcPr>
            <w:tcW w:w="3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2,362</w:t>
            </w:r>
          </w:p>
        </w:tc>
        <w:tc>
          <w:tcPr>
            <w:tcW w:w="2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3,393</w:t>
            </w:r>
          </w:p>
        </w:tc>
      </w:tr>
      <w:tr>
        <w:trPr>
          <w:trHeight w:val="203"/>
        </w:trPr>
        <w:tc>
          <w:tcPr>
            <w:tcW w:w="5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7"/>
                <w:szCs w:val="17"/>
                <w:color w:val="auto"/>
              </w:rPr>
            </w:pPr>
          </w:p>
        </w:tc>
        <w:tc>
          <w:tcPr>
            <w:tcW w:w="11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7"/>
                <w:szCs w:val="17"/>
                <w:color w:val="auto"/>
              </w:rPr>
            </w:pPr>
          </w:p>
        </w:tc>
        <w:tc>
          <w:tcPr>
            <w:tcW w:w="11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209</w:t>
            </w:r>
          </w:p>
        </w:tc>
        <w:tc>
          <w:tcPr>
            <w:tcW w:w="3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214</w:t>
            </w:r>
          </w:p>
        </w:tc>
      </w:tr>
      <w:tr>
        <w:trPr>
          <w:trHeight w:val="203"/>
        </w:trPr>
        <w:tc>
          <w:tcPr>
            <w:tcW w:w="538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Adjustments to purchase price allocations</w:t>
            </w:r>
          </w:p>
        </w:tc>
        <w:tc>
          <w:tcPr>
            <w:tcW w:w="36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shd w:val="clear" w:color="auto" w:fill="E5F1F8"/>
          </w:tcPr>
          <w:p>
            <w:pPr>
              <w:spacing w:after="0"/>
              <w:rPr>
                <w:sz w:val="17"/>
                <w:szCs w:val="17"/>
                <w:color w:val="auto"/>
              </w:rPr>
            </w:pPr>
          </w:p>
        </w:tc>
        <w:tc>
          <w:tcPr>
            <w:tcW w:w="122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F1F8"/>
          </w:tcPr>
          <w:p>
            <w:pPr>
              <w:spacing w:after="0"/>
              <w:rPr>
                <w:sz w:val="17"/>
                <w:szCs w:val="17"/>
                <w:color w:val="auto"/>
              </w:rPr>
            </w:pPr>
          </w:p>
        </w:tc>
        <w:tc>
          <w:tcPr>
            <w:tcW w:w="108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r>
      <w:tr>
        <w:trPr>
          <w:trHeight w:val="196"/>
        </w:trPr>
        <w:tc>
          <w:tcPr>
            <w:tcW w:w="53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1,035</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2,370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209</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3,614</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38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360" w:type="dxa"/>
            <w:vAlign w:val="bottom"/>
            <w:gridSpan w:val="2"/>
            <w:shd w:val="clear" w:color="auto" w:fill="007CBA"/>
          </w:tcPr>
          <w:p>
            <w:pPr>
              <w:jc w:val="right"/>
              <w:spacing w:after="0" w:line="202" w:lineRule="exact"/>
              <w:rPr>
                <w:sz w:val="20"/>
                <w:szCs w:val="20"/>
                <w:color w:val="auto"/>
              </w:rPr>
            </w:pPr>
            <w:r>
              <w:rPr>
                <w:rFonts w:ascii="Arial" w:cs="Arial" w:eastAsia="Arial" w:hAnsi="Arial"/>
                <w:sz w:val="18"/>
                <w:szCs w:val="18"/>
                <w:color w:val="FFFFFF"/>
              </w:rPr>
              <w:t>2024</w:t>
            </w:r>
          </w:p>
        </w:tc>
        <w:tc>
          <w:tcPr>
            <w:tcW w:w="122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080" w:type="dxa"/>
            <w:vAlign w:val="bottom"/>
            <w:shd w:val="clear" w:color="auto" w:fill="007CBA"/>
          </w:tcPr>
          <w:p>
            <w:pPr>
              <w:spacing w:after="0"/>
              <w:rPr>
                <w:sz w:val="17"/>
                <w:szCs w:val="17"/>
                <w:color w:val="auto"/>
              </w:rPr>
            </w:pPr>
          </w:p>
        </w:tc>
      </w:tr>
      <w:tr>
        <w:trPr>
          <w:trHeight w:val="203"/>
        </w:trPr>
        <w:tc>
          <w:tcPr>
            <w:tcW w:w="53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764</w:t>
            </w:r>
          </w:p>
        </w:tc>
        <w:tc>
          <w:tcPr>
            <w:tcW w:w="3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2,625</w:t>
            </w:r>
          </w:p>
        </w:tc>
        <w:tc>
          <w:tcPr>
            <w:tcW w:w="2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3,389</w:t>
            </w:r>
          </w:p>
        </w:tc>
      </w:tr>
      <w:tr>
        <w:trPr>
          <w:trHeight w:val="203"/>
        </w:trPr>
        <w:tc>
          <w:tcPr>
            <w:tcW w:w="5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7"/>
                <w:szCs w:val="17"/>
                <w:color w:val="auto"/>
              </w:rPr>
            </w:pPr>
          </w:p>
        </w:tc>
        <w:tc>
          <w:tcPr>
            <w:tcW w:w="11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360" w:type="dxa"/>
            <w:vAlign w:val="bottom"/>
          </w:tcPr>
          <w:p>
            <w:pPr>
              <w:spacing w:after="0"/>
              <w:rPr>
                <w:sz w:val="17"/>
                <w:szCs w:val="17"/>
                <w:color w:val="auto"/>
              </w:rPr>
            </w:pPr>
          </w:p>
        </w:tc>
        <w:tc>
          <w:tcPr>
            <w:tcW w:w="11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111</w:t>
            </w:r>
          </w:p>
        </w:tc>
        <w:tc>
          <w:tcPr>
            <w:tcW w:w="260" w:type="dxa"/>
            <w:vAlign w:val="bottom"/>
          </w:tcPr>
          <w:p>
            <w:pPr>
              <w:spacing w:after="0"/>
              <w:rPr>
                <w:sz w:val="17"/>
                <w:szCs w:val="17"/>
                <w:color w:val="auto"/>
              </w:rPr>
            </w:pPr>
          </w:p>
        </w:tc>
        <w:tc>
          <w:tcPr>
            <w:tcW w:w="122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378</w:t>
            </w:r>
          </w:p>
        </w:tc>
      </w:tr>
      <w:tr>
        <w:trPr>
          <w:trHeight w:val="203"/>
        </w:trPr>
        <w:tc>
          <w:tcPr>
            <w:tcW w:w="538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Goodwill allocated to assets held for sale</w:t>
            </w:r>
          </w:p>
        </w:tc>
        <w:tc>
          <w:tcPr>
            <w:tcW w:w="36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(374)</w:t>
            </w:r>
          </w:p>
        </w:tc>
        <w:tc>
          <w:tcPr>
            <w:tcW w:w="260" w:type="dxa"/>
            <w:vAlign w:val="bottom"/>
            <w:tcBorders>
              <w:bottom w:val="single" w:sz="8" w:color="auto"/>
            </w:tcBorders>
            <w:shd w:val="clear" w:color="auto" w:fill="E5F1F8"/>
          </w:tcPr>
          <w:p>
            <w:pPr>
              <w:spacing w:after="0"/>
              <w:rPr>
                <w:sz w:val="17"/>
                <w:szCs w:val="17"/>
                <w:color w:val="auto"/>
              </w:rPr>
            </w:pPr>
          </w:p>
        </w:tc>
        <w:tc>
          <w:tcPr>
            <w:tcW w:w="122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F1F8"/>
          </w:tcPr>
          <w:p>
            <w:pPr>
              <w:spacing w:after="0"/>
              <w:rPr>
                <w:sz w:val="17"/>
                <w:szCs w:val="17"/>
                <w:color w:val="auto"/>
              </w:rPr>
            </w:pPr>
          </w:p>
        </w:tc>
        <w:tc>
          <w:tcPr>
            <w:tcW w:w="10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196"/>
        </w:trPr>
        <w:tc>
          <w:tcPr>
            <w:tcW w:w="53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1,031</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2,362</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3,393</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196850</wp:posOffset>
            </wp:positionV>
            <wp:extent cx="325755" cy="1968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-1490980</wp:posOffset>
            </wp:positionV>
            <wp:extent cx="372046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720465" cy="889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-1109345</wp:posOffset>
            </wp:positionV>
            <wp:extent cx="33655" cy="3168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-1109345</wp:posOffset>
            </wp:positionV>
            <wp:extent cx="33655" cy="3168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-1109345</wp:posOffset>
            </wp:positionV>
            <wp:extent cx="33655" cy="3168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-1109345</wp:posOffset>
            </wp:positionV>
            <wp:extent cx="34290" cy="3168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-303530</wp:posOffset>
            </wp:positionV>
            <wp:extent cx="33655" cy="3168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-303530</wp:posOffset>
            </wp:positionV>
            <wp:extent cx="33655" cy="3168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-303530</wp:posOffset>
            </wp:positionV>
            <wp:extent cx="33655" cy="3168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-303530</wp:posOffset>
            </wp:positionV>
            <wp:extent cx="34290" cy="3168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308"/>
        </w:trPr>
        <w:tc>
          <w:tcPr>
            <w:tcW w:w="55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Part II</w:t>
            </w:r>
          </w:p>
        </w:tc>
        <w:tc>
          <w:tcPr>
            <w:tcW w:w="4700" w:type="dxa"/>
            <w:vAlign w:val="bottom"/>
            <w:gridSpan w:val="6"/>
          </w:tcPr>
          <w:p>
            <w:pPr>
              <w:ind w:left="4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c>
          <w:tcPr>
            <w:tcW w:w="0" w:type="dxa"/>
            <w:vAlign w:val="bottom"/>
          </w:tcPr>
          <w:p>
            <w:pPr>
              <w:spacing w:after="0"/>
              <w:rPr>
                <w:sz w:val="1"/>
                <w:szCs w:val="1"/>
                <w:color w:val="auto"/>
              </w:rPr>
            </w:pPr>
          </w:p>
        </w:tc>
      </w:tr>
      <w:tr>
        <w:trPr>
          <w:trHeight w:val="389"/>
        </w:trPr>
        <w:tc>
          <w:tcPr>
            <w:tcW w:w="5560" w:type="dxa"/>
            <w:vAlign w:val="bottom"/>
          </w:tcPr>
          <w:p>
            <w:pPr>
              <w:spacing w:after="0"/>
              <w:rPr>
                <w:sz w:val="20"/>
                <w:szCs w:val="20"/>
                <w:color w:val="auto"/>
              </w:rPr>
            </w:pPr>
            <w:r>
              <w:rPr>
                <w:rFonts w:ascii="Arial" w:cs="Arial" w:eastAsia="Arial" w:hAnsi="Arial"/>
                <w:sz w:val="18"/>
                <w:szCs w:val="18"/>
                <w:color w:val="auto"/>
              </w:rPr>
              <w:t>Intangible assets subject to amortization consist of the following:</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5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380" w:type="dxa"/>
            <w:vAlign w:val="bottom"/>
            <w:tcBorders>
              <w:right w:val="single" w:sz="8" w:color="007CBA"/>
            </w:tcBorders>
            <w:shd w:val="clear" w:color="auto" w:fill="007CBA"/>
          </w:tcPr>
          <w:p>
            <w:pPr>
              <w:jc w:val="right"/>
              <w:ind w:right="508"/>
              <w:spacing w:after="0" w:line="183" w:lineRule="exact"/>
              <w:rPr>
                <w:sz w:val="20"/>
                <w:szCs w:val="20"/>
                <w:color w:val="auto"/>
              </w:rPr>
            </w:pPr>
            <w:r>
              <w:rPr>
                <w:rFonts w:ascii="Arial" w:cs="Arial" w:eastAsia="Arial" w:hAnsi="Arial"/>
                <w:sz w:val="18"/>
                <w:szCs w:val="18"/>
                <w:b w:val="1"/>
                <w:bCs w:val="1"/>
                <w:color w:val="FFFFFF"/>
              </w:rPr>
              <w:t>Gross</w:t>
            </w:r>
          </w:p>
        </w:tc>
        <w:tc>
          <w:tcPr>
            <w:tcW w:w="260" w:type="dxa"/>
            <w:vAlign w:val="bottom"/>
            <w:shd w:val="clear" w:color="auto" w:fill="007CBA"/>
          </w:tcPr>
          <w:p>
            <w:pPr>
              <w:spacing w:after="0"/>
              <w:rPr>
                <w:sz w:val="15"/>
                <w:szCs w:val="15"/>
                <w:color w:val="auto"/>
              </w:rPr>
            </w:pPr>
          </w:p>
        </w:tc>
        <w:tc>
          <w:tcPr>
            <w:tcW w:w="1400" w:type="dxa"/>
            <w:vAlign w:val="bottom"/>
            <w:tcBorders>
              <w:right w:val="single" w:sz="8" w:color="007CBA"/>
            </w:tcBorders>
            <w:shd w:val="clear" w:color="auto" w:fill="007CBA"/>
          </w:tcPr>
          <w:p>
            <w:pPr>
              <w:jc w:val="center"/>
              <w:ind w:right="170"/>
              <w:spacing w:after="0" w:line="183" w:lineRule="exact"/>
              <w:rPr>
                <w:sz w:val="20"/>
                <w:szCs w:val="20"/>
                <w:color w:val="auto"/>
              </w:rPr>
            </w:pPr>
            <w:r>
              <w:rPr>
                <w:rFonts w:ascii="Arial" w:cs="Arial" w:eastAsia="Arial" w:hAnsi="Arial"/>
                <w:sz w:val="18"/>
                <w:szCs w:val="18"/>
                <w:b w:val="1"/>
                <w:bCs w:val="1"/>
                <w:color w:val="FFFFFF"/>
              </w:rPr>
              <w:t>Accumulated</w:t>
            </w:r>
          </w:p>
        </w:tc>
        <w:tc>
          <w:tcPr>
            <w:tcW w:w="380" w:type="dxa"/>
            <w:vAlign w:val="bottom"/>
            <w:shd w:val="clear" w:color="auto" w:fill="007CBA"/>
          </w:tcPr>
          <w:p>
            <w:pPr>
              <w:spacing w:after="0"/>
              <w:rPr>
                <w:sz w:val="15"/>
                <w:szCs w:val="15"/>
                <w:color w:val="auto"/>
              </w:rPr>
            </w:pPr>
          </w:p>
        </w:tc>
        <w:tc>
          <w:tcPr>
            <w:tcW w:w="1260" w:type="dxa"/>
            <w:vAlign w:val="bottom"/>
            <w:shd w:val="clear" w:color="auto" w:fill="007CBA"/>
          </w:tcPr>
          <w:p>
            <w:pPr>
              <w:jc w:val="right"/>
              <w:ind w:right="590"/>
              <w:spacing w:after="0" w:line="183" w:lineRule="exact"/>
              <w:rPr>
                <w:sz w:val="20"/>
                <w:szCs w:val="20"/>
                <w:color w:val="auto"/>
              </w:rPr>
            </w:pPr>
            <w:r>
              <w:rPr>
                <w:rFonts w:ascii="Arial" w:cs="Arial" w:eastAsia="Arial" w:hAnsi="Arial"/>
                <w:sz w:val="18"/>
                <w:szCs w:val="18"/>
                <w:b w:val="1"/>
                <w:bCs w:val="1"/>
                <w:color w:val="FFFFFF"/>
              </w:rPr>
              <w:t>Net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c>
          <w:tcPr>
            <w:tcW w:w="68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408"/>
              <w:spacing w:after="0"/>
              <w:rPr>
                <w:sz w:val="20"/>
                <w:szCs w:val="20"/>
                <w:color w:val="auto"/>
              </w:rPr>
            </w:pPr>
            <w:r>
              <w:rPr>
                <w:rFonts w:ascii="Arial" w:cs="Arial" w:eastAsia="Arial" w:hAnsi="Arial"/>
                <w:sz w:val="18"/>
                <w:szCs w:val="18"/>
                <w:b w:val="1"/>
                <w:bCs w:val="1"/>
                <w:color w:val="FFFFFF"/>
              </w:rPr>
              <w:t>Amount</w:t>
            </w:r>
          </w:p>
        </w:tc>
        <w:tc>
          <w:tcPr>
            <w:tcW w:w="260" w:type="dxa"/>
            <w:vAlign w:val="bottom"/>
            <w:shd w:val="clear" w:color="auto" w:fill="007CBA"/>
          </w:tcPr>
          <w:p>
            <w:pPr>
              <w:spacing w:after="0"/>
              <w:rPr>
                <w:sz w:val="18"/>
                <w:szCs w:val="18"/>
                <w:color w:val="auto"/>
              </w:rPr>
            </w:pPr>
          </w:p>
        </w:tc>
        <w:tc>
          <w:tcPr>
            <w:tcW w:w="1400" w:type="dxa"/>
            <w:vAlign w:val="bottom"/>
            <w:tcBorders>
              <w:right w:val="single" w:sz="8" w:color="007CBA"/>
            </w:tcBorders>
            <w:shd w:val="clear" w:color="auto" w:fill="007CBA"/>
          </w:tcPr>
          <w:p>
            <w:pPr>
              <w:jc w:val="center"/>
              <w:ind w:right="130"/>
              <w:spacing w:after="0"/>
              <w:rPr>
                <w:sz w:val="20"/>
                <w:szCs w:val="20"/>
                <w:color w:val="auto"/>
              </w:rPr>
            </w:pPr>
            <w:r>
              <w:rPr>
                <w:rFonts w:ascii="Arial" w:cs="Arial" w:eastAsia="Arial" w:hAnsi="Arial"/>
                <w:sz w:val="18"/>
                <w:szCs w:val="18"/>
                <w:b w:val="1"/>
                <w:bCs w:val="1"/>
                <w:color w:val="FFFFFF"/>
                <w:w w:val="99"/>
              </w:rPr>
              <w:t>Amortization</w:t>
            </w:r>
          </w:p>
        </w:tc>
        <w:tc>
          <w:tcPr>
            <w:tcW w:w="380" w:type="dxa"/>
            <w:vAlign w:val="bottom"/>
            <w:shd w:val="clear" w:color="auto" w:fill="007CBA"/>
          </w:tcPr>
          <w:p>
            <w:pPr>
              <w:spacing w:after="0"/>
              <w:rPr>
                <w:sz w:val="18"/>
                <w:szCs w:val="18"/>
                <w:color w:val="auto"/>
              </w:rPr>
            </w:pPr>
          </w:p>
        </w:tc>
        <w:tc>
          <w:tcPr>
            <w:tcW w:w="1260" w:type="dxa"/>
            <w:vAlign w:val="bottom"/>
            <w:shd w:val="clear" w:color="auto" w:fill="007CBA"/>
          </w:tcPr>
          <w:p>
            <w:pPr>
              <w:jc w:val="right"/>
              <w:ind w:right="370"/>
              <w:spacing w:after="0"/>
              <w:rPr>
                <w:sz w:val="20"/>
                <w:szCs w:val="20"/>
                <w:color w:val="auto"/>
              </w:rPr>
            </w:pPr>
            <w:r>
              <w:rPr>
                <w:rFonts w:ascii="Arial" w:cs="Arial" w:eastAsia="Arial" w:hAnsi="Arial"/>
                <w:sz w:val="18"/>
                <w:szCs w:val="18"/>
                <w:b w:val="1"/>
                <w:bCs w:val="1"/>
                <w:color w:val="FFFFFF"/>
              </w:rPr>
              <w:t>Balance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68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9"/>
              </w:rPr>
              <w:t>2025</w:t>
            </w:r>
          </w:p>
        </w:tc>
        <w:tc>
          <w:tcPr>
            <w:tcW w:w="380" w:type="dxa"/>
            <w:vAlign w:val="bottom"/>
            <w:shd w:val="clear" w:color="auto" w:fill="007CBA"/>
          </w:tcPr>
          <w:p>
            <w:pPr>
              <w:spacing w:after="0"/>
              <w:rPr>
                <w:sz w:val="19"/>
                <w:szCs w:val="19"/>
                <w:color w:val="auto"/>
              </w:rPr>
            </w:pPr>
          </w:p>
        </w:tc>
        <w:tc>
          <w:tcPr>
            <w:tcW w:w="1260" w:type="dxa"/>
            <w:vAlign w:val="bottom"/>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60"/>
              <w:spacing w:after="0" w:line="202" w:lineRule="exact"/>
              <w:rPr>
                <w:sz w:val="20"/>
                <w:szCs w:val="20"/>
                <w:color w:val="auto"/>
              </w:rPr>
            </w:pPr>
            <w:r>
              <w:rPr>
                <w:rFonts w:ascii="Arial" w:cs="Arial" w:eastAsia="Arial" w:hAnsi="Arial"/>
                <w:sz w:val="18"/>
                <w:szCs w:val="18"/>
                <w:color w:val="auto"/>
              </w:rPr>
              <w:t>Noncompetition agreements</w:t>
            </w:r>
          </w:p>
        </w:tc>
        <w:tc>
          <w:tcPr>
            <w:tcW w:w="680" w:type="dxa"/>
            <w:vAlign w:val="bottom"/>
            <w:tcBorders>
              <w:right w:val="single" w:sz="8" w:color="007CBA"/>
            </w:tcBorders>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28"/>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F1F8"/>
          </w:tcPr>
          <w:p>
            <w:pPr>
              <w:ind w:left="60"/>
              <w:spacing w:after="0" w:line="202" w:lineRule="exact"/>
              <w:rPr>
                <w:sz w:val="20"/>
                <w:szCs w:val="20"/>
                <w:color w:val="auto"/>
              </w:rPr>
            </w:pPr>
            <w:r>
              <w:rPr>
                <w:rFonts w:ascii="Arial" w:cs="Arial" w:eastAsia="Arial" w:hAnsi="Arial"/>
                <w:sz w:val="18"/>
                <w:szCs w:val="18"/>
                <w:color w:val="auto"/>
              </w:rPr>
              <w:t>Customer relationships</w:t>
            </w:r>
          </w:p>
        </w:tc>
        <w:tc>
          <w:tcPr>
            <w:tcW w:w="680" w:type="dxa"/>
            <w:vAlign w:val="bottom"/>
            <w:tcBorders>
              <w:right w:val="single" w:sz="8" w:color="007CBA"/>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28"/>
              <w:spacing w:after="0" w:line="202" w:lineRule="exact"/>
              <w:rPr>
                <w:sz w:val="20"/>
                <w:szCs w:val="20"/>
                <w:color w:val="auto"/>
              </w:rPr>
            </w:pPr>
            <w:r>
              <w:rPr>
                <w:rFonts w:ascii="Arial" w:cs="Arial" w:eastAsia="Arial" w:hAnsi="Arial"/>
                <w:sz w:val="18"/>
                <w:szCs w:val="18"/>
                <w:b w:val="1"/>
                <w:bCs w:val="1"/>
                <w:color w:val="auto"/>
              </w:rPr>
              <w:t>418</w:t>
            </w:r>
          </w:p>
        </w:tc>
        <w:tc>
          <w:tcPr>
            <w:tcW w:w="26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(99)</w:t>
            </w:r>
          </w:p>
        </w:tc>
        <w:tc>
          <w:tcPr>
            <w:tcW w:w="38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b w:val="1"/>
                <w:bCs w:val="1"/>
                <w:color w:val="auto"/>
              </w:rPr>
              <w:t>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60"/>
              <w:spacing w:after="0" w:line="202" w:lineRule="exact"/>
              <w:rPr>
                <w:sz w:val="20"/>
                <w:szCs w:val="20"/>
                <w:color w:val="auto"/>
              </w:rPr>
            </w:pPr>
            <w:r>
              <w:rPr>
                <w:rFonts w:ascii="Arial" w:cs="Arial" w:eastAsia="Arial" w:hAnsi="Arial"/>
                <w:sz w:val="18"/>
                <w:szCs w:val="18"/>
                <w:color w:val="auto"/>
              </w:rPr>
              <w:t>Operating permits</w:t>
            </w:r>
          </w:p>
        </w:tc>
        <w:tc>
          <w:tcPr>
            <w:tcW w:w="68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right w:val="single" w:sz="8" w:color="007CBA"/>
            </w:tcBorders>
          </w:tcPr>
          <w:p>
            <w:pPr>
              <w:jc w:val="right"/>
              <w:ind w:right="28"/>
              <w:spacing w:after="0" w:line="202" w:lineRule="exact"/>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17"/>
                <w:szCs w:val="17"/>
                <w:color w:val="auto"/>
              </w:rPr>
            </w:pPr>
          </w:p>
        </w:tc>
        <w:tc>
          <w:tcPr>
            <w:tcW w:w="14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38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F1F8"/>
          </w:tcPr>
          <w:p>
            <w:pPr>
              <w:ind w:left="60"/>
              <w:spacing w:after="0" w:line="202" w:lineRule="exact"/>
              <w:rPr>
                <w:sz w:val="20"/>
                <w:szCs w:val="20"/>
                <w:color w:val="auto"/>
              </w:rPr>
            </w:pPr>
            <w:r>
              <w:rPr>
                <w:rFonts w:ascii="Arial" w:cs="Arial" w:eastAsia="Arial" w:hAnsi="Arial"/>
                <w:sz w:val="18"/>
                <w:szCs w:val="18"/>
                <w:color w:val="auto"/>
              </w:rPr>
              <w:t>Use rights and other</w:t>
            </w:r>
          </w:p>
        </w:tc>
        <w:tc>
          <w:tcPr>
            <w:tcW w:w="680" w:type="dxa"/>
            <w:vAlign w:val="bottom"/>
            <w:tcBorders>
              <w:right w:val="single" w:sz="8" w:color="007CBA"/>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28"/>
              <w:spacing w:after="0" w:line="202" w:lineRule="exact"/>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38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Trade names</w:t>
            </w: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line="202" w:lineRule="exact"/>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auto"/>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gridSpan w:val="2"/>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E5F1F8"/>
            </w:tcBorders>
            <w:shd w:val="clear" w:color="auto" w:fill="E5F1F8"/>
          </w:tcPr>
          <w:p>
            <w:pPr>
              <w:jc w:val="right"/>
              <w:ind w:right="28"/>
              <w:spacing w:after="0" w:line="196" w:lineRule="exact"/>
              <w:rPr>
                <w:sz w:val="20"/>
                <w:szCs w:val="20"/>
                <w:color w:val="auto"/>
              </w:rPr>
            </w:pPr>
            <w:r>
              <w:rPr>
                <w:rFonts w:ascii="Arial" w:cs="Arial" w:eastAsia="Arial" w:hAnsi="Arial"/>
                <w:sz w:val="18"/>
                <w:szCs w:val="18"/>
                <w:b w:val="1"/>
                <w:bCs w:val="1"/>
                <w:color w:val="auto"/>
              </w:rPr>
              <w:t>568</w:t>
            </w:r>
          </w:p>
        </w:tc>
        <w:tc>
          <w:tcPr>
            <w:tcW w:w="26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(152)</w:t>
            </w:r>
          </w:p>
        </w:tc>
        <w:tc>
          <w:tcPr>
            <w:tcW w:w="38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b w:val="1"/>
                <w:bCs w:val="1"/>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007CBA"/>
          </w:tcPr>
          <w:p>
            <w:pPr>
              <w:spacing w:after="0"/>
              <w:rPr>
                <w:sz w:val="17"/>
                <w:szCs w:val="17"/>
                <w:color w:val="auto"/>
              </w:rPr>
            </w:pPr>
          </w:p>
        </w:tc>
        <w:tc>
          <w:tcPr>
            <w:tcW w:w="680" w:type="dxa"/>
            <w:vAlign w:val="bottom"/>
            <w:tcBorders>
              <w:right w:val="single" w:sz="8" w:color="007CBA"/>
            </w:tcBorders>
            <w:shd w:val="clear" w:color="auto" w:fill="007CBA"/>
          </w:tcPr>
          <w:p>
            <w:pPr>
              <w:spacing w:after="0"/>
              <w:rPr>
                <w:sz w:val="17"/>
                <w:szCs w:val="17"/>
                <w:color w:val="auto"/>
              </w:rPr>
            </w:pPr>
          </w:p>
        </w:tc>
        <w:tc>
          <w:tcPr>
            <w:tcW w:w="320" w:type="dxa"/>
            <w:vAlign w:val="bottom"/>
            <w:shd w:val="clear" w:color="auto" w:fill="007CBA"/>
          </w:tcPr>
          <w:p>
            <w:pPr>
              <w:spacing w:after="0"/>
              <w:rPr>
                <w:sz w:val="17"/>
                <w:szCs w:val="17"/>
                <w:color w:val="auto"/>
              </w:rPr>
            </w:pPr>
          </w:p>
        </w:tc>
        <w:tc>
          <w:tcPr>
            <w:tcW w:w="1380" w:type="dxa"/>
            <w:vAlign w:val="bottom"/>
            <w:tcBorders>
              <w:right w:val="single" w:sz="8" w:color="007CBA"/>
            </w:tcBorders>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1400" w:type="dxa"/>
            <w:vAlign w:val="bottom"/>
            <w:tcBorders>
              <w:right w:val="single" w:sz="8" w:color="007CBA"/>
            </w:tcBorders>
            <w:shd w:val="clear" w:color="auto" w:fill="007CBA"/>
          </w:tcPr>
          <w:p>
            <w:pPr>
              <w:jc w:val="center"/>
              <w:ind w:right="190"/>
              <w:spacing w:after="0" w:line="202" w:lineRule="exact"/>
              <w:rPr>
                <w:sz w:val="20"/>
                <w:szCs w:val="20"/>
                <w:color w:val="auto"/>
              </w:rPr>
            </w:pPr>
            <w:r>
              <w:rPr>
                <w:rFonts w:ascii="Arial" w:cs="Arial" w:eastAsia="Arial" w:hAnsi="Arial"/>
                <w:sz w:val="18"/>
                <w:szCs w:val="18"/>
                <w:color w:val="FFFFFF"/>
                <w:w w:val="99"/>
              </w:rPr>
              <w:t>2024</w:t>
            </w:r>
          </w:p>
        </w:tc>
        <w:tc>
          <w:tcPr>
            <w:tcW w:w="380" w:type="dxa"/>
            <w:vAlign w:val="bottom"/>
            <w:shd w:val="clear" w:color="auto" w:fill="007CBA"/>
          </w:tcPr>
          <w:p>
            <w:pPr>
              <w:spacing w:after="0"/>
              <w:rPr>
                <w:sz w:val="17"/>
                <w:szCs w:val="17"/>
                <w:color w:val="auto"/>
              </w:rPr>
            </w:pPr>
          </w:p>
        </w:tc>
        <w:tc>
          <w:tcPr>
            <w:tcW w:w="1260" w:type="dxa"/>
            <w:vAlign w:val="bottom"/>
            <w:shd w:val="clear" w:color="auto" w:fill="007CB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60"/>
              <w:spacing w:after="0" w:line="202" w:lineRule="exact"/>
              <w:rPr>
                <w:sz w:val="20"/>
                <w:szCs w:val="20"/>
                <w:color w:val="auto"/>
              </w:rPr>
            </w:pPr>
            <w:r>
              <w:rPr>
                <w:rFonts w:ascii="Arial" w:cs="Arial" w:eastAsia="Arial" w:hAnsi="Arial"/>
                <w:sz w:val="18"/>
                <w:szCs w:val="18"/>
                <w:color w:val="auto"/>
              </w:rPr>
              <w:t>Noncompetition agreements</w:t>
            </w:r>
          </w:p>
        </w:tc>
        <w:tc>
          <w:tcPr>
            <w:tcW w:w="680" w:type="dxa"/>
            <w:vAlign w:val="bottom"/>
            <w:tcBorders>
              <w:right w:val="single" w:sz="8" w:color="007CBA"/>
            </w:tcBorders>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007CBA"/>
            </w:tcBorders>
          </w:tcPr>
          <w:p>
            <w:pPr>
              <w:jc w:val="right"/>
              <w:ind w:right="28"/>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F1F8"/>
          </w:tcPr>
          <w:p>
            <w:pPr>
              <w:ind w:left="60"/>
              <w:spacing w:after="0" w:line="202" w:lineRule="exact"/>
              <w:rPr>
                <w:sz w:val="20"/>
                <w:szCs w:val="20"/>
                <w:color w:val="auto"/>
              </w:rPr>
            </w:pPr>
            <w:r>
              <w:rPr>
                <w:rFonts w:ascii="Arial" w:cs="Arial" w:eastAsia="Arial" w:hAnsi="Arial"/>
                <w:sz w:val="18"/>
                <w:szCs w:val="18"/>
                <w:color w:val="auto"/>
              </w:rPr>
              <w:t>Customer relationships</w:t>
            </w:r>
          </w:p>
        </w:tc>
        <w:tc>
          <w:tcPr>
            <w:tcW w:w="680" w:type="dxa"/>
            <w:vAlign w:val="bottom"/>
            <w:tcBorders>
              <w:right w:val="single" w:sz="8" w:color="007CBA"/>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28"/>
              <w:spacing w:after="0" w:line="202" w:lineRule="exact"/>
              <w:rPr>
                <w:sz w:val="20"/>
                <w:szCs w:val="20"/>
                <w:color w:val="auto"/>
              </w:rPr>
            </w:pPr>
            <w:r>
              <w:rPr>
                <w:rFonts w:ascii="Arial" w:cs="Arial" w:eastAsia="Arial" w:hAnsi="Arial"/>
                <w:sz w:val="18"/>
                <w:szCs w:val="18"/>
                <w:color w:val="auto"/>
              </w:rPr>
              <w:t>415</w:t>
            </w:r>
          </w:p>
        </w:tc>
        <w:tc>
          <w:tcPr>
            <w:tcW w:w="26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(79)</w:t>
            </w:r>
          </w:p>
        </w:tc>
        <w:tc>
          <w:tcPr>
            <w:tcW w:w="38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60"/>
              <w:spacing w:after="0" w:line="202" w:lineRule="exact"/>
              <w:rPr>
                <w:sz w:val="20"/>
                <w:szCs w:val="20"/>
                <w:color w:val="auto"/>
              </w:rPr>
            </w:pPr>
            <w:r>
              <w:rPr>
                <w:rFonts w:ascii="Arial" w:cs="Arial" w:eastAsia="Arial" w:hAnsi="Arial"/>
                <w:sz w:val="18"/>
                <w:szCs w:val="18"/>
                <w:color w:val="auto"/>
              </w:rPr>
              <w:t>Operating permits</w:t>
            </w:r>
          </w:p>
        </w:tc>
        <w:tc>
          <w:tcPr>
            <w:tcW w:w="68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right w:val="single" w:sz="8" w:color="007CBA"/>
            </w:tcBorders>
          </w:tcPr>
          <w:p>
            <w:pPr>
              <w:jc w:val="right"/>
              <w:ind w:right="28"/>
              <w:spacing w:after="0" w:line="202" w:lineRule="exact"/>
              <w:rPr>
                <w:sz w:val="20"/>
                <w:szCs w:val="20"/>
                <w:color w:val="auto"/>
              </w:rPr>
            </w:pPr>
            <w:r>
              <w:rPr>
                <w:rFonts w:ascii="Arial" w:cs="Arial" w:eastAsia="Arial" w:hAnsi="Arial"/>
                <w:sz w:val="18"/>
                <w:szCs w:val="18"/>
                <w:color w:val="auto"/>
              </w:rPr>
              <w:t>110</w:t>
            </w:r>
          </w:p>
        </w:tc>
        <w:tc>
          <w:tcPr>
            <w:tcW w:w="260" w:type="dxa"/>
            <w:vAlign w:val="bottom"/>
          </w:tcPr>
          <w:p>
            <w:pPr>
              <w:spacing w:after="0"/>
              <w:rPr>
                <w:sz w:val="17"/>
                <w:szCs w:val="17"/>
                <w:color w:val="auto"/>
              </w:rPr>
            </w:pPr>
          </w:p>
        </w:tc>
        <w:tc>
          <w:tcPr>
            <w:tcW w:w="140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(30)</w:t>
            </w:r>
          </w:p>
        </w:tc>
        <w:tc>
          <w:tcPr>
            <w:tcW w:w="38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F1F8"/>
          </w:tcPr>
          <w:p>
            <w:pPr>
              <w:ind w:left="60"/>
              <w:spacing w:after="0" w:line="202" w:lineRule="exact"/>
              <w:rPr>
                <w:sz w:val="20"/>
                <w:szCs w:val="20"/>
                <w:color w:val="auto"/>
              </w:rPr>
            </w:pPr>
            <w:r>
              <w:rPr>
                <w:rFonts w:ascii="Arial" w:cs="Arial" w:eastAsia="Arial" w:hAnsi="Arial"/>
                <w:sz w:val="18"/>
                <w:szCs w:val="18"/>
                <w:color w:val="auto"/>
              </w:rPr>
              <w:t>Use rights and other</w:t>
            </w:r>
          </w:p>
        </w:tc>
        <w:tc>
          <w:tcPr>
            <w:tcW w:w="680" w:type="dxa"/>
            <w:vAlign w:val="bottom"/>
            <w:tcBorders>
              <w:right w:val="single" w:sz="8" w:color="007CBA"/>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28"/>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(12)</w:t>
            </w:r>
          </w:p>
        </w:tc>
        <w:tc>
          <w:tcPr>
            <w:tcW w:w="38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Trade names</w:t>
            </w: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line="202" w:lineRule="exact"/>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auto"/>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gridSpan w:val="2"/>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E5F1F8"/>
            </w:tcBorders>
            <w:shd w:val="clear" w:color="auto" w:fill="E5F1F8"/>
          </w:tcPr>
          <w:p>
            <w:pPr>
              <w:jc w:val="right"/>
              <w:ind w:right="28"/>
              <w:spacing w:after="0" w:line="196" w:lineRule="exact"/>
              <w:rPr>
                <w:sz w:val="20"/>
                <w:szCs w:val="20"/>
                <w:color w:val="auto"/>
              </w:rPr>
            </w:pPr>
            <w:r>
              <w:rPr>
                <w:rFonts w:ascii="Arial" w:cs="Arial" w:eastAsia="Arial" w:hAnsi="Arial"/>
                <w:sz w:val="18"/>
                <w:szCs w:val="18"/>
                <w:color w:val="auto"/>
              </w:rPr>
              <w:t>568</w:t>
            </w:r>
          </w:p>
        </w:tc>
        <w:tc>
          <w:tcPr>
            <w:tcW w:w="26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(129)</w:t>
            </w:r>
          </w:p>
        </w:tc>
        <w:tc>
          <w:tcPr>
            <w:tcW w:w="38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-2005330</wp:posOffset>
            </wp:positionV>
            <wp:extent cx="31800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180080" cy="889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-1366520</wp:posOffset>
            </wp:positionV>
            <wp:extent cx="33655" cy="3168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-1366520</wp:posOffset>
            </wp:positionV>
            <wp:extent cx="33655" cy="3168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-1366520</wp:posOffset>
            </wp:positionV>
            <wp:extent cx="33655" cy="3168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-303530</wp:posOffset>
            </wp:positionV>
            <wp:extent cx="33655" cy="3168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-303530</wp:posOffset>
            </wp:positionV>
            <wp:extent cx="33655" cy="3168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-303530</wp:posOffset>
            </wp:positionV>
            <wp:extent cx="33655" cy="3168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deemed to have an indefinite life that are therefore not amortized consist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9"/>
              </w:rPr>
              <w:t>Building</w:t>
            </w:r>
          </w:p>
        </w:tc>
        <w:tc>
          <w:tcPr>
            <w:tcW w:w="34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03"/>
        </w:trPr>
        <w:tc>
          <w:tcPr>
            <w:tcW w:w="626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jc w:val="center"/>
              <w:ind w:right="250"/>
              <w:spacing w:after="0" w:line="202" w:lineRule="exact"/>
              <w:rPr>
                <w:sz w:val="20"/>
                <w:szCs w:val="20"/>
                <w:color w:val="auto"/>
              </w:rPr>
            </w:pPr>
            <w:r>
              <w:rPr>
                <w:rFonts w:ascii="Arial" w:cs="Arial" w:eastAsia="Arial" w:hAnsi="Arial"/>
                <w:sz w:val="18"/>
                <w:szCs w:val="18"/>
                <w:b w:val="1"/>
                <w:bCs w:val="1"/>
                <w:color w:val="FFFFFF"/>
                <w:w w:val="99"/>
              </w:rPr>
              <w:t>Materials</w:t>
            </w:r>
          </w:p>
        </w:tc>
        <w:tc>
          <w:tcPr>
            <w:tcW w:w="34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16"/>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c>
          <w:tcPr>
            <w:tcW w:w="36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9"/>
              </w:rPr>
              <w:t>Business</w:t>
            </w:r>
          </w:p>
        </w:tc>
        <w:tc>
          <w:tcPr>
            <w:tcW w:w="34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rPr>
              <w:t>Specialties</w:t>
            </w:r>
          </w:p>
        </w:tc>
        <w:tc>
          <w:tcPr>
            <w:tcW w:w="440" w:type="dxa"/>
            <w:vAlign w:val="bottom"/>
            <w:shd w:val="clear" w:color="auto" w:fill="007CBA"/>
          </w:tcPr>
          <w:p>
            <w:pPr>
              <w:spacing w:after="0"/>
              <w:rPr>
                <w:sz w:val="18"/>
                <w:szCs w:val="18"/>
                <w:color w:val="auto"/>
              </w:rPr>
            </w:pPr>
          </w:p>
        </w:tc>
        <w:tc>
          <w:tcPr>
            <w:tcW w:w="1180" w:type="dxa"/>
            <w:vAlign w:val="bottom"/>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Total</w:t>
            </w:r>
          </w:p>
        </w:tc>
      </w:tr>
      <w:tr>
        <w:trPr>
          <w:trHeight w:val="221"/>
        </w:trPr>
        <w:tc>
          <w:tcPr>
            <w:tcW w:w="6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60" w:type="dxa"/>
            <w:vAlign w:val="bottom"/>
            <w:shd w:val="clear" w:color="auto" w:fill="007CBA"/>
          </w:tcPr>
          <w:p>
            <w:pPr>
              <w:spacing w:after="0"/>
              <w:rPr>
                <w:sz w:val="19"/>
                <w:szCs w:val="19"/>
                <w:color w:val="auto"/>
              </w:rPr>
            </w:pPr>
          </w:p>
        </w:tc>
        <w:tc>
          <w:tcPr>
            <w:tcW w:w="132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80" w:type="dxa"/>
            <w:vAlign w:val="bottom"/>
            <w:shd w:val="clear" w:color="auto" w:fill="007CBA"/>
          </w:tcPr>
          <w:p>
            <w:pPr>
              <w:spacing w:after="0"/>
              <w:rPr>
                <w:sz w:val="19"/>
                <w:szCs w:val="19"/>
                <w:color w:val="auto"/>
              </w:rPr>
            </w:pPr>
          </w:p>
        </w:tc>
      </w:tr>
      <w:tr>
        <w:trPr>
          <w:trHeight w:val="203"/>
        </w:trPr>
        <w:tc>
          <w:tcPr>
            <w:tcW w:w="626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Operating permits</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w:t>
            </w:r>
          </w:p>
        </w:tc>
      </w:tr>
      <w:tr>
        <w:trPr>
          <w:trHeight w:val="203"/>
        </w:trPr>
        <w:tc>
          <w:tcPr>
            <w:tcW w:w="62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Use rights</w:t>
            </w:r>
          </w:p>
        </w:tc>
        <w:tc>
          <w:tcPr>
            <w:tcW w:w="36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29</w:t>
            </w:r>
          </w:p>
        </w:tc>
        <w:tc>
          <w:tcPr>
            <w:tcW w:w="34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1F8"/>
          </w:tcPr>
          <w:p>
            <w:pPr>
              <w:spacing w:after="0"/>
              <w:rPr>
                <w:sz w:val="17"/>
                <w:szCs w:val="17"/>
                <w:color w:val="auto"/>
              </w:rPr>
            </w:pPr>
          </w:p>
        </w:tc>
        <w:tc>
          <w:tcPr>
            <w:tcW w:w="11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b w:val="1"/>
                <w:bCs w:val="1"/>
                <w:color w:val="auto"/>
              </w:rPr>
              <w:t>29</w:t>
            </w:r>
          </w:p>
        </w:tc>
      </w:tr>
      <w:tr>
        <w:trPr>
          <w:trHeight w:val="203"/>
        </w:trPr>
        <w:tc>
          <w:tcPr>
            <w:tcW w:w="6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Trade names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w:t>
            </w:r>
          </w:p>
        </w:tc>
      </w:tr>
      <w:tr>
        <w:trPr>
          <w:trHeight w:val="236"/>
        </w:trPr>
        <w:tc>
          <w:tcPr>
            <w:tcW w:w="626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36</w:t>
            </w:r>
          </w:p>
        </w:tc>
        <w:tc>
          <w:tcPr>
            <w:tcW w:w="34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b w:val="1"/>
                <w:bCs w:val="1"/>
                <w:color w:val="auto"/>
              </w:rPr>
              <w:t>43</w:t>
            </w:r>
          </w:p>
        </w:tc>
      </w:tr>
      <w:tr>
        <w:trPr>
          <w:trHeight w:val="183"/>
        </w:trPr>
        <w:tc>
          <w:tcPr>
            <w:tcW w:w="6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260" w:type="dxa"/>
            <w:vAlign w:val="bottom"/>
            <w:tcBorders>
              <w:right w:val="single" w:sz="8" w:color="007CBA"/>
            </w:tcBorders>
            <w:shd w:val="clear" w:color="auto" w:fill="007CBA"/>
          </w:tcPr>
          <w:p>
            <w:pPr>
              <w:spacing w:after="0"/>
              <w:rPr>
                <w:sz w:val="17"/>
                <w:szCs w:val="17"/>
                <w:color w:val="auto"/>
              </w:rPr>
            </w:pPr>
          </w:p>
        </w:tc>
        <w:tc>
          <w:tcPr>
            <w:tcW w:w="36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spacing w:after="0"/>
              <w:rPr>
                <w:sz w:val="17"/>
                <w:szCs w:val="17"/>
                <w:color w:val="auto"/>
              </w:rPr>
            </w:pPr>
          </w:p>
        </w:tc>
        <w:tc>
          <w:tcPr>
            <w:tcW w:w="34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jc w:val="right"/>
              <w:ind w:right="550"/>
              <w:spacing w:after="0" w:line="202" w:lineRule="exact"/>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03"/>
        </w:trPr>
        <w:tc>
          <w:tcPr>
            <w:tcW w:w="626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Operating permits</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203"/>
        </w:trPr>
        <w:tc>
          <w:tcPr>
            <w:tcW w:w="62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Use rights</w:t>
            </w:r>
          </w:p>
        </w:tc>
        <w:tc>
          <w:tcPr>
            <w:tcW w:w="36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34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5F1F8"/>
          </w:tcPr>
          <w:p>
            <w:pPr>
              <w:spacing w:after="0"/>
              <w:rPr>
                <w:sz w:val="17"/>
                <w:szCs w:val="17"/>
                <w:color w:val="auto"/>
              </w:rPr>
            </w:pPr>
          </w:p>
        </w:tc>
        <w:tc>
          <w:tcPr>
            <w:tcW w:w="11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6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Trade names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w:t>
            </w:r>
          </w:p>
        </w:tc>
      </w:tr>
      <w:tr>
        <w:trPr>
          <w:trHeight w:val="236"/>
        </w:trPr>
        <w:tc>
          <w:tcPr>
            <w:tcW w:w="626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-1490980</wp:posOffset>
            </wp:positionV>
            <wp:extent cx="30600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-1109345</wp:posOffset>
            </wp:positionV>
            <wp:extent cx="34290" cy="3168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-1109345</wp:posOffset>
            </wp:positionV>
            <wp:extent cx="33655" cy="3168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-1109345</wp:posOffset>
            </wp:positionV>
            <wp:extent cx="34290" cy="3168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-303530</wp:posOffset>
            </wp:positionV>
            <wp:extent cx="34290" cy="3168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-303530</wp:posOffset>
            </wp:positionV>
            <wp:extent cx="33655" cy="3168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-303530</wp:posOffset>
            </wp:positionV>
            <wp:extent cx="34290" cy="3168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All intangible assets acquired during 2025 were from business combinations and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right w:val="single" w:sz="8" w:color="007CBA"/>
            </w:tcBorders>
            <w:shd w:val="clear" w:color="auto" w:fill="007CBA"/>
          </w:tcPr>
          <w:p>
            <w:pPr>
              <w:spacing w:after="0"/>
              <w:rPr>
                <w:sz w:val="18"/>
                <w:szCs w:val="18"/>
                <w:color w:val="auto"/>
              </w:rPr>
            </w:pPr>
          </w:p>
        </w:tc>
        <w:tc>
          <w:tcPr>
            <w:tcW w:w="1400" w:type="dxa"/>
            <w:vAlign w:val="bottom"/>
            <w:shd w:val="clear" w:color="auto" w:fill="007CBA"/>
          </w:tcPr>
          <w:p>
            <w:pPr>
              <w:spacing w:after="0"/>
              <w:rPr>
                <w:sz w:val="18"/>
                <w:szCs w:val="18"/>
                <w:color w:val="auto"/>
              </w:rPr>
            </w:pPr>
          </w:p>
        </w:tc>
        <w:tc>
          <w:tcPr>
            <w:tcW w:w="380" w:type="dxa"/>
            <w:vAlign w:val="bottom"/>
            <w:tcBorders>
              <w:right w:val="single" w:sz="8" w:color="007CBA"/>
            </w:tcBorders>
            <w:shd w:val="clear" w:color="auto" w:fill="007CBA"/>
          </w:tcPr>
          <w:p>
            <w:pPr>
              <w:spacing w:after="0"/>
              <w:rPr>
                <w:sz w:val="18"/>
                <w:szCs w:val="18"/>
                <w:color w:val="auto"/>
              </w:rPr>
            </w:pPr>
          </w:p>
        </w:tc>
        <w:tc>
          <w:tcPr>
            <w:tcW w:w="2280" w:type="dxa"/>
            <w:vAlign w:val="bottom"/>
            <w:shd w:val="clear" w:color="auto" w:fill="007CBA"/>
          </w:tcPr>
          <w:p>
            <w:pPr>
              <w:ind w:left="420"/>
              <w:spacing w:after="0"/>
              <w:rPr>
                <w:sz w:val="20"/>
                <w:szCs w:val="20"/>
                <w:color w:val="auto"/>
              </w:rPr>
            </w:pPr>
            <w:r>
              <w:rPr>
                <w:rFonts w:ascii="Arial" w:cs="Arial" w:eastAsia="Arial" w:hAnsi="Arial"/>
                <w:sz w:val="18"/>
                <w:szCs w:val="18"/>
                <w:b w:val="1"/>
                <w:bCs w:val="1"/>
                <w:color w:val="FFFFFF"/>
              </w:rPr>
              <w:t>Weighted-average</w:t>
            </w:r>
          </w:p>
        </w:tc>
      </w:tr>
      <w:tr>
        <w:trPr>
          <w:trHeight w:val="221"/>
        </w:trPr>
        <w:tc>
          <w:tcPr>
            <w:tcW w:w="71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 except year data)</w:t>
            </w:r>
          </w:p>
        </w:tc>
        <w:tc>
          <w:tcPr>
            <w:tcW w:w="1400" w:type="dxa"/>
            <w:vAlign w:val="bottom"/>
            <w:shd w:val="clear" w:color="auto" w:fill="007CBA"/>
          </w:tcPr>
          <w:p>
            <w:pPr>
              <w:jc w:val="right"/>
              <w:ind w:right="50"/>
              <w:spacing w:after="0"/>
              <w:rPr>
                <w:sz w:val="20"/>
                <w:szCs w:val="20"/>
                <w:color w:val="auto"/>
              </w:rPr>
            </w:pPr>
            <w:r>
              <w:rPr>
                <w:rFonts w:ascii="Arial" w:cs="Arial" w:eastAsia="Arial" w:hAnsi="Arial"/>
                <w:sz w:val="18"/>
                <w:szCs w:val="18"/>
                <w:b w:val="1"/>
                <w:bCs w:val="1"/>
                <w:color w:val="FFFFFF"/>
              </w:rPr>
              <w:t>Amount</w:t>
            </w:r>
          </w:p>
        </w:tc>
        <w:tc>
          <w:tcPr>
            <w:tcW w:w="380" w:type="dxa"/>
            <w:vAlign w:val="bottom"/>
            <w:tcBorders>
              <w:right w:val="single" w:sz="8" w:color="007CBA"/>
            </w:tcBorders>
            <w:shd w:val="clear" w:color="auto" w:fill="007CBA"/>
          </w:tcPr>
          <w:p>
            <w:pPr>
              <w:spacing w:after="0"/>
              <w:rPr>
                <w:sz w:val="19"/>
                <w:szCs w:val="19"/>
                <w:color w:val="auto"/>
              </w:rPr>
            </w:pPr>
          </w:p>
        </w:tc>
        <w:tc>
          <w:tcPr>
            <w:tcW w:w="2280" w:type="dxa"/>
            <w:vAlign w:val="bottom"/>
            <w:shd w:val="clear" w:color="auto" w:fill="007CBA"/>
          </w:tcPr>
          <w:p>
            <w:pPr>
              <w:jc w:val="center"/>
              <w:ind w:left="70"/>
              <w:spacing w:after="0"/>
              <w:rPr>
                <w:sz w:val="20"/>
                <w:szCs w:val="20"/>
                <w:color w:val="auto"/>
              </w:rPr>
            </w:pPr>
            <w:r>
              <w:rPr>
                <w:rFonts w:ascii="Arial" w:cs="Arial" w:eastAsia="Arial" w:hAnsi="Arial"/>
                <w:sz w:val="18"/>
                <w:szCs w:val="18"/>
                <w:b w:val="1"/>
                <w:bCs w:val="1"/>
                <w:color w:val="FFFFFF"/>
              </w:rPr>
              <w:t>amortization period</w:t>
            </w:r>
          </w:p>
        </w:tc>
      </w:tr>
      <w:tr>
        <w:trPr>
          <w:trHeight w:val="203"/>
        </w:trPr>
        <w:tc>
          <w:tcPr>
            <w:tcW w:w="7180" w:type="dxa"/>
            <w:vAlign w:val="bottom"/>
            <w:tcBorders>
              <w:right w:val="single" w:sz="8" w:color="007CBA"/>
            </w:tcBorders>
          </w:tcPr>
          <w:p>
            <w:pPr>
              <w:spacing w:after="0" w:line="202" w:lineRule="exact"/>
              <w:rPr>
                <w:sz w:val="20"/>
                <w:szCs w:val="20"/>
                <w:color w:val="auto"/>
              </w:rPr>
            </w:pPr>
            <w:r>
              <w:rPr>
                <w:rFonts w:ascii="Arial" w:cs="Arial" w:eastAsia="Arial" w:hAnsi="Arial"/>
                <w:sz w:val="18"/>
                <w:szCs w:val="18"/>
                <w:color w:val="auto"/>
              </w:rPr>
              <w:t>Subject to amortization:</w:t>
            </w:r>
          </w:p>
        </w:tc>
        <w:tc>
          <w:tcPr>
            <w:tcW w:w="1400" w:type="dxa"/>
            <w:vAlign w:val="bottom"/>
          </w:tcPr>
          <w:p>
            <w:pPr>
              <w:spacing w:after="0"/>
              <w:rPr>
                <w:sz w:val="17"/>
                <w:szCs w:val="17"/>
                <w:color w:val="auto"/>
              </w:rPr>
            </w:pPr>
          </w:p>
        </w:tc>
        <w:tc>
          <w:tcPr>
            <w:tcW w:w="380" w:type="dxa"/>
            <w:vAlign w:val="bottom"/>
            <w:tcBorders>
              <w:right w:val="single" w:sz="8" w:color="007CBA"/>
            </w:tcBorders>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7180" w:type="dxa"/>
            <w:vAlign w:val="bottom"/>
            <w:tcBorders>
              <w:bottom w:val="single" w:sz="8" w:color="auto"/>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400" w:type="dxa"/>
            <w:vAlign w:val="bottom"/>
            <w:tcBorders>
              <w:bottom w:val="single" w:sz="8" w:color="auto"/>
            </w:tcBorders>
            <w:shd w:val="clear" w:color="auto" w:fill="E5F1F8"/>
          </w:tcPr>
          <w:p>
            <w:pPr>
              <w:jc w:val="right"/>
              <w:ind w:right="103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2280" w:type="dxa"/>
            <w:vAlign w:val="bottom"/>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rPr>
              <w:t>8 years</w:t>
            </w:r>
          </w:p>
        </w:tc>
      </w:tr>
      <w:tr>
        <w:trPr>
          <w:trHeight w:val="196"/>
        </w:trPr>
        <w:tc>
          <w:tcPr>
            <w:tcW w:w="7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subject to amortization</w:t>
            </w:r>
          </w:p>
        </w:tc>
        <w:tc>
          <w:tcPr>
            <w:tcW w:w="1400" w:type="dxa"/>
            <w:vAlign w:val="bottom"/>
            <w:tcBorders>
              <w:bottom w:val="single" w:sz="8" w:color="auto"/>
            </w:tcBorders>
          </w:tcPr>
          <w:p>
            <w:pPr>
              <w:jc w:val="right"/>
              <w:ind w:right="1030"/>
              <w:spacing w:after="0" w:line="18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3</w:t>
            </w:r>
          </w:p>
        </w:tc>
        <w:tc>
          <w:tcPr>
            <w:tcW w:w="2280" w:type="dxa"/>
            <w:vAlign w:val="bottom"/>
          </w:tcPr>
          <w:p>
            <w:pPr>
              <w:jc w:val="center"/>
              <w:ind w:left="70"/>
              <w:spacing w:after="0" w:line="196" w:lineRule="exact"/>
              <w:rPr>
                <w:sz w:val="20"/>
                <w:szCs w:val="20"/>
                <w:color w:val="auto"/>
              </w:rPr>
            </w:pPr>
            <w:r>
              <w:rPr>
                <w:rFonts w:ascii="Arial" w:cs="Arial" w:eastAsia="Arial" w:hAnsi="Arial"/>
                <w:sz w:val="18"/>
                <w:szCs w:val="18"/>
                <w:color w:val="auto"/>
              </w:rPr>
              <w:t>8 years</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E5F1F8"/>
            </w:tcBorders>
          </w:tcPr>
          <w:p>
            <w:pPr>
              <w:spacing w:after="0" w:line="20" w:lineRule="exact"/>
              <w:rPr>
                <w:sz w:val="1"/>
                <w:szCs w:val="1"/>
                <w:color w:val="auto"/>
              </w:rPr>
            </w:pPr>
          </w:p>
        </w:tc>
      </w:tr>
      <w:tr>
        <w:trPr>
          <w:trHeight w:val="183"/>
        </w:trPr>
        <w:tc>
          <w:tcPr>
            <w:tcW w:w="7180" w:type="dxa"/>
            <w:vAlign w:val="bottom"/>
            <w:tcBorders>
              <w:right w:val="single" w:sz="8" w:color="007CBA"/>
            </w:tcBorders>
            <w:shd w:val="clear" w:color="auto" w:fill="E5F1F8"/>
          </w:tcPr>
          <w:p>
            <w:pPr>
              <w:spacing w:after="0" w:line="183" w:lineRule="exact"/>
              <w:rPr>
                <w:sz w:val="20"/>
                <w:szCs w:val="20"/>
                <w:color w:val="auto"/>
              </w:rPr>
            </w:pPr>
            <w:r>
              <w:rPr>
                <w:rFonts w:ascii="Arial" w:cs="Arial" w:eastAsia="Arial" w:hAnsi="Arial"/>
                <w:sz w:val="18"/>
                <w:szCs w:val="18"/>
                <w:color w:val="auto"/>
              </w:rPr>
              <w:t>Not subject to amortization:</w:t>
            </w:r>
          </w:p>
        </w:tc>
        <w:tc>
          <w:tcPr>
            <w:tcW w:w="1400" w:type="dxa"/>
            <w:vAlign w:val="bottom"/>
            <w:shd w:val="clear" w:color="auto" w:fill="E5F1F8"/>
          </w:tcPr>
          <w:p>
            <w:pPr>
              <w:spacing w:after="0"/>
              <w:rPr>
                <w:sz w:val="15"/>
                <w:szCs w:val="15"/>
                <w:color w:val="auto"/>
              </w:rPr>
            </w:pPr>
          </w:p>
        </w:tc>
        <w:tc>
          <w:tcPr>
            <w:tcW w:w="380" w:type="dxa"/>
            <w:vAlign w:val="bottom"/>
            <w:tcBorders>
              <w:right w:val="single" w:sz="8" w:color="4472C4"/>
            </w:tcBorders>
            <w:shd w:val="clear" w:color="auto" w:fill="E5F1F8"/>
          </w:tcPr>
          <w:p>
            <w:pPr>
              <w:spacing w:after="0"/>
              <w:rPr>
                <w:sz w:val="15"/>
                <w:szCs w:val="15"/>
                <w:color w:val="auto"/>
              </w:rPr>
            </w:pPr>
          </w:p>
        </w:tc>
        <w:tc>
          <w:tcPr>
            <w:tcW w:w="2280" w:type="dxa"/>
            <w:vAlign w:val="bottom"/>
            <w:shd w:val="clear" w:color="auto" w:fill="E5F1F8"/>
          </w:tcPr>
          <w:p>
            <w:pPr>
              <w:spacing w:after="0"/>
              <w:rPr>
                <w:sz w:val="15"/>
                <w:szCs w:val="15"/>
                <w:color w:val="auto"/>
              </w:rPr>
            </w:pPr>
          </w:p>
        </w:tc>
      </w:tr>
      <w:tr>
        <w:trPr>
          <w:trHeight w:val="203"/>
        </w:trPr>
        <w:tc>
          <w:tcPr>
            <w:tcW w:w="71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Trade names</w:t>
            </w:r>
          </w:p>
        </w:tc>
        <w:tc>
          <w:tcPr>
            <w:tcW w:w="1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2280" w:type="dxa"/>
            <w:vAlign w:val="bottom"/>
            <w:tcBorders>
              <w:bottom w:val="single" w:sz="8" w:color="E5F1F8"/>
            </w:tcBorders>
          </w:tcPr>
          <w:p>
            <w:pPr>
              <w:jc w:val="center"/>
              <w:ind w:left="90"/>
              <w:spacing w:after="0" w:line="202" w:lineRule="exact"/>
              <w:rPr>
                <w:sz w:val="20"/>
                <w:szCs w:val="20"/>
                <w:color w:val="auto"/>
              </w:rPr>
            </w:pPr>
            <w:r>
              <w:rPr>
                <w:rFonts w:ascii="Arial" w:cs="Arial" w:eastAsia="Arial" w:hAnsi="Arial"/>
                <w:sz w:val="18"/>
                <w:szCs w:val="18"/>
                <w:color w:val="auto"/>
                <w:w w:val="99"/>
              </w:rPr>
              <w:t>N/A</w:t>
            </w:r>
          </w:p>
        </w:tc>
      </w:tr>
      <w:tr>
        <w:trPr>
          <w:trHeight w:val="236"/>
        </w:trPr>
        <w:tc>
          <w:tcPr>
            <w:tcW w:w="7180" w:type="dxa"/>
            <w:vAlign w:val="bottom"/>
            <w:tcBorders>
              <w:bottom w:val="single" w:sz="8" w:color="auto"/>
              <w:right w:val="single" w:sz="8" w:color="E5F1F8"/>
            </w:tcBorders>
            <w:shd w:val="clear" w:color="auto" w:fill="E5F1F8"/>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E5F1F8"/>
          </w:tcPr>
          <w:p>
            <w:pPr>
              <w:jc w:val="right"/>
              <w:ind w:right="103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8</w:t>
            </w:r>
          </w:p>
        </w:tc>
        <w:tc>
          <w:tcPr>
            <w:tcW w:w="2280" w:type="dxa"/>
            <w:vAlign w:val="bottom"/>
            <w:tcBorders>
              <w:bottom w:val="single" w:sz="8" w:color="E5F1F8"/>
            </w:tcBorders>
            <w:shd w:val="clear" w:color="auto" w:fill="E5F1F8"/>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-594995</wp:posOffset>
            </wp:positionV>
            <wp:extent cx="33655" cy="1885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-594995</wp:posOffset>
            </wp:positionV>
            <wp:extent cx="132715" cy="1885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2715" cy="18859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-303530</wp:posOffset>
            </wp:positionV>
            <wp:extent cx="33655" cy="3168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-303530</wp:posOffset>
            </wp:positionV>
            <wp:extent cx="132715" cy="3168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2715" cy="316865"/>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expense for intangible assets for the years ended December 31, 2025, 2024 and 2023 was $26 million, $23 million and $22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32385</wp:posOffset>
            </wp:positionV>
            <wp:extent cx="325755" cy="1974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7"/>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89"/>
        </w:trPr>
        <w:tc>
          <w:tcPr>
            <w:tcW w:w="9420" w:type="dxa"/>
            <w:vAlign w:val="bottom"/>
            <w:gridSpan w:val="6"/>
          </w:tcPr>
          <w:p>
            <w:pPr>
              <w:spacing w:after="0"/>
              <w:rPr>
                <w:sz w:val="20"/>
                <w:szCs w:val="20"/>
                <w:color w:val="auto"/>
              </w:rPr>
            </w:pPr>
            <w:r>
              <w:rPr>
                <w:rFonts w:ascii="Arial" w:cs="Arial" w:eastAsia="Arial" w:hAnsi="Arial"/>
                <w:sz w:val="18"/>
                <w:szCs w:val="18"/>
                <w:color w:val="auto"/>
              </w:rPr>
              <w:t>The estimated amortization expense for intangible assets for each of the next five years and thereafter is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7"/>
        </w:trPr>
        <w:tc>
          <w:tcPr>
            <w:tcW w:w="6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03"/>
        </w:trPr>
        <w:tc>
          <w:tcPr>
            <w:tcW w:w="6560" w:type="dxa"/>
            <w:vAlign w:val="bottom"/>
            <w:shd w:val="clear" w:color="auto" w:fill="007CBA"/>
          </w:tcPr>
          <w:p>
            <w:pPr>
              <w:ind w:left="100"/>
              <w:spacing w:after="0" w:line="202" w:lineRule="exact"/>
              <w:rPr>
                <w:sz w:val="20"/>
                <w:szCs w:val="20"/>
                <w:color w:val="auto"/>
              </w:rPr>
            </w:pPr>
            <w:r>
              <w:rPr>
                <w:rFonts w:ascii="Arial" w:cs="Arial" w:eastAsia="Arial" w:hAnsi="Arial"/>
                <w:sz w:val="18"/>
                <w:szCs w:val="18"/>
                <w:color w:val="FFFFFF"/>
              </w:rPr>
              <w:t>(in millions)</w:t>
            </w:r>
          </w:p>
        </w:tc>
        <w:tc>
          <w:tcPr>
            <w:tcW w:w="800" w:type="dxa"/>
            <w:vAlign w:val="bottom"/>
            <w:tcBorders>
              <w:right w:val="single" w:sz="8" w:color="007CBA"/>
            </w:tcBorders>
            <w:shd w:val="clear" w:color="auto" w:fill="007CBA"/>
          </w:tcPr>
          <w:p>
            <w:pPr>
              <w:spacing w:after="0"/>
              <w:rPr>
                <w:sz w:val="17"/>
                <w:szCs w:val="17"/>
                <w:color w:val="auto"/>
              </w:rPr>
            </w:pPr>
          </w:p>
        </w:tc>
        <w:tc>
          <w:tcPr>
            <w:tcW w:w="560" w:type="dxa"/>
            <w:vAlign w:val="bottom"/>
            <w:shd w:val="clear" w:color="auto" w:fill="007CBA"/>
          </w:tcPr>
          <w:p>
            <w:pPr>
              <w:spacing w:after="0"/>
              <w:rPr>
                <w:sz w:val="17"/>
                <w:szCs w:val="17"/>
                <w:color w:val="auto"/>
              </w:rPr>
            </w:pPr>
          </w:p>
        </w:tc>
        <w:tc>
          <w:tcPr>
            <w:tcW w:w="1080" w:type="dxa"/>
            <w:vAlign w:val="bottom"/>
            <w:tcBorders>
              <w:right w:val="single" w:sz="8" w:color="007CBA"/>
            </w:tcBorders>
            <w:shd w:val="clear" w:color="auto" w:fill="007CBA"/>
          </w:tcPr>
          <w:p>
            <w:pPr>
              <w:spacing w:after="0"/>
              <w:rPr>
                <w:sz w:val="17"/>
                <w:szCs w:val="17"/>
                <w:color w:val="auto"/>
              </w:rPr>
            </w:pPr>
          </w:p>
        </w:tc>
        <w:tc>
          <w:tcPr>
            <w:tcW w:w="32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380" w:type="dxa"/>
            <w:vAlign w:val="bottom"/>
            <w:shd w:val="clear" w:color="auto" w:fill="007CBA"/>
          </w:tcPr>
          <w:p>
            <w:pPr>
              <w:spacing w:after="0"/>
              <w:rPr>
                <w:sz w:val="17"/>
                <w:szCs w:val="17"/>
                <w:color w:val="auto"/>
              </w:rPr>
            </w:pPr>
          </w:p>
        </w:tc>
      </w:tr>
      <w:tr>
        <w:trPr>
          <w:trHeight w:val="203"/>
        </w:trPr>
        <w:tc>
          <w:tcPr>
            <w:tcW w:w="65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Borders>
              <w:right w:val="single" w:sz="8" w:color="007CBA"/>
            </w:tcBorders>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6560" w:type="dxa"/>
            <w:vAlign w:val="bottom"/>
            <w:shd w:val="clear" w:color="auto" w:fill="E5F1F8"/>
          </w:tcPr>
          <w:p>
            <w:pPr>
              <w:ind w:left="100"/>
              <w:spacing w:after="0" w:line="202" w:lineRule="exact"/>
              <w:rPr>
                <w:sz w:val="20"/>
                <w:szCs w:val="20"/>
                <w:color w:val="auto"/>
              </w:rPr>
            </w:pPr>
            <w:r>
              <w:rPr>
                <w:rFonts w:ascii="Arial" w:cs="Arial" w:eastAsia="Arial" w:hAnsi="Arial"/>
                <w:sz w:val="18"/>
                <w:szCs w:val="18"/>
                <w:color w:val="auto"/>
              </w:rPr>
              <w:t>2027</w:t>
            </w:r>
          </w:p>
        </w:tc>
        <w:tc>
          <w:tcPr>
            <w:tcW w:w="800" w:type="dxa"/>
            <w:vAlign w:val="bottom"/>
            <w:tcBorders>
              <w:right w:val="single" w:sz="8" w:color="E5F1F8"/>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080" w:type="dxa"/>
            <w:vAlign w:val="bottom"/>
            <w:tcBorders>
              <w:right w:val="single" w:sz="8" w:color="007CBA"/>
            </w:tcBorders>
            <w:shd w:val="clear" w:color="auto" w:fill="E5F1F8"/>
          </w:tcPr>
          <w:p>
            <w:pPr>
              <w:spacing w:after="0"/>
              <w:rPr>
                <w:sz w:val="17"/>
                <w:szCs w:val="17"/>
                <w:color w:val="auto"/>
              </w:rPr>
            </w:pPr>
          </w:p>
        </w:tc>
        <w:tc>
          <w:tcPr>
            <w:tcW w:w="320" w:type="dxa"/>
            <w:vAlign w:val="bottom"/>
            <w:tcBorders>
              <w:right w:val="single" w:sz="8" w:color="E5F1F8"/>
            </w:tcBorders>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65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6560" w:type="dxa"/>
            <w:vAlign w:val="bottom"/>
            <w:shd w:val="clear" w:color="auto" w:fill="E5F1F8"/>
          </w:tcPr>
          <w:p>
            <w:pPr>
              <w:ind w:left="100"/>
              <w:spacing w:after="0" w:line="202" w:lineRule="exact"/>
              <w:rPr>
                <w:sz w:val="20"/>
                <w:szCs w:val="20"/>
                <w:color w:val="auto"/>
              </w:rPr>
            </w:pPr>
            <w:r>
              <w:rPr>
                <w:rFonts w:ascii="Arial" w:cs="Arial" w:eastAsia="Arial" w:hAnsi="Arial"/>
                <w:sz w:val="18"/>
                <w:szCs w:val="18"/>
                <w:color w:val="auto"/>
              </w:rPr>
              <w:t>2029</w:t>
            </w:r>
          </w:p>
        </w:tc>
        <w:tc>
          <w:tcPr>
            <w:tcW w:w="800" w:type="dxa"/>
            <w:vAlign w:val="bottom"/>
            <w:tcBorders>
              <w:right w:val="single" w:sz="8" w:color="E5F1F8"/>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080" w:type="dxa"/>
            <w:vAlign w:val="bottom"/>
            <w:tcBorders>
              <w:right w:val="single" w:sz="8" w:color="007CBA"/>
            </w:tcBorders>
            <w:shd w:val="clear" w:color="auto" w:fill="E5F1F8"/>
          </w:tcPr>
          <w:p>
            <w:pPr>
              <w:spacing w:after="0"/>
              <w:rPr>
                <w:sz w:val="17"/>
                <w:szCs w:val="17"/>
                <w:color w:val="auto"/>
              </w:rPr>
            </w:pPr>
          </w:p>
        </w:tc>
        <w:tc>
          <w:tcPr>
            <w:tcW w:w="320" w:type="dxa"/>
            <w:vAlign w:val="bottom"/>
            <w:tcBorders>
              <w:right w:val="single" w:sz="8" w:color="E5F1F8"/>
            </w:tcBorders>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24</w:t>
            </w:r>
          </w:p>
        </w:tc>
      </w:tr>
      <w:tr>
        <w:trPr>
          <w:trHeight w:val="203"/>
        </w:trPr>
        <w:tc>
          <w:tcPr>
            <w:tcW w:w="656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6560" w:type="dxa"/>
            <w:vAlign w:val="bottom"/>
            <w:tcBorders>
              <w:bottom w:val="single" w:sz="8" w:color="auto"/>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080" w:type="dxa"/>
            <w:vAlign w:val="bottom"/>
            <w:tcBorders>
              <w:bottom w:val="single" w:sz="8" w:color="auto"/>
              <w:right w:val="single" w:sz="8" w:color="E5F1F8"/>
            </w:tcBorders>
            <w:shd w:val="clear" w:color="auto" w:fill="E5F1F8"/>
          </w:tcPr>
          <w:p>
            <w:pPr>
              <w:spacing w:after="0"/>
              <w:rPr>
                <w:sz w:val="17"/>
                <w:szCs w:val="17"/>
                <w:color w:val="auto"/>
              </w:rPr>
            </w:pPr>
          </w:p>
        </w:tc>
        <w:tc>
          <w:tcPr>
            <w:tcW w:w="320" w:type="dxa"/>
            <w:vAlign w:val="bottom"/>
            <w:tcBorders>
              <w:bottom w:val="single" w:sz="8" w:color="auto"/>
              <w:right w:val="single" w:sz="8" w:color="E5F1F8"/>
            </w:tcBorders>
            <w:shd w:val="clear" w:color="auto" w:fill="E5F1F8"/>
          </w:tcPr>
          <w:p>
            <w:pPr>
              <w:spacing w:after="0"/>
              <w:rPr>
                <w:sz w:val="17"/>
                <w:szCs w:val="17"/>
                <w:color w:val="auto"/>
              </w:rPr>
            </w:pP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294</w:t>
            </w:r>
          </w:p>
        </w:tc>
      </w:tr>
      <w:tr>
        <w:trPr>
          <w:trHeight w:val="196"/>
        </w:trPr>
        <w:tc>
          <w:tcPr>
            <w:tcW w:w="65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416</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2"/>
        </w:trPr>
        <w:tc>
          <w:tcPr>
            <w:tcW w:w="6560" w:type="dxa"/>
            <w:vAlign w:val="bottom"/>
          </w:tcPr>
          <w:p>
            <w:pPr>
              <w:spacing w:after="0"/>
              <w:rPr>
                <w:sz w:val="20"/>
                <w:szCs w:val="20"/>
                <w:color w:val="auto"/>
              </w:rPr>
            </w:pPr>
            <w:r>
              <w:rPr>
                <w:rFonts w:ascii="Arial" w:cs="Arial" w:eastAsia="Arial" w:hAnsi="Arial"/>
                <w:sz w:val="22"/>
                <w:szCs w:val="22"/>
                <w:b w:val="1"/>
                <w:bCs w:val="1"/>
                <w:color w:val="007DC6"/>
              </w:rPr>
              <w:t>Note D: Accounts Receivable, Net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
        </w:trPr>
        <w:tc>
          <w:tcPr>
            <w:tcW w:w="6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800" w:type="dxa"/>
            <w:vAlign w:val="bottom"/>
            <w:tcBorders>
              <w:right w:val="single" w:sz="8" w:color="007CBA"/>
            </w:tcBorders>
            <w:shd w:val="clear" w:color="auto" w:fill="007CBA"/>
          </w:tcPr>
          <w:p>
            <w:pPr>
              <w:spacing w:after="0"/>
              <w:rPr>
                <w:sz w:val="15"/>
                <w:szCs w:val="15"/>
                <w:color w:val="auto"/>
              </w:rPr>
            </w:pPr>
          </w:p>
        </w:tc>
        <w:tc>
          <w:tcPr>
            <w:tcW w:w="56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r>
      <w:tr>
        <w:trPr>
          <w:trHeight w:val="221"/>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80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2025</w:t>
            </w:r>
          </w:p>
        </w:tc>
        <w:tc>
          <w:tcPr>
            <w:tcW w:w="320" w:type="dxa"/>
            <w:vAlign w:val="bottom"/>
            <w:tcBorders>
              <w:right w:val="single" w:sz="8" w:color="007CBA"/>
            </w:tcBorders>
            <w:shd w:val="clear" w:color="auto" w:fill="007CBA"/>
          </w:tcPr>
          <w:p>
            <w:pPr>
              <w:spacing w:after="0"/>
              <w:rPr>
                <w:sz w:val="19"/>
                <w:szCs w:val="19"/>
                <w:color w:val="auto"/>
              </w:rPr>
            </w:pPr>
          </w:p>
        </w:tc>
        <w:tc>
          <w:tcPr>
            <w:tcW w:w="100" w:type="dxa"/>
            <w:vAlign w:val="bottom"/>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2024</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Customer receivables</w:t>
            </w:r>
          </w:p>
        </w:tc>
        <w:tc>
          <w:tcPr>
            <w:tcW w:w="800" w:type="dxa"/>
            <w:vAlign w:val="bottom"/>
            <w:tcBorders>
              <w:right w:val="single" w:sz="8" w:color="007CBA"/>
            </w:tcBorders>
          </w:tcPr>
          <w:p>
            <w:pPr>
              <w:spacing w:after="0"/>
              <w:rPr>
                <w:sz w:val="17"/>
                <w:szCs w:val="17"/>
                <w:color w:val="auto"/>
              </w:rPr>
            </w:pP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715</w:t>
            </w:r>
          </w:p>
        </w:tc>
        <w:tc>
          <w:tcPr>
            <w:tcW w:w="100" w:type="dxa"/>
            <w:vAlign w:val="bottom"/>
          </w:tcPr>
          <w:p>
            <w:pPr>
              <w:spacing w:after="0"/>
              <w:rPr>
                <w:sz w:val="17"/>
                <w:szCs w:val="17"/>
                <w:color w:val="auto"/>
              </w:rPr>
            </w:pPr>
          </w:p>
        </w:tc>
        <w:tc>
          <w:tcPr>
            <w:tcW w:w="4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678</w:t>
            </w:r>
          </w:p>
        </w:tc>
      </w:tr>
      <w:tr>
        <w:trPr>
          <w:trHeight w:val="202"/>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Other current receivables</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8</w:t>
            </w: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Total accounts receivable</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686</w:t>
            </w:r>
          </w:p>
        </w:tc>
      </w:tr>
      <w:tr>
        <w:trPr>
          <w:trHeight w:val="203"/>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Less: allowance for estimated credit losses</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65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Accounts receivable, net</w:t>
            </w:r>
          </w:p>
        </w:tc>
        <w:tc>
          <w:tcPr>
            <w:tcW w:w="13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723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678</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68"/>
        </w:trPr>
        <w:tc>
          <w:tcPr>
            <w:tcW w:w="6560" w:type="dxa"/>
            <w:vAlign w:val="bottom"/>
          </w:tcPr>
          <w:p>
            <w:pPr>
              <w:spacing w:after="0"/>
              <w:rPr>
                <w:sz w:val="20"/>
                <w:szCs w:val="20"/>
                <w:color w:val="auto"/>
              </w:rPr>
            </w:pPr>
            <w:r>
              <w:rPr>
                <w:rFonts w:ascii="Arial" w:cs="Arial" w:eastAsia="Arial" w:hAnsi="Arial"/>
                <w:sz w:val="22"/>
                <w:szCs w:val="22"/>
                <w:b w:val="1"/>
                <w:bCs w:val="1"/>
                <w:color w:val="007DC6"/>
              </w:rPr>
              <w:t>Note E: Inventories, Net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
        </w:trPr>
        <w:tc>
          <w:tcPr>
            <w:tcW w:w="6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800" w:type="dxa"/>
            <w:vAlign w:val="bottom"/>
            <w:tcBorders>
              <w:right w:val="single" w:sz="8" w:color="007CBA"/>
            </w:tcBorders>
            <w:shd w:val="clear" w:color="auto" w:fill="007CBA"/>
          </w:tcPr>
          <w:p>
            <w:pPr>
              <w:spacing w:after="0"/>
              <w:rPr>
                <w:sz w:val="15"/>
                <w:szCs w:val="15"/>
                <w:color w:val="auto"/>
              </w:rPr>
            </w:pPr>
          </w:p>
        </w:tc>
        <w:tc>
          <w:tcPr>
            <w:tcW w:w="56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r>
      <w:tr>
        <w:trPr>
          <w:trHeight w:val="221"/>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80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2025</w:t>
            </w:r>
          </w:p>
        </w:tc>
        <w:tc>
          <w:tcPr>
            <w:tcW w:w="320" w:type="dxa"/>
            <w:vAlign w:val="bottom"/>
            <w:tcBorders>
              <w:right w:val="single" w:sz="8" w:color="007CBA"/>
            </w:tcBorders>
            <w:shd w:val="clear" w:color="auto" w:fill="007CBA"/>
          </w:tcPr>
          <w:p>
            <w:pPr>
              <w:spacing w:after="0"/>
              <w:rPr>
                <w:sz w:val="19"/>
                <w:szCs w:val="19"/>
                <w:color w:val="auto"/>
              </w:rPr>
            </w:pPr>
          </w:p>
        </w:tc>
        <w:tc>
          <w:tcPr>
            <w:tcW w:w="100" w:type="dxa"/>
            <w:vAlign w:val="bottom"/>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2024</w:t>
            </w:r>
          </w:p>
        </w:tc>
      </w:tr>
      <w:tr>
        <w:trPr>
          <w:trHeight w:val="202"/>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Finished products</w:t>
            </w:r>
          </w:p>
        </w:tc>
        <w:tc>
          <w:tcPr>
            <w:tcW w:w="800" w:type="dxa"/>
            <w:vAlign w:val="bottom"/>
            <w:tcBorders>
              <w:right w:val="single" w:sz="8" w:color="007CBA"/>
            </w:tcBorders>
          </w:tcPr>
          <w:p>
            <w:pPr>
              <w:spacing w:after="0"/>
              <w:rPr>
                <w:sz w:val="17"/>
                <w:szCs w:val="17"/>
                <w:color w:val="auto"/>
              </w:rPr>
            </w:pP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1,378</w:t>
            </w:r>
          </w:p>
        </w:tc>
        <w:tc>
          <w:tcPr>
            <w:tcW w:w="100" w:type="dxa"/>
            <w:vAlign w:val="bottom"/>
          </w:tcPr>
          <w:p>
            <w:pPr>
              <w:spacing w:after="0"/>
              <w:rPr>
                <w:sz w:val="17"/>
                <w:szCs w:val="17"/>
                <w:color w:val="auto"/>
              </w:rPr>
            </w:pPr>
          </w:p>
        </w:tc>
        <w:tc>
          <w:tcPr>
            <w:tcW w:w="4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1,316</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Products in process</w:t>
            </w:r>
          </w:p>
        </w:tc>
        <w:tc>
          <w:tcPr>
            <w:tcW w:w="800" w:type="dxa"/>
            <w:vAlign w:val="bottom"/>
            <w:tcBorders>
              <w:right w:val="single" w:sz="8" w:color="007CBA"/>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400" w:type="dxa"/>
            <w:vAlign w:val="bottom"/>
            <w:tcBorders>
              <w:right w:val="single" w:sz="8" w:color="007CBA"/>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8</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Raw materials</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203"/>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Supplies and expendable parts</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Total inventories</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1,565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1,472</w:t>
            </w:r>
          </w:p>
        </w:tc>
      </w:tr>
      <w:tr>
        <w:trPr>
          <w:trHeight w:val="202"/>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Less: allowances</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(487)</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(454)</w:t>
            </w:r>
          </w:p>
        </w:tc>
      </w:tr>
      <w:tr>
        <w:trPr>
          <w:trHeight w:val="196"/>
        </w:trPr>
        <w:tc>
          <w:tcPr>
            <w:tcW w:w="65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Inventories, net</w:t>
            </w:r>
          </w:p>
        </w:tc>
        <w:tc>
          <w:tcPr>
            <w:tcW w:w="13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1,078</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1,018</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79"/>
        </w:trPr>
        <w:tc>
          <w:tcPr>
            <w:tcW w:w="6560" w:type="dxa"/>
            <w:vAlign w:val="bottom"/>
          </w:tcPr>
          <w:p>
            <w:pPr>
              <w:spacing w:after="0"/>
              <w:rPr>
                <w:sz w:val="20"/>
                <w:szCs w:val="20"/>
                <w:color w:val="auto"/>
              </w:rPr>
            </w:pPr>
            <w:r>
              <w:rPr>
                <w:rFonts w:ascii="Arial" w:cs="Arial" w:eastAsia="Arial" w:hAnsi="Arial"/>
                <w:sz w:val="22"/>
                <w:szCs w:val="22"/>
                <w:b w:val="1"/>
                <w:bCs w:val="1"/>
                <w:color w:val="007DC6"/>
              </w:rPr>
              <w:t>Note F: Property, Plant and Equipment, Net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
        </w:trPr>
        <w:tc>
          <w:tcPr>
            <w:tcW w:w="6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800" w:type="dxa"/>
            <w:vAlign w:val="bottom"/>
            <w:tcBorders>
              <w:right w:val="single" w:sz="8" w:color="007CBA"/>
            </w:tcBorders>
            <w:shd w:val="clear" w:color="auto" w:fill="007CBA"/>
          </w:tcPr>
          <w:p>
            <w:pPr>
              <w:spacing w:after="0"/>
              <w:rPr>
                <w:sz w:val="15"/>
                <w:szCs w:val="15"/>
                <w:color w:val="auto"/>
              </w:rPr>
            </w:pPr>
          </w:p>
        </w:tc>
        <w:tc>
          <w:tcPr>
            <w:tcW w:w="56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r>
      <w:tr>
        <w:trPr>
          <w:trHeight w:val="221"/>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80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2025</w:t>
            </w:r>
          </w:p>
        </w:tc>
        <w:tc>
          <w:tcPr>
            <w:tcW w:w="320" w:type="dxa"/>
            <w:vAlign w:val="bottom"/>
            <w:tcBorders>
              <w:right w:val="single" w:sz="8" w:color="007CBA"/>
            </w:tcBorders>
            <w:shd w:val="clear" w:color="auto" w:fill="007CBA"/>
          </w:tcPr>
          <w:p>
            <w:pPr>
              <w:spacing w:after="0"/>
              <w:rPr>
                <w:sz w:val="19"/>
                <w:szCs w:val="19"/>
                <w:color w:val="auto"/>
              </w:rPr>
            </w:pPr>
          </w:p>
        </w:tc>
        <w:tc>
          <w:tcPr>
            <w:tcW w:w="100" w:type="dxa"/>
            <w:vAlign w:val="bottom"/>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2024</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Land and land improvements</w:t>
            </w:r>
          </w:p>
        </w:tc>
        <w:tc>
          <w:tcPr>
            <w:tcW w:w="800" w:type="dxa"/>
            <w:vAlign w:val="bottom"/>
            <w:tcBorders>
              <w:right w:val="single" w:sz="8" w:color="007CBA"/>
            </w:tcBorders>
          </w:tcPr>
          <w:p>
            <w:pPr>
              <w:spacing w:after="0"/>
              <w:rPr>
                <w:sz w:val="17"/>
                <w:szCs w:val="17"/>
                <w:color w:val="auto"/>
              </w:rPr>
            </w:pP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1,929</w:t>
            </w:r>
          </w:p>
        </w:tc>
        <w:tc>
          <w:tcPr>
            <w:tcW w:w="100" w:type="dxa"/>
            <w:vAlign w:val="bottom"/>
          </w:tcPr>
          <w:p>
            <w:pPr>
              <w:spacing w:after="0"/>
              <w:rPr>
                <w:sz w:val="17"/>
                <w:szCs w:val="17"/>
                <w:color w:val="auto"/>
              </w:rPr>
            </w:pPr>
          </w:p>
        </w:tc>
        <w:tc>
          <w:tcPr>
            <w:tcW w:w="4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1,786</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Mineral reserves and interests</w:t>
            </w:r>
          </w:p>
        </w:tc>
        <w:tc>
          <w:tcPr>
            <w:tcW w:w="800" w:type="dxa"/>
            <w:vAlign w:val="bottom"/>
            <w:tcBorders>
              <w:right w:val="single" w:sz="8" w:color="007CBA"/>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400" w:type="dxa"/>
            <w:vAlign w:val="bottom"/>
            <w:tcBorders>
              <w:right w:val="single" w:sz="8" w:color="007CBA"/>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6,529</w:t>
            </w:r>
          </w:p>
        </w:tc>
        <w:tc>
          <w:tcPr>
            <w:tcW w:w="10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6,306</w:t>
            </w:r>
          </w:p>
        </w:tc>
      </w:tr>
      <w:tr>
        <w:trPr>
          <w:trHeight w:val="202"/>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Buildings</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Machinery and equipment</w:t>
            </w:r>
          </w:p>
        </w:tc>
        <w:tc>
          <w:tcPr>
            <w:tcW w:w="800" w:type="dxa"/>
            <w:vAlign w:val="bottom"/>
            <w:tcBorders>
              <w:right w:val="single" w:sz="8" w:color="007CBA"/>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400" w:type="dxa"/>
            <w:vAlign w:val="bottom"/>
            <w:tcBorders>
              <w:right w:val="single" w:sz="8" w:color="007CBA"/>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5,992</w:t>
            </w:r>
          </w:p>
        </w:tc>
        <w:tc>
          <w:tcPr>
            <w:tcW w:w="10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5,451</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Construction in progress</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286</w:t>
            </w:r>
          </w:p>
        </w:tc>
      </w:tr>
      <w:tr>
        <w:trPr>
          <w:trHeight w:val="202"/>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Finance lease right-of-use assets</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253</w:t>
            </w: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Total property, plant and equipment</w:t>
            </w:r>
          </w:p>
        </w:tc>
        <w:tc>
          <w:tcPr>
            <w:tcW w:w="80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right w:val="single" w:sz="8" w:color="007CBA"/>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15,330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14,242</w:t>
            </w:r>
          </w:p>
        </w:tc>
      </w:tr>
      <w:tr>
        <w:trPr>
          <w:trHeight w:val="203"/>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Less: accumulated depreciation, depletion and amortization</w:t>
            </w:r>
          </w:p>
        </w:tc>
        <w:tc>
          <w:tcPr>
            <w:tcW w:w="800" w:type="dxa"/>
            <w:vAlign w:val="bottom"/>
            <w:tcBorders>
              <w:bottom w:val="single" w:sz="8" w:color="auto"/>
              <w:right w:val="single" w:sz="8" w:color="E5F1F8"/>
            </w:tcBorders>
            <w:shd w:val="clear" w:color="auto" w:fill="E5F1F8"/>
          </w:tcPr>
          <w:p>
            <w:pPr>
              <w:spacing w:after="0"/>
              <w:rPr>
                <w:sz w:val="17"/>
                <w:szCs w:val="17"/>
                <w:color w:val="auto"/>
              </w:rPr>
            </w:pPr>
          </w:p>
        </w:tc>
        <w:tc>
          <w:tcPr>
            <w:tcW w:w="56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right w:val="single" w:sz="8" w:color="E5F1F8"/>
            </w:tcBorders>
            <w:gridSpan w:val="2"/>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(5,040)</w:t>
            </w:r>
          </w:p>
        </w:tc>
        <w:tc>
          <w:tcPr>
            <w:tcW w:w="100" w:type="dxa"/>
            <w:vAlign w:val="bottom"/>
            <w:tcBorders>
              <w:bottom w:val="single" w:sz="8" w:color="auto"/>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3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(4,582)</w:t>
            </w:r>
          </w:p>
        </w:tc>
      </w:tr>
      <w:tr>
        <w:trPr>
          <w:trHeight w:val="196"/>
        </w:trPr>
        <w:tc>
          <w:tcPr>
            <w:tcW w:w="65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Property, plant and equipment, net</w:t>
            </w:r>
          </w:p>
        </w:tc>
        <w:tc>
          <w:tcPr>
            <w:tcW w:w="13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10,290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9,660</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-5112385</wp:posOffset>
            </wp:positionV>
            <wp:extent cx="34290" cy="3168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-4066540</wp:posOffset>
            </wp:positionV>
            <wp:extent cx="33655" cy="162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-4066540</wp:posOffset>
            </wp:positionV>
            <wp:extent cx="33655" cy="162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-3801110</wp:posOffset>
            </wp:positionV>
            <wp:extent cx="33655" cy="3168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-3801110</wp:posOffset>
            </wp:positionV>
            <wp:extent cx="33655" cy="3168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-2386330</wp:posOffset>
            </wp:positionV>
            <wp:extent cx="33655" cy="162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-2386330</wp:posOffset>
            </wp:positionV>
            <wp:extent cx="33655" cy="162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-2120900</wp:posOffset>
            </wp:positionV>
            <wp:extent cx="33655" cy="3168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-2120900</wp:posOffset>
            </wp:positionV>
            <wp:extent cx="33655" cy="3168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-569595</wp:posOffset>
            </wp:positionV>
            <wp:extent cx="33655" cy="162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-569595</wp:posOffset>
            </wp:positionV>
            <wp:extent cx="33655"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-303530</wp:posOffset>
            </wp:positionV>
            <wp:extent cx="33655" cy="3168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-303530</wp:posOffset>
            </wp:positionV>
            <wp:extent cx="33655" cy="3168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depletion and amortization expense related to property, plant and equipment was $562 million, $482 million and $430 million for the years ended December 31, 2025, 2024 and 2023, respectively. Depreciation, depletion and amortization expense includes amortization of right-of-use assets from finance leases.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2025 and 2024, $41 million and $40 million, respectively, of the Building Materials business’ property, plant and equipment, net, were located in The Bahamas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32385</wp:posOffset>
            </wp:positionV>
            <wp:extent cx="325755" cy="1968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5"/>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478"/>
        </w:trPr>
        <w:tc>
          <w:tcPr>
            <w:tcW w:w="6560" w:type="dxa"/>
            <w:vAlign w:val="bottom"/>
          </w:tcPr>
          <w:p>
            <w:pPr>
              <w:spacing w:after="0"/>
              <w:rPr>
                <w:sz w:val="20"/>
                <w:szCs w:val="20"/>
                <w:color w:val="auto"/>
              </w:rPr>
            </w:pPr>
            <w:r>
              <w:rPr>
                <w:rFonts w:ascii="Arial" w:cs="Arial" w:eastAsia="Arial" w:hAnsi="Arial"/>
                <w:sz w:val="22"/>
                <w:szCs w:val="22"/>
                <w:b w:val="1"/>
                <w:bCs w:val="1"/>
                <w:color w:val="007DC6"/>
              </w:rPr>
              <w:t>Note G: Debt</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8"/>
        </w:trPr>
        <w:tc>
          <w:tcPr>
            <w:tcW w:w="6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560" w:type="dxa"/>
            <w:vAlign w:val="bottom"/>
            <w:tcBorders>
              <w:right w:val="single" w:sz="8" w:color="007CBA"/>
            </w:tcBorders>
            <w:shd w:val="clear" w:color="auto" w:fill="007CBA"/>
          </w:tcPr>
          <w:p>
            <w:pPr>
              <w:spacing w:after="0"/>
              <w:rPr>
                <w:sz w:val="15"/>
                <w:szCs w:val="15"/>
                <w:color w:val="auto"/>
              </w:rPr>
            </w:pPr>
          </w:p>
        </w:tc>
        <w:tc>
          <w:tcPr>
            <w:tcW w:w="600" w:type="dxa"/>
            <w:vAlign w:val="bottom"/>
            <w:shd w:val="clear" w:color="auto" w:fill="007CBA"/>
          </w:tcPr>
          <w:p>
            <w:pPr>
              <w:spacing w:after="0"/>
              <w:rPr>
                <w:sz w:val="15"/>
                <w:szCs w:val="15"/>
                <w:color w:val="auto"/>
              </w:rPr>
            </w:pPr>
          </w:p>
        </w:tc>
        <w:tc>
          <w:tcPr>
            <w:tcW w:w="1480" w:type="dxa"/>
            <w:vAlign w:val="bottom"/>
            <w:tcBorders>
              <w:right w:val="single" w:sz="8" w:color="007CBA"/>
            </w:tcBorders>
            <w:shd w:val="clear" w:color="auto" w:fill="007CBA"/>
          </w:tcPr>
          <w:p>
            <w:pPr>
              <w:spacing w:after="0"/>
              <w:rPr>
                <w:sz w:val="15"/>
                <w:szCs w:val="15"/>
                <w:color w:val="auto"/>
              </w:rPr>
            </w:pPr>
          </w:p>
        </w:tc>
        <w:tc>
          <w:tcPr>
            <w:tcW w:w="580" w:type="dxa"/>
            <w:vAlign w:val="bottom"/>
            <w:shd w:val="clear" w:color="auto" w:fill="007CBA"/>
          </w:tcPr>
          <w:p>
            <w:pPr>
              <w:spacing w:after="0"/>
              <w:rPr>
                <w:sz w:val="15"/>
                <w:szCs w:val="15"/>
                <w:color w:val="auto"/>
              </w:rPr>
            </w:pPr>
          </w:p>
        </w:tc>
        <w:tc>
          <w:tcPr>
            <w:tcW w:w="1460" w:type="dxa"/>
            <w:vAlign w:val="bottom"/>
            <w:shd w:val="clear" w:color="auto" w:fill="007CBA"/>
          </w:tcPr>
          <w:p>
            <w:pPr>
              <w:spacing w:after="0"/>
              <w:rPr>
                <w:sz w:val="15"/>
                <w:szCs w:val="15"/>
                <w:color w:val="auto"/>
              </w:rPr>
            </w:pPr>
          </w:p>
        </w:tc>
      </w:tr>
      <w:tr>
        <w:trPr>
          <w:trHeight w:val="235"/>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60" w:type="dxa"/>
            <w:vAlign w:val="bottom"/>
            <w:tcBorders>
              <w:right w:val="single" w:sz="8" w:color="007CBA"/>
            </w:tcBorders>
            <w:shd w:val="clear" w:color="auto" w:fill="007CBA"/>
          </w:tcPr>
          <w:p>
            <w:pPr>
              <w:spacing w:after="0"/>
              <w:rPr>
                <w:sz w:val="20"/>
                <w:szCs w:val="20"/>
                <w:color w:val="auto"/>
              </w:rPr>
            </w:pPr>
          </w:p>
        </w:tc>
        <w:tc>
          <w:tcPr>
            <w:tcW w:w="600" w:type="dxa"/>
            <w:vAlign w:val="bottom"/>
            <w:shd w:val="clear" w:color="auto" w:fill="007CBA"/>
          </w:tcPr>
          <w:p>
            <w:pPr>
              <w:spacing w:after="0"/>
              <w:rPr>
                <w:sz w:val="20"/>
                <w:szCs w:val="20"/>
                <w:color w:val="auto"/>
              </w:rPr>
            </w:pPr>
          </w:p>
        </w:tc>
        <w:tc>
          <w:tcPr>
            <w:tcW w:w="1480" w:type="dxa"/>
            <w:vAlign w:val="bottom"/>
            <w:tcBorders>
              <w:right w:val="single" w:sz="8" w:color="007CBA"/>
            </w:tcBorders>
            <w:shd w:val="clear" w:color="auto" w:fill="007CBA"/>
          </w:tcPr>
          <w:p>
            <w:pPr>
              <w:jc w:val="right"/>
              <w:ind w:right="710"/>
              <w:spacing w:after="0"/>
              <w:rPr>
                <w:sz w:val="20"/>
                <w:szCs w:val="20"/>
                <w:color w:val="auto"/>
              </w:rPr>
            </w:pPr>
            <w:r>
              <w:rPr>
                <w:rFonts w:ascii="Arial" w:cs="Arial" w:eastAsia="Arial" w:hAnsi="Arial"/>
                <w:sz w:val="18"/>
                <w:szCs w:val="18"/>
                <w:b w:val="1"/>
                <w:bCs w:val="1"/>
                <w:color w:val="FFFFFF"/>
              </w:rPr>
              <w:t>2025</w:t>
            </w:r>
          </w:p>
        </w:tc>
        <w:tc>
          <w:tcPr>
            <w:tcW w:w="580" w:type="dxa"/>
            <w:vAlign w:val="bottom"/>
            <w:shd w:val="clear" w:color="auto" w:fill="007CBA"/>
          </w:tcPr>
          <w:p>
            <w:pPr>
              <w:spacing w:after="0"/>
              <w:rPr>
                <w:sz w:val="20"/>
                <w:szCs w:val="20"/>
                <w:color w:val="auto"/>
              </w:rPr>
            </w:pPr>
          </w:p>
        </w:tc>
        <w:tc>
          <w:tcPr>
            <w:tcW w:w="146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2024</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7% Debentures, due 2025</w:t>
            </w:r>
          </w:p>
        </w:tc>
        <w:tc>
          <w:tcPr>
            <w:tcW w:w="560" w:type="dxa"/>
            <w:vAlign w:val="bottom"/>
            <w:tcBorders>
              <w:right w:val="single" w:sz="8" w:color="007CBA"/>
            </w:tcBorders>
            <w:shd w:val="clear" w:color="auto" w:fill="E5F1F8"/>
          </w:tcPr>
          <w:p>
            <w:pPr>
              <w:spacing w:after="0"/>
              <w:rPr>
                <w:sz w:val="17"/>
                <w:szCs w:val="17"/>
                <w:color w:val="auto"/>
              </w:rPr>
            </w:pPr>
          </w:p>
        </w:tc>
        <w:tc>
          <w:tcPr>
            <w:tcW w:w="600" w:type="dxa"/>
            <w:vAlign w:val="bottom"/>
            <w:shd w:val="clear" w:color="auto" w:fill="E5F1F8"/>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F1F8"/>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3.450% Senior Notes, due 2027</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299</w:t>
            </w:r>
          </w:p>
        </w:tc>
        <w:tc>
          <w:tcPr>
            <w:tcW w:w="58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299</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3.500% Senior Notes, due 2027</w:t>
            </w:r>
          </w:p>
        </w:tc>
        <w:tc>
          <w:tcPr>
            <w:tcW w:w="560" w:type="dxa"/>
            <w:vAlign w:val="bottom"/>
            <w:tcBorders>
              <w:right w:val="single" w:sz="8" w:color="007CBA"/>
            </w:tcBorders>
            <w:shd w:val="clear" w:color="auto" w:fill="E5F1F8"/>
          </w:tcPr>
          <w:p>
            <w:pPr>
              <w:spacing w:after="0"/>
              <w:rPr>
                <w:sz w:val="17"/>
                <w:szCs w:val="17"/>
                <w:color w:val="auto"/>
              </w:rPr>
            </w:pPr>
          </w:p>
        </w:tc>
        <w:tc>
          <w:tcPr>
            <w:tcW w:w="60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493</w:t>
            </w:r>
          </w:p>
        </w:tc>
        <w:tc>
          <w:tcPr>
            <w:tcW w:w="580" w:type="dxa"/>
            <w:vAlign w:val="bottom"/>
            <w:shd w:val="clear" w:color="auto" w:fill="E5F1F8"/>
          </w:tcPr>
          <w:p>
            <w:pPr>
              <w:spacing w:after="0"/>
              <w:rPr>
                <w:sz w:val="17"/>
                <w:szCs w:val="17"/>
                <w:color w:val="auto"/>
              </w:rPr>
            </w:pPr>
          </w:p>
        </w:tc>
        <w:tc>
          <w:tcPr>
            <w:tcW w:w="14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493</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2.500% Senior Notes, due 2030</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473</w:t>
            </w:r>
          </w:p>
        </w:tc>
        <w:tc>
          <w:tcPr>
            <w:tcW w:w="58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472</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2.400% Senior Notes, due 2031</w:t>
            </w:r>
          </w:p>
        </w:tc>
        <w:tc>
          <w:tcPr>
            <w:tcW w:w="560" w:type="dxa"/>
            <w:vAlign w:val="bottom"/>
            <w:tcBorders>
              <w:right w:val="single" w:sz="8" w:color="007CBA"/>
            </w:tcBorders>
            <w:shd w:val="clear" w:color="auto" w:fill="E5F1F8"/>
          </w:tcPr>
          <w:p>
            <w:pPr>
              <w:spacing w:after="0"/>
              <w:rPr>
                <w:sz w:val="17"/>
                <w:szCs w:val="17"/>
                <w:color w:val="auto"/>
              </w:rPr>
            </w:pPr>
          </w:p>
        </w:tc>
        <w:tc>
          <w:tcPr>
            <w:tcW w:w="60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891</w:t>
            </w:r>
          </w:p>
        </w:tc>
        <w:tc>
          <w:tcPr>
            <w:tcW w:w="580" w:type="dxa"/>
            <w:vAlign w:val="bottom"/>
            <w:shd w:val="clear" w:color="auto" w:fill="E5F1F8"/>
          </w:tcPr>
          <w:p>
            <w:pPr>
              <w:spacing w:after="0"/>
              <w:rPr>
                <w:sz w:val="17"/>
                <w:szCs w:val="17"/>
                <w:color w:val="auto"/>
              </w:rPr>
            </w:pPr>
          </w:p>
        </w:tc>
        <w:tc>
          <w:tcPr>
            <w:tcW w:w="14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890</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5.150% Senior Notes, due 2034</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739</w:t>
            </w:r>
          </w:p>
        </w:tc>
        <w:tc>
          <w:tcPr>
            <w:tcW w:w="58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738</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6.25% Senior Notes, due 2037</w:t>
            </w:r>
          </w:p>
        </w:tc>
        <w:tc>
          <w:tcPr>
            <w:tcW w:w="560" w:type="dxa"/>
            <w:vAlign w:val="bottom"/>
            <w:tcBorders>
              <w:right w:val="single" w:sz="8" w:color="007CBA"/>
            </w:tcBorders>
            <w:shd w:val="clear" w:color="auto" w:fill="E5F1F8"/>
          </w:tcPr>
          <w:p>
            <w:pPr>
              <w:spacing w:after="0"/>
              <w:rPr>
                <w:sz w:val="17"/>
                <w:szCs w:val="17"/>
                <w:color w:val="auto"/>
              </w:rPr>
            </w:pPr>
          </w:p>
        </w:tc>
        <w:tc>
          <w:tcPr>
            <w:tcW w:w="60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229</w:t>
            </w:r>
          </w:p>
        </w:tc>
        <w:tc>
          <w:tcPr>
            <w:tcW w:w="580" w:type="dxa"/>
            <w:vAlign w:val="bottom"/>
            <w:shd w:val="clear" w:color="auto" w:fill="E5F1F8"/>
          </w:tcPr>
          <w:p>
            <w:pPr>
              <w:spacing w:after="0"/>
              <w:rPr>
                <w:sz w:val="17"/>
                <w:szCs w:val="17"/>
                <w:color w:val="auto"/>
              </w:rPr>
            </w:pPr>
          </w:p>
        </w:tc>
        <w:tc>
          <w:tcPr>
            <w:tcW w:w="14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228</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4.250% Senior Notes, due 2047</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591</w:t>
            </w:r>
          </w:p>
        </w:tc>
        <w:tc>
          <w:tcPr>
            <w:tcW w:w="58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591</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3.200% Senior Notes, due 2051</w:t>
            </w:r>
          </w:p>
        </w:tc>
        <w:tc>
          <w:tcPr>
            <w:tcW w:w="560" w:type="dxa"/>
            <w:vAlign w:val="bottom"/>
            <w:tcBorders>
              <w:right w:val="single" w:sz="8" w:color="007CBA"/>
            </w:tcBorders>
            <w:shd w:val="clear" w:color="auto" w:fill="E5F1F8"/>
          </w:tcPr>
          <w:p>
            <w:pPr>
              <w:spacing w:after="0"/>
              <w:rPr>
                <w:sz w:val="17"/>
                <w:szCs w:val="17"/>
                <w:color w:val="auto"/>
              </w:rPr>
            </w:pPr>
          </w:p>
        </w:tc>
        <w:tc>
          <w:tcPr>
            <w:tcW w:w="60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851</w:t>
            </w:r>
          </w:p>
        </w:tc>
        <w:tc>
          <w:tcPr>
            <w:tcW w:w="580" w:type="dxa"/>
            <w:vAlign w:val="bottom"/>
            <w:shd w:val="clear" w:color="auto" w:fill="E5F1F8"/>
          </w:tcPr>
          <w:p>
            <w:pPr>
              <w:spacing w:after="0"/>
              <w:rPr>
                <w:sz w:val="17"/>
                <w:szCs w:val="17"/>
                <w:color w:val="auto"/>
              </w:rPr>
            </w:pPr>
          </w:p>
        </w:tc>
        <w:tc>
          <w:tcPr>
            <w:tcW w:w="14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851</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5.500% Senior Notes, due 2054</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727</w:t>
            </w:r>
          </w:p>
        </w:tc>
        <w:tc>
          <w:tcPr>
            <w:tcW w:w="58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726</w:t>
            </w:r>
          </w:p>
        </w:tc>
      </w:tr>
      <w:tr>
        <w:trPr>
          <w:trHeight w:val="203"/>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Trade Receivable Facility, interest rate of 4.57% at December 31, 2025</w:t>
            </w:r>
          </w:p>
        </w:tc>
        <w:tc>
          <w:tcPr>
            <w:tcW w:w="560" w:type="dxa"/>
            <w:vAlign w:val="bottom"/>
            <w:tcBorders>
              <w:bottom w:val="single" w:sz="8" w:color="auto"/>
              <w:right w:val="single" w:sz="8" w:color="E5F1F8"/>
            </w:tcBorders>
            <w:shd w:val="clear" w:color="auto" w:fill="E5F1F8"/>
          </w:tcPr>
          <w:p>
            <w:pPr>
              <w:spacing w:after="0"/>
              <w:rPr>
                <w:sz w:val="17"/>
                <w:szCs w:val="17"/>
                <w:color w:val="auto"/>
              </w:rPr>
            </w:pPr>
          </w:p>
        </w:tc>
        <w:tc>
          <w:tcPr>
            <w:tcW w:w="600" w:type="dxa"/>
            <w:vAlign w:val="bottom"/>
            <w:tcBorders>
              <w:bottom w:val="single" w:sz="8" w:color="auto"/>
            </w:tcBorders>
            <w:shd w:val="clear" w:color="auto" w:fill="E5F1F8"/>
          </w:tcPr>
          <w:p>
            <w:pPr>
              <w:spacing w:after="0"/>
              <w:rPr>
                <w:sz w:val="17"/>
                <w:szCs w:val="17"/>
                <w:color w:val="auto"/>
              </w:rPr>
            </w:pPr>
          </w:p>
        </w:tc>
        <w:tc>
          <w:tcPr>
            <w:tcW w:w="148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30</w:t>
            </w:r>
          </w:p>
        </w:tc>
        <w:tc>
          <w:tcPr>
            <w:tcW w:w="580" w:type="dxa"/>
            <w:vAlign w:val="bottom"/>
            <w:tcBorders>
              <w:bottom w:val="single" w:sz="8" w:color="auto"/>
            </w:tcBorders>
            <w:shd w:val="clear" w:color="auto" w:fill="E5F1F8"/>
          </w:tcPr>
          <w:p>
            <w:pPr>
              <w:spacing w:after="0"/>
              <w:rPr>
                <w:sz w:val="17"/>
                <w:szCs w:val="17"/>
                <w:color w:val="auto"/>
              </w:rPr>
            </w:pPr>
          </w:p>
        </w:tc>
        <w:tc>
          <w:tcPr>
            <w:tcW w:w="146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Total debt</w:t>
            </w:r>
          </w:p>
        </w:tc>
        <w:tc>
          <w:tcPr>
            <w:tcW w:w="560" w:type="dxa"/>
            <w:vAlign w:val="bottom"/>
            <w:tcBorders>
              <w:right w:val="single" w:sz="8" w:color="007CBA"/>
            </w:tcBorders>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5,323</w:t>
            </w:r>
          </w:p>
        </w:tc>
        <w:tc>
          <w:tcPr>
            <w:tcW w:w="580" w:type="dxa"/>
            <w:vAlign w:val="bottom"/>
          </w:tcPr>
          <w:p>
            <w:pPr>
              <w:spacing w:after="0"/>
              <w:rPr>
                <w:sz w:val="17"/>
                <w:szCs w:val="17"/>
                <w:color w:val="auto"/>
              </w:rPr>
            </w:pP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5,413</w:t>
            </w:r>
          </w:p>
        </w:tc>
      </w:tr>
      <w:tr>
        <w:trPr>
          <w:trHeight w:val="202"/>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Less: current maturities</w:t>
            </w:r>
          </w:p>
        </w:tc>
        <w:tc>
          <w:tcPr>
            <w:tcW w:w="560" w:type="dxa"/>
            <w:vAlign w:val="bottom"/>
            <w:tcBorders>
              <w:bottom w:val="single" w:sz="8" w:color="auto"/>
              <w:right w:val="single" w:sz="8" w:color="E5F1F8"/>
            </w:tcBorders>
            <w:shd w:val="clear" w:color="auto" w:fill="E5F1F8"/>
          </w:tcPr>
          <w:p>
            <w:pPr>
              <w:spacing w:after="0"/>
              <w:rPr>
                <w:sz w:val="17"/>
                <w:szCs w:val="17"/>
                <w:color w:val="auto"/>
              </w:rPr>
            </w:pPr>
          </w:p>
        </w:tc>
        <w:tc>
          <w:tcPr>
            <w:tcW w:w="600" w:type="dxa"/>
            <w:vAlign w:val="bottom"/>
            <w:tcBorders>
              <w:bottom w:val="single" w:sz="8" w:color="auto"/>
            </w:tcBorders>
            <w:shd w:val="clear" w:color="auto" w:fill="E5F1F8"/>
          </w:tcPr>
          <w:p>
            <w:pPr>
              <w:spacing w:after="0"/>
              <w:rPr>
                <w:sz w:val="17"/>
                <w:szCs w:val="17"/>
                <w:color w:val="auto"/>
              </w:rPr>
            </w:pPr>
          </w:p>
        </w:tc>
        <w:tc>
          <w:tcPr>
            <w:tcW w:w="14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580" w:type="dxa"/>
            <w:vAlign w:val="bottom"/>
            <w:tcBorders>
              <w:bottom w:val="single" w:sz="8" w:color="auto"/>
            </w:tcBorders>
            <w:shd w:val="clear" w:color="auto" w:fill="E5F1F8"/>
          </w:tcPr>
          <w:p>
            <w:pPr>
              <w:spacing w:after="0"/>
              <w:rPr>
                <w:sz w:val="17"/>
                <w:szCs w:val="17"/>
                <w:color w:val="auto"/>
              </w:rPr>
            </w:pPr>
          </w:p>
        </w:tc>
        <w:tc>
          <w:tcPr>
            <w:tcW w:w="146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196"/>
        </w:trPr>
        <w:tc>
          <w:tcPr>
            <w:tcW w:w="65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Long-term debt</w:t>
            </w:r>
          </w:p>
        </w:tc>
        <w:tc>
          <w:tcPr>
            <w:tcW w:w="1160" w:type="dxa"/>
            <w:vAlign w:val="bottom"/>
            <w:tcBorders>
              <w:bottom w:val="single" w:sz="8" w:color="auto"/>
            </w:tcBorders>
            <w:gridSpan w:val="2"/>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5,293</w:t>
            </w:r>
          </w:p>
        </w:tc>
        <w:tc>
          <w:tcPr>
            <w:tcW w:w="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5,288</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-569595</wp:posOffset>
            </wp:positionV>
            <wp:extent cx="33655" cy="162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-569595</wp:posOffset>
            </wp:positionV>
            <wp:extent cx="33655" cy="162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-303530</wp:posOffset>
            </wp:positionV>
            <wp:extent cx="33655" cy="3168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-303530</wp:posOffset>
            </wp:positionV>
            <wp:extent cx="33655" cy="3168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On December 1, 2025, the Company used available liquidity to repay the $125 million of 7% Debentures at maturity.</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4, 2024, the Company issued $750 million aggregate principal amount of 5.150% Senior Notes due 2034 (the 5.150% Senior Notes due 2034) and $750 million aggregate principal amount of 5.500% Senior Notes due 2054 (the 5.500% Senior Notes due 2054). A portion of the net proceeds of the 5.150% Senior Notes due 2034 and 5.500% Senior Notes due 2054 were used for the repayment of all borrowings outstanding under the Company’s short-term borrowing facilities. The remaining net proceeds were used for general corporate purposes, including acquisitions, land purchases and other capital needs.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3.450% Senior Notes due 2027, 3.500% Senior Notes due 2027, 2.500% Senior Notes due 2030, 2.400% Senior Notes due 2031, 5.150% Senior Notes due 2034, 6.25% Senior Notes due 2037, 4.250% Senior Notes due 2047, 3.200% Senior Notes due 2051 and 5.500% Senior Notes due 2054 (collectively, the Senior Notes) are senior unsecured obligations of the Company, ranking equal in right of payment with the Company’s existing and future unsubordinated indebtedness. The Senior Notes, with the exception of the 6.25% Senior Notes due 2037, are redeemable prior to their respective par call dates, as defined, at a make-whole redemption price, and at a price equal to 100% of the principal amount after their respective par call dates and prior to their respective maturity dates. The 6.25% Senior Notes due 2037 are redeemable in whole at any time or in part from time to time at a make-whole redemption price. Upon a change-of-control repurchase event and a resulting below-investment-grade credit rating, the Company would be required to make an offer to repurchase all outstanding Senior Notes at a price in cash equal to 101% of the principal amount of the Senior Notes, plus any accrued and unpaid interest.</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Senior Notes are carried net of original issue discount, which is being amortized by the effective interest method over the life of the issue. The principal amount as of December 31, 2025, effective interest rate and maturity date for the Senior Notes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9"/>
              </w:rPr>
              <w:t>Principal</w:t>
            </w:r>
          </w:p>
        </w:tc>
        <w:tc>
          <w:tcPr>
            <w:tcW w:w="2380" w:type="dxa"/>
            <w:vAlign w:val="bottom"/>
            <w:tcBorders>
              <w:right w:val="single" w:sz="8" w:color="007CBA"/>
            </w:tcBorders>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rPr>
              <w:t>Effective</w:t>
            </w:r>
          </w:p>
        </w:tc>
        <w:tc>
          <w:tcPr>
            <w:tcW w:w="2360" w:type="dxa"/>
            <w:vAlign w:val="bottom"/>
            <w:shd w:val="clear" w:color="auto" w:fill="007CBA"/>
          </w:tcPr>
          <w:p>
            <w:pPr>
              <w:spacing w:after="0"/>
              <w:rPr>
                <w:sz w:val="18"/>
                <w:szCs w:val="18"/>
                <w:color w:val="auto"/>
              </w:rPr>
            </w:pPr>
          </w:p>
        </w:tc>
      </w:tr>
      <w:tr>
        <w:trPr>
          <w:trHeight w:val="203"/>
        </w:trPr>
        <w:tc>
          <w:tcPr>
            <w:tcW w:w="4940" w:type="dxa"/>
            <w:vAlign w:val="bottom"/>
            <w:tcBorders>
              <w:right w:val="single" w:sz="8" w:color="007CBA"/>
            </w:tcBorders>
            <w:shd w:val="clear" w:color="auto" w:fill="007CBA"/>
          </w:tcPr>
          <w:p>
            <w:pPr>
              <w:spacing w:after="0"/>
              <w:rPr>
                <w:sz w:val="17"/>
                <w:szCs w:val="17"/>
                <w:color w:val="auto"/>
              </w:rPr>
            </w:pPr>
          </w:p>
        </w:tc>
        <w:tc>
          <w:tcPr>
            <w:tcW w:w="320" w:type="dxa"/>
            <w:vAlign w:val="bottom"/>
            <w:shd w:val="clear" w:color="auto" w:fill="007CBA"/>
          </w:tcPr>
          <w:p>
            <w:pPr>
              <w:spacing w:after="0"/>
              <w:rPr>
                <w:sz w:val="17"/>
                <w:szCs w:val="17"/>
                <w:color w:val="auto"/>
              </w:rPr>
            </w:pPr>
          </w:p>
        </w:tc>
        <w:tc>
          <w:tcPr>
            <w:tcW w:w="1240" w:type="dxa"/>
            <w:vAlign w:val="bottom"/>
            <w:tcBorders>
              <w:right w:val="single" w:sz="8" w:color="007CBA"/>
            </w:tcBorders>
            <w:shd w:val="clear" w:color="auto" w:fill="007CBA"/>
          </w:tcPr>
          <w:p>
            <w:pPr>
              <w:jc w:val="center"/>
              <w:ind w:right="190"/>
              <w:spacing w:after="0" w:line="202" w:lineRule="exact"/>
              <w:rPr>
                <w:sz w:val="20"/>
                <w:szCs w:val="20"/>
                <w:color w:val="auto"/>
              </w:rPr>
            </w:pPr>
            <w:r>
              <w:rPr>
                <w:rFonts w:ascii="Arial" w:cs="Arial" w:eastAsia="Arial" w:hAnsi="Arial"/>
                <w:sz w:val="18"/>
                <w:szCs w:val="18"/>
                <w:b w:val="1"/>
                <w:bCs w:val="1"/>
                <w:color w:val="FFFFFF"/>
                <w:w w:val="99"/>
              </w:rPr>
              <w:t>Amount</w:t>
            </w:r>
          </w:p>
        </w:tc>
        <w:tc>
          <w:tcPr>
            <w:tcW w:w="2380" w:type="dxa"/>
            <w:vAlign w:val="bottom"/>
            <w:tcBorders>
              <w:right w:val="single" w:sz="8" w:color="007CBA"/>
            </w:tcBorders>
            <w:shd w:val="clear" w:color="auto" w:fill="007CBA"/>
          </w:tcPr>
          <w:p>
            <w:pPr>
              <w:jc w:val="center"/>
              <w:ind w:left="50"/>
              <w:spacing w:after="0" w:line="202" w:lineRule="exact"/>
              <w:rPr>
                <w:sz w:val="20"/>
                <w:szCs w:val="20"/>
                <w:color w:val="auto"/>
              </w:rPr>
            </w:pPr>
            <w:r>
              <w:rPr>
                <w:rFonts w:ascii="Arial" w:cs="Arial" w:eastAsia="Arial" w:hAnsi="Arial"/>
                <w:sz w:val="18"/>
                <w:szCs w:val="18"/>
                <w:b w:val="1"/>
                <w:bCs w:val="1"/>
                <w:color w:val="FFFFFF"/>
                <w:w w:val="98"/>
              </w:rPr>
              <w:t>Interest</w:t>
            </w:r>
          </w:p>
        </w:tc>
        <w:tc>
          <w:tcPr>
            <w:tcW w:w="2360" w:type="dxa"/>
            <w:vAlign w:val="bottom"/>
            <w:shd w:val="clear" w:color="auto" w:fill="007CBA"/>
          </w:tcPr>
          <w:p>
            <w:pPr>
              <w:spacing w:after="0"/>
              <w:rPr>
                <w:sz w:val="17"/>
                <w:szCs w:val="17"/>
                <w:color w:val="auto"/>
              </w:rPr>
            </w:pPr>
          </w:p>
        </w:tc>
      </w:tr>
      <w:tr>
        <w:trPr>
          <w:trHeight w:val="221"/>
        </w:trPr>
        <w:tc>
          <w:tcPr>
            <w:tcW w:w="494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color w:val="FFFFFF"/>
                <w:w w:val="98"/>
              </w:rPr>
              <w:t>(in millions)</w:t>
            </w:r>
          </w:p>
        </w:tc>
        <w:tc>
          <w:tcPr>
            <w:tcW w:w="2380" w:type="dxa"/>
            <w:vAlign w:val="bottom"/>
            <w:tcBorders>
              <w:right w:val="single" w:sz="8" w:color="007CBA"/>
            </w:tcBorders>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rPr>
              <w:t>Rate</w:t>
            </w:r>
          </w:p>
        </w:tc>
        <w:tc>
          <w:tcPr>
            <w:tcW w:w="236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9"/>
              </w:rPr>
              <w:t>Maturity Date</w:t>
            </w:r>
          </w:p>
        </w:tc>
      </w:tr>
      <w:tr>
        <w:trPr>
          <w:trHeight w:val="203"/>
        </w:trPr>
        <w:tc>
          <w:tcPr>
            <w:tcW w:w="49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3.450% Senior Notes</w:t>
            </w:r>
          </w:p>
        </w:tc>
        <w:tc>
          <w:tcPr>
            <w:tcW w:w="32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300</w:t>
            </w:r>
          </w:p>
        </w:tc>
        <w:tc>
          <w:tcPr>
            <w:tcW w:w="2380" w:type="dxa"/>
            <w:vAlign w:val="bottom"/>
            <w:tcBorders>
              <w:right w:val="single" w:sz="8" w:color="007CBA"/>
            </w:tcBorders>
            <w:shd w:val="clear" w:color="auto" w:fill="E5F1F8"/>
          </w:tcPr>
          <w:p>
            <w:pPr>
              <w:jc w:val="center"/>
              <w:ind w:left="30"/>
              <w:spacing w:after="0" w:line="202" w:lineRule="exact"/>
              <w:rPr>
                <w:sz w:val="20"/>
                <w:szCs w:val="20"/>
                <w:color w:val="auto"/>
              </w:rPr>
            </w:pPr>
            <w:r>
              <w:rPr>
                <w:rFonts w:ascii="Arial" w:cs="Arial" w:eastAsia="Arial" w:hAnsi="Arial"/>
                <w:sz w:val="18"/>
                <w:szCs w:val="18"/>
                <w:color w:val="auto"/>
                <w:w w:val="97"/>
              </w:rPr>
              <w:t>3.55%</w:t>
            </w:r>
          </w:p>
        </w:tc>
        <w:tc>
          <w:tcPr>
            <w:tcW w:w="2360" w:type="dxa"/>
            <w:vAlign w:val="bottom"/>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w w:val="99"/>
              </w:rPr>
              <w:t>June 1, 2027</w:t>
            </w:r>
          </w:p>
        </w:tc>
      </w:tr>
      <w:tr>
        <w:trPr>
          <w:trHeight w:val="203"/>
        </w:trPr>
        <w:tc>
          <w:tcPr>
            <w:tcW w:w="49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3.500% Senior Notes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495</w:t>
            </w:r>
          </w:p>
        </w:tc>
        <w:tc>
          <w:tcPr>
            <w:tcW w:w="2380" w:type="dxa"/>
            <w:vAlign w:val="bottom"/>
            <w:tcBorders>
              <w:right w:val="single" w:sz="8" w:color="007CBA"/>
            </w:tcBorders>
          </w:tcPr>
          <w:p>
            <w:pPr>
              <w:jc w:val="center"/>
              <w:ind w:left="30"/>
              <w:spacing w:after="0" w:line="202" w:lineRule="exact"/>
              <w:rPr>
                <w:sz w:val="20"/>
                <w:szCs w:val="20"/>
                <w:color w:val="auto"/>
              </w:rPr>
            </w:pPr>
            <w:r>
              <w:rPr>
                <w:rFonts w:ascii="Arial" w:cs="Arial" w:eastAsia="Arial" w:hAnsi="Arial"/>
                <w:sz w:val="18"/>
                <w:szCs w:val="18"/>
                <w:color w:val="auto"/>
                <w:w w:val="97"/>
              </w:rPr>
              <w:t>3.61%</w:t>
            </w:r>
          </w:p>
        </w:tc>
        <w:tc>
          <w:tcPr>
            <w:tcW w:w="236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December 15, 2027</w:t>
            </w:r>
          </w:p>
        </w:tc>
      </w:tr>
      <w:tr>
        <w:trPr>
          <w:trHeight w:val="203"/>
        </w:trPr>
        <w:tc>
          <w:tcPr>
            <w:tcW w:w="49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2.500% Senior Notes</w:t>
            </w:r>
          </w:p>
        </w:tc>
        <w:tc>
          <w:tcPr>
            <w:tcW w:w="32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478</w:t>
            </w:r>
          </w:p>
        </w:tc>
        <w:tc>
          <w:tcPr>
            <w:tcW w:w="2380" w:type="dxa"/>
            <w:vAlign w:val="bottom"/>
            <w:tcBorders>
              <w:right w:val="single" w:sz="8" w:color="007CBA"/>
            </w:tcBorders>
            <w:shd w:val="clear" w:color="auto" w:fill="E5F1F8"/>
          </w:tcPr>
          <w:p>
            <w:pPr>
              <w:jc w:val="center"/>
              <w:ind w:left="30"/>
              <w:spacing w:after="0" w:line="202" w:lineRule="exact"/>
              <w:rPr>
                <w:sz w:val="20"/>
                <w:szCs w:val="20"/>
                <w:color w:val="auto"/>
              </w:rPr>
            </w:pPr>
            <w:r>
              <w:rPr>
                <w:rFonts w:ascii="Arial" w:cs="Arial" w:eastAsia="Arial" w:hAnsi="Arial"/>
                <w:sz w:val="18"/>
                <w:szCs w:val="18"/>
                <w:color w:val="auto"/>
                <w:w w:val="97"/>
              </w:rPr>
              <w:t>2.71%</w:t>
            </w:r>
          </w:p>
        </w:tc>
        <w:tc>
          <w:tcPr>
            <w:tcW w:w="2360" w:type="dxa"/>
            <w:vAlign w:val="bottom"/>
            <w:shd w:val="clear" w:color="auto" w:fill="E5F1F8"/>
          </w:tcPr>
          <w:p>
            <w:pPr>
              <w:jc w:val="center"/>
              <w:ind w:left="50"/>
              <w:spacing w:after="0" w:line="202" w:lineRule="exact"/>
              <w:rPr>
                <w:sz w:val="20"/>
                <w:szCs w:val="20"/>
                <w:color w:val="auto"/>
              </w:rPr>
            </w:pPr>
            <w:r>
              <w:rPr>
                <w:rFonts w:ascii="Arial" w:cs="Arial" w:eastAsia="Arial" w:hAnsi="Arial"/>
                <w:sz w:val="18"/>
                <w:szCs w:val="18"/>
                <w:color w:val="auto"/>
              </w:rPr>
              <w:t>March 15, 2030</w:t>
            </w:r>
          </w:p>
        </w:tc>
      </w:tr>
      <w:tr>
        <w:trPr>
          <w:trHeight w:val="203"/>
        </w:trPr>
        <w:tc>
          <w:tcPr>
            <w:tcW w:w="49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2.400% Senior Notes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896</w:t>
            </w:r>
          </w:p>
        </w:tc>
        <w:tc>
          <w:tcPr>
            <w:tcW w:w="2380" w:type="dxa"/>
            <w:vAlign w:val="bottom"/>
            <w:tcBorders>
              <w:right w:val="single" w:sz="8" w:color="007CBA"/>
            </w:tcBorders>
          </w:tcPr>
          <w:p>
            <w:pPr>
              <w:jc w:val="center"/>
              <w:ind w:left="30"/>
              <w:spacing w:after="0" w:line="202" w:lineRule="exact"/>
              <w:rPr>
                <w:sz w:val="20"/>
                <w:szCs w:val="20"/>
                <w:color w:val="auto"/>
              </w:rPr>
            </w:pPr>
            <w:r>
              <w:rPr>
                <w:rFonts w:ascii="Arial" w:cs="Arial" w:eastAsia="Arial" w:hAnsi="Arial"/>
                <w:sz w:val="18"/>
                <w:szCs w:val="18"/>
                <w:color w:val="auto"/>
                <w:w w:val="97"/>
              </w:rPr>
              <w:t>2.48%</w:t>
            </w:r>
          </w:p>
        </w:tc>
        <w:tc>
          <w:tcPr>
            <w:tcW w:w="236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July 15, 2031</w:t>
            </w:r>
          </w:p>
        </w:tc>
      </w:tr>
      <w:tr>
        <w:trPr>
          <w:trHeight w:val="203"/>
        </w:trPr>
        <w:tc>
          <w:tcPr>
            <w:tcW w:w="49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5.150% Senior Notes</w:t>
            </w:r>
          </w:p>
        </w:tc>
        <w:tc>
          <w:tcPr>
            <w:tcW w:w="32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750</w:t>
            </w:r>
          </w:p>
        </w:tc>
        <w:tc>
          <w:tcPr>
            <w:tcW w:w="2380" w:type="dxa"/>
            <w:vAlign w:val="bottom"/>
            <w:tcBorders>
              <w:right w:val="single" w:sz="8" w:color="007CBA"/>
            </w:tcBorders>
            <w:shd w:val="clear" w:color="auto" w:fill="E5F1F8"/>
          </w:tcPr>
          <w:p>
            <w:pPr>
              <w:jc w:val="center"/>
              <w:ind w:left="30"/>
              <w:spacing w:after="0" w:line="202" w:lineRule="exact"/>
              <w:rPr>
                <w:sz w:val="20"/>
                <w:szCs w:val="20"/>
                <w:color w:val="auto"/>
              </w:rPr>
            </w:pPr>
            <w:r>
              <w:rPr>
                <w:rFonts w:ascii="Arial" w:cs="Arial" w:eastAsia="Arial" w:hAnsi="Arial"/>
                <w:sz w:val="18"/>
                <w:szCs w:val="18"/>
                <w:color w:val="auto"/>
                <w:w w:val="97"/>
              </w:rPr>
              <w:t>5.33%</w:t>
            </w:r>
          </w:p>
        </w:tc>
        <w:tc>
          <w:tcPr>
            <w:tcW w:w="2360" w:type="dxa"/>
            <w:vAlign w:val="bottom"/>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w w:val="99"/>
              </w:rPr>
              <w:t>December 1, 2034</w:t>
            </w:r>
          </w:p>
        </w:tc>
      </w:tr>
      <w:tr>
        <w:trPr>
          <w:trHeight w:val="203"/>
        </w:trPr>
        <w:tc>
          <w:tcPr>
            <w:tcW w:w="49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6.25% Senior Notes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230</w:t>
            </w:r>
          </w:p>
        </w:tc>
        <w:tc>
          <w:tcPr>
            <w:tcW w:w="2380" w:type="dxa"/>
            <w:vAlign w:val="bottom"/>
            <w:tcBorders>
              <w:right w:val="single" w:sz="8" w:color="007CBA"/>
            </w:tcBorders>
          </w:tcPr>
          <w:p>
            <w:pPr>
              <w:jc w:val="center"/>
              <w:ind w:left="30"/>
              <w:spacing w:after="0" w:line="202" w:lineRule="exact"/>
              <w:rPr>
                <w:sz w:val="20"/>
                <w:szCs w:val="20"/>
                <w:color w:val="auto"/>
              </w:rPr>
            </w:pPr>
            <w:r>
              <w:rPr>
                <w:rFonts w:ascii="Arial" w:cs="Arial" w:eastAsia="Arial" w:hAnsi="Arial"/>
                <w:sz w:val="18"/>
                <w:szCs w:val="18"/>
                <w:color w:val="auto"/>
                <w:w w:val="97"/>
              </w:rPr>
              <w:t>6.32%</w:t>
            </w:r>
          </w:p>
        </w:tc>
        <w:tc>
          <w:tcPr>
            <w:tcW w:w="236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May 1, 2037</w:t>
            </w:r>
          </w:p>
        </w:tc>
      </w:tr>
      <w:tr>
        <w:trPr>
          <w:trHeight w:val="203"/>
        </w:trPr>
        <w:tc>
          <w:tcPr>
            <w:tcW w:w="49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4.250% Senior Notes</w:t>
            </w:r>
          </w:p>
        </w:tc>
        <w:tc>
          <w:tcPr>
            <w:tcW w:w="32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598</w:t>
            </w:r>
          </w:p>
        </w:tc>
        <w:tc>
          <w:tcPr>
            <w:tcW w:w="2380" w:type="dxa"/>
            <w:vAlign w:val="bottom"/>
            <w:tcBorders>
              <w:right w:val="single" w:sz="8" w:color="007CBA"/>
            </w:tcBorders>
            <w:shd w:val="clear" w:color="auto" w:fill="E5F1F8"/>
          </w:tcPr>
          <w:p>
            <w:pPr>
              <w:jc w:val="center"/>
              <w:ind w:left="30"/>
              <w:spacing w:after="0" w:line="202" w:lineRule="exact"/>
              <w:rPr>
                <w:sz w:val="20"/>
                <w:szCs w:val="20"/>
                <w:color w:val="auto"/>
              </w:rPr>
            </w:pPr>
            <w:r>
              <w:rPr>
                <w:rFonts w:ascii="Arial" w:cs="Arial" w:eastAsia="Arial" w:hAnsi="Arial"/>
                <w:sz w:val="18"/>
                <w:szCs w:val="18"/>
                <w:color w:val="auto"/>
                <w:w w:val="97"/>
              </w:rPr>
              <w:t>4.32%</w:t>
            </w:r>
          </w:p>
        </w:tc>
        <w:tc>
          <w:tcPr>
            <w:tcW w:w="2360" w:type="dxa"/>
            <w:vAlign w:val="bottom"/>
            <w:shd w:val="clear" w:color="auto" w:fill="E5F1F8"/>
          </w:tcPr>
          <w:p>
            <w:pPr>
              <w:jc w:val="center"/>
              <w:ind w:left="50"/>
              <w:spacing w:after="0" w:line="202" w:lineRule="exact"/>
              <w:rPr>
                <w:sz w:val="20"/>
                <w:szCs w:val="20"/>
                <w:color w:val="auto"/>
              </w:rPr>
            </w:pPr>
            <w:r>
              <w:rPr>
                <w:rFonts w:ascii="Arial" w:cs="Arial" w:eastAsia="Arial" w:hAnsi="Arial"/>
                <w:sz w:val="18"/>
                <w:szCs w:val="18"/>
                <w:color w:val="auto"/>
                <w:w w:val="99"/>
              </w:rPr>
              <w:t>December 15, 2047</w:t>
            </w:r>
          </w:p>
        </w:tc>
      </w:tr>
      <w:tr>
        <w:trPr>
          <w:trHeight w:val="203"/>
        </w:trPr>
        <w:tc>
          <w:tcPr>
            <w:tcW w:w="49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3.200% Senior Notes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866</w:t>
            </w:r>
          </w:p>
        </w:tc>
        <w:tc>
          <w:tcPr>
            <w:tcW w:w="2380" w:type="dxa"/>
            <w:vAlign w:val="bottom"/>
            <w:tcBorders>
              <w:right w:val="single" w:sz="8" w:color="007CBA"/>
            </w:tcBorders>
          </w:tcPr>
          <w:p>
            <w:pPr>
              <w:jc w:val="center"/>
              <w:ind w:left="30"/>
              <w:spacing w:after="0" w:line="202" w:lineRule="exact"/>
              <w:rPr>
                <w:sz w:val="20"/>
                <w:szCs w:val="20"/>
                <w:color w:val="auto"/>
              </w:rPr>
            </w:pPr>
            <w:r>
              <w:rPr>
                <w:rFonts w:ascii="Arial" w:cs="Arial" w:eastAsia="Arial" w:hAnsi="Arial"/>
                <w:sz w:val="18"/>
                <w:szCs w:val="18"/>
                <w:color w:val="auto"/>
                <w:w w:val="97"/>
              </w:rPr>
              <w:t>3.29%</w:t>
            </w:r>
          </w:p>
        </w:tc>
        <w:tc>
          <w:tcPr>
            <w:tcW w:w="236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July 15, 2051</w:t>
            </w:r>
          </w:p>
        </w:tc>
      </w:tr>
      <w:tr>
        <w:trPr>
          <w:trHeight w:val="203"/>
        </w:trPr>
        <w:tc>
          <w:tcPr>
            <w:tcW w:w="49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5.500% Senior Notes</w:t>
            </w:r>
          </w:p>
        </w:tc>
        <w:tc>
          <w:tcPr>
            <w:tcW w:w="32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750</w:t>
            </w:r>
          </w:p>
        </w:tc>
        <w:tc>
          <w:tcPr>
            <w:tcW w:w="2380" w:type="dxa"/>
            <w:vAlign w:val="bottom"/>
            <w:tcBorders>
              <w:bottom w:val="single" w:sz="8" w:color="auto"/>
              <w:right w:val="single" w:sz="8" w:color="E5F1F8"/>
            </w:tcBorders>
            <w:shd w:val="clear" w:color="auto" w:fill="E5F1F8"/>
          </w:tcPr>
          <w:p>
            <w:pPr>
              <w:jc w:val="center"/>
              <w:ind w:left="30"/>
              <w:spacing w:after="0" w:line="202" w:lineRule="exact"/>
              <w:rPr>
                <w:sz w:val="20"/>
                <w:szCs w:val="20"/>
                <w:color w:val="auto"/>
              </w:rPr>
            </w:pPr>
            <w:r>
              <w:rPr>
                <w:rFonts w:ascii="Arial" w:cs="Arial" w:eastAsia="Arial" w:hAnsi="Arial"/>
                <w:sz w:val="18"/>
                <w:szCs w:val="18"/>
                <w:color w:val="auto"/>
                <w:w w:val="97"/>
              </w:rPr>
              <w:t>5.70%</w:t>
            </w:r>
          </w:p>
        </w:tc>
        <w:tc>
          <w:tcPr>
            <w:tcW w:w="2360" w:type="dxa"/>
            <w:vAlign w:val="bottom"/>
            <w:tcBorders>
              <w:bottom w:val="single" w:sz="8" w:color="auto"/>
            </w:tcBorders>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w w:val="99"/>
              </w:rPr>
              <w:t>December 1, 2054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196850</wp:posOffset>
            </wp:positionV>
            <wp:extent cx="325755" cy="1968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-149225</wp:posOffset>
            </wp:positionV>
            <wp:extent cx="33655" cy="1625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-149225</wp:posOffset>
            </wp:positionV>
            <wp:extent cx="33655" cy="162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-149225</wp:posOffset>
            </wp:positionV>
            <wp:extent cx="33655" cy="1625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16256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0" w:name="page91"/>
    <w:bookmarkEnd w:id="90"/>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a credit agreement with JPMorgan Chase Bank, N.A., as Administrative Agent, Deutsche Bank Securities, Inc., PNC Bank, N.A., Truist Bank and Wells Fargo Bank, N.A., as Syndication Agents, and the lenders party thereto (the Credit Agreement), which provides for a $800 million five-year senior unsecured revolving facility (the Revolving Facility) with a maturity date of December 21, 2030. Borrowings under the Revolving Facility bear interest, at the Company’s option, at rates based upon the Secured Overnight Financing Rate (SOFR) or a base rate, plus, for each rate, a margin determined in accordance with a ratings-based pricing grid. Any outstanding principal amounts, together with interest accrued thereon, are due in full on that maturity date. There were no borrowings outstanding under the Revolving Facility as of December 31, 2025 and 2024. Available borrowings under the Revolving Facility are reduced by any outstanding letters of credit issued by the Company under the Revolving Facility. At December 31, 2025 and 2024, the Company had $3 million of outstanding letters of credit issued and $797 million available for borrowing under the Revolving Facility. The Company paid the bank group an upfront loan commitment fee that is being amortized over the life of the Revolving Facility. The Revolving Facility includes an annual facility fee.</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Credit Agreement requires the Company’s ratio of consolidated net debt-to-consolidated earnings before interest, taxes, depreciation, depletion and amortization, as defined, for the trailing-twelve months (the Ratio) to not exceed 3.50x as of the end of any fiscal quarter, provided that the Company may exclude from the Ratio any debt incurred in connection with certain acquisitions during the quarter or three preceding quarters so long as the Ratio calculated without such exclusion does not exceed 4.00x. Additionally, if no amounts are outstanding under the Revolving Facility or the Company's trade receivable securitization facility (discussed later), consolidated debt, as defined, which includes debt for which the Company is a guarantor, shall be reduced in an amount equal to the lesser of $500 million or the sum of the Company’s unrestricted cash and temporary investments, for purposes of the covenant calculation. The Company was in compliance with the Ratio at December 31, 2025.</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On September 16, 2025, the Company extended the maturity to September 16, 2026. The Trade Receivable Facility, with Truist Bank, Regions Bank, First Citizens Bank &amp; Trust Company,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Adjusted Term Secured Overnight Financing Rate (Adjusted Term SOFR), as defined, plus 0.7%. The Trade Receivable Facility contains a cross-default provision to the Company’s other debt agreements. Subject to certain conditions, including lenders providing the requisite commitments, the Trade Receivable Facility may be increased to a borrowing base not to exceed $600 million.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60" w:type="dxa"/>
            <w:vAlign w:val="bottom"/>
          </w:tcPr>
          <w:p>
            <w:pPr>
              <w:spacing w:after="0"/>
              <w:rPr>
                <w:sz w:val="20"/>
                <w:szCs w:val="20"/>
                <w:color w:val="auto"/>
              </w:rPr>
            </w:pPr>
            <w:r>
              <w:rPr>
                <w:rFonts w:ascii="Arial" w:cs="Arial" w:eastAsia="Arial" w:hAnsi="Arial"/>
                <w:sz w:val="18"/>
                <w:szCs w:val="18"/>
                <w:color w:val="auto"/>
              </w:rPr>
              <w:t>The Company’s long-term debt maturities for each of the next five years and thereafter are as follows:</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77"/>
        </w:trPr>
        <w:tc>
          <w:tcPr>
            <w:tcW w:w="8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03"/>
        </w:trPr>
        <w:tc>
          <w:tcPr>
            <w:tcW w:w="8960" w:type="dxa"/>
            <w:vAlign w:val="bottom"/>
            <w:tcBorders>
              <w:right w:val="single" w:sz="8" w:color="007CBA"/>
            </w:tcBorders>
            <w:shd w:val="clear" w:color="auto" w:fill="007CBA"/>
          </w:tcPr>
          <w:p>
            <w:pPr>
              <w:ind w:left="100"/>
              <w:spacing w:after="0" w:line="202" w:lineRule="exact"/>
              <w:rPr>
                <w:sz w:val="20"/>
                <w:szCs w:val="20"/>
                <w:color w:val="auto"/>
              </w:rPr>
            </w:pPr>
            <w:r>
              <w:rPr>
                <w:rFonts w:ascii="Arial" w:cs="Arial" w:eastAsia="Arial" w:hAnsi="Arial"/>
                <w:sz w:val="18"/>
                <w:szCs w:val="18"/>
                <w:color w:val="FFFFFF"/>
              </w:rPr>
              <w:t>(in millions)</w:t>
            </w:r>
          </w:p>
        </w:tc>
        <w:tc>
          <w:tcPr>
            <w:tcW w:w="1040" w:type="dxa"/>
            <w:vAlign w:val="bottom"/>
            <w:shd w:val="clear" w:color="auto" w:fill="007CBA"/>
          </w:tcPr>
          <w:p>
            <w:pPr>
              <w:spacing w:after="0"/>
              <w:rPr>
                <w:sz w:val="17"/>
                <w:szCs w:val="17"/>
                <w:color w:val="auto"/>
              </w:rPr>
            </w:pPr>
          </w:p>
        </w:tc>
        <w:tc>
          <w:tcPr>
            <w:tcW w:w="1240" w:type="dxa"/>
            <w:vAlign w:val="bottom"/>
            <w:shd w:val="clear" w:color="auto" w:fill="007CBA"/>
          </w:tcPr>
          <w:p>
            <w:pPr>
              <w:spacing w:after="0"/>
              <w:rPr>
                <w:sz w:val="17"/>
                <w:szCs w:val="17"/>
                <w:color w:val="auto"/>
              </w:rPr>
            </w:pPr>
          </w:p>
        </w:tc>
      </w:tr>
      <w:tr>
        <w:trPr>
          <w:trHeight w:val="202"/>
        </w:trPr>
        <w:tc>
          <w:tcPr>
            <w:tcW w:w="896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2026</w:t>
            </w:r>
          </w:p>
        </w:tc>
        <w:tc>
          <w:tcPr>
            <w:tcW w:w="1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203"/>
        </w:trPr>
        <w:tc>
          <w:tcPr>
            <w:tcW w:w="896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2027</w:t>
            </w:r>
          </w:p>
        </w:tc>
        <w:tc>
          <w:tcPr>
            <w:tcW w:w="1040" w:type="dxa"/>
            <w:vAlign w:val="bottom"/>
            <w:shd w:val="clear" w:color="auto" w:fill="E5F1F8"/>
          </w:tcPr>
          <w:p>
            <w:pPr>
              <w:spacing w:after="0"/>
              <w:rPr>
                <w:sz w:val="17"/>
                <w:szCs w:val="17"/>
                <w:color w:val="auto"/>
              </w:rPr>
            </w:pPr>
          </w:p>
        </w:tc>
        <w:tc>
          <w:tcPr>
            <w:tcW w:w="124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792</w:t>
            </w:r>
          </w:p>
        </w:tc>
      </w:tr>
      <w:tr>
        <w:trPr>
          <w:trHeight w:val="203"/>
        </w:trPr>
        <w:tc>
          <w:tcPr>
            <w:tcW w:w="896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2028</w:t>
            </w:r>
          </w:p>
        </w:tc>
        <w:tc>
          <w:tcPr>
            <w:tcW w:w="104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896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2029</w:t>
            </w:r>
          </w:p>
        </w:tc>
        <w:tc>
          <w:tcPr>
            <w:tcW w:w="1040" w:type="dxa"/>
            <w:vAlign w:val="bottom"/>
            <w:shd w:val="clear" w:color="auto" w:fill="E5F1F8"/>
          </w:tcPr>
          <w:p>
            <w:pPr>
              <w:spacing w:after="0"/>
              <w:rPr>
                <w:sz w:val="17"/>
                <w:szCs w:val="17"/>
                <w:color w:val="auto"/>
              </w:rPr>
            </w:pPr>
          </w:p>
        </w:tc>
        <w:tc>
          <w:tcPr>
            <w:tcW w:w="124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896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2030</w:t>
            </w:r>
          </w:p>
        </w:tc>
        <w:tc>
          <w:tcPr>
            <w:tcW w:w="104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w:t>
            </w:r>
          </w:p>
        </w:tc>
      </w:tr>
      <w:tr>
        <w:trPr>
          <w:trHeight w:val="202"/>
        </w:trPr>
        <w:tc>
          <w:tcPr>
            <w:tcW w:w="8960" w:type="dxa"/>
            <w:vAlign w:val="bottom"/>
            <w:tcBorders>
              <w:bottom w:val="single" w:sz="8" w:color="auto"/>
              <w:right w:val="single" w:sz="8" w:color="E5F1F8"/>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shd w:val="clear" w:color="auto" w:fill="E5F1F8"/>
          </w:tcPr>
          <w:p>
            <w:pPr>
              <w:spacing w:after="0"/>
              <w:rPr>
                <w:sz w:val="17"/>
                <w:szCs w:val="17"/>
                <w:color w:val="auto"/>
              </w:rPr>
            </w:pPr>
          </w:p>
        </w:tc>
        <w:tc>
          <w:tcPr>
            <w:tcW w:w="124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4,028</w:t>
            </w:r>
          </w:p>
        </w:tc>
      </w:tr>
      <w:tr>
        <w:trPr>
          <w:trHeight w:val="196"/>
        </w:trPr>
        <w:tc>
          <w:tcPr>
            <w:tcW w:w="89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5,323</w:t>
            </w:r>
          </w:p>
        </w:tc>
      </w:tr>
      <w:tr>
        <w:trPr>
          <w:trHeight w:val="20"/>
        </w:trPr>
        <w:tc>
          <w:tcPr>
            <w:tcW w:w="8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-303530</wp:posOffset>
            </wp:positionV>
            <wp:extent cx="33655" cy="3168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H: Financial Instruments</w:t>
      </w:r>
    </w:p>
    <w:p>
      <w:pPr>
        <w:spacing w:after="0" w:line="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financial instruments include temporary cash investments, accounts receivable, accounts payable, Trade Receivable Facility borrowings, publicly-registered long-term notes and debentures.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Temporary cash investments are placed primarily in money market funds, money market demand deposit accounts and Eurodollar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1" w:name="page92"/>
    <w:bookmarkEnd w:id="91"/>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Accounts receivable are due from a large number of customers, primarily in the construction industry, and are dispersed across wide geographic and economic regions. However, accounts receivable are more heavily concentrated in certain states, namely Texas, North Carolina, Colorado, California, Georgia, Florida, South Carolina, Arizona, Iowa, and Minnesota. The carrying values of accounts receivable approximates their fair values.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Accounts payable represent amounts owed to suppliers and vendors. The estimated carrying value of accounts payable approximates its fair value due to the short-term nature of the payables.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carrying value and fair value of the Company’s debt were $5.3 billion and $4.9 billion, respectively, at December 31, 2025 and $5.4 billion and $4.8 billion, respectively, at December 31, 2024 (see Note G). Due to its short-term nature, the carrying value of Trade Receivable Facility borrowings approximates its fair value. The estimated fair value of the Company’s publicly-registered long-term debt was estimated based on Level 1 of the fair value hierarchy using quoted market prices.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I: Income Taxes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expense from continuing operations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35"/>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Federal income taxes:</w:t>
            </w: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Current</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138</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539</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209</w:t>
            </w:r>
          </w:p>
        </w:tc>
      </w:tr>
      <w:tr>
        <w:trPr>
          <w:trHeight w:val="202"/>
        </w:trPr>
        <w:tc>
          <w:tcPr>
            <w:tcW w:w="6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Deferred</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56</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r>
      <w:tr>
        <w:trPr>
          <w:trHeight w:val="19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federal income taxes</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194</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479</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200</w:t>
            </w:r>
          </w:p>
        </w:tc>
      </w:tr>
      <w:tr>
        <w:trPr>
          <w:trHeight w:val="196"/>
        </w:trPr>
        <w:tc>
          <w:tcPr>
            <w:tcW w:w="638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State income taxes:</w:t>
            </w: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Current</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31</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77</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37</w:t>
            </w:r>
          </w:p>
        </w:tc>
      </w:tr>
      <w:tr>
        <w:trPr>
          <w:trHeight w:val="203"/>
        </w:trPr>
        <w:tc>
          <w:tcPr>
            <w:tcW w:w="6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Deferred</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state income taxes</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39</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71</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34</w:t>
            </w:r>
          </w:p>
        </w:tc>
      </w:tr>
      <w:tr>
        <w:trPr>
          <w:trHeight w:val="196"/>
        </w:trPr>
        <w:tc>
          <w:tcPr>
            <w:tcW w:w="638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Foreign income taxes:</w:t>
            </w: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Current</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Deferred</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current foreign income taxes</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3</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63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236</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550</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234</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-1503680</wp:posOffset>
            </wp:positionV>
            <wp:extent cx="34290" cy="2997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-1503680</wp:posOffset>
            </wp:positionV>
            <wp:extent cx="33655" cy="2997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-1503680</wp:posOffset>
            </wp:positionV>
            <wp:extent cx="33655" cy="2997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-972185</wp:posOffset>
            </wp:positionV>
            <wp:extent cx="34290" cy="2997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-972185</wp:posOffset>
            </wp:positionV>
            <wp:extent cx="33655" cy="2997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-972185</wp:posOffset>
            </wp:positionV>
            <wp:extent cx="33655" cy="2997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-440690</wp:posOffset>
            </wp:positionV>
            <wp:extent cx="34290" cy="4540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45402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-440690</wp:posOffset>
            </wp:positionV>
            <wp:extent cx="33655" cy="4540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55" cy="45402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-440690</wp:posOffset>
            </wp:positionV>
            <wp:extent cx="33655" cy="4540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54025"/>
                    </a:xfrm>
                    <a:prstGeom prst="rect">
                      <a:avLst/>
                    </a:prstGeom>
                    <a:noFill/>
                  </pic:spPr>
                </pic:pic>
              </a:graphicData>
            </a:graphic>
          </wp:anchor>
        </w:drawing>
      </w:r>
    </w:p>
    <w:p>
      <w:pPr>
        <w:spacing w:after="0" w:line="15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domestic and foreign components of pretax earnings from continuing operations for the years ended December 31, 2025, 2024 and 2023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5"/>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Domestic</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1,207</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2,353</w:t>
            </w:r>
          </w:p>
        </w:tc>
        <w:tc>
          <w:tcPr>
            <w:tcW w:w="46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1,218</w:t>
            </w:r>
          </w:p>
        </w:tc>
      </w:tr>
      <w:tr>
        <w:trPr>
          <w:trHeight w:val="203"/>
        </w:trPr>
        <w:tc>
          <w:tcPr>
            <w:tcW w:w="63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Foreign</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19</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w:t>
            </w:r>
          </w:p>
        </w:tc>
      </w:tr>
      <w:tr>
        <w:trPr>
          <w:trHeight w:val="23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Earnings from continuing operations before income tax expense</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1,226</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2,366</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188595</wp:posOffset>
            </wp:positionV>
            <wp:extent cx="325755" cy="1968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-303530</wp:posOffset>
            </wp:positionV>
            <wp:extent cx="34290" cy="3168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-303530</wp:posOffset>
            </wp:positionV>
            <wp:extent cx="33655" cy="3168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-303530</wp:posOffset>
            </wp:positionV>
            <wp:extent cx="33655" cy="3168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2" w:name="page93"/>
    <w:bookmarkEnd w:id="92"/>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effective income tax rate on continuing operations varied from the statutory United States income tax rate due to the following tax differences: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7"/>
                <w:szCs w:val="17"/>
                <w:color w:val="auto"/>
              </w:rPr>
            </w:pPr>
          </w:p>
        </w:tc>
        <w:tc>
          <w:tcPr>
            <w:tcW w:w="1720" w:type="dxa"/>
            <w:vAlign w:val="bottom"/>
            <w:tcBorders>
              <w:right w:val="single" w:sz="8" w:color="007CBA"/>
            </w:tcBorders>
            <w:gridSpan w:val="2"/>
            <w:shd w:val="clear" w:color="auto" w:fill="007CBA"/>
          </w:tcPr>
          <w:p>
            <w:pPr>
              <w:jc w:val="right"/>
              <w:ind w:right="83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7"/>
                <w:szCs w:val="17"/>
                <w:color w:val="auto"/>
              </w:rPr>
            </w:pPr>
          </w:p>
        </w:tc>
        <w:tc>
          <w:tcPr>
            <w:tcW w:w="1720" w:type="dxa"/>
            <w:vAlign w:val="bottom"/>
            <w:tcBorders>
              <w:right w:val="single" w:sz="8" w:color="007CBA"/>
            </w:tcBorders>
            <w:gridSpan w:val="2"/>
            <w:shd w:val="clear" w:color="auto" w:fill="007CBA"/>
          </w:tcPr>
          <w:p>
            <w:pPr>
              <w:jc w:val="right"/>
              <w:ind w:right="830"/>
              <w:spacing w:after="0"/>
              <w:rPr>
                <w:sz w:val="20"/>
                <w:szCs w:val="20"/>
                <w:color w:val="auto"/>
              </w:rPr>
            </w:pPr>
            <w:r>
              <w:rPr>
                <w:rFonts w:ascii="Arial" w:cs="Arial" w:eastAsia="Arial" w:hAnsi="Arial"/>
                <w:sz w:val="18"/>
                <w:szCs w:val="18"/>
                <w:color w:val="FFFFFF"/>
              </w:rPr>
              <w:t>2024</w:t>
            </w:r>
          </w:p>
        </w:tc>
        <w:tc>
          <w:tcPr>
            <w:tcW w:w="220" w:type="dxa"/>
            <w:vAlign w:val="bottom"/>
            <w:shd w:val="clear" w:color="auto" w:fill="007CBA"/>
          </w:tcPr>
          <w:p>
            <w:pPr>
              <w:spacing w:after="0"/>
              <w:rPr>
                <w:sz w:val="17"/>
                <w:szCs w:val="17"/>
                <w:color w:val="auto"/>
              </w:rPr>
            </w:pPr>
          </w:p>
        </w:tc>
        <w:tc>
          <w:tcPr>
            <w:tcW w:w="1940" w:type="dxa"/>
            <w:vAlign w:val="bottom"/>
            <w:gridSpan w:val="2"/>
            <w:shd w:val="clear" w:color="auto" w:fill="007CBA"/>
          </w:tcPr>
          <w:p>
            <w:pPr>
              <w:jc w:val="right"/>
              <w:ind w:right="830"/>
              <w:spacing w:after="0"/>
              <w:rPr>
                <w:sz w:val="20"/>
                <w:szCs w:val="20"/>
                <w:color w:val="auto"/>
              </w:rPr>
            </w:pPr>
            <w:r>
              <w:rPr>
                <w:rFonts w:ascii="Arial" w:cs="Arial" w:eastAsia="Arial" w:hAnsi="Arial"/>
                <w:sz w:val="18"/>
                <w:szCs w:val="18"/>
                <w:color w:val="FFFFFF"/>
              </w:rPr>
              <w:t>2023</w:t>
            </w:r>
          </w:p>
        </w:tc>
      </w:tr>
      <w:tr>
        <w:trPr>
          <w:trHeight w:val="235"/>
        </w:trPr>
        <w:tc>
          <w:tcPr>
            <w:tcW w:w="47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(in millions, except percentages)</w:t>
            </w:r>
          </w:p>
        </w:tc>
        <w:tc>
          <w:tcPr>
            <w:tcW w:w="1120" w:type="dxa"/>
            <w:vAlign w:val="bottom"/>
            <w:gridSpan w:val="2"/>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rPr>
              <w:t>Amount</w:t>
            </w:r>
          </w:p>
        </w:tc>
        <w:tc>
          <w:tcPr>
            <w:tcW w:w="104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rPr>
              <w:t>Percent</w:t>
            </w:r>
          </w:p>
        </w:tc>
        <w:tc>
          <w:tcPr>
            <w:tcW w:w="1100" w:type="dxa"/>
            <w:vAlign w:val="bottom"/>
            <w:gridSpan w:val="2"/>
            <w:shd w:val="clear" w:color="auto" w:fill="007CBA"/>
          </w:tcPr>
          <w:p>
            <w:pPr>
              <w:jc w:val="right"/>
              <w:ind w:right="150"/>
              <w:spacing w:after="0"/>
              <w:rPr>
                <w:sz w:val="20"/>
                <w:szCs w:val="20"/>
                <w:color w:val="auto"/>
              </w:rPr>
            </w:pPr>
            <w:r>
              <w:rPr>
                <w:rFonts w:ascii="Arial" w:cs="Arial" w:eastAsia="Arial" w:hAnsi="Arial"/>
                <w:sz w:val="18"/>
                <w:szCs w:val="18"/>
                <w:color w:val="FFFFFF"/>
              </w:rPr>
              <w:t>Amount</w:t>
            </w:r>
          </w:p>
        </w:tc>
        <w:tc>
          <w:tcPr>
            <w:tcW w:w="106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color w:val="FFFFFF"/>
              </w:rPr>
              <w:t>Percent</w:t>
            </w:r>
          </w:p>
        </w:tc>
        <w:tc>
          <w:tcPr>
            <w:tcW w:w="220" w:type="dxa"/>
            <w:vAlign w:val="bottom"/>
            <w:shd w:val="clear" w:color="auto" w:fill="007CBA"/>
          </w:tcPr>
          <w:p>
            <w:pPr>
              <w:spacing w:after="0"/>
              <w:rPr>
                <w:sz w:val="20"/>
                <w:szCs w:val="20"/>
                <w:color w:val="auto"/>
              </w:rPr>
            </w:pPr>
          </w:p>
        </w:tc>
        <w:tc>
          <w:tcPr>
            <w:tcW w:w="900" w:type="dxa"/>
            <w:vAlign w:val="bottom"/>
            <w:shd w:val="clear" w:color="auto" w:fill="007CBA"/>
          </w:tcPr>
          <w:p>
            <w:pPr>
              <w:jc w:val="right"/>
              <w:ind w:right="190"/>
              <w:spacing w:after="0"/>
              <w:rPr>
                <w:sz w:val="20"/>
                <w:szCs w:val="20"/>
                <w:color w:val="auto"/>
              </w:rPr>
            </w:pPr>
            <w:r>
              <w:rPr>
                <w:rFonts w:ascii="Arial" w:cs="Arial" w:eastAsia="Arial" w:hAnsi="Arial"/>
                <w:sz w:val="18"/>
                <w:szCs w:val="18"/>
                <w:color w:val="FFFFFF"/>
                <w:w w:val="96"/>
              </w:rPr>
              <w:t>Amount</w:t>
            </w:r>
          </w:p>
        </w:tc>
        <w:tc>
          <w:tcPr>
            <w:tcW w:w="1040" w:type="dxa"/>
            <w:vAlign w:val="bottom"/>
            <w:shd w:val="clear" w:color="auto" w:fill="007CBA"/>
          </w:tcPr>
          <w:p>
            <w:pPr>
              <w:jc w:val="right"/>
              <w:ind w:right="250"/>
              <w:spacing w:after="0"/>
              <w:rPr>
                <w:sz w:val="20"/>
                <w:szCs w:val="20"/>
                <w:color w:val="auto"/>
              </w:rPr>
            </w:pPr>
            <w:r>
              <w:rPr>
                <w:rFonts w:ascii="Arial" w:cs="Arial" w:eastAsia="Arial" w:hAnsi="Arial"/>
                <w:sz w:val="18"/>
                <w:szCs w:val="18"/>
                <w:color w:val="FFFFFF"/>
              </w:rPr>
              <w:t>Percent</w:t>
            </w:r>
          </w:p>
        </w:tc>
      </w:tr>
      <w:tr>
        <w:trPr>
          <w:trHeight w:val="203"/>
        </w:trPr>
        <w:tc>
          <w:tcPr>
            <w:tcW w:w="47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U.S. federal statutory tax rate</w:t>
            </w:r>
          </w:p>
        </w:tc>
        <w:tc>
          <w:tcPr>
            <w:tcW w:w="440" w:type="dxa"/>
            <w:vAlign w:val="bottom"/>
            <w:shd w:val="clear" w:color="auto" w:fill="E5F1F8"/>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b w:val="1"/>
                <w:bCs w:val="1"/>
                <w:color w:val="auto"/>
              </w:rPr>
              <w:t>258</w:t>
            </w:r>
          </w:p>
        </w:tc>
        <w:tc>
          <w:tcPr>
            <w:tcW w:w="104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440" w:type="dxa"/>
            <w:vAlign w:val="bottom"/>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497</w:t>
            </w:r>
          </w:p>
        </w:tc>
        <w:tc>
          <w:tcPr>
            <w:tcW w:w="10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257</w:t>
            </w:r>
          </w:p>
        </w:tc>
        <w:tc>
          <w:tcPr>
            <w:tcW w:w="104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21.0%</w:t>
            </w:r>
          </w:p>
        </w:tc>
      </w:tr>
      <w:tr>
        <w:trPr>
          <w:trHeight w:val="162"/>
        </w:trPr>
        <w:tc>
          <w:tcPr>
            <w:tcW w:w="4760" w:type="dxa"/>
            <w:vAlign w:val="bottom"/>
            <w:tcBorders>
              <w:right w:val="single" w:sz="8" w:color="007CBA"/>
            </w:tcBorders>
          </w:tcPr>
          <w:p>
            <w:pPr>
              <w:ind w:left="60"/>
              <w:spacing w:after="0" w:line="163" w:lineRule="exact"/>
              <w:rPr>
                <w:sz w:val="20"/>
                <w:szCs w:val="20"/>
                <w:color w:val="auto"/>
              </w:rPr>
            </w:pPr>
            <w:r>
              <w:rPr>
                <w:rFonts w:ascii="Arial" w:cs="Arial" w:eastAsia="Arial" w:hAnsi="Arial"/>
                <w:sz w:val="18"/>
                <w:szCs w:val="18"/>
                <w:color w:val="auto"/>
              </w:rPr>
              <w:t>State and local income taxes, net of federal income</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4760" w:type="dxa"/>
            <w:vAlign w:val="bottom"/>
            <w:tcBorders>
              <w:right w:val="single" w:sz="8" w:color="007CBA"/>
            </w:tcBorders>
          </w:tcPr>
          <w:p>
            <w:pPr>
              <w:ind w:left="200"/>
              <w:spacing w:after="0" w:line="242" w:lineRule="exact"/>
              <w:rPr>
                <w:sz w:val="20"/>
                <w:szCs w:val="20"/>
                <w:color w:val="auto"/>
              </w:rPr>
            </w:pPr>
            <w:r>
              <w:rPr>
                <w:rFonts w:ascii="Arial" w:cs="Arial" w:eastAsia="Arial" w:hAnsi="Arial"/>
                <w:sz w:val="18"/>
                <w:szCs w:val="18"/>
                <w:color w:val="auto"/>
              </w:rPr>
              <w:t xml:space="preserve">tax effect </w:t>
            </w:r>
            <w:r>
              <w:rPr>
                <w:rFonts w:ascii="Arial" w:cs="Arial" w:eastAsia="Arial" w:hAnsi="Arial"/>
                <w:sz w:val="24"/>
                <w:szCs w:val="24"/>
                <w:color w:val="auto"/>
                <w:vertAlign w:val="superscript"/>
              </w:rPr>
              <w:t>(a)</w:t>
            </w:r>
          </w:p>
        </w:tc>
        <w:tc>
          <w:tcPr>
            <w:tcW w:w="44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right w:val="single" w:sz="8" w:color="007CBA"/>
            </w:tcBorders>
          </w:tcPr>
          <w:p>
            <w:pPr>
              <w:jc w:val="right"/>
              <w:ind w:right="110"/>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60" w:type="dxa"/>
            <w:vAlign w:val="bottom"/>
            <w:tcBorders>
              <w:right w:val="single" w:sz="8" w:color="007CBA"/>
            </w:tcBorders>
          </w:tcPr>
          <w:p>
            <w:pPr>
              <w:jc w:val="right"/>
              <w:ind w:right="1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03"/>
        </w:trPr>
        <w:tc>
          <w:tcPr>
            <w:tcW w:w="47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Foreign tax effects</w:t>
            </w:r>
          </w:p>
        </w:tc>
        <w:tc>
          <w:tcPr>
            <w:tcW w:w="440" w:type="dxa"/>
            <w:vAlign w:val="bottom"/>
            <w:shd w:val="clear" w:color="auto" w:fill="E5F1F8"/>
          </w:tcPr>
          <w:p>
            <w:pPr>
              <w:spacing w:after="0"/>
              <w:rPr>
                <w:sz w:val="17"/>
                <w:szCs w:val="17"/>
                <w:color w:val="auto"/>
              </w:rPr>
            </w:pPr>
          </w:p>
        </w:tc>
        <w:tc>
          <w:tcPr>
            <w:tcW w:w="68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0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(0.1)</w:t>
            </w:r>
          </w:p>
        </w:tc>
        <w:tc>
          <w:tcPr>
            <w:tcW w:w="440" w:type="dxa"/>
            <w:vAlign w:val="bottom"/>
            <w:shd w:val="clear" w:color="auto" w:fill="E5F1F8"/>
          </w:tcPr>
          <w:p>
            <w:pPr>
              <w:spacing w:after="0"/>
              <w:rPr>
                <w:sz w:val="17"/>
                <w:szCs w:val="17"/>
                <w:color w:val="auto"/>
              </w:rPr>
            </w:pPr>
          </w:p>
        </w:tc>
        <w:tc>
          <w:tcPr>
            <w:tcW w:w="6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(2)</w:t>
            </w:r>
          </w:p>
        </w:tc>
        <w:tc>
          <w:tcPr>
            <w:tcW w:w="10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E5F1F8"/>
          </w:tcPr>
          <w:p>
            <w:pPr>
              <w:spacing w:after="0"/>
              <w:rPr>
                <w:sz w:val="17"/>
                <w:szCs w:val="17"/>
                <w:color w:val="auto"/>
              </w:rPr>
            </w:pPr>
          </w:p>
        </w:tc>
        <w:tc>
          <w:tcPr>
            <w:tcW w:w="90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10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(0.4)</w:t>
            </w:r>
          </w:p>
        </w:tc>
      </w:tr>
      <w:tr>
        <w:trPr>
          <w:trHeight w:val="203"/>
        </w:trPr>
        <w:tc>
          <w:tcPr>
            <w:tcW w:w="476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Tax credits:</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Borders>
              <w:right w:val="single" w:sz="8" w:color="007CBA"/>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6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Railroad maintenance credits</w:t>
            </w:r>
          </w:p>
        </w:tc>
        <w:tc>
          <w:tcPr>
            <w:tcW w:w="440" w:type="dxa"/>
            <w:vAlign w:val="bottom"/>
            <w:shd w:val="clear" w:color="auto" w:fill="E5F1F8"/>
          </w:tcPr>
          <w:p>
            <w:pPr>
              <w:spacing w:after="0"/>
              <w:rPr>
                <w:sz w:val="17"/>
                <w:szCs w:val="17"/>
                <w:color w:val="auto"/>
              </w:rPr>
            </w:pPr>
          </w:p>
        </w:tc>
        <w:tc>
          <w:tcPr>
            <w:tcW w:w="68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10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E5F1F8"/>
          </w:tcPr>
          <w:p>
            <w:pPr>
              <w:spacing w:after="0"/>
              <w:rPr>
                <w:sz w:val="17"/>
                <w:szCs w:val="17"/>
                <w:color w:val="auto"/>
              </w:rPr>
            </w:pPr>
          </w:p>
        </w:tc>
        <w:tc>
          <w:tcPr>
            <w:tcW w:w="6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(0.4)</w:t>
            </w:r>
          </w:p>
        </w:tc>
        <w:tc>
          <w:tcPr>
            <w:tcW w:w="220" w:type="dxa"/>
            <w:vAlign w:val="bottom"/>
            <w:shd w:val="clear" w:color="auto" w:fill="E5F1F8"/>
          </w:tcPr>
          <w:p>
            <w:pPr>
              <w:spacing w:after="0"/>
              <w:rPr>
                <w:sz w:val="17"/>
                <w:szCs w:val="17"/>
                <w:color w:val="auto"/>
              </w:rPr>
            </w:pPr>
          </w:p>
        </w:tc>
        <w:tc>
          <w:tcPr>
            <w:tcW w:w="90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10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(0.7)</w:t>
            </w:r>
          </w:p>
        </w:tc>
      </w:tr>
      <w:tr>
        <w:trPr>
          <w:trHeight w:val="203"/>
        </w:trPr>
        <w:tc>
          <w:tcPr>
            <w:tcW w:w="476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0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w:t>
            </w:r>
          </w:p>
        </w:tc>
      </w:tr>
      <w:tr>
        <w:trPr>
          <w:trHeight w:val="203"/>
        </w:trPr>
        <w:tc>
          <w:tcPr>
            <w:tcW w:w="476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Nontaxable or nondeductible items:</w:t>
            </w:r>
          </w:p>
        </w:tc>
        <w:tc>
          <w:tcPr>
            <w:tcW w:w="44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60" w:type="dxa"/>
            <w:vAlign w:val="bottom"/>
            <w:tcBorders>
              <w:right w:val="single" w:sz="8" w:color="007CBA"/>
            </w:tcBorders>
            <w:shd w:val="clear" w:color="auto" w:fill="E5F1F8"/>
          </w:tcPr>
          <w:p>
            <w:pPr>
              <w:spacing w:after="0"/>
              <w:rPr>
                <w:sz w:val="17"/>
                <w:szCs w:val="17"/>
                <w:color w:val="auto"/>
              </w:rPr>
            </w:pPr>
          </w:p>
        </w:tc>
        <w:tc>
          <w:tcPr>
            <w:tcW w:w="22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1040" w:type="dxa"/>
            <w:vAlign w:val="bottom"/>
            <w:shd w:val="clear" w:color="auto" w:fill="E5F1F8"/>
          </w:tcPr>
          <w:p>
            <w:pPr>
              <w:spacing w:after="0"/>
              <w:rPr>
                <w:sz w:val="17"/>
                <w:szCs w:val="17"/>
                <w:color w:val="auto"/>
              </w:rPr>
            </w:pPr>
          </w:p>
        </w:tc>
      </w:tr>
      <w:tr>
        <w:trPr>
          <w:trHeight w:val="203"/>
        </w:trPr>
        <w:tc>
          <w:tcPr>
            <w:tcW w:w="476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Goodwill write-off for divestiture</w:t>
            </w:r>
          </w:p>
        </w:tc>
        <w:tc>
          <w:tcPr>
            <w:tcW w:w="440" w:type="dxa"/>
            <w:vAlign w:val="bottom"/>
          </w:tcPr>
          <w:p>
            <w:pPr>
              <w:spacing w:after="0"/>
              <w:rPr>
                <w:sz w:val="17"/>
                <w:szCs w:val="17"/>
                <w:color w:val="auto"/>
              </w:rPr>
            </w:pPr>
          </w:p>
        </w:tc>
        <w:tc>
          <w:tcPr>
            <w:tcW w:w="6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48</w:t>
            </w:r>
          </w:p>
        </w:tc>
        <w:tc>
          <w:tcPr>
            <w:tcW w:w="1060" w:type="dxa"/>
            <w:vAlign w:val="bottom"/>
            <w:tcBorders>
              <w:right w:val="single" w:sz="8" w:color="007CBA"/>
            </w:tcBorders>
          </w:tcPr>
          <w:p>
            <w:pPr>
              <w:jc w:val="right"/>
              <w:ind w:right="130"/>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E5F1F8"/>
          </w:tcPr>
          <w:p>
            <w:pPr>
              <w:spacing w:after="0"/>
              <w:rPr>
                <w:sz w:val="17"/>
                <w:szCs w:val="17"/>
                <w:color w:val="auto"/>
              </w:rPr>
            </w:pPr>
          </w:p>
        </w:tc>
        <w:tc>
          <w:tcPr>
            <w:tcW w:w="68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b w:val="1"/>
                <w:bCs w:val="1"/>
                <w:color w:val="auto"/>
              </w:rPr>
              <w:t>6</w:t>
            </w:r>
          </w:p>
        </w:tc>
        <w:tc>
          <w:tcPr>
            <w:tcW w:w="1040" w:type="dxa"/>
            <w:vAlign w:val="bottom"/>
            <w:tcBorders>
              <w:right w:val="single" w:sz="8" w:color="007CBA"/>
            </w:tcBorders>
            <w:shd w:val="clear" w:color="auto" w:fill="E5F1F8"/>
          </w:tcPr>
          <w:p>
            <w:pPr>
              <w:jc w:val="right"/>
              <w:ind w:right="110"/>
              <w:spacing w:after="0" w:line="202" w:lineRule="exact"/>
              <w:rPr>
                <w:sz w:val="20"/>
                <w:szCs w:val="20"/>
                <w:color w:val="auto"/>
              </w:rPr>
            </w:pPr>
            <w:r>
              <w:rPr>
                <w:rFonts w:ascii="Arial" w:cs="Arial" w:eastAsia="Arial" w:hAnsi="Arial"/>
                <w:sz w:val="18"/>
                <w:szCs w:val="18"/>
                <w:b w:val="1"/>
                <w:bCs w:val="1"/>
                <w:color w:val="auto"/>
              </w:rPr>
              <w:t>0.5</w:t>
            </w:r>
          </w:p>
        </w:tc>
        <w:tc>
          <w:tcPr>
            <w:tcW w:w="440" w:type="dxa"/>
            <w:vAlign w:val="bottom"/>
            <w:shd w:val="clear" w:color="auto" w:fill="E5F1F8"/>
          </w:tcPr>
          <w:p>
            <w:pPr>
              <w:spacing w:after="0"/>
              <w:rPr>
                <w:sz w:val="17"/>
                <w:szCs w:val="17"/>
                <w:color w:val="auto"/>
              </w:rPr>
            </w:pPr>
          </w:p>
        </w:tc>
        <w:tc>
          <w:tcPr>
            <w:tcW w:w="660" w:type="dxa"/>
            <w:vAlign w:val="bottom"/>
            <w:shd w:val="clear" w:color="auto" w:fill="E5F1F8"/>
          </w:tcPr>
          <w:p>
            <w:pPr>
              <w:jc w:val="right"/>
              <w:ind w:right="70"/>
              <w:spacing w:after="0" w:line="202" w:lineRule="exact"/>
              <w:rPr>
                <w:sz w:val="20"/>
                <w:szCs w:val="20"/>
                <w:color w:val="auto"/>
              </w:rPr>
            </w:pPr>
            <w:r>
              <w:rPr>
                <w:rFonts w:ascii="Arial" w:cs="Arial" w:eastAsia="Arial" w:hAnsi="Arial"/>
                <w:sz w:val="18"/>
                <w:szCs w:val="18"/>
                <w:color w:val="auto"/>
              </w:rPr>
              <w:t>5</w:t>
            </w:r>
          </w:p>
        </w:tc>
        <w:tc>
          <w:tcPr>
            <w:tcW w:w="1060" w:type="dxa"/>
            <w:vAlign w:val="bottom"/>
            <w:tcBorders>
              <w:right w:val="single" w:sz="8" w:color="007CBA"/>
            </w:tcBorders>
            <w:shd w:val="clear" w:color="auto" w:fill="E5F1F8"/>
          </w:tcPr>
          <w:p>
            <w:pPr>
              <w:jc w:val="right"/>
              <w:ind w:right="130"/>
              <w:spacing w:after="0" w:line="202" w:lineRule="exact"/>
              <w:rPr>
                <w:sz w:val="20"/>
                <w:szCs w:val="20"/>
                <w:color w:val="auto"/>
              </w:rPr>
            </w:pPr>
            <w:r>
              <w:rPr>
                <w:rFonts w:ascii="Arial" w:cs="Arial" w:eastAsia="Arial" w:hAnsi="Arial"/>
                <w:sz w:val="18"/>
                <w:szCs w:val="18"/>
                <w:color w:val="auto"/>
              </w:rPr>
              <w:t>0.2</w:t>
            </w:r>
          </w:p>
        </w:tc>
        <w:tc>
          <w:tcPr>
            <w:tcW w:w="220" w:type="dxa"/>
            <w:vAlign w:val="bottom"/>
            <w:shd w:val="clear" w:color="auto" w:fill="E5F1F8"/>
          </w:tcPr>
          <w:p>
            <w:pPr>
              <w:spacing w:after="0"/>
              <w:rPr>
                <w:sz w:val="17"/>
                <w:szCs w:val="17"/>
                <w:color w:val="auto"/>
              </w:rPr>
            </w:pPr>
          </w:p>
        </w:tc>
        <w:tc>
          <w:tcPr>
            <w:tcW w:w="90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2</w:t>
            </w:r>
          </w:p>
        </w:tc>
        <w:tc>
          <w:tcPr>
            <w:tcW w:w="1040" w:type="dxa"/>
            <w:vAlign w:val="bottom"/>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0.2</w:t>
            </w:r>
          </w:p>
        </w:tc>
      </w:tr>
      <w:tr>
        <w:trPr>
          <w:trHeight w:val="203"/>
        </w:trPr>
        <w:tc>
          <w:tcPr>
            <w:tcW w:w="476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Other adjustments:</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Borders>
              <w:right w:val="single" w:sz="8" w:color="007CBA"/>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4760" w:type="dxa"/>
            <w:vAlign w:val="bottom"/>
            <w:tcBorders>
              <w:bottom w:val="single" w:sz="8" w:color="auto"/>
              <w:right w:val="single" w:sz="8" w:color="E5F1F8"/>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Effects of statutory depletion</w:t>
            </w:r>
          </w:p>
        </w:tc>
        <w:tc>
          <w:tcPr>
            <w:tcW w:w="440" w:type="dxa"/>
            <w:vAlign w:val="bottom"/>
            <w:tcBorders>
              <w:bottom w:val="single" w:sz="8" w:color="auto"/>
            </w:tcBorders>
            <w:shd w:val="clear" w:color="auto" w:fill="E5F1F8"/>
          </w:tcPr>
          <w:p>
            <w:pPr>
              <w:spacing w:after="0"/>
              <w:rPr>
                <w:sz w:val="17"/>
                <w:szCs w:val="17"/>
                <w:color w:val="auto"/>
              </w:rPr>
            </w:pPr>
          </w:p>
        </w:tc>
        <w:tc>
          <w:tcPr>
            <w:tcW w:w="6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04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(3.1)</w:t>
            </w:r>
          </w:p>
        </w:tc>
        <w:tc>
          <w:tcPr>
            <w:tcW w:w="440" w:type="dxa"/>
            <w:vAlign w:val="bottom"/>
            <w:tcBorders>
              <w:bottom w:val="single" w:sz="8" w:color="auto"/>
            </w:tcBorders>
            <w:shd w:val="clear" w:color="auto" w:fill="E5F1F8"/>
          </w:tcPr>
          <w:p>
            <w:pPr>
              <w:spacing w:after="0"/>
              <w:rPr>
                <w:sz w:val="17"/>
                <w:szCs w:val="17"/>
                <w:color w:val="auto"/>
              </w:rPr>
            </w:pPr>
          </w:p>
        </w:tc>
        <w:tc>
          <w:tcPr>
            <w:tcW w:w="66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(35)</w:t>
            </w:r>
          </w:p>
        </w:tc>
        <w:tc>
          <w:tcPr>
            <w:tcW w:w="10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E5F1F8"/>
          </w:tcPr>
          <w:p>
            <w:pPr>
              <w:spacing w:after="0"/>
              <w:rPr>
                <w:sz w:val="17"/>
                <w:szCs w:val="17"/>
                <w:color w:val="auto"/>
              </w:rPr>
            </w:pPr>
          </w:p>
        </w:tc>
        <w:tc>
          <w:tcPr>
            <w:tcW w:w="90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(32)</w:t>
            </w:r>
          </w:p>
        </w:tc>
        <w:tc>
          <w:tcPr>
            <w:tcW w:w="104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(2.7)</w:t>
            </w:r>
          </w:p>
        </w:tc>
      </w:tr>
      <w:tr>
        <w:trPr>
          <w:trHeight w:val="196"/>
        </w:trPr>
        <w:tc>
          <w:tcPr>
            <w:tcW w:w="47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Effective income tax rate</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236</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19.2%</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550</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234</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-1851025</wp:posOffset>
            </wp:positionV>
            <wp:extent cx="4148455" cy="18643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148455" cy="1864360"/>
                    </a:xfrm>
                    <a:prstGeom prst="rect">
                      <a:avLst/>
                    </a:prstGeom>
                    <a:noFill/>
                  </pic:spPr>
                </pic:pic>
              </a:graphicData>
            </a:graphic>
          </wp:anchor>
        </w:drawing>
      </w:r>
    </w:p>
    <w:p>
      <w:pPr>
        <w:spacing w:after="0" w:line="67" w:lineRule="exact"/>
        <w:rPr>
          <w:sz w:val="20"/>
          <w:szCs w:val="20"/>
          <w:color w:val="auto"/>
        </w:rPr>
      </w:pPr>
    </w:p>
    <w:p>
      <w:pPr>
        <w:jc w:val="both"/>
        <w:ind w:firstLine="8"/>
        <w:spacing w:after="0" w:line="261" w:lineRule="auto"/>
        <w:tabs>
          <w:tab w:leader="none" w:pos="168"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State taxes in California, Minnesota, Colorado, Texas, Georgia, and Florida made up the majority (greater than 50 percent) of the tax effect in this category in 2025; state taxes in California, Texas, and Colorado made up the majority of the tax effect in this category in 2024; and state taxes in Texas, California, Colorado, and Minnesota made up the majority of the tax effect in this category in 2023.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changes in tax laws or rates enacted in the current period and changes in valuation allowances are immaterial.</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higher 2024 effective income tax rate versus 2025 and 2023 was driven by the impact of the February 2024 divestiture of the South Texas cement business and certain related ready mixed concrete operations, which included the write-off of certain nondeductible goodwill.</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statutory depletion deduction for all years is calculated as a percentage of revenues, subject to certain limitations. Due to these limitations, changes in the sales volumes and pretax earnings may not proportionately affect the Company’s statutory depletion deduction and the corresponding impact on the effective income tax rate.</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 invests in renewable energy investment entities which qualify for tax credits and other tax benefits and are accounted for under the proportional amortization method. For the year ended December 31, 2025, amortization of these investments plus income recapture, which are included in the line item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in the consolidated statements of earnings, were $128 million and $5 million, respectively, and offset by $125 million of tax credits and $15 million of other tax benefits. For the year ended December 31, 2024, amortization plus income recapture of similar investments were $148 million and $16 million, respectively, offset by $153 million of tax credits and $17 million of other tax benefits. For the year ended December 31, 2023, amortization plus income recapture of similar investments were $26 million and $1 million, respectively, offset by $24 million of tax credits and $2 million of other tax benefits. As of December 31, 2025, the Company has committed to additional equity contributions of $51 million for tax equity investments related to RETC projects, which are expected to be paid in 2026. As of December 31, 2024, the Company had committed to additional equity contributions of $44 million for tax equity investments related to RETC projects, which were paid in 2025. Unfunded commitments as of December 31, 2025 and 2024 are recorded in the line item </w:t>
      </w:r>
      <w:r>
        <w:rPr>
          <w:rFonts w:ascii="Arial" w:cs="Arial" w:eastAsia="Arial" w:hAnsi="Arial"/>
          <w:sz w:val="18"/>
          <w:szCs w:val="18"/>
          <w:i w:val="1"/>
          <w:iCs w:val="1"/>
          <w:color w:val="auto"/>
        </w:rPr>
        <w:t>Unpaid commitments to limited liability companies</w:t>
      </w:r>
      <w:r>
        <w:rPr>
          <w:rFonts w:ascii="Arial" w:cs="Arial" w:eastAsia="Arial" w:hAnsi="Arial"/>
          <w:sz w:val="18"/>
          <w:szCs w:val="18"/>
          <w:color w:val="auto"/>
        </w:rPr>
        <w:t xml:space="preserve">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r>
              <w:rPr>
                <w:rFonts w:ascii="Arial" w:cs="Arial" w:eastAsia="Arial" w:hAnsi="Arial"/>
                <w:sz w:val="18"/>
                <w:szCs w:val="18"/>
                <w:color w:val="auto"/>
              </w:rPr>
              <w:t>The amounts of income taxes paid (refunded) by the Company are as follows:</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7"/>
        </w:trPr>
        <w:tc>
          <w:tcPr>
            <w:tcW w:w="6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38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6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6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35"/>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Federal</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141</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319</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63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State:</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spacing w:after="0"/>
              <w:rPr>
                <w:sz w:val="17"/>
                <w:szCs w:val="17"/>
                <w:color w:val="auto"/>
              </w:rPr>
            </w:pPr>
          </w:p>
        </w:tc>
      </w:tr>
      <w:tr>
        <w:trPr>
          <w:trHeight w:val="203"/>
        </w:trPr>
        <w:tc>
          <w:tcPr>
            <w:tcW w:w="638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Texas</w:t>
            </w:r>
          </w:p>
        </w:tc>
        <w:tc>
          <w:tcPr>
            <w:tcW w:w="460" w:type="dxa"/>
            <w:vAlign w:val="bottom"/>
          </w:tcPr>
          <w:p>
            <w:pPr>
              <w:spacing w:after="0"/>
              <w:rPr>
                <w:sz w:val="17"/>
                <w:szCs w:val="17"/>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14</w:t>
            </w:r>
          </w:p>
        </w:tc>
        <w:tc>
          <w:tcPr>
            <w:tcW w:w="460" w:type="dxa"/>
            <w:vAlign w:val="bottom"/>
          </w:tcPr>
          <w:p>
            <w:pPr>
              <w:spacing w:after="0"/>
              <w:rPr>
                <w:sz w:val="17"/>
                <w:szCs w:val="17"/>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tcBorders>
              <w:right w:val="single" w:sz="8" w:color="007CBA"/>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37</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64</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41</w:t>
            </w:r>
          </w:p>
        </w:tc>
      </w:tr>
      <w:tr>
        <w:trPr>
          <w:trHeight w:val="203"/>
        </w:trPr>
        <w:tc>
          <w:tcPr>
            <w:tcW w:w="63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Foreign</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23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Income taxes paid, net of amounts refunded</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192</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382</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-303530</wp:posOffset>
            </wp:positionV>
            <wp:extent cx="34290" cy="3168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-303530</wp:posOffset>
            </wp:positionV>
            <wp:extent cx="33655" cy="3168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-303530</wp:posOffset>
            </wp:positionV>
            <wp:extent cx="33655" cy="3168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Jurisdiction below the threshold for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65405</wp:posOffset>
            </wp:positionV>
            <wp:extent cx="325755" cy="1968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3" w:name="page94"/>
    <w:bookmarkEnd w:id="93"/>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Internal Revenue Service provided certain disaster tax relief for North Carolina businesses affected by Hurricanes Debby and Helene, which allowed the Company to defer estimated federal and certain state income, payroll and excise tax payments for the period from August 2024 through September 2025. The deferred obligation was paid on September 25, 2025.</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4, 2025, President Trump signed the One Big Beautiful Bill Act (OBBBA) that, among other provisions, makes 100% bonus depreciation permanent, restores the ability to expense domestic research expenditures, and modifies the taxation of foreign earnings. The OBBBA is not expected to have a material impact on the Company's annual estimated income tax rate, but results in a reclassification between current taxes payable and deferred tax liabilities which is reflected in the year ended December 31,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The principal components of the Company’s deferred tax assets and liabilities are as follows:</w:t>
            </w: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77"/>
        </w:trPr>
        <w:tc>
          <w:tcPr>
            <w:tcW w:w="7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80" w:type="dxa"/>
            <w:vAlign w:val="bottom"/>
            <w:gridSpan w:val="2"/>
          </w:tcPr>
          <w:p>
            <w:pPr>
              <w:spacing w:after="0"/>
              <w:rPr>
                <w:sz w:val="6"/>
                <w:szCs w:val="6"/>
                <w:color w:val="auto"/>
              </w:rPr>
            </w:pPr>
          </w:p>
        </w:tc>
      </w:tr>
      <w:tr>
        <w:trPr>
          <w:trHeight w:val="197"/>
        </w:trPr>
        <w:tc>
          <w:tcPr>
            <w:tcW w:w="7460" w:type="dxa"/>
            <w:vAlign w:val="bottom"/>
            <w:tcBorders>
              <w:right w:val="single" w:sz="8" w:color="007CBA"/>
            </w:tcBorders>
            <w:shd w:val="clear" w:color="auto" w:fill="007CBA"/>
          </w:tcPr>
          <w:p>
            <w:pPr>
              <w:ind w:left="80"/>
              <w:spacing w:after="0" w:line="197" w:lineRule="exact"/>
              <w:rPr>
                <w:sz w:val="20"/>
                <w:szCs w:val="20"/>
                <w:color w:val="auto"/>
              </w:rPr>
            </w:pPr>
            <w:r>
              <w:rPr>
                <w:rFonts w:ascii="Arial" w:cs="Arial" w:eastAsia="Arial" w:hAnsi="Arial"/>
                <w:sz w:val="18"/>
                <w:szCs w:val="18"/>
                <w:i w:val="1"/>
                <w:iCs w:val="1"/>
                <w:color w:val="FFFFFF"/>
              </w:rPr>
              <w:t>December 31</w:t>
            </w:r>
          </w:p>
        </w:tc>
        <w:tc>
          <w:tcPr>
            <w:tcW w:w="540" w:type="dxa"/>
            <w:vAlign w:val="bottom"/>
            <w:shd w:val="clear" w:color="auto" w:fill="007CBA"/>
          </w:tcPr>
          <w:p>
            <w:pPr>
              <w:spacing w:after="0"/>
              <w:rPr>
                <w:sz w:val="17"/>
                <w:szCs w:val="17"/>
                <w:color w:val="auto"/>
              </w:rPr>
            </w:pPr>
          </w:p>
        </w:tc>
        <w:tc>
          <w:tcPr>
            <w:tcW w:w="3240" w:type="dxa"/>
            <w:vAlign w:val="bottom"/>
            <w:gridSpan w:val="3"/>
            <w:shd w:val="clear" w:color="auto" w:fill="007CBA"/>
          </w:tcPr>
          <w:p>
            <w:pPr>
              <w:jc w:val="right"/>
              <w:ind w:right="570"/>
              <w:spacing w:after="0" w:line="197" w:lineRule="exact"/>
              <w:rPr>
                <w:sz w:val="20"/>
                <w:szCs w:val="20"/>
                <w:color w:val="auto"/>
              </w:rPr>
            </w:pPr>
            <w:r>
              <w:rPr>
                <w:rFonts w:ascii="Arial" w:cs="Arial" w:eastAsia="Arial" w:hAnsi="Arial"/>
                <w:sz w:val="18"/>
                <w:szCs w:val="18"/>
                <w:b w:val="1"/>
                <w:bCs w:val="1"/>
                <w:color w:val="FFFFFF"/>
              </w:rPr>
              <w:t>Deferred Assets (Liabilities)</w:t>
            </w:r>
          </w:p>
        </w:tc>
      </w:tr>
      <w:tr>
        <w:trPr>
          <w:trHeight w:val="235"/>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jc w:val="right"/>
              <w:ind w:right="610"/>
              <w:spacing w:after="0"/>
              <w:rPr>
                <w:sz w:val="20"/>
                <w:szCs w:val="20"/>
                <w:color w:val="auto"/>
              </w:rPr>
            </w:pPr>
            <w:r>
              <w:rPr>
                <w:rFonts w:ascii="Arial" w:cs="Arial" w:eastAsia="Arial" w:hAnsi="Arial"/>
                <w:sz w:val="18"/>
                <w:szCs w:val="18"/>
                <w:b w:val="1"/>
                <w:bCs w:val="1"/>
                <w:color w:val="FFFFFF"/>
              </w:rPr>
              <w:t>2025</w:t>
            </w:r>
          </w:p>
        </w:tc>
        <w:tc>
          <w:tcPr>
            <w:tcW w:w="540" w:type="dxa"/>
            <w:vAlign w:val="bottom"/>
            <w:shd w:val="clear" w:color="auto" w:fill="007CBA"/>
          </w:tcPr>
          <w:p>
            <w:pPr>
              <w:spacing w:after="0"/>
              <w:rPr>
                <w:sz w:val="20"/>
                <w:szCs w:val="20"/>
                <w:color w:val="auto"/>
              </w:rPr>
            </w:pPr>
          </w:p>
        </w:tc>
        <w:tc>
          <w:tcPr>
            <w:tcW w:w="1340" w:type="dxa"/>
            <w:vAlign w:val="bottom"/>
            <w:shd w:val="clear" w:color="auto" w:fill="007CBA"/>
          </w:tcPr>
          <w:p>
            <w:pPr>
              <w:jc w:val="right"/>
              <w:ind w:right="61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Deferred tax assets related to:</w:t>
            </w:r>
          </w:p>
        </w:tc>
        <w:tc>
          <w:tcPr>
            <w:tcW w:w="540" w:type="dxa"/>
            <w:vAlign w:val="bottom"/>
          </w:tcPr>
          <w:p>
            <w:pPr>
              <w:spacing w:after="0"/>
              <w:rPr>
                <w:sz w:val="17"/>
                <w:szCs w:val="17"/>
                <w:color w:val="auto"/>
              </w:rPr>
            </w:pPr>
          </w:p>
        </w:tc>
        <w:tc>
          <w:tcPr>
            <w:tcW w:w="1360" w:type="dxa"/>
            <w:vAlign w:val="bottom"/>
            <w:tcBorders>
              <w:right w:val="single" w:sz="8" w:color="007CBA"/>
            </w:tcBorders>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460" w:type="dxa"/>
            <w:vAlign w:val="bottom"/>
            <w:tcBorders>
              <w:right w:val="single" w:sz="8" w:color="007CBA"/>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Inventories</w:t>
            </w:r>
          </w:p>
        </w:tc>
        <w:tc>
          <w:tcPr>
            <w:tcW w:w="540" w:type="dxa"/>
            <w:vAlign w:val="bottom"/>
            <w:shd w:val="clear" w:color="auto" w:fill="E5F1F8"/>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163</w:t>
            </w:r>
          </w:p>
        </w:tc>
        <w:tc>
          <w:tcPr>
            <w:tcW w:w="54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7460" w:type="dxa"/>
            <w:vAlign w:val="bottom"/>
            <w:tcBorders>
              <w:right w:val="single" w:sz="8" w:color="007CBA"/>
            </w:tcBorders>
          </w:tcPr>
          <w:p>
            <w:pPr>
              <w:ind w:left="220"/>
              <w:spacing w:after="0" w:line="202" w:lineRule="exact"/>
              <w:rPr>
                <w:sz w:val="20"/>
                <w:szCs w:val="20"/>
                <w:color w:val="auto"/>
              </w:rPr>
            </w:pPr>
            <w:r>
              <w:rPr>
                <w:rFonts w:ascii="Arial" w:cs="Arial" w:eastAsia="Arial" w:hAnsi="Arial"/>
                <w:sz w:val="18"/>
                <w:szCs w:val="18"/>
                <w:color w:val="auto"/>
              </w:rPr>
              <w:t>Valuation and other reserves</w:t>
            </w:r>
          </w:p>
        </w:tc>
        <w:tc>
          <w:tcPr>
            <w:tcW w:w="540" w:type="dxa"/>
            <w:vAlign w:val="bottom"/>
          </w:tcPr>
          <w:p>
            <w:pPr>
              <w:spacing w:after="0"/>
              <w:rPr>
                <w:sz w:val="17"/>
                <w:szCs w:val="17"/>
                <w:color w:val="auto"/>
              </w:rPr>
            </w:pP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65</w:t>
            </w:r>
          </w:p>
        </w:tc>
        <w:tc>
          <w:tcPr>
            <w:tcW w:w="54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w:t>
            </w:r>
          </w:p>
        </w:tc>
      </w:tr>
      <w:tr>
        <w:trPr>
          <w:trHeight w:val="203"/>
        </w:trPr>
        <w:tc>
          <w:tcPr>
            <w:tcW w:w="7460" w:type="dxa"/>
            <w:vAlign w:val="bottom"/>
            <w:tcBorders>
              <w:right w:val="single" w:sz="8" w:color="007CBA"/>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54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203"/>
        </w:trPr>
        <w:tc>
          <w:tcPr>
            <w:tcW w:w="7460" w:type="dxa"/>
            <w:vAlign w:val="bottom"/>
            <w:tcBorders>
              <w:right w:val="single" w:sz="8" w:color="007CBA"/>
            </w:tcBorders>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540" w:type="dxa"/>
            <w:vAlign w:val="bottom"/>
          </w:tcPr>
          <w:p>
            <w:pPr>
              <w:spacing w:after="0"/>
              <w:rPr>
                <w:sz w:val="17"/>
                <w:szCs w:val="17"/>
                <w:color w:val="auto"/>
              </w:rPr>
            </w:pP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18</w:t>
            </w:r>
          </w:p>
        </w:tc>
        <w:tc>
          <w:tcPr>
            <w:tcW w:w="54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r>
      <w:tr>
        <w:trPr>
          <w:trHeight w:val="203"/>
        </w:trPr>
        <w:tc>
          <w:tcPr>
            <w:tcW w:w="7460" w:type="dxa"/>
            <w:vAlign w:val="bottom"/>
            <w:tcBorders>
              <w:right w:val="single" w:sz="8" w:color="007CBA"/>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Lease liabilities</w:t>
            </w:r>
          </w:p>
        </w:tc>
        <w:tc>
          <w:tcPr>
            <w:tcW w:w="54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171</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147</w:t>
            </w:r>
          </w:p>
        </w:tc>
      </w:tr>
      <w:tr>
        <w:trPr>
          <w:trHeight w:val="202"/>
        </w:trPr>
        <w:tc>
          <w:tcPr>
            <w:tcW w:w="74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Other items, net</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w:t>
            </w:r>
          </w:p>
        </w:tc>
      </w:tr>
      <w:tr>
        <w:trPr>
          <w:trHeight w:val="196"/>
        </w:trPr>
        <w:tc>
          <w:tcPr>
            <w:tcW w:w="7460" w:type="dxa"/>
            <w:vAlign w:val="bottom"/>
            <w:tcBorders>
              <w:right w:val="single" w:sz="8" w:color="007CBA"/>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Gross deferred tax assets</w:t>
            </w:r>
          </w:p>
        </w:tc>
        <w:tc>
          <w:tcPr>
            <w:tcW w:w="54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422</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415</w:t>
            </w:r>
          </w:p>
        </w:tc>
      </w:tr>
      <w:tr>
        <w:trPr>
          <w:trHeight w:val="203"/>
        </w:trPr>
        <w:tc>
          <w:tcPr>
            <w:tcW w:w="74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7460" w:type="dxa"/>
            <w:vAlign w:val="bottom"/>
            <w:tcBorders>
              <w:bottom w:val="single" w:sz="8" w:color="auto"/>
              <w:right w:val="single" w:sz="8" w:color="E5F1F8"/>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Total net deferred tax assets</w:t>
            </w:r>
          </w:p>
        </w:tc>
        <w:tc>
          <w:tcPr>
            <w:tcW w:w="540" w:type="dxa"/>
            <w:vAlign w:val="bottom"/>
            <w:tcBorders>
              <w:bottom w:val="single" w:sz="8" w:color="auto"/>
            </w:tcBorders>
            <w:shd w:val="clear" w:color="auto" w:fill="E5F1F8"/>
          </w:tcPr>
          <w:p>
            <w:pPr>
              <w:spacing w:after="0"/>
              <w:rPr>
                <w:sz w:val="17"/>
                <w:szCs w:val="17"/>
                <w:color w:val="auto"/>
              </w:rPr>
            </w:pPr>
          </w:p>
        </w:tc>
        <w:tc>
          <w:tcPr>
            <w:tcW w:w="13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421</w:t>
            </w:r>
          </w:p>
        </w:tc>
        <w:tc>
          <w:tcPr>
            <w:tcW w:w="540" w:type="dxa"/>
            <w:vAlign w:val="bottom"/>
            <w:tcBorders>
              <w:bottom w:val="single" w:sz="8" w:color="auto"/>
            </w:tcBorders>
            <w:shd w:val="clear" w:color="auto" w:fill="E5F1F8"/>
          </w:tcPr>
          <w:p>
            <w:pPr>
              <w:spacing w:after="0"/>
              <w:rPr>
                <w:sz w:val="17"/>
                <w:szCs w:val="17"/>
                <w:color w:val="auto"/>
              </w:rPr>
            </w:pPr>
          </w:p>
        </w:tc>
        <w:tc>
          <w:tcPr>
            <w:tcW w:w="134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413</w:t>
            </w:r>
          </w:p>
        </w:tc>
      </w:tr>
      <w:tr>
        <w:trPr>
          <w:trHeight w:val="196"/>
        </w:trPr>
        <w:tc>
          <w:tcPr>
            <w:tcW w:w="7460" w:type="dxa"/>
            <w:vAlign w:val="bottom"/>
            <w:tcBorders>
              <w:right w:val="single" w:sz="8" w:color="007CBA"/>
            </w:tcBorders>
          </w:tcPr>
          <w:p>
            <w:pPr>
              <w:ind w:left="80"/>
              <w:spacing w:after="0" w:line="196" w:lineRule="exact"/>
              <w:rPr>
                <w:sz w:val="20"/>
                <w:szCs w:val="20"/>
                <w:color w:val="auto"/>
              </w:rPr>
            </w:pPr>
            <w:r>
              <w:rPr>
                <w:rFonts w:ascii="Arial" w:cs="Arial" w:eastAsia="Arial" w:hAnsi="Arial"/>
                <w:sz w:val="18"/>
                <w:szCs w:val="18"/>
                <w:color w:val="auto"/>
              </w:rPr>
              <w:t>Deferred tax liabilities related to:</w:t>
            </w:r>
          </w:p>
        </w:tc>
        <w:tc>
          <w:tcPr>
            <w:tcW w:w="540" w:type="dxa"/>
            <w:vAlign w:val="bottom"/>
          </w:tcPr>
          <w:p>
            <w:pPr>
              <w:spacing w:after="0"/>
              <w:rPr>
                <w:sz w:val="17"/>
                <w:szCs w:val="17"/>
                <w:color w:val="auto"/>
              </w:rPr>
            </w:pPr>
          </w:p>
        </w:tc>
        <w:tc>
          <w:tcPr>
            <w:tcW w:w="1360" w:type="dxa"/>
            <w:vAlign w:val="bottom"/>
            <w:tcBorders>
              <w:right w:val="single" w:sz="8" w:color="007CBA"/>
            </w:tcBorders>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460" w:type="dxa"/>
            <w:vAlign w:val="bottom"/>
            <w:tcBorders>
              <w:right w:val="single" w:sz="8" w:color="007CBA"/>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Property, plant and equipment</w:t>
            </w:r>
          </w:p>
        </w:tc>
        <w:tc>
          <w:tcPr>
            <w:tcW w:w="54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(1,203)</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(1,158)</w:t>
            </w:r>
          </w:p>
        </w:tc>
      </w:tr>
      <w:tr>
        <w:trPr>
          <w:trHeight w:val="203"/>
        </w:trPr>
        <w:tc>
          <w:tcPr>
            <w:tcW w:w="7460" w:type="dxa"/>
            <w:vAlign w:val="bottom"/>
            <w:tcBorders>
              <w:right w:val="single" w:sz="8" w:color="007CBA"/>
            </w:tcBorders>
          </w:tcPr>
          <w:p>
            <w:pPr>
              <w:ind w:left="220"/>
              <w:spacing w:after="0" w:line="202" w:lineRule="exact"/>
              <w:rPr>
                <w:sz w:val="20"/>
                <w:szCs w:val="20"/>
                <w:color w:val="auto"/>
              </w:rPr>
            </w:pPr>
            <w:r>
              <w:rPr>
                <w:rFonts w:ascii="Arial" w:cs="Arial" w:eastAsia="Arial" w:hAnsi="Arial"/>
                <w:sz w:val="18"/>
                <w:szCs w:val="18"/>
                <w:color w:val="auto"/>
              </w:rPr>
              <w:t>Goodwill and other intangibles</w:t>
            </w:r>
          </w:p>
        </w:tc>
        <w:tc>
          <w:tcPr>
            <w:tcW w:w="540" w:type="dxa"/>
            <w:vAlign w:val="bottom"/>
          </w:tcPr>
          <w:p>
            <w:pPr>
              <w:spacing w:after="0"/>
              <w:rPr>
                <w:sz w:val="17"/>
                <w:szCs w:val="17"/>
                <w:color w:val="auto"/>
              </w:rPr>
            </w:pPr>
          </w:p>
        </w:tc>
        <w:tc>
          <w:tcPr>
            <w:tcW w:w="13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(212)</w:t>
            </w:r>
          </w:p>
        </w:tc>
        <w:tc>
          <w:tcPr>
            <w:tcW w:w="5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r>
      <w:tr>
        <w:trPr>
          <w:trHeight w:val="203"/>
        </w:trPr>
        <w:tc>
          <w:tcPr>
            <w:tcW w:w="7460" w:type="dxa"/>
            <w:vAlign w:val="bottom"/>
            <w:tcBorders>
              <w:right w:val="single" w:sz="8" w:color="007CBA"/>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Right-of-use assets</w:t>
            </w:r>
          </w:p>
        </w:tc>
        <w:tc>
          <w:tcPr>
            <w:tcW w:w="54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(167)</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7460" w:type="dxa"/>
            <w:vAlign w:val="bottom"/>
            <w:tcBorders>
              <w:right w:val="single" w:sz="8" w:color="007CBA"/>
            </w:tcBorders>
          </w:tcPr>
          <w:p>
            <w:pPr>
              <w:ind w:left="220"/>
              <w:spacing w:after="0" w:line="202" w:lineRule="exact"/>
              <w:rPr>
                <w:sz w:val="20"/>
                <w:szCs w:val="20"/>
                <w:color w:val="auto"/>
              </w:rPr>
            </w:pPr>
            <w:r>
              <w:rPr>
                <w:rFonts w:ascii="Arial" w:cs="Arial" w:eastAsia="Arial" w:hAnsi="Arial"/>
                <w:sz w:val="18"/>
                <w:szCs w:val="18"/>
                <w:color w:val="auto"/>
              </w:rPr>
              <w:t>Partnerships and joint ventures</w:t>
            </w:r>
          </w:p>
        </w:tc>
        <w:tc>
          <w:tcPr>
            <w:tcW w:w="540" w:type="dxa"/>
            <w:vAlign w:val="bottom"/>
          </w:tcPr>
          <w:p>
            <w:pPr>
              <w:spacing w:after="0"/>
              <w:rPr>
                <w:sz w:val="17"/>
                <w:szCs w:val="17"/>
                <w:color w:val="auto"/>
              </w:rPr>
            </w:pPr>
          </w:p>
        </w:tc>
        <w:tc>
          <w:tcPr>
            <w:tcW w:w="13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5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7460" w:type="dxa"/>
            <w:vAlign w:val="bottom"/>
            <w:tcBorders>
              <w:bottom w:val="single" w:sz="8" w:color="auto"/>
              <w:right w:val="single" w:sz="8" w:color="E5F1F8"/>
            </w:tcBorders>
            <w:shd w:val="clear" w:color="auto" w:fill="E5F1F8"/>
          </w:tcPr>
          <w:p>
            <w:pPr>
              <w:ind w:left="220"/>
              <w:spacing w:after="0" w:line="202" w:lineRule="exact"/>
              <w:rPr>
                <w:sz w:val="20"/>
                <w:szCs w:val="20"/>
                <w:color w:val="auto"/>
              </w:rPr>
            </w:pPr>
            <w:r>
              <w:rPr>
                <w:rFonts w:ascii="Arial" w:cs="Arial" w:eastAsia="Arial" w:hAnsi="Arial"/>
                <w:sz w:val="18"/>
                <w:szCs w:val="18"/>
                <w:color w:val="auto"/>
              </w:rPr>
              <w:t>Employee benefits</w:t>
            </w:r>
          </w:p>
        </w:tc>
        <w:tc>
          <w:tcPr>
            <w:tcW w:w="540" w:type="dxa"/>
            <w:vAlign w:val="bottom"/>
            <w:tcBorders>
              <w:bottom w:val="single" w:sz="8" w:color="auto"/>
            </w:tcBorders>
            <w:shd w:val="clear" w:color="auto" w:fill="E5F1F8"/>
          </w:tcPr>
          <w:p>
            <w:pPr>
              <w:spacing w:after="0"/>
              <w:rPr>
                <w:sz w:val="17"/>
                <w:szCs w:val="17"/>
                <w:color w:val="auto"/>
              </w:rPr>
            </w:pPr>
          </w:p>
        </w:tc>
        <w:tc>
          <w:tcPr>
            <w:tcW w:w="136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(54)</w:t>
            </w:r>
          </w:p>
        </w:tc>
        <w:tc>
          <w:tcPr>
            <w:tcW w:w="540" w:type="dxa"/>
            <w:vAlign w:val="bottom"/>
            <w:tcBorders>
              <w:bottom w:val="single" w:sz="8" w:color="auto"/>
            </w:tcBorders>
            <w:shd w:val="clear" w:color="auto" w:fill="E5F1F8"/>
          </w:tcPr>
          <w:p>
            <w:pPr>
              <w:spacing w:after="0"/>
              <w:rPr>
                <w:sz w:val="17"/>
                <w:szCs w:val="17"/>
                <w:color w:val="auto"/>
              </w:rPr>
            </w:pPr>
          </w:p>
        </w:tc>
        <w:tc>
          <w:tcPr>
            <w:tcW w:w="134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(62)</w:t>
            </w:r>
          </w:p>
        </w:tc>
      </w:tr>
      <w:tr>
        <w:trPr>
          <w:trHeight w:val="196"/>
        </w:trPr>
        <w:tc>
          <w:tcPr>
            <w:tcW w:w="74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deferred tax liabilities</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(1,687)</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(1,582)</w:t>
            </w:r>
          </w:p>
        </w:tc>
      </w:tr>
      <w:tr>
        <w:trPr>
          <w:trHeight w:val="236"/>
        </w:trPr>
        <w:tc>
          <w:tcPr>
            <w:tcW w:w="7460" w:type="dxa"/>
            <w:vAlign w:val="bottom"/>
            <w:tcBorders>
              <w:bottom w:val="single" w:sz="8" w:color="auto"/>
              <w:right w:val="single" w:sz="8" w:color="E5F1F8"/>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Deferred income taxes, net</w:t>
            </w:r>
          </w:p>
        </w:tc>
        <w:tc>
          <w:tcPr>
            <w:tcW w:w="540" w:type="dxa"/>
            <w:vAlign w:val="bottom"/>
            <w:tcBorders>
              <w:bottom w:val="single" w:sz="8" w:color="auto"/>
            </w:tcBorders>
            <w:shd w:val="clear" w:color="auto" w:fill="E5F1F8"/>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(1,266)</w:t>
            </w:r>
          </w:p>
        </w:tc>
        <w:tc>
          <w:tcPr>
            <w:tcW w:w="54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(1,169)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-2532380</wp:posOffset>
            </wp:positionV>
            <wp:extent cx="7132320" cy="2781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27813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-1623695</wp:posOffset>
            </wp:positionV>
            <wp:extent cx="34290" cy="1625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-1623695</wp:posOffset>
            </wp:positionV>
            <wp:extent cx="34290" cy="1625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-1358265</wp:posOffset>
            </wp:positionV>
            <wp:extent cx="34290" cy="2997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-1358265</wp:posOffset>
            </wp:positionV>
            <wp:extent cx="34290" cy="2997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-440690</wp:posOffset>
            </wp:positionV>
            <wp:extent cx="34290" cy="4540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45402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-440690</wp:posOffset>
            </wp:positionV>
            <wp:extent cx="34290" cy="4540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454025"/>
                    </a:xfrm>
                    <a:prstGeom prst="rect">
                      <a:avLst/>
                    </a:prstGeom>
                    <a:noFill/>
                  </pic:spPr>
                </pic:pic>
              </a:graphicData>
            </a:graphic>
          </wp:anchor>
        </w:drawing>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had immaterial gross domestic federal net operating loss (NOL) carryforwards at both December 31, 2025 and 2024. The Company had gross domestic state NOL carryforwards of $42 million and $24 million at December 31, 2025 and 2024, respectively. The domestic federal and state carryforwards have various expiration dates through 2045. The Company also had immaterial domestic state tax credit carryforwards at December 31, 2025 and 2024, which have various expiration dates through 2045.</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to reinvest the earnings from its wholly-owned Canadian and Bahamian subsidiaries indefinitely, and accordingly, has not provided deferred taxes on the subsidiaries’ undistributed net earnings or basis differences. The Company believes that the tax liability that would be incurred upon repatriation of the foreign earnings was immaterial at December 31, 2025 and 2024.</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unrecognized tax benefits are immaterial for the years ended December 31, 2025, 2024 and 2023. Unrecognized tax benefits are reversed as a discrete event if an examination of applicable tax returns is not initiated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subject to federal, state or foreign examinations are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69215</wp:posOffset>
            </wp:positionV>
            <wp:extent cx="325755" cy="1968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J: Retirement and Other Benefit Plans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Defined Benefit Retirement Plans. </w:t>
      </w:r>
      <w:r>
        <w:rPr>
          <w:rFonts w:ascii="Arial" w:cs="Arial" w:eastAsia="Arial" w:hAnsi="Arial"/>
          <w:sz w:val="18"/>
          <w:szCs w:val="18"/>
          <w:color w:val="000000"/>
        </w:rPr>
        <w:t>The Company sponsors defined benefit retirement plans that cover substantially all employees. Defined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 rata portion of the SERP’s unrecognized actuarial loss as settlement expense.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of defined benefit plans includes the following components: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221"/>
        </w:trPr>
        <w:tc>
          <w:tcPr>
            <w:tcW w:w="64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70"/>
              <w:spacing w:after="0"/>
              <w:rPr>
                <w:sz w:val="20"/>
                <w:szCs w:val="20"/>
                <w:color w:val="auto"/>
              </w:rPr>
            </w:pPr>
            <w:r>
              <w:rPr>
                <w:rFonts w:ascii="Arial" w:cs="Arial" w:eastAsia="Arial" w:hAnsi="Arial"/>
                <w:sz w:val="18"/>
                <w:szCs w:val="18"/>
                <w:color w:val="FFFFFF"/>
              </w:rPr>
              <w:t>2023</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36</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38</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r>
      <w:tr>
        <w:trPr>
          <w:trHeight w:val="203"/>
        </w:trPr>
        <w:tc>
          <w:tcPr>
            <w:tcW w:w="64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Interest cost</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44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55</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51</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Expected return on assets</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(83)</w:t>
            </w:r>
          </w:p>
        </w:tc>
        <w:tc>
          <w:tcPr>
            <w:tcW w:w="440" w:type="dxa"/>
            <w:vAlign w:val="bottom"/>
          </w:tcPr>
          <w:p>
            <w:pPr>
              <w:spacing w:after="0"/>
              <w:rPr>
                <w:sz w:val="17"/>
                <w:szCs w:val="17"/>
                <w:color w:val="auto"/>
              </w:rPr>
            </w:pP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(79)</w:t>
            </w:r>
          </w:p>
        </w:tc>
        <w:tc>
          <w:tcPr>
            <w:tcW w:w="4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64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Amortization of:</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spacing w:after="0"/>
              <w:rPr>
                <w:sz w:val="17"/>
                <w:szCs w:val="17"/>
                <w:color w:val="auto"/>
              </w:rPr>
            </w:pPr>
          </w:p>
        </w:tc>
      </w:tr>
      <w:tr>
        <w:trPr>
          <w:trHeight w:val="203"/>
        </w:trPr>
        <w:tc>
          <w:tcPr>
            <w:tcW w:w="6400" w:type="dxa"/>
            <w:vAlign w:val="bottom"/>
            <w:tcBorders>
              <w:right w:val="single" w:sz="8" w:color="007CBA"/>
            </w:tcBorders>
          </w:tcPr>
          <w:p>
            <w:pPr>
              <w:ind w:left="180"/>
              <w:spacing w:after="0" w:line="202" w:lineRule="exact"/>
              <w:rPr>
                <w:sz w:val="20"/>
                <w:szCs w:val="20"/>
                <w:color w:val="auto"/>
              </w:rPr>
            </w:pPr>
            <w:r>
              <w:rPr>
                <w:rFonts w:ascii="Arial" w:cs="Arial" w:eastAsia="Arial" w:hAnsi="Arial"/>
                <w:sz w:val="18"/>
                <w:szCs w:val="18"/>
                <w:color w:val="auto"/>
              </w:rPr>
              <w:t>Prior service cost</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440" w:type="dxa"/>
            <w:vAlign w:val="bottom"/>
          </w:tcPr>
          <w:p>
            <w:pPr>
              <w:spacing w:after="0"/>
              <w:rPr>
                <w:sz w:val="17"/>
                <w:szCs w:val="17"/>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44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03"/>
        </w:trPr>
        <w:tc>
          <w:tcPr>
            <w:tcW w:w="640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203"/>
        </w:trPr>
        <w:tc>
          <w:tcPr>
            <w:tcW w:w="640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Settlement charge</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640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Net periodic benefit cost</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24</w:t>
            </w:r>
          </w:p>
        </w:tc>
        <w:tc>
          <w:tcPr>
            <w:tcW w:w="44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22</w:t>
            </w:r>
          </w:p>
        </w:tc>
        <w:tc>
          <w:tcPr>
            <w:tcW w:w="44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-303530</wp:posOffset>
            </wp:positionV>
            <wp:extent cx="33655" cy="3168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-303530</wp:posOffset>
            </wp:positionV>
            <wp:extent cx="34290" cy="3168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components of net periodic benefit cost, other than service cost, are included in the line item </w:t>
      </w:r>
      <w:r>
        <w:rPr>
          <w:rFonts w:ascii="Arial" w:cs="Arial" w:eastAsia="Arial" w:hAnsi="Arial"/>
          <w:sz w:val="18"/>
          <w:szCs w:val="18"/>
          <w:i w:val="1"/>
          <w:iCs w:val="1"/>
          <w:color w:val="auto"/>
        </w:rPr>
        <w:t>Other nonoperating income, net</w:t>
      </w:r>
      <w:r>
        <w:rPr>
          <w:rFonts w:ascii="Arial" w:cs="Arial" w:eastAsia="Arial" w:hAnsi="Arial"/>
          <w:sz w:val="18"/>
          <w:szCs w:val="18"/>
          <w:color w:val="auto"/>
        </w:rPr>
        <w:t xml:space="preserve">, in the consolidated statements of earnings. Based on the roles of the employees, service cost is included in </w:t>
      </w:r>
      <w:r>
        <w:rPr>
          <w:rFonts w:ascii="Arial" w:cs="Arial" w:eastAsia="Arial" w:hAnsi="Arial"/>
          <w:sz w:val="18"/>
          <w:szCs w:val="18"/>
          <w:i w:val="1"/>
          <w:iCs w:val="1"/>
          <w:color w:val="auto"/>
        </w:rPr>
        <w:t>Cost of revenues</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expenses </w:t>
      </w:r>
      <w:r>
        <w:rPr>
          <w:rFonts w:ascii="Arial" w:cs="Arial" w:eastAsia="Arial" w:hAnsi="Arial"/>
          <w:sz w:val="18"/>
          <w:szCs w:val="18"/>
          <w:color w:val="auto"/>
        </w:rPr>
        <w:t>line items in the consolidated statements of earnings.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expected return on assets is calculated by applying an annually selected expected long-term rate of return assumption to the estimated fair value of the plan assets during the year, giving consideration to contributions and benefits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pretax amounts in consolidated comprehensive earnings: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21"/>
        </w:trPr>
        <w:tc>
          <w:tcPr>
            <w:tcW w:w="63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Actuarial (gain) loss</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(83)</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(44)</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w:t>
            </w:r>
          </w:p>
        </w:tc>
      </w:tr>
      <w:tr>
        <w:trPr>
          <w:trHeight w:val="203"/>
        </w:trPr>
        <w:tc>
          <w:tcPr>
            <w:tcW w:w="63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Amortization of:</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spacing w:after="0"/>
              <w:rPr>
                <w:sz w:val="17"/>
                <w:szCs w:val="17"/>
                <w:color w:val="auto"/>
              </w:rPr>
            </w:pPr>
          </w:p>
        </w:tc>
      </w:tr>
      <w:tr>
        <w:trPr>
          <w:trHeight w:val="203"/>
        </w:trPr>
        <w:tc>
          <w:tcPr>
            <w:tcW w:w="6380" w:type="dxa"/>
            <w:vAlign w:val="bottom"/>
            <w:tcBorders>
              <w:right w:val="single" w:sz="8" w:color="007CBA"/>
            </w:tcBorders>
          </w:tcPr>
          <w:p>
            <w:pPr>
              <w:ind w:left="180"/>
              <w:spacing w:after="0" w:line="202" w:lineRule="exact"/>
              <w:rPr>
                <w:sz w:val="20"/>
                <w:szCs w:val="20"/>
                <w:color w:val="auto"/>
              </w:rPr>
            </w:pPr>
            <w:r>
              <w:rPr>
                <w:rFonts w:ascii="Arial" w:cs="Arial" w:eastAsia="Arial" w:hAnsi="Arial"/>
                <w:sz w:val="18"/>
                <w:szCs w:val="18"/>
                <w:color w:val="auto"/>
              </w:rPr>
              <w:t>Prior service cost</w:t>
            </w:r>
          </w:p>
        </w:tc>
        <w:tc>
          <w:tcPr>
            <w:tcW w:w="460" w:type="dxa"/>
            <w:vAlign w:val="bottom"/>
          </w:tcPr>
          <w:p>
            <w:pPr>
              <w:spacing w:after="0"/>
              <w:rPr>
                <w:sz w:val="17"/>
                <w:szCs w:val="17"/>
                <w:color w:val="auto"/>
              </w:rPr>
            </w:pP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460" w:type="dxa"/>
            <w:vAlign w:val="bottom"/>
          </w:tcPr>
          <w:p>
            <w:pPr>
              <w:spacing w:after="0"/>
              <w:rPr>
                <w:sz w:val="17"/>
                <w:szCs w:val="17"/>
                <w:color w:val="auto"/>
              </w:rPr>
            </w:pP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color w:val="auto"/>
              </w:rPr>
              <w:t>(6)</w:t>
            </w:r>
          </w:p>
        </w:tc>
        <w:tc>
          <w:tcPr>
            <w:tcW w:w="4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63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Settlement charge</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63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b w:val="1"/>
                <w:bCs w:val="1"/>
                <w:color w:val="auto"/>
              </w:rPr>
              <w:t>(96)</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Arial" w:cs="Arial" w:eastAsia="Arial" w:hAnsi="Arial"/>
                <w:sz w:val="18"/>
                <w:szCs w:val="18"/>
                <w:color w:val="auto"/>
              </w:rPr>
              <w:t>(52)</w:t>
            </w:r>
          </w:p>
        </w:tc>
        <w:tc>
          <w:tcPr>
            <w:tcW w:w="46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-303530</wp:posOffset>
            </wp:positionV>
            <wp:extent cx="34290" cy="3168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-303530</wp:posOffset>
            </wp:positionV>
            <wp:extent cx="33655" cy="3168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-303530</wp:posOffset>
            </wp:positionV>
            <wp:extent cx="33655" cy="3168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Accumulated other comprehensive (earnings) loss includes the following amounts that have not yet been recognized in net periodic benefit cost: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c>
          <w:tcPr>
            <w:tcW w:w="380" w:type="dxa"/>
            <w:vAlign w:val="bottom"/>
            <w:shd w:val="clear" w:color="auto" w:fill="007CBA"/>
          </w:tcPr>
          <w:p>
            <w:pPr>
              <w:spacing w:after="0"/>
              <w:rPr>
                <w:sz w:val="18"/>
                <w:szCs w:val="18"/>
                <w:color w:val="auto"/>
              </w:rPr>
            </w:pPr>
          </w:p>
        </w:tc>
        <w:tc>
          <w:tcPr>
            <w:tcW w:w="1360" w:type="dxa"/>
            <w:vAlign w:val="bottom"/>
            <w:gridSpan w:val="2"/>
            <w:shd w:val="clear" w:color="auto" w:fill="007CBA"/>
          </w:tcPr>
          <w:p>
            <w:pPr>
              <w:jc w:val="right"/>
              <w:spacing w:after="0"/>
              <w:rPr>
                <w:sz w:val="20"/>
                <w:szCs w:val="20"/>
                <w:color w:val="auto"/>
              </w:rPr>
            </w:pPr>
            <w:r>
              <w:rPr>
                <w:rFonts w:ascii="Arial" w:cs="Arial" w:eastAsia="Arial" w:hAnsi="Arial"/>
                <w:sz w:val="18"/>
                <w:szCs w:val="18"/>
                <w:b w:val="1"/>
                <w:bCs w:val="1"/>
                <w:color w:val="FFFFFF"/>
              </w:rPr>
              <w:t>2025</w:t>
            </w:r>
          </w:p>
        </w:tc>
        <w:tc>
          <w:tcPr>
            <w:tcW w:w="1140" w:type="dxa"/>
            <w:vAlign w:val="bottom"/>
            <w:tcBorders>
              <w:right w:val="single" w:sz="8" w:color="007CBA"/>
            </w:tcBorders>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c>
          <w:tcPr>
            <w:tcW w:w="66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2024</w:t>
            </w:r>
          </w:p>
        </w:tc>
        <w:tc>
          <w:tcPr>
            <w:tcW w:w="1100" w:type="dxa"/>
            <w:vAlign w:val="bottom"/>
            <w:shd w:val="clear" w:color="auto" w:fill="007CBA"/>
          </w:tcPr>
          <w:p>
            <w:pPr>
              <w:spacing w:after="0"/>
              <w:rPr>
                <w:sz w:val="18"/>
                <w:szCs w:val="18"/>
                <w:color w:val="auto"/>
              </w:rPr>
            </w:pPr>
          </w:p>
        </w:tc>
      </w:tr>
      <w:tr>
        <w:trPr>
          <w:trHeight w:val="221"/>
        </w:trPr>
        <w:tc>
          <w:tcPr>
            <w:tcW w:w="5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37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right"/>
              <w:ind w:right="190"/>
              <w:spacing w:after="0"/>
              <w:rPr>
                <w:sz w:val="20"/>
                <w:szCs w:val="20"/>
                <w:color w:val="auto"/>
              </w:rPr>
            </w:pPr>
            <w:r>
              <w:rPr>
                <w:rFonts w:ascii="Arial" w:cs="Arial" w:eastAsia="Arial" w:hAnsi="Arial"/>
                <w:sz w:val="18"/>
                <w:szCs w:val="18"/>
                <w:b w:val="1"/>
                <w:bCs w:val="1"/>
                <w:color w:val="FFFFFF"/>
              </w:rPr>
              <w:t>Net of tax</w:t>
            </w:r>
          </w:p>
        </w:tc>
        <w:tc>
          <w:tcPr>
            <w:tcW w:w="102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Gross</w:t>
            </w:r>
          </w:p>
        </w:tc>
        <w:tc>
          <w:tcPr>
            <w:tcW w:w="3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100" w:type="dxa"/>
            <w:vAlign w:val="bottom"/>
            <w:shd w:val="clear" w:color="auto" w:fill="007CBA"/>
          </w:tcPr>
          <w:p>
            <w:pPr>
              <w:jc w:val="right"/>
              <w:ind w:right="190"/>
              <w:spacing w:after="0"/>
              <w:rPr>
                <w:sz w:val="20"/>
                <w:szCs w:val="20"/>
                <w:color w:val="auto"/>
              </w:rPr>
            </w:pPr>
            <w:r>
              <w:rPr>
                <w:rFonts w:ascii="Arial" w:cs="Arial" w:eastAsia="Arial" w:hAnsi="Arial"/>
                <w:sz w:val="18"/>
                <w:szCs w:val="18"/>
                <w:color w:val="FFFFFF"/>
              </w:rPr>
              <w:t>Net of tax</w:t>
            </w:r>
          </w:p>
        </w:tc>
      </w:tr>
      <w:tr>
        <w:trPr>
          <w:trHeight w:val="203"/>
        </w:trPr>
        <w:tc>
          <w:tcPr>
            <w:tcW w:w="55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Prior service cost</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31</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007CBA"/>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44</w:t>
            </w:r>
          </w:p>
        </w:tc>
        <w:tc>
          <w:tcPr>
            <w:tcW w:w="102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203"/>
        </w:trPr>
        <w:tc>
          <w:tcPr>
            <w:tcW w:w="558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Actuarial (gain) loss</w:t>
            </w:r>
          </w:p>
        </w:tc>
        <w:tc>
          <w:tcPr>
            <w:tcW w:w="380" w:type="dxa"/>
            <w:vAlign w:val="bottom"/>
            <w:tcBorders>
              <w:bottom w:val="single" w:sz="8" w:color="auto"/>
            </w:tcBorders>
            <w:shd w:val="clear" w:color="auto" w:fill="E5F1F8"/>
          </w:tcPr>
          <w:p>
            <w:pPr>
              <w:spacing w:after="0"/>
              <w:rPr>
                <w:sz w:val="17"/>
                <w:szCs w:val="17"/>
                <w:color w:val="auto"/>
              </w:rPr>
            </w:pPr>
          </w:p>
        </w:tc>
        <w:tc>
          <w:tcPr>
            <w:tcW w:w="10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(72)</w:t>
            </w:r>
          </w:p>
        </w:tc>
        <w:tc>
          <w:tcPr>
            <w:tcW w:w="280" w:type="dxa"/>
            <w:vAlign w:val="bottom"/>
            <w:tcBorders>
              <w:bottom w:val="single" w:sz="8" w:color="auto"/>
            </w:tcBorders>
            <w:shd w:val="clear" w:color="auto" w:fill="E5F1F8"/>
          </w:tcPr>
          <w:p>
            <w:pPr>
              <w:spacing w:after="0"/>
              <w:rPr>
                <w:sz w:val="17"/>
                <w:szCs w:val="17"/>
                <w:color w:val="auto"/>
              </w:rPr>
            </w:pPr>
          </w:p>
        </w:tc>
        <w:tc>
          <w:tcPr>
            <w:tcW w:w="114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1020" w:type="dxa"/>
            <w:vAlign w:val="bottom"/>
            <w:tcBorders>
              <w:bottom w:val="single" w:sz="8" w:color="auto"/>
            </w:tcBorders>
            <w:shd w:val="clear" w:color="auto" w:fill="E5F1F8"/>
          </w:tcPr>
          <w:p>
            <w:pPr>
              <w:spacing w:after="0"/>
              <w:rPr>
                <w:sz w:val="17"/>
                <w:szCs w:val="17"/>
                <w:color w:val="auto"/>
              </w:rPr>
            </w:pPr>
          </w:p>
        </w:tc>
        <w:tc>
          <w:tcPr>
            <w:tcW w:w="3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196"/>
        </w:trPr>
        <w:tc>
          <w:tcPr>
            <w:tcW w:w="55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w:t>
            </w:r>
          </w:p>
        </w:tc>
        <w:tc>
          <w:tcPr>
            <w:tcW w:w="10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54</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188595</wp:posOffset>
            </wp:positionV>
            <wp:extent cx="325755" cy="1968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-556895</wp:posOffset>
            </wp:positionV>
            <wp:extent cx="34886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-303530</wp:posOffset>
            </wp:positionV>
            <wp:extent cx="33655" cy="3168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-303530</wp:posOffset>
            </wp:positionV>
            <wp:extent cx="34290" cy="3168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-303530</wp:posOffset>
            </wp:positionV>
            <wp:extent cx="33655" cy="3168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-303530</wp:posOffset>
            </wp:positionV>
            <wp:extent cx="33655" cy="3168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5"/>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89"/>
        </w:trPr>
        <w:tc>
          <w:tcPr>
            <w:tcW w:w="6560" w:type="dxa"/>
            <w:vAlign w:val="bottom"/>
          </w:tcPr>
          <w:p>
            <w:pPr>
              <w:spacing w:after="0"/>
              <w:rPr>
                <w:sz w:val="20"/>
                <w:szCs w:val="20"/>
                <w:color w:val="auto"/>
              </w:rPr>
            </w:pPr>
            <w:r>
              <w:rPr>
                <w:rFonts w:ascii="Arial" w:cs="Arial" w:eastAsia="Arial" w:hAnsi="Arial"/>
                <w:sz w:val="18"/>
                <w:szCs w:val="18"/>
                <w:color w:val="auto"/>
              </w:rPr>
              <w:t>The defined benefit plans’ change in projected benefit obligation is as follows: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
        </w:trPr>
        <w:tc>
          <w:tcPr>
            <w:tcW w:w="6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94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340" w:type="dxa"/>
            <w:vAlign w:val="bottom"/>
            <w:tcBorders>
              <w:right w:val="single" w:sz="8" w:color="007CBA"/>
            </w:tcBorders>
            <w:shd w:val="clear" w:color="auto" w:fill="007CBA"/>
          </w:tcPr>
          <w:p>
            <w:pPr>
              <w:spacing w:after="0"/>
              <w:rPr>
                <w:sz w:val="15"/>
                <w:szCs w:val="15"/>
                <w:color w:val="auto"/>
              </w:rPr>
            </w:pPr>
          </w:p>
        </w:tc>
        <w:tc>
          <w:tcPr>
            <w:tcW w:w="540" w:type="dxa"/>
            <w:vAlign w:val="bottom"/>
            <w:shd w:val="clear" w:color="auto" w:fill="007CBA"/>
          </w:tcPr>
          <w:p>
            <w:pPr>
              <w:spacing w:after="0"/>
              <w:rPr>
                <w:sz w:val="15"/>
                <w:szCs w:val="15"/>
                <w:color w:val="auto"/>
              </w:rPr>
            </w:pPr>
          </w:p>
        </w:tc>
        <w:tc>
          <w:tcPr>
            <w:tcW w:w="1340" w:type="dxa"/>
            <w:vAlign w:val="bottom"/>
            <w:shd w:val="clear" w:color="auto" w:fill="007CBA"/>
          </w:tcPr>
          <w:p>
            <w:pPr>
              <w:spacing w:after="0"/>
              <w:rPr>
                <w:sz w:val="15"/>
                <w:szCs w:val="15"/>
                <w:color w:val="auto"/>
              </w:rPr>
            </w:pPr>
          </w:p>
        </w:tc>
      </w:tr>
      <w:tr>
        <w:trPr>
          <w:trHeight w:val="221"/>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94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right"/>
              <w:ind w:right="610"/>
              <w:spacing w:after="0"/>
              <w:rPr>
                <w:sz w:val="20"/>
                <w:szCs w:val="20"/>
                <w:color w:val="auto"/>
              </w:rPr>
            </w:pPr>
            <w:r>
              <w:rPr>
                <w:rFonts w:ascii="Arial" w:cs="Arial" w:eastAsia="Arial" w:hAnsi="Arial"/>
                <w:sz w:val="18"/>
                <w:szCs w:val="18"/>
                <w:b w:val="1"/>
                <w:bCs w:val="1"/>
                <w:color w:val="FFFFFF"/>
              </w:rPr>
              <w:t>2025</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10"/>
              <w:spacing w:after="0"/>
              <w:rPr>
                <w:sz w:val="20"/>
                <w:szCs w:val="20"/>
                <w:color w:val="auto"/>
              </w:rPr>
            </w:pPr>
            <w:r>
              <w:rPr>
                <w:rFonts w:ascii="Arial" w:cs="Arial" w:eastAsia="Arial" w:hAnsi="Arial"/>
                <w:sz w:val="18"/>
                <w:szCs w:val="18"/>
                <w:color w:val="FFFFFF"/>
              </w:rPr>
              <w:t>2024</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Net projected benefit obligation at beginning of year</w:t>
            </w:r>
          </w:p>
        </w:tc>
        <w:tc>
          <w:tcPr>
            <w:tcW w:w="940" w:type="dxa"/>
            <w:vAlign w:val="bottom"/>
            <w:tcBorders>
              <w:right w:val="single" w:sz="8" w:color="007CBA"/>
            </w:tcBorders>
          </w:tcPr>
          <w:p>
            <w:pPr>
              <w:spacing w:after="0"/>
              <w:rPr>
                <w:sz w:val="17"/>
                <w:szCs w:val="17"/>
                <w:color w:val="auto"/>
              </w:rPr>
            </w:pP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967</w:t>
            </w: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970</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Service cost</w:t>
            </w:r>
          </w:p>
        </w:tc>
        <w:tc>
          <w:tcPr>
            <w:tcW w:w="940" w:type="dxa"/>
            <w:vAlign w:val="bottom"/>
            <w:tcBorders>
              <w:right w:val="single" w:sz="8" w:color="007CBA"/>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36</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38</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Interest cost</w:t>
            </w:r>
          </w:p>
        </w:tc>
        <w:tc>
          <w:tcPr>
            <w:tcW w:w="94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54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Actuarial loss (gain)</w:t>
            </w:r>
          </w:p>
        </w:tc>
        <w:tc>
          <w:tcPr>
            <w:tcW w:w="940" w:type="dxa"/>
            <w:vAlign w:val="bottom"/>
            <w:tcBorders>
              <w:right w:val="single" w:sz="8" w:color="007CBA"/>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c>
          <w:tcPr>
            <w:tcW w:w="540" w:type="dxa"/>
            <w:vAlign w:val="bottom"/>
            <w:shd w:val="clear" w:color="auto" w:fill="E5F1F8"/>
          </w:tcPr>
          <w:p>
            <w:pPr>
              <w:spacing w:after="0"/>
              <w:rPr>
                <w:sz w:val="17"/>
                <w:szCs w:val="17"/>
                <w:color w:val="auto"/>
              </w:rPr>
            </w:pPr>
          </w:p>
        </w:tc>
        <w:tc>
          <w:tcPr>
            <w:tcW w:w="134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65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Gross benefits paid</w:t>
            </w:r>
          </w:p>
        </w:tc>
        <w:tc>
          <w:tcPr>
            <w:tcW w:w="940" w:type="dxa"/>
            <w:vAlign w:val="bottom"/>
            <w:tcBorders>
              <w:bottom w:val="single" w:sz="8" w:color="auto"/>
              <w:right w:val="single" w:sz="8" w:color="007CBA"/>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36"/>
        </w:trPr>
        <w:tc>
          <w:tcPr>
            <w:tcW w:w="6560" w:type="dxa"/>
            <w:vAlign w:val="bottom"/>
            <w:tcBorders>
              <w:bottom w:val="single" w:sz="8" w:color="auto"/>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Net projected benefit obligation at end of year</w:t>
            </w:r>
          </w:p>
        </w:tc>
        <w:tc>
          <w:tcPr>
            <w:tcW w:w="1460" w:type="dxa"/>
            <w:vAlign w:val="bottom"/>
            <w:tcBorders>
              <w:bottom w:val="single" w:sz="8" w:color="auto"/>
            </w:tcBorders>
            <w:gridSpan w:val="2"/>
            <w:shd w:val="clear" w:color="auto" w:fill="E5F1F8"/>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1,008</w:t>
            </w:r>
          </w:p>
        </w:tc>
        <w:tc>
          <w:tcPr>
            <w:tcW w:w="54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-174625</wp:posOffset>
            </wp:positionV>
            <wp:extent cx="33655" cy="1879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-174625</wp:posOffset>
            </wp:positionV>
            <wp:extent cx="34290" cy="1879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18796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largest component of the actuarial gain in 2024 was the impact of the higher discount rate compared with 2023.</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change in plan assets, funded status and amounts recognized on the Company’s consolidated balance sheets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Borders>
              <w:right w:val="single" w:sz="8" w:color="007CBA"/>
            </w:tcBorders>
            <w:gridSpan w:val="2"/>
            <w:shd w:val="clear" w:color="auto" w:fill="007CBA"/>
          </w:tcPr>
          <w:p>
            <w:pPr>
              <w:ind w:left="8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7"/>
                <w:szCs w:val="17"/>
                <w:color w:val="auto"/>
              </w:rPr>
            </w:pPr>
          </w:p>
        </w:tc>
        <w:tc>
          <w:tcPr>
            <w:tcW w:w="1360" w:type="dxa"/>
            <w:vAlign w:val="bottom"/>
            <w:tcBorders>
              <w:right w:val="single" w:sz="8" w:color="007CBA"/>
            </w:tcBorders>
            <w:shd w:val="clear" w:color="auto" w:fill="007CBA"/>
          </w:tcPr>
          <w:p>
            <w:pPr>
              <w:spacing w:after="0"/>
              <w:rPr>
                <w:sz w:val="17"/>
                <w:szCs w:val="17"/>
                <w:color w:val="auto"/>
              </w:rPr>
            </w:pPr>
          </w:p>
        </w:tc>
        <w:tc>
          <w:tcPr>
            <w:tcW w:w="520" w:type="dxa"/>
            <w:vAlign w:val="bottom"/>
            <w:shd w:val="clear" w:color="auto" w:fill="007CBA"/>
          </w:tcPr>
          <w:p>
            <w:pPr>
              <w:spacing w:after="0"/>
              <w:rPr>
                <w:sz w:val="17"/>
                <w:szCs w:val="17"/>
                <w:color w:val="auto"/>
              </w:rPr>
            </w:pPr>
          </w:p>
        </w:tc>
        <w:tc>
          <w:tcPr>
            <w:tcW w:w="1340" w:type="dxa"/>
            <w:vAlign w:val="bottom"/>
            <w:shd w:val="clear" w:color="auto" w:fill="007CBA"/>
          </w:tcPr>
          <w:p>
            <w:pPr>
              <w:spacing w:after="0"/>
              <w:rPr>
                <w:sz w:val="17"/>
                <w:szCs w:val="17"/>
                <w:color w:val="auto"/>
              </w:rPr>
            </w:pPr>
          </w:p>
        </w:tc>
      </w:tr>
      <w:tr>
        <w:trPr>
          <w:trHeight w:val="221"/>
        </w:trPr>
        <w:tc>
          <w:tcPr>
            <w:tcW w:w="7500" w:type="dxa"/>
            <w:vAlign w:val="bottom"/>
            <w:tcBorders>
              <w:right w:val="single" w:sz="8" w:color="007CBA"/>
            </w:tcBorders>
            <w:gridSpan w:val="2"/>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2025</w:t>
            </w:r>
          </w:p>
        </w:tc>
        <w:tc>
          <w:tcPr>
            <w:tcW w:w="52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10"/>
              <w:spacing w:after="0"/>
              <w:rPr>
                <w:sz w:val="20"/>
                <w:szCs w:val="20"/>
                <w:color w:val="auto"/>
              </w:rPr>
            </w:pPr>
            <w:r>
              <w:rPr>
                <w:rFonts w:ascii="Arial" w:cs="Arial" w:eastAsia="Arial" w:hAnsi="Arial"/>
                <w:sz w:val="18"/>
                <w:szCs w:val="18"/>
                <w:color w:val="FFFFFF"/>
              </w:rPr>
              <w:t>2024</w:t>
            </w:r>
          </w:p>
        </w:tc>
      </w:tr>
      <w:tr>
        <w:trPr>
          <w:trHeight w:val="203"/>
        </w:trPr>
        <w:tc>
          <w:tcPr>
            <w:tcW w:w="7500" w:type="dxa"/>
            <w:vAlign w:val="bottom"/>
            <w:tcBorders>
              <w:right w:val="single" w:sz="8" w:color="007CBA"/>
            </w:tcBorders>
            <w:gridSpan w:val="2"/>
            <w:shd w:val="clear" w:color="auto" w:fill="E5F1F8"/>
          </w:tcPr>
          <w:p>
            <w:pPr>
              <w:ind w:left="8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52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1,238</w:t>
            </w:r>
          </w:p>
        </w:tc>
        <w:tc>
          <w:tcPr>
            <w:tcW w:w="52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1,177</w:t>
            </w:r>
          </w:p>
        </w:tc>
      </w:tr>
      <w:tr>
        <w:trPr>
          <w:trHeight w:val="203"/>
        </w:trPr>
        <w:tc>
          <w:tcPr>
            <w:tcW w:w="7500" w:type="dxa"/>
            <w:vAlign w:val="bottom"/>
            <w:tcBorders>
              <w:right w:val="single" w:sz="8" w:color="007CBA"/>
            </w:tcBorders>
            <w:gridSpan w:val="2"/>
          </w:tcPr>
          <w:p>
            <w:pPr>
              <w:ind w:left="80"/>
              <w:spacing w:after="0" w:line="202" w:lineRule="exact"/>
              <w:rPr>
                <w:sz w:val="20"/>
                <w:szCs w:val="20"/>
                <w:color w:val="auto"/>
              </w:rPr>
            </w:pPr>
            <w:r>
              <w:rPr>
                <w:rFonts w:ascii="Arial" w:cs="Arial" w:eastAsia="Arial" w:hAnsi="Arial"/>
                <w:sz w:val="18"/>
                <w:szCs w:val="18"/>
                <w:color w:val="auto"/>
              </w:rPr>
              <w:t>Actual return on plan assets, net</w:t>
            </w:r>
          </w:p>
        </w:tc>
        <w:tc>
          <w:tcPr>
            <w:tcW w:w="520" w:type="dxa"/>
            <w:vAlign w:val="bottom"/>
          </w:tcPr>
          <w:p>
            <w:pPr>
              <w:spacing w:after="0"/>
              <w:rPr>
                <w:sz w:val="17"/>
                <w:szCs w:val="17"/>
                <w:color w:val="auto"/>
              </w:rPr>
            </w:pPr>
          </w:p>
        </w:tc>
        <w:tc>
          <w:tcPr>
            <w:tcW w:w="13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172</w:t>
            </w:r>
          </w:p>
        </w:tc>
        <w:tc>
          <w:tcPr>
            <w:tcW w:w="52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w:t>
            </w:r>
          </w:p>
        </w:tc>
      </w:tr>
      <w:tr>
        <w:trPr>
          <w:trHeight w:val="203"/>
        </w:trPr>
        <w:tc>
          <w:tcPr>
            <w:tcW w:w="7500" w:type="dxa"/>
            <w:vAlign w:val="bottom"/>
            <w:tcBorders>
              <w:right w:val="single" w:sz="8" w:color="007CBA"/>
            </w:tcBorders>
            <w:gridSpan w:val="2"/>
            <w:shd w:val="clear" w:color="auto" w:fill="E5F1F8"/>
          </w:tcPr>
          <w:p>
            <w:pPr>
              <w:ind w:left="80"/>
              <w:spacing w:after="0" w:line="202" w:lineRule="exact"/>
              <w:rPr>
                <w:sz w:val="20"/>
                <w:szCs w:val="20"/>
                <w:color w:val="auto"/>
              </w:rPr>
            </w:pPr>
            <w:r>
              <w:rPr>
                <w:rFonts w:ascii="Arial" w:cs="Arial" w:eastAsia="Arial" w:hAnsi="Arial"/>
                <w:sz w:val="18"/>
                <w:szCs w:val="18"/>
                <w:color w:val="auto"/>
              </w:rPr>
              <w:t>Employer contributions</w:t>
            </w:r>
          </w:p>
        </w:tc>
        <w:tc>
          <w:tcPr>
            <w:tcW w:w="52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42</w:t>
            </w:r>
          </w:p>
        </w:tc>
        <w:tc>
          <w:tcPr>
            <w:tcW w:w="520" w:type="dxa"/>
            <w:vAlign w:val="bottom"/>
            <w:shd w:val="clear" w:color="auto" w:fill="E5F1F8"/>
          </w:tcPr>
          <w:p>
            <w:pPr>
              <w:spacing w:after="0"/>
              <w:rPr>
                <w:sz w:val="17"/>
                <w:szCs w:val="17"/>
                <w:color w:val="auto"/>
              </w:rPr>
            </w:pP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2"/>
        </w:trPr>
        <w:tc>
          <w:tcPr>
            <w:tcW w:w="7500" w:type="dxa"/>
            <w:vAlign w:val="bottom"/>
            <w:tcBorders>
              <w:bottom w:val="single" w:sz="8" w:color="auto"/>
              <w:right w:val="single" w:sz="8" w:color="007CBA"/>
            </w:tcBorders>
            <w:gridSpan w:val="2"/>
          </w:tcPr>
          <w:p>
            <w:pPr>
              <w:ind w:left="80"/>
              <w:spacing w:after="0" w:line="202" w:lineRule="exact"/>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36"/>
        </w:trPr>
        <w:tc>
          <w:tcPr>
            <w:tcW w:w="7500" w:type="dxa"/>
            <w:vAlign w:val="bottom"/>
            <w:tcBorders>
              <w:bottom w:val="single" w:sz="8" w:color="auto"/>
              <w:right w:val="single" w:sz="8" w:color="E5F1F8"/>
            </w:tcBorders>
            <w:gridSpan w:val="2"/>
            <w:shd w:val="clear" w:color="auto" w:fill="E5F1F8"/>
          </w:tcPr>
          <w:p>
            <w:pPr>
              <w:ind w:left="80"/>
              <w:spacing w:after="0" w:line="196" w:lineRule="exact"/>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1,392</w:t>
            </w:r>
          </w:p>
        </w:tc>
        <w:tc>
          <w:tcPr>
            <w:tcW w:w="52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1,238</w:t>
            </w:r>
          </w:p>
        </w:tc>
      </w:tr>
      <w:tr>
        <w:trPr>
          <w:trHeight w:val="197"/>
        </w:trPr>
        <w:tc>
          <w:tcPr>
            <w:tcW w:w="7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4"/>
        </w:trPr>
        <w:tc>
          <w:tcPr>
            <w:tcW w:w="7460" w:type="dxa"/>
            <w:vAlign w:val="bottom"/>
            <w:tcBorders>
              <w:right w:val="single" w:sz="8" w:color="007CBA"/>
            </w:tcBorders>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36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340" w:type="dxa"/>
            <w:vAlign w:val="bottom"/>
            <w:shd w:val="clear" w:color="auto" w:fill="007CBA"/>
          </w:tcPr>
          <w:p>
            <w:pPr>
              <w:spacing w:after="0"/>
              <w:rPr>
                <w:sz w:val="15"/>
                <w:szCs w:val="15"/>
                <w:color w:val="auto"/>
              </w:rPr>
            </w:pPr>
          </w:p>
        </w:tc>
      </w:tr>
      <w:tr>
        <w:trPr>
          <w:trHeight w:val="221"/>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4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2025</w:t>
            </w:r>
          </w:p>
        </w:tc>
        <w:tc>
          <w:tcPr>
            <w:tcW w:w="52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59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Funded status of the plan at end of year</w:t>
            </w:r>
          </w:p>
        </w:tc>
        <w:tc>
          <w:tcPr>
            <w:tcW w:w="40" w:type="dxa"/>
            <w:vAlign w:val="bottom"/>
          </w:tcPr>
          <w:p>
            <w:pPr>
              <w:spacing w:after="0"/>
              <w:rPr>
                <w:sz w:val="17"/>
                <w:szCs w:val="17"/>
                <w:color w:val="auto"/>
              </w:rPr>
            </w:pP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384</w:t>
            </w:r>
          </w:p>
        </w:tc>
        <w:tc>
          <w:tcPr>
            <w:tcW w:w="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7500" w:type="dxa"/>
            <w:vAlign w:val="bottom"/>
            <w:tcBorders>
              <w:bottom w:val="single" w:sz="8" w:color="auto"/>
              <w:right w:val="single" w:sz="8" w:color="E5F1F8"/>
            </w:tcBorders>
            <w:gridSpan w:val="2"/>
            <w:shd w:val="clear" w:color="auto" w:fill="E5F1F8"/>
          </w:tcPr>
          <w:p>
            <w:pPr>
              <w:ind w:left="80"/>
              <w:spacing w:after="0" w:line="202" w:lineRule="exact"/>
              <w:rPr>
                <w:sz w:val="20"/>
                <w:szCs w:val="20"/>
                <w:color w:val="auto"/>
              </w:rPr>
            </w:pPr>
            <w:r>
              <w:rPr>
                <w:rFonts w:ascii="Arial" w:cs="Arial" w:eastAsia="Arial" w:hAnsi="Arial"/>
                <w:sz w:val="18"/>
                <w:szCs w:val="18"/>
                <w:color w:val="auto"/>
              </w:rPr>
              <w:t>Accrued benefit credit</w:t>
            </w:r>
          </w:p>
        </w:tc>
        <w:tc>
          <w:tcPr>
            <w:tcW w:w="520" w:type="dxa"/>
            <w:vAlign w:val="bottom"/>
            <w:tcBorders>
              <w:bottom w:val="single" w:sz="8" w:color="auto"/>
            </w:tcBorders>
            <w:shd w:val="clear" w:color="auto" w:fill="E5F1F8"/>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384</w:t>
            </w:r>
          </w:p>
        </w:tc>
        <w:tc>
          <w:tcPr>
            <w:tcW w:w="520" w:type="dxa"/>
            <w:vAlign w:val="bottom"/>
            <w:tcBorders>
              <w:bottom w:val="single" w:sz="8" w:color="auto"/>
            </w:tcBorders>
            <w:shd w:val="clear" w:color="auto" w:fill="E5F1F8"/>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271</w:t>
            </w:r>
          </w:p>
        </w:tc>
      </w:tr>
      <w:tr>
        <w:trPr>
          <w:trHeight w:val="209"/>
        </w:trPr>
        <w:tc>
          <w:tcPr>
            <w:tcW w:w="750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4"/>
        </w:trPr>
        <w:tc>
          <w:tcPr>
            <w:tcW w:w="7460" w:type="dxa"/>
            <w:vAlign w:val="bottom"/>
            <w:tcBorders>
              <w:right w:val="single" w:sz="8" w:color="007CBA"/>
            </w:tcBorders>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360" w:type="dxa"/>
            <w:vAlign w:val="bottom"/>
            <w:tcBorders>
              <w:right w:val="single" w:sz="8" w:color="007CBA"/>
            </w:tcBorders>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1340" w:type="dxa"/>
            <w:vAlign w:val="bottom"/>
            <w:shd w:val="clear" w:color="auto" w:fill="007CBA"/>
          </w:tcPr>
          <w:p>
            <w:pPr>
              <w:spacing w:after="0"/>
              <w:rPr>
                <w:sz w:val="15"/>
                <w:szCs w:val="15"/>
                <w:color w:val="auto"/>
              </w:rPr>
            </w:pPr>
          </w:p>
        </w:tc>
      </w:tr>
      <w:tr>
        <w:trPr>
          <w:trHeight w:val="221"/>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4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2025</w:t>
            </w:r>
          </w:p>
        </w:tc>
        <w:tc>
          <w:tcPr>
            <w:tcW w:w="52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59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Amounts recognized on consolidated balance sheets consist of:</w:t>
            </w:r>
          </w:p>
        </w:tc>
        <w:tc>
          <w:tcPr>
            <w:tcW w:w="40" w:type="dxa"/>
            <w:vAlign w:val="bottom"/>
            <w:tcBorders>
              <w:right w:val="single" w:sz="8" w:color="E5F1F8"/>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340" w:type="dxa"/>
            <w:vAlign w:val="bottom"/>
            <w:shd w:val="clear" w:color="auto" w:fill="E5F1F8"/>
          </w:tcPr>
          <w:p>
            <w:pPr>
              <w:spacing w:after="0"/>
              <w:rPr>
                <w:sz w:val="17"/>
                <w:szCs w:val="17"/>
                <w:color w:val="auto"/>
              </w:rPr>
            </w:pP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Noncurrent asset</w:t>
            </w:r>
          </w:p>
        </w:tc>
        <w:tc>
          <w:tcPr>
            <w:tcW w:w="40" w:type="dxa"/>
            <w:vAlign w:val="bottom"/>
          </w:tcPr>
          <w:p>
            <w:pPr>
              <w:spacing w:after="0"/>
              <w:rPr>
                <w:sz w:val="17"/>
                <w:szCs w:val="17"/>
                <w:color w:val="auto"/>
              </w:rPr>
            </w:pP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487</w:t>
            </w:r>
          </w:p>
        </w:tc>
        <w:tc>
          <w:tcPr>
            <w:tcW w:w="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371</w:t>
            </w:r>
          </w:p>
        </w:tc>
      </w:tr>
      <w:tr>
        <w:trPr>
          <w:trHeight w:val="203"/>
        </w:trPr>
        <w:tc>
          <w:tcPr>
            <w:tcW w:w="74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Current liability</w:t>
            </w:r>
          </w:p>
        </w:tc>
        <w:tc>
          <w:tcPr>
            <w:tcW w:w="40" w:type="dxa"/>
            <w:vAlign w:val="bottom"/>
            <w:tcBorders>
              <w:right w:val="single" w:sz="8" w:color="E5F1F8"/>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520" w:type="dxa"/>
            <w:vAlign w:val="bottom"/>
            <w:shd w:val="clear" w:color="auto" w:fill="E5F1F8"/>
          </w:tcPr>
          <w:p>
            <w:pPr>
              <w:spacing w:after="0"/>
              <w:rPr>
                <w:sz w:val="17"/>
                <w:szCs w:val="17"/>
                <w:color w:val="auto"/>
              </w:rPr>
            </w:pPr>
          </w:p>
        </w:tc>
        <w:tc>
          <w:tcPr>
            <w:tcW w:w="134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7500" w:type="dxa"/>
            <w:vAlign w:val="bottom"/>
            <w:tcBorders>
              <w:bottom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Noncurrent liability</w:t>
            </w:r>
          </w:p>
        </w:tc>
        <w:tc>
          <w:tcPr>
            <w:tcW w:w="5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36"/>
        </w:trPr>
        <w:tc>
          <w:tcPr>
            <w:tcW w:w="7500" w:type="dxa"/>
            <w:vAlign w:val="bottom"/>
            <w:tcBorders>
              <w:bottom w:val="single" w:sz="8" w:color="auto"/>
              <w:right w:val="single" w:sz="8" w:color="E5F1F8"/>
            </w:tcBorders>
            <w:gridSpan w:val="2"/>
            <w:shd w:val="clear" w:color="auto" w:fill="E5F1F8"/>
          </w:tcPr>
          <w:p>
            <w:pPr>
              <w:ind w:left="80"/>
              <w:spacing w:after="0" w:line="196" w:lineRule="exact"/>
              <w:rPr>
                <w:sz w:val="20"/>
                <w:szCs w:val="20"/>
                <w:color w:val="auto"/>
              </w:rPr>
            </w:pPr>
            <w:r>
              <w:rPr>
                <w:rFonts w:ascii="Arial" w:cs="Arial" w:eastAsia="Arial" w:hAnsi="Arial"/>
                <w:sz w:val="18"/>
                <w:szCs w:val="18"/>
                <w:color w:val="auto"/>
              </w:rPr>
              <w:t>Net amount recognized at end of year</w:t>
            </w:r>
          </w:p>
        </w:tc>
        <w:tc>
          <w:tcPr>
            <w:tcW w:w="52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384</w:t>
            </w:r>
          </w:p>
        </w:tc>
        <w:tc>
          <w:tcPr>
            <w:tcW w:w="520" w:type="dxa"/>
            <w:vAlign w:val="bottom"/>
            <w:tcBorders>
              <w:bottom w:val="single" w:sz="8" w:color="auto"/>
            </w:tcBorders>
            <w:shd w:val="clear" w:color="auto" w:fill="E5F1F8"/>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-1906270</wp:posOffset>
            </wp:positionV>
            <wp:extent cx="33655" cy="1885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-1906270</wp:posOffset>
            </wp:positionV>
            <wp:extent cx="34290" cy="1885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-1220470</wp:posOffset>
            </wp:positionV>
            <wp:extent cx="34290" cy="1625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-1220470</wp:posOffset>
            </wp:positionV>
            <wp:extent cx="33655" cy="1625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-303530</wp:posOffset>
            </wp:positionV>
            <wp:extent cx="34290" cy="3168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-303530</wp:posOffset>
            </wp:positionV>
            <wp:extent cx="33655" cy="3168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accumulated benefit obligation for all defined benefit pension plans was $921 million and $879 million at December 31, 2025 and 2024, respectively.</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Benefit obligations and fair value of plan assets for pension plans with accumulated benefit obligations in excess of plan assets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i w:val="1"/>
                <w:iCs w:val="1"/>
                <w:color w:val="FFFFFF"/>
              </w:rPr>
              <w:t>December 31</w:t>
            </w:r>
          </w:p>
        </w:tc>
        <w:tc>
          <w:tcPr>
            <w:tcW w:w="56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40" w:type="dxa"/>
            <w:vAlign w:val="bottom"/>
            <w:shd w:val="clear" w:color="auto" w:fill="007CBA"/>
          </w:tcPr>
          <w:p>
            <w:pPr>
              <w:spacing w:after="0"/>
              <w:rPr>
                <w:sz w:val="18"/>
                <w:szCs w:val="18"/>
                <w:color w:val="auto"/>
              </w:rPr>
            </w:pPr>
          </w:p>
        </w:tc>
      </w:tr>
      <w:tr>
        <w:trPr>
          <w:trHeight w:val="221"/>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6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ind w:left="240"/>
              <w:spacing w:after="0"/>
              <w:rPr>
                <w:sz w:val="20"/>
                <w:szCs w:val="20"/>
                <w:color w:val="auto"/>
              </w:rPr>
            </w:pPr>
            <w:r>
              <w:rPr>
                <w:rFonts w:ascii="Arial" w:cs="Arial" w:eastAsia="Arial" w:hAnsi="Arial"/>
                <w:sz w:val="18"/>
                <w:szCs w:val="18"/>
                <w:b w:val="1"/>
                <w:bCs w:val="1"/>
                <w:color w:val="FFFFFF"/>
              </w:rPr>
              <w:t>2025</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ind w:left="24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Projected benefit obligation</w:t>
            </w:r>
          </w:p>
        </w:tc>
        <w:tc>
          <w:tcPr>
            <w:tcW w:w="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103</w:t>
            </w: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Accumulated benefit obligation</w:t>
            </w:r>
          </w:p>
        </w:tc>
        <w:tc>
          <w:tcPr>
            <w:tcW w:w="56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95</w:t>
            </w:r>
          </w:p>
        </w:tc>
        <w:tc>
          <w:tcPr>
            <w:tcW w:w="54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90</w:t>
            </w:r>
          </w:p>
        </w:tc>
      </w:tr>
      <w:tr>
        <w:trPr>
          <w:trHeight w:val="203"/>
        </w:trPr>
        <w:tc>
          <w:tcPr>
            <w:tcW w:w="74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Fair value of plan assets</w:t>
            </w:r>
          </w:p>
        </w:tc>
        <w:tc>
          <w:tcPr>
            <w:tcW w:w="5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389"/>
        </w:trPr>
        <w:tc>
          <w:tcPr>
            <w:tcW w:w="7460" w:type="dxa"/>
            <w:vAlign w:val="bottom"/>
          </w:tcPr>
          <w:p>
            <w:pPr>
              <w:spacing w:after="0"/>
              <w:rPr>
                <w:sz w:val="20"/>
                <w:szCs w:val="20"/>
                <w:color w:val="auto"/>
              </w:rPr>
            </w:pPr>
            <w:r>
              <w:rPr>
                <w:rFonts w:ascii="Arial" w:cs="Arial" w:eastAsia="Arial" w:hAnsi="Arial"/>
                <w:sz w:val="18"/>
                <w:szCs w:val="18"/>
                <w:color w:val="auto"/>
                <w:w w:val="99"/>
              </w:rPr>
              <w:t>Weighted-average assumptions used to determine benefit obligations as of December 31 are:</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
        </w:trPr>
        <w:tc>
          <w:tcPr>
            <w:tcW w:w="7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03"/>
        </w:trPr>
        <w:tc>
          <w:tcPr>
            <w:tcW w:w="7460" w:type="dxa"/>
            <w:vAlign w:val="bottom"/>
            <w:tcBorders>
              <w:right w:val="single" w:sz="8" w:color="007CBA"/>
            </w:tcBorders>
            <w:shd w:val="clear" w:color="auto" w:fill="007CBA"/>
          </w:tcPr>
          <w:p>
            <w:pPr>
              <w:spacing w:after="0"/>
              <w:rPr>
                <w:sz w:val="17"/>
                <w:szCs w:val="17"/>
                <w:color w:val="auto"/>
              </w:rPr>
            </w:pPr>
          </w:p>
        </w:tc>
        <w:tc>
          <w:tcPr>
            <w:tcW w:w="560" w:type="dxa"/>
            <w:vAlign w:val="bottom"/>
            <w:shd w:val="clear" w:color="auto" w:fill="007CBA"/>
          </w:tcPr>
          <w:p>
            <w:pPr>
              <w:spacing w:after="0"/>
              <w:rPr>
                <w:sz w:val="17"/>
                <w:szCs w:val="17"/>
                <w:color w:val="auto"/>
              </w:rPr>
            </w:pPr>
          </w:p>
        </w:tc>
        <w:tc>
          <w:tcPr>
            <w:tcW w:w="1340" w:type="dxa"/>
            <w:vAlign w:val="bottom"/>
            <w:tcBorders>
              <w:right w:val="single" w:sz="8" w:color="007CBA"/>
            </w:tcBorders>
            <w:shd w:val="clear" w:color="auto" w:fill="007CBA"/>
          </w:tcPr>
          <w:p>
            <w:pPr>
              <w:jc w:val="right"/>
              <w:ind w:right="550"/>
              <w:spacing w:after="0" w:line="202" w:lineRule="exact"/>
              <w:rPr>
                <w:sz w:val="20"/>
                <w:szCs w:val="20"/>
                <w:color w:val="auto"/>
              </w:rPr>
            </w:pPr>
            <w:r>
              <w:rPr>
                <w:rFonts w:ascii="Arial" w:cs="Arial" w:eastAsia="Arial" w:hAnsi="Arial"/>
                <w:sz w:val="18"/>
                <w:szCs w:val="18"/>
                <w:b w:val="1"/>
                <w:bCs w:val="1"/>
                <w:color w:val="FFFFFF"/>
              </w:rPr>
              <w:t>2025</w:t>
            </w:r>
          </w:p>
        </w:tc>
        <w:tc>
          <w:tcPr>
            <w:tcW w:w="540" w:type="dxa"/>
            <w:vAlign w:val="bottom"/>
            <w:shd w:val="clear" w:color="auto" w:fill="007CBA"/>
          </w:tcPr>
          <w:p>
            <w:pPr>
              <w:spacing w:after="0"/>
              <w:rPr>
                <w:sz w:val="17"/>
                <w:szCs w:val="17"/>
                <w:color w:val="auto"/>
              </w:rPr>
            </w:pPr>
          </w:p>
        </w:tc>
        <w:tc>
          <w:tcPr>
            <w:tcW w:w="1340" w:type="dxa"/>
            <w:vAlign w:val="bottom"/>
            <w:shd w:val="clear" w:color="auto" w:fill="007CBA"/>
          </w:tcPr>
          <w:p>
            <w:pPr>
              <w:jc w:val="right"/>
              <w:ind w:right="550"/>
              <w:spacing w:after="0" w:line="202" w:lineRule="exact"/>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Discount rate</w:t>
            </w:r>
          </w:p>
        </w:tc>
        <w:tc>
          <w:tcPr>
            <w:tcW w:w="560" w:type="dxa"/>
            <w:vAlign w:val="bottom"/>
          </w:tcPr>
          <w:p>
            <w:pPr>
              <w:spacing w:after="0"/>
              <w:rPr>
                <w:sz w:val="17"/>
                <w:szCs w:val="17"/>
                <w:color w:val="auto"/>
              </w:rPr>
            </w:pPr>
          </w:p>
        </w:tc>
        <w:tc>
          <w:tcPr>
            <w:tcW w:w="1340" w:type="dxa"/>
            <w:vAlign w:val="bottom"/>
            <w:tcBorders>
              <w:right w:val="single" w:sz="8" w:color="007CBA"/>
            </w:tcBorders>
          </w:tcPr>
          <w:p>
            <w:pPr>
              <w:ind w:left="240"/>
              <w:spacing w:after="0" w:line="202" w:lineRule="exact"/>
              <w:rPr>
                <w:sz w:val="20"/>
                <w:szCs w:val="20"/>
                <w:color w:val="auto"/>
              </w:rPr>
            </w:pPr>
            <w:r>
              <w:rPr>
                <w:rFonts w:ascii="Arial" w:cs="Arial" w:eastAsia="Arial" w:hAnsi="Arial"/>
                <w:sz w:val="18"/>
                <w:szCs w:val="18"/>
                <w:b w:val="1"/>
                <w:bCs w:val="1"/>
                <w:color w:val="auto"/>
              </w:rPr>
              <w:t>5.97%</w:t>
            </w:r>
          </w:p>
        </w:tc>
        <w:tc>
          <w:tcPr>
            <w:tcW w:w="540" w:type="dxa"/>
            <w:vAlign w:val="bottom"/>
          </w:tcPr>
          <w:p>
            <w:pPr>
              <w:spacing w:after="0"/>
              <w:rPr>
                <w:sz w:val="17"/>
                <w:szCs w:val="17"/>
                <w:color w:val="auto"/>
              </w:rPr>
            </w:pPr>
          </w:p>
        </w:tc>
        <w:tc>
          <w:tcPr>
            <w:tcW w:w="1340" w:type="dxa"/>
            <w:vAlign w:val="bottom"/>
          </w:tcPr>
          <w:p>
            <w:pPr>
              <w:ind w:left="24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7460" w:type="dxa"/>
            <w:vAlign w:val="bottom"/>
            <w:tcBorders>
              <w:bottom w:val="single" w:sz="8" w:color="auto"/>
              <w:right w:val="single" w:sz="8" w:color="E5F1F8"/>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Rate of increase in future compensation levels</w:t>
            </w:r>
          </w:p>
        </w:tc>
        <w:tc>
          <w:tcPr>
            <w:tcW w:w="560" w:type="dxa"/>
            <w:vAlign w:val="bottom"/>
            <w:tcBorders>
              <w:bottom w:val="single" w:sz="8" w:color="auto"/>
            </w:tcBorders>
            <w:shd w:val="clear" w:color="auto" w:fill="E5F1F8"/>
          </w:tcPr>
          <w:p>
            <w:pPr>
              <w:spacing w:after="0"/>
              <w:rPr>
                <w:sz w:val="17"/>
                <w:szCs w:val="17"/>
                <w:color w:val="auto"/>
              </w:rPr>
            </w:pPr>
          </w:p>
        </w:tc>
        <w:tc>
          <w:tcPr>
            <w:tcW w:w="1340" w:type="dxa"/>
            <w:vAlign w:val="bottom"/>
            <w:tcBorders>
              <w:bottom w:val="single" w:sz="8" w:color="auto"/>
              <w:right w:val="single" w:sz="8" w:color="E5F1F8"/>
            </w:tcBorders>
            <w:shd w:val="clear" w:color="auto" w:fill="E5F1F8"/>
          </w:tcPr>
          <w:p>
            <w:pPr>
              <w:ind w:left="240"/>
              <w:spacing w:after="0" w:line="202" w:lineRule="exact"/>
              <w:rPr>
                <w:sz w:val="20"/>
                <w:szCs w:val="20"/>
                <w:color w:val="auto"/>
              </w:rPr>
            </w:pPr>
            <w:r>
              <w:rPr>
                <w:rFonts w:ascii="Arial" w:cs="Arial" w:eastAsia="Arial" w:hAnsi="Arial"/>
                <w:sz w:val="18"/>
                <w:szCs w:val="18"/>
                <w:b w:val="1"/>
                <w:bCs w:val="1"/>
                <w:color w:val="auto"/>
              </w:rPr>
              <w:t>4.50%</w:t>
            </w:r>
          </w:p>
        </w:tc>
        <w:tc>
          <w:tcPr>
            <w:tcW w:w="540" w:type="dxa"/>
            <w:vAlign w:val="bottom"/>
            <w:tcBorders>
              <w:bottom w:val="single" w:sz="8" w:color="auto"/>
            </w:tcBorders>
            <w:shd w:val="clear" w:color="auto" w:fill="E5F1F8"/>
          </w:tcPr>
          <w:p>
            <w:pPr>
              <w:spacing w:after="0"/>
              <w:rPr>
                <w:sz w:val="17"/>
                <w:szCs w:val="17"/>
                <w:color w:val="auto"/>
              </w:rPr>
            </w:pPr>
          </w:p>
        </w:tc>
        <w:tc>
          <w:tcPr>
            <w:tcW w:w="1340" w:type="dxa"/>
            <w:vAlign w:val="bottom"/>
            <w:tcBorders>
              <w:bottom w:val="single" w:sz="8" w:color="auto"/>
            </w:tcBorders>
            <w:shd w:val="clear" w:color="auto" w:fill="E5F1F8"/>
          </w:tcPr>
          <w:p>
            <w:pPr>
              <w:ind w:left="240"/>
              <w:spacing w:after="0" w:line="202" w:lineRule="exact"/>
              <w:rPr>
                <w:sz w:val="20"/>
                <w:szCs w:val="20"/>
                <w:color w:val="auto"/>
              </w:rPr>
            </w:pPr>
            <w:r>
              <w:rPr>
                <w:rFonts w:ascii="Arial" w:cs="Arial" w:eastAsia="Arial" w:hAnsi="Arial"/>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188595</wp:posOffset>
            </wp:positionV>
            <wp:extent cx="325755" cy="1968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-843280</wp:posOffset>
            </wp:positionV>
            <wp:extent cx="34290" cy="1625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-843280</wp:posOffset>
            </wp:positionV>
            <wp:extent cx="34290" cy="1625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-149225</wp:posOffset>
            </wp:positionV>
            <wp:extent cx="34290" cy="1625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-149225</wp:posOffset>
            </wp:positionV>
            <wp:extent cx="34290" cy="1625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308"/>
        </w:trPr>
        <w:tc>
          <w:tcPr>
            <w:tcW w:w="6560" w:type="dxa"/>
            <w:vAlign w:val="bottom"/>
            <w:gridSpan w:val="2"/>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3"/>
          </w:tcPr>
          <w:p>
            <w:pPr>
              <w:jc w:val="center"/>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89"/>
        </w:trPr>
        <w:tc>
          <w:tcPr>
            <w:tcW w:w="9640" w:type="dxa"/>
            <w:vAlign w:val="bottom"/>
            <w:gridSpan w:val="4"/>
          </w:tcPr>
          <w:p>
            <w:pPr>
              <w:spacing w:after="0"/>
              <w:rPr>
                <w:sz w:val="20"/>
                <w:szCs w:val="20"/>
                <w:color w:val="auto"/>
              </w:rPr>
            </w:pPr>
            <w:r>
              <w:rPr>
                <w:rFonts w:ascii="Arial" w:cs="Arial" w:eastAsia="Arial" w:hAnsi="Arial"/>
                <w:sz w:val="18"/>
                <w:szCs w:val="18"/>
                <w:color w:val="auto"/>
              </w:rPr>
              <w:t>Weighted-average assumptions used to determine net periodic benefit cost for the years ended December 31 are:</w:t>
            </w:r>
          </w:p>
        </w:tc>
        <w:tc>
          <w:tcPr>
            <w:tcW w:w="1600" w:type="dxa"/>
            <w:vAlign w:val="bottom"/>
          </w:tcPr>
          <w:p>
            <w:pPr>
              <w:spacing w:after="0"/>
              <w:rPr>
                <w:sz w:val="24"/>
                <w:szCs w:val="24"/>
                <w:color w:val="auto"/>
              </w:rPr>
            </w:pPr>
          </w:p>
        </w:tc>
      </w:tr>
      <w:tr>
        <w:trPr>
          <w:trHeight w:val="77"/>
        </w:trPr>
        <w:tc>
          <w:tcPr>
            <w:tcW w:w="6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03"/>
        </w:trPr>
        <w:tc>
          <w:tcPr>
            <w:tcW w:w="6400" w:type="dxa"/>
            <w:vAlign w:val="bottom"/>
            <w:tcBorders>
              <w:right w:val="single" w:sz="8" w:color="007CBA"/>
            </w:tcBorders>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480" w:type="dxa"/>
            <w:vAlign w:val="bottom"/>
            <w:tcBorders>
              <w:right w:val="single" w:sz="8" w:color="007CBA"/>
            </w:tcBorders>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2025</w:t>
            </w:r>
          </w:p>
        </w:tc>
        <w:tc>
          <w:tcPr>
            <w:tcW w:w="1600" w:type="dxa"/>
            <w:vAlign w:val="bottom"/>
            <w:tcBorders>
              <w:right w:val="single" w:sz="8" w:color="007CBA"/>
            </w:tcBorders>
            <w:shd w:val="clear" w:color="auto" w:fill="007CBA"/>
          </w:tcPr>
          <w:p>
            <w:pPr>
              <w:jc w:val="center"/>
              <w:ind w:left="70"/>
              <w:spacing w:after="0" w:line="202" w:lineRule="exact"/>
              <w:rPr>
                <w:sz w:val="20"/>
                <w:szCs w:val="20"/>
                <w:color w:val="auto"/>
              </w:rPr>
            </w:pPr>
            <w:r>
              <w:rPr>
                <w:rFonts w:ascii="Arial" w:cs="Arial" w:eastAsia="Arial" w:hAnsi="Arial"/>
                <w:sz w:val="18"/>
                <w:szCs w:val="18"/>
                <w:color w:val="FFFFFF"/>
                <w:w w:val="99"/>
              </w:rPr>
              <w:t>2024</w:t>
            </w:r>
          </w:p>
        </w:tc>
        <w:tc>
          <w:tcPr>
            <w:tcW w:w="1600" w:type="dxa"/>
            <w:vAlign w:val="bottom"/>
            <w:shd w:val="clear" w:color="auto" w:fill="007CBA"/>
          </w:tcPr>
          <w:p>
            <w:pPr>
              <w:jc w:val="center"/>
              <w:ind w:left="70"/>
              <w:spacing w:after="0" w:line="202" w:lineRule="exact"/>
              <w:rPr>
                <w:sz w:val="20"/>
                <w:szCs w:val="20"/>
                <w:color w:val="auto"/>
              </w:rPr>
            </w:pPr>
            <w:r>
              <w:rPr>
                <w:rFonts w:ascii="Arial" w:cs="Arial" w:eastAsia="Arial" w:hAnsi="Arial"/>
                <w:sz w:val="18"/>
                <w:szCs w:val="18"/>
                <w:color w:val="FFFFFF"/>
                <w:w w:val="99"/>
              </w:rPr>
              <w:t>2023</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Discount rate</w:t>
            </w:r>
          </w:p>
        </w:tc>
        <w:tc>
          <w:tcPr>
            <w:tcW w:w="160" w:type="dxa"/>
            <w:vAlign w:val="bottom"/>
          </w:tcPr>
          <w:p>
            <w:pPr>
              <w:spacing w:after="0"/>
              <w:rPr>
                <w:sz w:val="17"/>
                <w:szCs w:val="17"/>
                <w:color w:val="auto"/>
              </w:rPr>
            </w:pPr>
          </w:p>
        </w:tc>
        <w:tc>
          <w:tcPr>
            <w:tcW w:w="1480" w:type="dxa"/>
            <w:vAlign w:val="bottom"/>
            <w:tcBorders>
              <w:right w:val="single" w:sz="8" w:color="007CBA"/>
            </w:tcBorders>
          </w:tcPr>
          <w:p>
            <w:pPr>
              <w:jc w:val="center"/>
              <w:spacing w:after="0" w:line="202" w:lineRule="exact"/>
              <w:rPr>
                <w:sz w:val="20"/>
                <w:szCs w:val="20"/>
                <w:color w:val="auto"/>
              </w:rPr>
            </w:pPr>
            <w:r>
              <w:rPr>
                <w:rFonts w:ascii="Arial" w:cs="Arial" w:eastAsia="Arial" w:hAnsi="Arial"/>
                <w:sz w:val="18"/>
                <w:szCs w:val="18"/>
                <w:color w:val="auto"/>
              </w:rPr>
              <w:t>6.00%</w:t>
            </w:r>
          </w:p>
        </w:tc>
        <w:tc>
          <w:tcPr>
            <w:tcW w:w="1600" w:type="dxa"/>
            <w:vAlign w:val="bottom"/>
            <w:tcBorders>
              <w:right w:val="single" w:sz="8" w:color="007CBA"/>
            </w:tcBorders>
          </w:tcPr>
          <w:p>
            <w:pPr>
              <w:jc w:val="center"/>
              <w:ind w:left="50"/>
              <w:spacing w:after="0" w:line="202" w:lineRule="exact"/>
              <w:rPr>
                <w:sz w:val="20"/>
                <w:szCs w:val="20"/>
                <w:color w:val="auto"/>
              </w:rPr>
            </w:pPr>
            <w:r>
              <w:rPr>
                <w:rFonts w:ascii="Arial" w:cs="Arial" w:eastAsia="Arial" w:hAnsi="Arial"/>
                <w:sz w:val="18"/>
                <w:szCs w:val="18"/>
                <w:color w:val="auto"/>
                <w:w w:val="97"/>
              </w:rPr>
              <w:t>5.58%</w:t>
            </w:r>
          </w:p>
        </w:tc>
        <w:tc>
          <w:tcPr>
            <w:tcW w:w="1600" w:type="dxa"/>
            <w:vAlign w:val="bottom"/>
          </w:tcPr>
          <w:p>
            <w:pPr>
              <w:jc w:val="center"/>
              <w:ind w:left="70"/>
              <w:spacing w:after="0" w:line="202" w:lineRule="exact"/>
              <w:rPr>
                <w:sz w:val="20"/>
                <w:szCs w:val="20"/>
                <w:color w:val="auto"/>
              </w:rPr>
            </w:pPr>
            <w:r>
              <w:rPr>
                <w:rFonts w:ascii="Arial" w:cs="Arial" w:eastAsia="Arial" w:hAnsi="Arial"/>
                <w:sz w:val="18"/>
                <w:szCs w:val="18"/>
                <w:color w:val="auto"/>
              </w:rPr>
              <w:t>5.88%</w:t>
            </w:r>
          </w:p>
        </w:tc>
      </w:tr>
      <w:tr>
        <w:trPr>
          <w:trHeight w:val="203"/>
        </w:trPr>
        <w:tc>
          <w:tcPr>
            <w:tcW w:w="64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Rate of increase in future compensation levels</w:t>
            </w:r>
          </w:p>
        </w:tc>
        <w:tc>
          <w:tcPr>
            <w:tcW w:w="16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jc w:val="center"/>
              <w:spacing w:after="0" w:line="202" w:lineRule="exact"/>
              <w:rPr>
                <w:sz w:val="20"/>
                <w:szCs w:val="20"/>
                <w:color w:val="auto"/>
              </w:rPr>
            </w:pPr>
            <w:r>
              <w:rPr>
                <w:rFonts w:ascii="Arial" w:cs="Arial" w:eastAsia="Arial" w:hAnsi="Arial"/>
                <w:sz w:val="18"/>
                <w:szCs w:val="18"/>
                <w:color w:val="auto"/>
              </w:rPr>
              <w:t>4.50%</w:t>
            </w:r>
          </w:p>
        </w:tc>
        <w:tc>
          <w:tcPr>
            <w:tcW w:w="1600" w:type="dxa"/>
            <w:vAlign w:val="bottom"/>
            <w:tcBorders>
              <w:right w:val="single" w:sz="8" w:color="007CBA"/>
            </w:tcBorders>
            <w:shd w:val="clear" w:color="auto" w:fill="E5F1F8"/>
          </w:tcPr>
          <w:p>
            <w:pPr>
              <w:jc w:val="center"/>
              <w:ind w:left="50"/>
              <w:spacing w:after="0" w:line="202" w:lineRule="exact"/>
              <w:rPr>
                <w:sz w:val="20"/>
                <w:szCs w:val="20"/>
                <w:color w:val="auto"/>
              </w:rPr>
            </w:pPr>
            <w:r>
              <w:rPr>
                <w:rFonts w:ascii="Arial" w:cs="Arial" w:eastAsia="Arial" w:hAnsi="Arial"/>
                <w:sz w:val="18"/>
                <w:szCs w:val="18"/>
                <w:color w:val="auto"/>
                <w:w w:val="97"/>
              </w:rPr>
              <w:t>4.50%</w:t>
            </w:r>
          </w:p>
        </w:tc>
        <w:tc>
          <w:tcPr>
            <w:tcW w:w="1600" w:type="dxa"/>
            <w:vAlign w:val="bottom"/>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rPr>
              <w:t>4.50%</w:t>
            </w:r>
          </w:p>
        </w:tc>
      </w:tr>
      <w:tr>
        <w:trPr>
          <w:trHeight w:val="202"/>
        </w:trPr>
        <w:tc>
          <w:tcPr>
            <w:tcW w:w="656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Expected long-term rate of return on assets</w:t>
            </w:r>
          </w:p>
        </w:tc>
        <w:tc>
          <w:tcPr>
            <w:tcW w:w="14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6.75%</w:t>
            </w:r>
          </w:p>
        </w:tc>
        <w:tc>
          <w:tcPr>
            <w:tcW w:w="1600" w:type="dxa"/>
            <w:vAlign w:val="bottom"/>
            <w:tcBorders>
              <w:bottom w:val="single" w:sz="8" w:color="auto"/>
            </w:tcBorders>
          </w:tcPr>
          <w:p>
            <w:pPr>
              <w:jc w:val="center"/>
              <w:ind w:left="50"/>
              <w:spacing w:after="0" w:line="202" w:lineRule="exact"/>
              <w:rPr>
                <w:sz w:val="20"/>
                <w:szCs w:val="20"/>
                <w:color w:val="auto"/>
              </w:rPr>
            </w:pPr>
            <w:r>
              <w:rPr>
                <w:rFonts w:ascii="Arial" w:cs="Arial" w:eastAsia="Arial" w:hAnsi="Arial"/>
                <w:sz w:val="18"/>
                <w:szCs w:val="18"/>
                <w:color w:val="auto"/>
                <w:w w:val="97"/>
              </w:rPr>
              <w:t>6.75%</w:t>
            </w:r>
          </w:p>
        </w:tc>
        <w:tc>
          <w:tcPr>
            <w:tcW w:w="1600" w:type="dxa"/>
            <w:vAlign w:val="bottom"/>
            <w:tcBorders>
              <w:bottom w:val="single" w:sz="8" w:color="auto"/>
            </w:tcBorders>
          </w:tcPr>
          <w:p>
            <w:pPr>
              <w:jc w:val="center"/>
              <w:ind w:left="70"/>
              <w:spacing w:after="0" w:line="202" w:lineRule="exact"/>
              <w:rPr>
                <w:sz w:val="20"/>
                <w:szCs w:val="20"/>
                <w:color w:val="auto"/>
              </w:rPr>
            </w:pPr>
            <w:r>
              <w:rPr>
                <w:rFonts w:ascii="Arial" w:cs="Arial" w:eastAsia="Arial" w:hAnsi="Arial"/>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-149225</wp:posOffset>
            </wp:positionV>
            <wp:extent cx="33655" cy="1625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-149225</wp:posOffset>
            </wp:positionV>
            <wp:extent cx="33655" cy="1625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-149225</wp:posOffset>
            </wp:positionV>
            <wp:extent cx="34290" cy="1625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15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expected long-term rate of return on pension fund assets is based on the current asset class mix of the Company's pension plan assets, current capital market conditions and a stochastic forecast of future conditions.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and 2024, the Company estimated the remaining lives of participants in the pension plans using the Pri-2012 Base tables. The no-collar table was used for salaried participants and the blue-collar table was used for hourly participants; the tables were adjusted to reflect both the mortality experience of the Company’s participants and a geospatial mortality analysis. The Company used the MP-2020 mortality improvement scale for 2025 and 2024.</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Retirement plan assets are invested in listed stocks, bonds, real estate, private infrastructure and cash equivalents. The target allocation for 2025 and the actual pension plan asset allocation by asset class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Borders>
              <w:right w:val="single" w:sz="8" w:color="007CBA"/>
            </w:tcBorders>
            <w:shd w:val="clear" w:color="auto" w:fill="007CBA"/>
          </w:tcPr>
          <w:p>
            <w:pPr>
              <w:spacing w:after="0"/>
              <w:rPr>
                <w:sz w:val="17"/>
                <w:szCs w:val="17"/>
                <w:color w:val="auto"/>
              </w:rPr>
            </w:pPr>
          </w:p>
        </w:tc>
        <w:tc>
          <w:tcPr>
            <w:tcW w:w="3860" w:type="dxa"/>
            <w:vAlign w:val="bottom"/>
            <w:gridSpan w:val="3"/>
            <w:shd w:val="clear" w:color="auto" w:fill="007CBA"/>
          </w:tcPr>
          <w:p>
            <w:pPr>
              <w:ind w:left="1280"/>
              <w:spacing w:after="0"/>
              <w:rPr>
                <w:sz w:val="20"/>
                <w:szCs w:val="20"/>
                <w:color w:val="auto"/>
              </w:rPr>
            </w:pPr>
            <w:r>
              <w:rPr>
                <w:rFonts w:ascii="Arial" w:cs="Arial" w:eastAsia="Arial" w:hAnsi="Arial"/>
                <w:sz w:val="18"/>
                <w:szCs w:val="18"/>
                <w:b w:val="1"/>
                <w:bCs w:val="1"/>
                <w:color w:val="FFFFFF"/>
              </w:rPr>
              <w:t>Percentage of Plan Assets</w:t>
            </w:r>
          </w:p>
        </w:tc>
        <w:tc>
          <w:tcPr>
            <w:tcW w:w="960" w:type="dxa"/>
            <w:vAlign w:val="bottom"/>
            <w:shd w:val="clear" w:color="auto" w:fill="007CBA"/>
          </w:tcPr>
          <w:p>
            <w:pPr>
              <w:spacing w:after="0"/>
              <w:rPr>
                <w:sz w:val="17"/>
                <w:szCs w:val="17"/>
                <w:color w:val="auto"/>
              </w:rPr>
            </w:pPr>
          </w:p>
        </w:tc>
      </w:tr>
      <w:tr>
        <w:trPr>
          <w:trHeight w:val="203"/>
        </w:trPr>
        <w:tc>
          <w:tcPr>
            <w:tcW w:w="6420" w:type="dxa"/>
            <w:vAlign w:val="bottom"/>
            <w:tcBorders>
              <w:right w:val="single" w:sz="8" w:color="007CBA"/>
            </w:tcBorders>
            <w:shd w:val="clear" w:color="auto" w:fill="007CBA"/>
          </w:tcPr>
          <w:p>
            <w:pPr>
              <w:spacing w:after="0"/>
              <w:rPr>
                <w:sz w:val="17"/>
                <w:szCs w:val="17"/>
                <w:color w:val="auto"/>
              </w:rPr>
            </w:pPr>
          </w:p>
        </w:tc>
        <w:tc>
          <w:tcPr>
            <w:tcW w:w="1620" w:type="dxa"/>
            <w:vAlign w:val="bottom"/>
            <w:tcBorders>
              <w:right w:val="single" w:sz="8" w:color="007CBA"/>
            </w:tcBorders>
            <w:shd w:val="clear" w:color="auto" w:fill="007CBA"/>
          </w:tcPr>
          <w:p>
            <w:pPr>
              <w:jc w:val="center"/>
              <w:ind w:left="90"/>
              <w:spacing w:after="0" w:line="202" w:lineRule="exact"/>
              <w:rPr>
                <w:sz w:val="20"/>
                <w:szCs w:val="20"/>
                <w:color w:val="auto"/>
              </w:rPr>
            </w:pPr>
            <w:r>
              <w:rPr>
                <w:rFonts w:ascii="Arial" w:cs="Arial" w:eastAsia="Arial" w:hAnsi="Arial"/>
                <w:sz w:val="18"/>
                <w:szCs w:val="18"/>
                <w:b w:val="1"/>
                <w:bCs w:val="1"/>
                <w:color w:val="FFFFFF"/>
                <w:w w:val="99"/>
              </w:rPr>
              <w:t>2025</w:t>
            </w:r>
          </w:p>
        </w:tc>
        <w:tc>
          <w:tcPr>
            <w:tcW w:w="1620" w:type="dxa"/>
            <w:vAlign w:val="bottom"/>
            <w:tcBorders>
              <w:right w:val="single" w:sz="8" w:color="007CBA"/>
            </w:tcBorders>
            <w:shd w:val="clear" w:color="auto" w:fill="007CBA"/>
          </w:tcPr>
          <w:p>
            <w:pPr>
              <w:spacing w:after="0"/>
              <w:rPr>
                <w:sz w:val="17"/>
                <w:szCs w:val="17"/>
                <w:color w:val="auto"/>
              </w:rPr>
            </w:pPr>
          </w:p>
        </w:tc>
        <w:tc>
          <w:tcPr>
            <w:tcW w:w="620" w:type="dxa"/>
            <w:vAlign w:val="bottom"/>
            <w:shd w:val="clear" w:color="auto" w:fill="007CBA"/>
          </w:tcPr>
          <w:p>
            <w:pPr>
              <w:spacing w:after="0"/>
              <w:rPr>
                <w:sz w:val="17"/>
                <w:szCs w:val="17"/>
                <w:color w:val="auto"/>
              </w:rPr>
            </w:pPr>
          </w:p>
        </w:tc>
        <w:tc>
          <w:tcPr>
            <w:tcW w:w="960" w:type="dxa"/>
            <w:vAlign w:val="bottom"/>
            <w:shd w:val="clear" w:color="auto" w:fill="007CBA"/>
          </w:tcPr>
          <w:p>
            <w:pPr>
              <w:spacing w:after="0"/>
              <w:rPr>
                <w:sz w:val="17"/>
                <w:szCs w:val="17"/>
                <w:color w:val="auto"/>
              </w:rPr>
            </w:pPr>
          </w:p>
        </w:tc>
      </w:tr>
      <w:tr>
        <w:trPr>
          <w:trHeight w:val="203"/>
        </w:trPr>
        <w:tc>
          <w:tcPr>
            <w:tcW w:w="6420" w:type="dxa"/>
            <w:vAlign w:val="bottom"/>
            <w:tcBorders>
              <w:right w:val="single" w:sz="8" w:color="007CBA"/>
            </w:tcBorders>
            <w:shd w:val="clear" w:color="auto" w:fill="007CBA"/>
          </w:tcPr>
          <w:p>
            <w:pPr>
              <w:spacing w:after="0"/>
              <w:rPr>
                <w:sz w:val="17"/>
                <w:szCs w:val="17"/>
                <w:color w:val="auto"/>
              </w:rPr>
            </w:pPr>
          </w:p>
        </w:tc>
        <w:tc>
          <w:tcPr>
            <w:tcW w:w="1620" w:type="dxa"/>
            <w:vAlign w:val="bottom"/>
            <w:tcBorders>
              <w:right w:val="single" w:sz="8" w:color="007CBA"/>
            </w:tcBorders>
            <w:shd w:val="clear" w:color="auto" w:fill="007CBA"/>
          </w:tcPr>
          <w:p>
            <w:pPr>
              <w:jc w:val="center"/>
              <w:ind w:left="70"/>
              <w:spacing w:after="0" w:line="202" w:lineRule="exact"/>
              <w:rPr>
                <w:sz w:val="20"/>
                <w:szCs w:val="20"/>
                <w:color w:val="auto"/>
              </w:rPr>
            </w:pPr>
            <w:r>
              <w:rPr>
                <w:rFonts w:ascii="Arial" w:cs="Arial" w:eastAsia="Arial" w:hAnsi="Arial"/>
                <w:sz w:val="18"/>
                <w:szCs w:val="18"/>
                <w:b w:val="1"/>
                <w:bCs w:val="1"/>
                <w:color w:val="FFFFFF"/>
                <w:w w:val="98"/>
              </w:rPr>
              <w:t>Target</w:t>
            </w:r>
          </w:p>
        </w:tc>
        <w:tc>
          <w:tcPr>
            <w:tcW w:w="2240" w:type="dxa"/>
            <w:vAlign w:val="bottom"/>
            <w:gridSpan w:val="2"/>
            <w:shd w:val="clear" w:color="auto" w:fill="007CBA"/>
          </w:tcPr>
          <w:p>
            <w:pPr>
              <w:ind w:left="1140"/>
              <w:spacing w:after="0" w:line="202" w:lineRule="exact"/>
              <w:rPr>
                <w:sz w:val="20"/>
                <w:szCs w:val="20"/>
                <w:color w:val="auto"/>
              </w:rPr>
            </w:pPr>
            <w:r>
              <w:rPr>
                <w:rFonts w:ascii="Arial" w:cs="Arial" w:eastAsia="Arial" w:hAnsi="Arial"/>
                <w:sz w:val="18"/>
                <w:szCs w:val="18"/>
                <w:i w:val="1"/>
                <w:iCs w:val="1"/>
                <w:color w:val="FFFFFF"/>
                <w:w w:val="99"/>
              </w:rPr>
              <w:t>December 31</w:t>
            </w:r>
          </w:p>
        </w:tc>
        <w:tc>
          <w:tcPr>
            <w:tcW w:w="960" w:type="dxa"/>
            <w:vAlign w:val="bottom"/>
            <w:shd w:val="clear" w:color="auto" w:fill="007CBA"/>
          </w:tcPr>
          <w:p>
            <w:pPr>
              <w:spacing w:after="0"/>
              <w:rPr>
                <w:sz w:val="17"/>
                <w:szCs w:val="17"/>
                <w:color w:val="auto"/>
              </w:rPr>
            </w:pPr>
          </w:p>
        </w:tc>
      </w:tr>
      <w:tr>
        <w:trPr>
          <w:trHeight w:val="221"/>
        </w:trPr>
        <w:tc>
          <w:tcPr>
            <w:tcW w:w="64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b w:val="1"/>
                <w:bCs w:val="1"/>
                <w:color w:val="FFFFFF"/>
              </w:rPr>
              <w:t>Asset Class</w:t>
            </w:r>
          </w:p>
        </w:tc>
        <w:tc>
          <w:tcPr>
            <w:tcW w:w="1620" w:type="dxa"/>
            <w:vAlign w:val="bottom"/>
            <w:tcBorders>
              <w:right w:val="single" w:sz="8" w:color="007CBA"/>
            </w:tcBorders>
            <w:shd w:val="clear" w:color="auto" w:fill="007CBA"/>
          </w:tcPr>
          <w:p>
            <w:pPr>
              <w:jc w:val="center"/>
              <w:ind w:left="70"/>
              <w:spacing w:after="0"/>
              <w:rPr>
                <w:sz w:val="20"/>
                <w:szCs w:val="20"/>
                <w:color w:val="auto"/>
              </w:rPr>
            </w:pPr>
            <w:r>
              <w:rPr>
                <w:rFonts w:ascii="Arial" w:cs="Arial" w:eastAsia="Arial" w:hAnsi="Arial"/>
                <w:sz w:val="18"/>
                <w:szCs w:val="18"/>
                <w:b w:val="1"/>
                <w:bCs w:val="1"/>
                <w:color w:val="FFFFFF"/>
                <w:w w:val="98"/>
              </w:rPr>
              <w:t>Allocation</w:t>
            </w:r>
          </w:p>
        </w:tc>
        <w:tc>
          <w:tcPr>
            <w:tcW w:w="1620" w:type="dxa"/>
            <w:vAlign w:val="bottom"/>
            <w:tcBorders>
              <w:right w:val="single" w:sz="8" w:color="007CBA"/>
            </w:tcBorders>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9"/>
              </w:rPr>
              <w:t>2025</w:t>
            </w:r>
          </w:p>
        </w:tc>
        <w:tc>
          <w:tcPr>
            <w:tcW w:w="620" w:type="dxa"/>
            <w:vAlign w:val="bottom"/>
            <w:shd w:val="clear" w:color="auto" w:fill="007CBA"/>
          </w:tcPr>
          <w:p>
            <w:pPr>
              <w:spacing w:after="0"/>
              <w:rPr>
                <w:sz w:val="19"/>
                <w:szCs w:val="19"/>
                <w:color w:val="auto"/>
              </w:rPr>
            </w:pPr>
          </w:p>
        </w:tc>
        <w:tc>
          <w:tcPr>
            <w:tcW w:w="960" w:type="dxa"/>
            <w:vAlign w:val="bottom"/>
            <w:shd w:val="clear" w:color="auto" w:fill="007CBA"/>
          </w:tcPr>
          <w:p>
            <w:pPr>
              <w:jc w:val="center"/>
              <w:ind w:right="390"/>
              <w:spacing w:after="0"/>
              <w:rPr>
                <w:sz w:val="20"/>
                <w:szCs w:val="20"/>
                <w:color w:val="auto"/>
              </w:rPr>
            </w:pPr>
            <w:r>
              <w:rPr>
                <w:rFonts w:ascii="Arial" w:cs="Arial" w:eastAsia="Arial" w:hAnsi="Arial"/>
                <w:sz w:val="18"/>
                <w:szCs w:val="18"/>
                <w:color w:val="FFFFFF"/>
                <w:w w:val="99"/>
              </w:rPr>
              <w:t>2024</w:t>
            </w:r>
          </w:p>
        </w:tc>
      </w:tr>
      <w:tr>
        <w:trPr>
          <w:trHeight w:val="203"/>
        </w:trPr>
        <w:tc>
          <w:tcPr>
            <w:tcW w:w="642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Equity securities</w:t>
            </w:r>
          </w:p>
        </w:tc>
        <w:tc>
          <w:tcPr>
            <w:tcW w:w="1620" w:type="dxa"/>
            <w:vAlign w:val="bottom"/>
            <w:tcBorders>
              <w:right w:val="single" w:sz="8" w:color="007CBA"/>
            </w:tcBorders>
          </w:tcPr>
          <w:p>
            <w:pPr>
              <w:jc w:val="center"/>
              <w:ind w:left="50"/>
              <w:spacing w:after="0" w:line="202" w:lineRule="exact"/>
              <w:rPr>
                <w:sz w:val="20"/>
                <w:szCs w:val="20"/>
                <w:color w:val="auto"/>
              </w:rPr>
            </w:pPr>
            <w:r>
              <w:rPr>
                <w:rFonts w:ascii="Arial" w:cs="Arial" w:eastAsia="Arial" w:hAnsi="Arial"/>
                <w:sz w:val="18"/>
                <w:szCs w:val="18"/>
                <w:color w:val="auto"/>
                <w:w w:val="99"/>
              </w:rPr>
              <w:t>56%</w:t>
            </w:r>
          </w:p>
        </w:tc>
        <w:tc>
          <w:tcPr>
            <w:tcW w:w="1620" w:type="dxa"/>
            <w:vAlign w:val="bottom"/>
            <w:tcBorders>
              <w:right w:val="single" w:sz="8" w:color="007CBA"/>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58%</w:t>
            </w:r>
          </w:p>
        </w:tc>
        <w:tc>
          <w:tcPr>
            <w:tcW w:w="620" w:type="dxa"/>
            <w:vAlign w:val="bottom"/>
          </w:tcPr>
          <w:p>
            <w:pPr>
              <w:spacing w:after="0"/>
              <w:rPr>
                <w:sz w:val="17"/>
                <w:szCs w:val="17"/>
                <w:color w:val="auto"/>
              </w:rPr>
            </w:pPr>
          </w:p>
        </w:tc>
        <w:tc>
          <w:tcPr>
            <w:tcW w:w="960" w:type="dxa"/>
            <w:vAlign w:val="bottom"/>
          </w:tcPr>
          <w:p>
            <w:pPr>
              <w:jc w:val="center"/>
              <w:ind w:right="390"/>
              <w:spacing w:after="0" w:line="202" w:lineRule="exact"/>
              <w:rPr>
                <w:sz w:val="20"/>
                <w:szCs w:val="20"/>
                <w:color w:val="auto"/>
              </w:rPr>
            </w:pPr>
            <w:r>
              <w:rPr>
                <w:rFonts w:ascii="Arial" w:cs="Arial" w:eastAsia="Arial" w:hAnsi="Arial"/>
                <w:sz w:val="18"/>
                <w:szCs w:val="18"/>
                <w:color w:val="auto"/>
                <w:w w:val="99"/>
              </w:rPr>
              <w:t>58%</w:t>
            </w:r>
          </w:p>
        </w:tc>
      </w:tr>
      <w:tr>
        <w:trPr>
          <w:trHeight w:val="203"/>
        </w:trPr>
        <w:tc>
          <w:tcPr>
            <w:tcW w:w="642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Debt securities</w:t>
            </w:r>
          </w:p>
        </w:tc>
        <w:tc>
          <w:tcPr>
            <w:tcW w:w="1620" w:type="dxa"/>
            <w:vAlign w:val="bottom"/>
            <w:tcBorders>
              <w:right w:val="single" w:sz="8" w:color="007CBA"/>
            </w:tcBorders>
            <w:shd w:val="clear" w:color="auto" w:fill="E5F1F8"/>
          </w:tcPr>
          <w:p>
            <w:pPr>
              <w:jc w:val="center"/>
              <w:ind w:left="50"/>
              <w:spacing w:after="0" w:line="202" w:lineRule="exact"/>
              <w:rPr>
                <w:sz w:val="20"/>
                <w:szCs w:val="20"/>
                <w:color w:val="auto"/>
              </w:rPr>
            </w:pPr>
            <w:r>
              <w:rPr>
                <w:rFonts w:ascii="Arial" w:cs="Arial" w:eastAsia="Arial" w:hAnsi="Arial"/>
                <w:sz w:val="18"/>
                <w:szCs w:val="18"/>
                <w:color w:val="auto"/>
                <w:w w:val="99"/>
              </w:rPr>
              <w:t>28%</w:t>
            </w:r>
          </w:p>
        </w:tc>
        <w:tc>
          <w:tcPr>
            <w:tcW w:w="1620" w:type="dxa"/>
            <w:vAlign w:val="bottom"/>
            <w:tcBorders>
              <w:right w:val="single" w:sz="8" w:color="007CBA"/>
            </w:tcBorders>
            <w:shd w:val="clear" w:color="auto" w:fill="E5F1F8"/>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24%</w:t>
            </w:r>
          </w:p>
        </w:tc>
        <w:tc>
          <w:tcPr>
            <w:tcW w:w="620" w:type="dxa"/>
            <w:vAlign w:val="bottom"/>
            <w:shd w:val="clear" w:color="auto" w:fill="E5F1F8"/>
          </w:tcPr>
          <w:p>
            <w:pPr>
              <w:spacing w:after="0"/>
              <w:rPr>
                <w:sz w:val="17"/>
                <w:szCs w:val="17"/>
                <w:color w:val="auto"/>
              </w:rPr>
            </w:pPr>
          </w:p>
        </w:tc>
        <w:tc>
          <w:tcPr>
            <w:tcW w:w="960" w:type="dxa"/>
            <w:vAlign w:val="bottom"/>
            <w:shd w:val="clear" w:color="auto" w:fill="E5F1F8"/>
          </w:tcPr>
          <w:p>
            <w:pPr>
              <w:jc w:val="center"/>
              <w:ind w:right="390"/>
              <w:spacing w:after="0" w:line="202" w:lineRule="exact"/>
              <w:rPr>
                <w:sz w:val="20"/>
                <w:szCs w:val="20"/>
                <w:color w:val="auto"/>
              </w:rPr>
            </w:pPr>
            <w:r>
              <w:rPr>
                <w:rFonts w:ascii="Arial" w:cs="Arial" w:eastAsia="Arial" w:hAnsi="Arial"/>
                <w:sz w:val="18"/>
                <w:szCs w:val="18"/>
                <w:color w:val="auto"/>
                <w:w w:val="99"/>
              </w:rPr>
              <w:t>22%</w:t>
            </w:r>
          </w:p>
        </w:tc>
      </w:tr>
      <w:tr>
        <w:trPr>
          <w:trHeight w:val="203"/>
        </w:trPr>
        <w:tc>
          <w:tcPr>
            <w:tcW w:w="642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Real estate</w:t>
            </w:r>
          </w:p>
        </w:tc>
        <w:tc>
          <w:tcPr>
            <w:tcW w:w="1620" w:type="dxa"/>
            <w:vAlign w:val="bottom"/>
            <w:tcBorders>
              <w:right w:val="single" w:sz="8" w:color="007CBA"/>
            </w:tcBorders>
          </w:tcPr>
          <w:p>
            <w:pPr>
              <w:jc w:val="center"/>
              <w:ind w:left="50"/>
              <w:spacing w:after="0" w:line="202" w:lineRule="exact"/>
              <w:rPr>
                <w:sz w:val="20"/>
                <w:szCs w:val="20"/>
                <w:color w:val="auto"/>
              </w:rPr>
            </w:pPr>
            <w:r>
              <w:rPr>
                <w:rFonts w:ascii="Arial" w:cs="Arial" w:eastAsia="Arial" w:hAnsi="Arial"/>
                <w:sz w:val="18"/>
                <w:szCs w:val="18"/>
                <w:color w:val="auto"/>
                <w:w w:val="99"/>
              </w:rPr>
              <w:t>10%</w:t>
            </w:r>
          </w:p>
        </w:tc>
        <w:tc>
          <w:tcPr>
            <w:tcW w:w="1620" w:type="dxa"/>
            <w:vAlign w:val="bottom"/>
            <w:tcBorders>
              <w:right w:val="single" w:sz="8" w:color="007CBA"/>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10%</w:t>
            </w:r>
          </w:p>
        </w:tc>
        <w:tc>
          <w:tcPr>
            <w:tcW w:w="620" w:type="dxa"/>
            <w:vAlign w:val="bottom"/>
          </w:tcPr>
          <w:p>
            <w:pPr>
              <w:spacing w:after="0"/>
              <w:rPr>
                <w:sz w:val="17"/>
                <w:szCs w:val="17"/>
                <w:color w:val="auto"/>
              </w:rPr>
            </w:pPr>
          </w:p>
        </w:tc>
        <w:tc>
          <w:tcPr>
            <w:tcW w:w="960" w:type="dxa"/>
            <w:vAlign w:val="bottom"/>
          </w:tcPr>
          <w:p>
            <w:pPr>
              <w:jc w:val="center"/>
              <w:ind w:right="390"/>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642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Private infrastructure</w:t>
            </w:r>
          </w:p>
        </w:tc>
        <w:tc>
          <w:tcPr>
            <w:tcW w:w="1620" w:type="dxa"/>
            <w:vAlign w:val="bottom"/>
            <w:tcBorders>
              <w:right w:val="single" w:sz="8" w:color="007CBA"/>
            </w:tcBorders>
            <w:shd w:val="clear" w:color="auto" w:fill="E5F1F8"/>
          </w:tcPr>
          <w:p>
            <w:pPr>
              <w:jc w:val="center"/>
              <w:ind w:left="70"/>
              <w:spacing w:after="0" w:line="202" w:lineRule="exact"/>
              <w:rPr>
                <w:sz w:val="20"/>
                <w:szCs w:val="20"/>
                <w:color w:val="auto"/>
              </w:rPr>
            </w:pPr>
            <w:r>
              <w:rPr>
                <w:rFonts w:ascii="Arial" w:cs="Arial" w:eastAsia="Arial" w:hAnsi="Arial"/>
                <w:sz w:val="18"/>
                <w:szCs w:val="18"/>
                <w:color w:val="auto"/>
                <w:w w:val="99"/>
              </w:rPr>
              <w:t>6%</w:t>
            </w:r>
          </w:p>
        </w:tc>
        <w:tc>
          <w:tcPr>
            <w:tcW w:w="1620" w:type="dxa"/>
            <w:vAlign w:val="bottom"/>
            <w:tcBorders>
              <w:right w:val="single" w:sz="8" w:color="007CBA"/>
            </w:tcBorders>
            <w:shd w:val="clear" w:color="auto" w:fill="E5F1F8"/>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7%</w:t>
            </w:r>
          </w:p>
        </w:tc>
        <w:tc>
          <w:tcPr>
            <w:tcW w:w="620" w:type="dxa"/>
            <w:vAlign w:val="bottom"/>
            <w:shd w:val="clear" w:color="auto" w:fill="E5F1F8"/>
          </w:tcPr>
          <w:p>
            <w:pPr>
              <w:spacing w:after="0"/>
              <w:rPr>
                <w:sz w:val="17"/>
                <w:szCs w:val="17"/>
                <w:color w:val="auto"/>
              </w:rPr>
            </w:pPr>
          </w:p>
        </w:tc>
        <w:tc>
          <w:tcPr>
            <w:tcW w:w="960" w:type="dxa"/>
            <w:vAlign w:val="bottom"/>
            <w:shd w:val="clear" w:color="auto" w:fill="E5F1F8"/>
          </w:tcPr>
          <w:p>
            <w:pPr>
              <w:jc w:val="center"/>
              <w:ind w:right="410"/>
              <w:spacing w:after="0" w:line="202" w:lineRule="exact"/>
              <w:rPr>
                <w:sz w:val="20"/>
                <w:szCs w:val="20"/>
                <w:color w:val="auto"/>
              </w:rPr>
            </w:pPr>
            <w:r>
              <w:rPr>
                <w:rFonts w:ascii="Arial" w:cs="Arial" w:eastAsia="Arial" w:hAnsi="Arial"/>
                <w:sz w:val="18"/>
                <w:szCs w:val="18"/>
                <w:color w:val="auto"/>
                <w:w w:val="99"/>
              </w:rPr>
              <w:t>8%</w:t>
            </w:r>
          </w:p>
        </w:tc>
      </w:tr>
      <w:tr>
        <w:trPr>
          <w:trHeight w:val="202"/>
        </w:trPr>
        <w:tc>
          <w:tcPr>
            <w:tcW w:w="64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Cash</w:t>
            </w:r>
          </w:p>
        </w:tc>
        <w:tc>
          <w:tcPr>
            <w:tcW w:w="1620" w:type="dxa"/>
            <w:vAlign w:val="bottom"/>
            <w:tcBorders>
              <w:bottom w:val="single" w:sz="8" w:color="auto"/>
            </w:tcBorders>
          </w:tcPr>
          <w:p>
            <w:pPr>
              <w:jc w:val="center"/>
              <w:ind w:left="70"/>
              <w:spacing w:after="0" w:line="202" w:lineRule="exact"/>
              <w:rPr>
                <w:sz w:val="20"/>
                <w:szCs w:val="20"/>
                <w:color w:val="auto"/>
              </w:rPr>
            </w:pPr>
            <w:r>
              <w:rPr>
                <w:rFonts w:ascii="Arial" w:cs="Arial" w:eastAsia="Arial" w:hAnsi="Arial"/>
                <w:sz w:val="18"/>
                <w:szCs w:val="18"/>
                <w:color w:val="auto"/>
                <w:w w:val="99"/>
              </w:rPr>
              <w:t>0%</w:t>
            </w:r>
          </w:p>
        </w:tc>
        <w:tc>
          <w:tcPr>
            <w:tcW w:w="1620" w:type="dxa"/>
            <w:vAlign w:val="bottom"/>
            <w:tcBorders>
              <w:bottom w:val="single" w:sz="8" w:color="auto"/>
            </w:tcBorders>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1%</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0"/>
              <w:spacing w:after="0" w:line="202" w:lineRule="exact"/>
              <w:rPr>
                <w:sz w:val="20"/>
                <w:szCs w:val="20"/>
                <w:color w:val="auto"/>
              </w:rPr>
            </w:pPr>
            <w:r>
              <w:rPr>
                <w:rFonts w:ascii="Arial" w:cs="Arial" w:eastAsia="Arial" w:hAnsi="Arial"/>
                <w:sz w:val="18"/>
                <w:szCs w:val="18"/>
                <w:color w:val="auto"/>
                <w:w w:val="99"/>
              </w:rPr>
              <w:t>2%</w:t>
            </w:r>
          </w:p>
        </w:tc>
      </w:tr>
      <w:tr>
        <w:trPr>
          <w:trHeight w:val="236"/>
        </w:trPr>
        <w:tc>
          <w:tcPr>
            <w:tcW w:w="642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right w:val="single" w:sz="8" w:color="E5F1F8"/>
            </w:tcBorders>
            <w:shd w:val="clear" w:color="auto" w:fill="E5F1F8"/>
          </w:tcPr>
          <w:p>
            <w:pPr>
              <w:jc w:val="center"/>
              <w:ind w:left="70"/>
              <w:spacing w:after="0" w:line="196" w:lineRule="exact"/>
              <w:rPr>
                <w:sz w:val="20"/>
                <w:szCs w:val="20"/>
                <w:color w:val="auto"/>
              </w:rPr>
            </w:pPr>
            <w:r>
              <w:rPr>
                <w:rFonts w:ascii="Arial" w:cs="Arial" w:eastAsia="Arial" w:hAnsi="Arial"/>
                <w:sz w:val="18"/>
                <w:szCs w:val="18"/>
                <w:color w:val="auto"/>
                <w:w w:val="99"/>
              </w:rPr>
              <w:t>100%</w:t>
            </w:r>
          </w:p>
        </w:tc>
        <w:tc>
          <w:tcPr>
            <w:tcW w:w="1620" w:type="dxa"/>
            <w:vAlign w:val="bottom"/>
            <w:tcBorders>
              <w:bottom w:val="single" w:sz="8" w:color="auto"/>
              <w:right w:val="single" w:sz="8" w:color="E5F1F8"/>
            </w:tcBorders>
            <w:shd w:val="clear" w:color="auto" w:fill="E5F1F8"/>
          </w:tcPr>
          <w:p>
            <w:pPr>
              <w:jc w:val="center"/>
              <w:ind w:left="30"/>
              <w:spacing w:after="0" w:line="196" w:lineRule="exact"/>
              <w:rPr>
                <w:sz w:val="20"/>
                <w:szCs w:val="20"/>
                <w:color w:val="auto"/>
              </w:rPr>
            </w:pPr>
            <w:r>
              <w:rPr>
                <w:rFonts w:ascii="Arial" w:cs="Arial" w:eastAsia="Arial" w:hAnsi="Arial"/>
                <w:sz w:val="18"/>
                <w:szCs w:val="18"/>
                <w:b w:val="1"/>
                <w:bCs w:val="1"/>
                <w:color w:val="auto"/>
                <w:w w:val="99"/>
              </w:rPr>
              <w:t>100%</w:t>
            </w:r>
          </w:p>
        </w:tc>
        <w:tc>
          <w:tcPr>
            <w:tcW w:w="620" w:type="dxa"/>
            <w:vAlign w:val="bottom"/>
            <w:tcBorders>
              <w:bottom w:val="single" w:sz="8" w:color="auto"/>
            </w:tcBorders>
            <w:shd w:val="clear" w:color="auto" w:fill="E5F1F8"/>
          </w:tcPr>
          <w:p>
            <w:pPr>
              <w:spacing w:after="0"/>
              <w:rPr>
                <w:sz w:val="20"/>
                <w:szCs w:val="20"/>
                <w:color w:val="auto"/>
              </w:rPr>
            </w:pPr>
          </w:p>
        </w:tc>
        <w:tc>
          <w:tcPr>
            <w:tcW w:w="960" w:type="dxa"/>
            <w:vAlign w:val="bottom"/>
            <w:tcBorders>
              <w:bottom w:val="single" w:sz="8" w:color="auto"/>
            </w:tcBorders>
            <w:shd w:val="clear" w:color="auto" w:fill="E5F1F8"/>
          </w:tcPr>
          <w:p>
            <w:pPr>
              <w:jc w:val="center"/>
              <w:ind w:right="410"/>
              <w:spacing w:after="0" w:line="196" w:lineRule="exact"/>
              <w:rPr>
                <w:sz w:val="20"/>
                <w:szCs w:val="20"/>
                <w:color w:val="auto"/>
              </w:rPr>
            </w:pPr>
            <w:r>
              <w:rPr>
                <w:rFonts w:ascii="Arial" w:cs="Arial" w:eastAsia="Arial" w:hAnsi="Arial"/>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-1199515</wp:posOffset>
            </wp:positionV>
            <wp:extent cx="306006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-303530</wp:posOffset>
            </wp:positionV>
            <wp:extent cx="33655" cy="3168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-303530</wp:posOffset>
            </wp:positionV>
            <wp:extent cx="34290" cy="3168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-303530</wp:posOffset>
            </wp:positionV>
            <wp:extent cx="33655" cy="3168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Company’s investment strategy is for equity securities to be invested in mid-sized to large capitalization U.S. funds, and small capitalization, international and emerging growth funds. Debt securities, or fixed income investments, are invested in funds benchmarked to the Barclays U.S. Aggregate Bond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308"/>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Part II</w:t>
            </w:r>
          </w:p>
        </w:tc>
        <w:tc>
          <w:tcPr>
            <w:tcW w:w="4740" w:type="dxa"/>
            <w:vAlign w:val="bottom"/>
            <w:gridSpan w:val="7"/>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89"/>
        </w:trPr>
        <w:tc>
          <w:tcPr>
            <w:tcW w:w="8540" w:type="dxa"/>
            <w:vAlign w:val="bottom"/>
            <w:gridSpan w:val="7"/>
          </w:tcPr>
          <w:p>
            <w:pPr>
              <w:spacing w:after="0"/>
              <w:rPr>
                <w:sz w:val="20"/>
                <w:szCs w:val="20"/>
                <w:color w:val="auto"/>
              </w:rPr>
            </w:pPr>
            <w:r>
              <w:rPr>
                <w:rFonts w:ascii="Arial" w:cs="Arial" w:eastAsia="Arial" w:hAnsi="Arial"/>
                <w:sz w:val="18"/>
                <w:szCs w:val="18"/>
                <w:color w:val="auto"/>
              </w:rPr>
              <w:t>The fair values of pension plan assets by asset class and fair value hierarchy level are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7"/>
        </w:trPr>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1360" w:type="dxa"/>
            <w:vAlign w:val="bottom"/>
            <w:gridSpan w:val="2"/>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3"/>
        </w:trPr>
        <w:tc>
          <w:tcPr>
            <w:tcW w:w="4740" w:type="dxa"/>
            <w:vAlign w:val="bottom"/>
            <w:tcBorders>
              <w:right w:val="single" w:sz="8" w:color="007CBA"/>
            </w:tcBorders>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3540" w:type="dxa"/>
            <w:vAlign w:val="bottom"/>
            <w:gridSpan w:val="5"/>
            <w:shd w:val="clear" w:color="auto" w:fill="007CBA"/>
          </w:tcPr>
          <w:p>
            <w:pPr>
              <w:ind w:left="740"/>
              <w:spacing w:after="0"/>
              <w:rPr>
                <w:sz w:val="20"/>
                <w:szCs w:val="20"/>
                <w:color w:val="auto"/>
              </w:rPr>
            </w:pPr>
            <w:r>
              <w:rPr>
                <w:rFonts w:ascii="Arial" w:cs="Arial" w:eastAsia="Arial" w:hAnsi="Arial"/>
                <w:sz w:val="16"/>
                <w:szCs w:val="16"/>
                <w:b w:val="1"/>
                <w:bCs w:val="1"/>
                <w:color w:val="FFFFFF"/>
              </w:rPr>
              <w:t>Fair Value Measurements</w:t>
            </w:r>
          </w:p>
        </w:tc>
        <w:tc>
          <w:tcPr>
            <w:tcW w:w="28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80" w:type="dxa"/>
            <w:vAlign w:val="bottom"/>
            <w:tcBorders>
              <w:right w:val="single" w:sz="8" w:color="007CBA"/>
            </w:tcBorders>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020" w:type="dxa"/>
            <w:vAlign w:val="bottom"/>
            <w:shd w:val="clear" w:color="auto" w:fill="007CBA"/>
          </w:tcPr>
          <w:p>
            <w:pPr>
              <w:spacing w:after="0"/>
              <w:rPr>
                <w:sz w:val="17"/>
                <w:szCs w:val="17"/>
                <w:color w:val="auto"/>
              </w:rPr>
            </w:pPr>
          </w:p>
        </w:tc>
      </w:tr>
      <w:tr>
        <w:trPr>
          <w:trHeight w:val="175"/>
        </w:trPr>
        <w:tc>
          <w:tcPr>
            <w:tcW w:w="4740" w:type="dxa"/>
            <w:vAlign w:val="bottom"/>
            <w:tcBorders>
              <w:right w:val="single" w:sz="8" w:color="007CBA"/>
            </w:tcBorders>
            <w:shd w:val="clear" w:color="auto" w:fill="007CBA"/>
          </w:tcPr>
          <w:p>
            <w:pPr>
              <w:spacing w:after="0"/>
              <w:rPr>
                <w:sz w:val="15"/>
                <w:szCs w:val="15"/>
                <w:color w:val="auto"/>
              </w:rPr>
            </w:pPr>
          </w:p>
        </w:tc>
        <w:tc>
          <w:tcPr>
            <w:tcW w:w="1260" w:type="dxa"/>
            <w:vAlign w:val="bottom"/>
            <w:gridSpan w:val="2"/>
            <w:shd w:val="clear" w:color="auto" w:fill="007CBA"/>
          </w:tcPr>
          <w:p>
            <w:pPr>
              <w:ind w:left="120"/>
              <w:spacing w:after="0" w:line="175" w:lineRule="exact"/>
              <w:rPr>
                <w:sz w:val="20"/>
                <w:szCs w:val="20"/>
                <w:color w:val="auto"/>
              </w:rPr>
            </w:pPr>
            <w:r>
              <w:rPr>
                <w:rFonts w:ascii="Arial" w:cs="Arial" w:eastAsia="Arial" w:hAnsi="Arial"/>
                <w:sz w:val="16"/>
                <w:szCs w:val="16"/>
                <w:b w:val="1"/>
                <w:bCs w:val="1"/>
                <w:color w:val="FFFFFF"/>
              </w:rPr>
              <w:t>Quoted Prices</w:t>
            </w:r>
          </w:p>
        </w:tc>
        <w:tc>
          <w:tcPr>
            <w:tcW w:w="100" w:type="dxa"/>
            <w:vAlign w:val="bottom"/>
            <w:tcBorders>
              <w:right w:val="single" w:sz="8" w:color="007CBA"/>
            </w:tcBorders>
            <w:shd w:val="clear" w:color="auto" w:fill="007CBA"/>
          </w:tcPr>
          <w:p>
            <w:pPr>
              <w:spacing w:after="0"/>
              <w:rPr>
                <w:sz w:val="15"/>
                <w:szCs w:val="15"/>
                <w:color w:val="auto"/>
              </w:rPr>
            </w:pPr>
          </w:p>
        </w:tc>
        <w:tc>
          <w:tcPr>
            <w:tcW w:w="400" w:type="dxa"/>
            <w:vAlign w:val="bottom"/>
            <w:shd w:val="clear" w:color="auto" w:fill="007CBA"/>
          </w:tcPr>
          <w:p>
            <w:pPr>
              <w:spacing w:after="0"/>
              <w:rPr>
                <w:sz w:val="15"/>
                <w:szCs w:val="15"/>
                <w:color w:val="auto"/>
              </w:rPr>
            </w:pPr>
          </w:p>
        </w:tc>
        <w:tc>
          <w:tcPr>
            <w:tcW w:w="960" w:type="dxa"/>
            <w:vAlign w:val="bottom"/>
            <w:tcBorders>
              <w:right w:val="single" w:sz="8" w:color="007CBA"/>
            </w:tcBorders>
            <w:shd w:val="clear" w:color="auto" w:fill="007CBA"/>
          </w:tcPr>
          <w:p>
            <w:pPr>
              <w:spacing w:after="0"/>
              <w:rPr>
                <w:sz w:val="15"/>
                <w:szCs w:val="15"/>
                <w:color w:val="auto"/>
              </w:rPr>
            </w:pPr>
          </w:p>
        </w:tc>
        <w:tc>
          <w:tcPr>
            <w:tcW w:w="1080" w:type="dxa"/>
            <w:vAlign w:val="bottom"/>
            <w:shd w:val="clear" w:color="auto" w:fill="007CBA"/>
          </w:tcPr>
          <w:p>
            <w:pPr>
              <w:spacing w:after="0"/>
              <w:rPr>
                <w:sz w:val="15"/>
                <w:szCs w:val="15"/>
                <w:color w:val="auto"/>
              </w:rPr>
            </w:pPr>
          </w:p>
        </w:tc>
        <w:tc>
          <w:tcPr>
            <w:tcW w:w="280" w:type="dxa"/>
            <w:vAlign w:val="bottom"/>
            <w:tcBorders>
              <w:right w:val="single" w:sz="8" w:color="007CBA"/>
            </w:tcBorders>
            <w:shd w:val="clear" w:color="auto" w:fill="007CBA"/>
          </w:tcPr>
          <w:p>
            <w:pPr>
              <w:spacing w:after="0"/>
              <w:rPr>
                <w:sz w:val="15"/>
                <w:szCs w:val="15"/>
                <w:color w:val="auto"/>
              </w:rPr>
            </w:pPr>
          </w:p>
        </w:tc>
        <w:tc>
          <w:tcPr>
            <w:tcW w:w="220" w:type="dxa"/>
            <w:vAlign w:val="bottom"/>
            <w:shd w:val="clear" w:color="auto" w:fill="007CBA"/>
          </w:tcPr>
          <w:p>
            <w:pPr>
              <w:spacing w:after="0"/>
              <w:rPr>
                <w:sz w:val="15"/>
                <w:szCs w:val="15"/>
                <w:color w:val="auto"/>
              </w:rPr>
            </w:pPr>
          </w:p>
        </w:tc>
        <w:tc>
          <w:tcPr>
            <w:tcW w:w="9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1020" w:type="dxa"/>
            <w:vAlign w:val="bottom"/>
            <w:shd w:val="clear" w:color="auto" w:fill="007CBA"/>
          </w:tcPr>
          <w:p>
            <w:pPr>
              <w:spacing w:after="0"/>
              <w:rPr>
                <w:sz w:val="15"/>
                <w:szCs w:val="15"/>
                <w:color w:val="auto"/>
              </w:rPr>
            </w:pPr>
          </w:p>
        </w:tc>
      </w:tr>
      <w:tr>
        <w:trPr>
          <w:trHeight w:val="189"/>
        </w:trPr>
        <w:tc>
          <w:tcPr>
            <w:tcW w:w="474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000" w:type="dxa"/>
            <w:vAlign w:val="bottom"/>
            <w:shd w:val="clear" w:color="auto" w:fill="007CBA"/>
          </w:tcPr>
          <w:p>
            <w:pPr>
              <w:jc w:val="center"/>
              <w:ind w:right="119"/>
              <w:spacing w:after="0"/>
              <w:rPr>
                <w:sz w:val="20"/>
                <w:szCs w:val="20"/>
                <w:color w:val="auto"/>
              </w:rPr>
            </w:pPr>
            <w:r>
              <w:rPr>
                <w:rFonts w:ascii="Arial" w:cs="Arial" w:eastAsia="Arial" w:hAnsi="Arial"/>
                <w:sz w:val="16"/>
                <w:szCs w:val="16"/>
                <w:b w:val="1"/>
                <w:bCs w:val="1"/>
                <w:color w:val="FFFFFF"/>
              </w:rPr>
              <w:t>in Active</w:t>
            </w:r>
          </w:p>
        </w:tc>
        <w:tc>
          <w:tcPr>
            <w:tcW w:w="1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1080" w:type="dxa"/>
            <w:vAlign w:val="bottom"/>
            <w:shd w:val="clear" w:color="auto" w:fill="007CBA"/>
          </w:tcPr>
          <w:p>
            <w:pPr>
              <w:spacing w:after="0"/>
              <w:rPr>
                <w:sz w:val="16"/>
                <w:szCs w:val="16"/>
                <w:color w:val="auto"/>
              </w:rPr>
            </w:pPr>
          </w:p>
        </w:tc>
        <w:tc>
          <w:tcPr>
            <w:tcW w:w="28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spacing w:after="0"/>
              <w:rPr>
                <w:sz w:val="16"/>
                <w:szCs w:val="16"/>
                <w:color w:val="auto"/>
              </w:rPr>
            </w:pPr>
          </w:p>
        </w:tc>
      </w:tr>
      <w:tr>
        <w:trPr>
          <w:trHeight w:val="189"/>
        </w:trPr>
        <w:tc>
          <w:tcPr>
            <w:tcW w:w="474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000" w:type="dxa"/>
            <w:vAlign w:val="bottom"/>
            <w:shd w:val="clear" w:color="auto" w:fill="007CBA"/>
          </w:tcPr>
          <w:p>
            <w:pPr>
              <w:jc w:val="center"/>
              <w:ind w:right="139"/>
              <w:spacing w:after="0"/>
              <w:rPr>
                <w:sz w:val="20"/>
                <w:szCs w:val="20"/>
                <w:color w:val="auto"/>
              </w:rPr>
            </w:pPr>
            <w:r>
              <w:rPr>
                <w:rFonts w:ascii="Arial" w:cs="Arial" w:eastAsia="Arial" w:hAnsi="Arial"/>
                <w:sz w:val="16"/>
                <w:szCs w:val="16"/>
                <w:b w:val="1"/>
                <w:bCs w:val="1"/>
                <w:color w:val="FFFFFF"/>
              </w:rPr>
              <w:t>Markets</w:t>
            </w:r>
          </w:p>
        </w:tc>
        <w:tc>
          <w:tcPr>
            <w:tcW w:w="100" w:type="dxa"/>
            <w:vAlign w:val="bottom"/>
            <w:tcBorders>
              <w:right w:val="single" w:sz="8" w:color="007CBA"/>
            </w:tcBorders>
            <w:shd w:val="clear" w:color="auto" w:fill="007CBA"/>
          </w:tcPr>
          <w:p>
            <w:pPr>
              <w:spacing w:after="0"/>
              <w:rPr>
                <w:sz w:val="16"/>
                <w:szCs w:val="16"/>
                <w:color w:val="auto"/>
              </w:rPr>
            </w:pPr>
          </w:p>
        </w:tc>
        <w:tc>
          <w:tcPr>
            <w:tcW w:w="13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Significant</w:t>
            </w:r>
          </w:p>
        </w:tc>
        <w:tc>
          <w:tcPr>
            <w:tcW w:w="1080" w:type="dxa"/>
            <w:vAlign w:val="bottom"/>
            <w:shd w:val="clear" w:color="auto" w:fill="007CBA"/>
          </w:tcPr>
          <w:p>
            <w:pPr>
              <w:ind w:left="240"/>
              <w:spacing w:after="0"/>
              <w:rPr>
                <w:sz w:val="20"/>
                <w:szCs w:val="20"/>
                <w:color w:val="auto"/>
              </w:rPr>
            </w:pPr>
            <w:r>
              <w:rPr>
                <w:rFonts w:ascii="Arial" w:cs="Arial" w:eastAsia="Arial" w:hAnsi="Arial"/>
                <w:sz w:val="16"/>
                <w:szCs w:val="16"/>
                <w:b w:val="1"/>
                <w:bCs w:val="1"/>
                <w:color w:val="FFFFFF"/>
              </w:rPr>
              <w:t>Significant</w:t>
            </w:r>
          </w:p>
        </w:tc>
        <w:tc>
          <w:tcPr>
            <w:tcW w:w="28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spacing w:after="0"/>
              <w:rPr>
                <w:sz w:val="16"/>
                <w:szCs w:val="16"/>
                <w:color w:val="auto"/>
              </w:rPr>
            </w:pPr>
          </w:p>
        </w:tc>
      </w:tr>
      <w:tr>
        <w:trPr>
          <w:trHeight w:val="189"/>
        </w:trPr>
        <w:tc>
          <w:tcPr>
            <w:tcW w:w="4740" w:type="dxa"/>
            <w:vAlign w:val="bottom"/>
            <w:tcBorders>
              <w:right w:val="single" w:sz="8" w:color="007CBA"/>
            </w:tcBorders>
            <w:shd w:val="clear" w:color="auto" w:fill="007CBA"/>
          </w:tcPr>
          <w:p>
            <w:pPr>
              <w:spacing w:after="0"/>
              <w:rPr>
                <w:sz w:val="16"/>
                <w:szCs w:val="16"/>
                <w:color w:val="auto"/>
              </w:rPr>
            </w:pPr>
          </w:p>
        </w:tc>
        <w:tc>
          <w:tcPr>
            <w:tcW w:w="1260" w:type="dxa"/>
            <w:vAlign w:val="bottom"/>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for Identical</w:t>
            </w:r>
          </w:p>
        </w:tc>
        <w:tc>
          <w:tcPr>
            <w:tcW w:w="100" w:type="dxa"/>
            <w:vAlign w:val="bottom"/>
            <w:tcBorders>
              <w:right w:val="single" w:sz="8" w:color="007CBA"/>
            </w:tcBorders>
            <w:shd w:val="clear" w:color="auto" w:fill="007CBA"/>
          </w:tcPr>
          <w:p>
            <w:pPr>
              <w:spacing w:after="0"/>
              <w:rPr>
                <w:sz w:val="16"/>
                <w:szCs w:val="16"/>
                <w:color w:val="auto"/>
              </w:rPr>
            </w:pPr>
          </w:p>
        </w:tc>
        <w:tc>
          <w:tcPr>
            <w:tcW w:w="13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Observable</w:t>
            </w:r>
          </w:p>
        </w:tc>
        <w:tc>
          <w:tcPr>
            <w:tcW w:w="136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6"/>
                <w:szCs w:val="16"/>
                <w:b w:val="1"/>
                <w:bCs w:val="1"/>
                <w:color w:val="FFFFFF"/>
              </w:rPr>
              <w:t>Unobservable</w:t>
            </w: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spacing w:after="0"/>
              <w:rPr>
                <w:sz w:val="16"/>
                <w:szCs w:val="16"/>
                <w:color w:val="auto"/>
              </w:rPr>
            </w:pPr>
          </w:p>
        </w:tc>
      </w:tr>
      <w:tr>
        <w:trPr>
          <w:trHeight w:val="189"/>
        </w:trPr>
        <w:tc>
          <w:tcPr>
            <w:tcW w:w="474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000" w:type="dxa"/>
            <w:vAlign w:val="bottom"/>
            <w:shd w:val="clear" w:color="auto" w:fill="007CBA"/>
          </w:tcPr>
          <w:p>
            <w:pPr>
              <w:jc w:val="center"/>
              <w:ind w:right="139"/>
              <w:spacing w:after="0"/>
              <w:rPr>
                <w:sz w:val="20"/>
                <w:szCs w:val="20"/>
                <w:color w:val="auto"/>
              </w:rPr>
            </w:pPr>
            <w:r>
              <w:rPr>
                <w:rFonts w:ascii="Arial" w:cs="Arial" w:eastAsia="Arial" w:hAnsi="Arial"/>
                <w:sz w:val="16"/>
                <w:szCs w:val="16"/>
                <w:b w:val="1"/>
                <w:bCs w:val="1"/>
                <w:color w:val="FFFFFF"/>
              </w:rPr>
              <w:t>Assets</w:t>
            </w:r>
          </w:p>
        </w:tc>
        <w:tc>
          <w:tcPr>
            <w:tcW w:w="1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jc w:val="center"/>
              <w:ind w:right="357"/>
              <w:spacing w:after="0"/>
              <w:rPr>
                <w:sz w:val="20"/>
                <w:szCs w:val="20"/>
                <w:color w:val="auto"/>
              </w:rPr>
            </w:pPr>
            <w:r>
              <w:rPr>
                <w:rFonts w:ascii="Arial" w:cs="Arial" w:eastAsia="Arial" w:hAnsi="Arial"/>
                <w:sz w:val="16"/>
                <w:szCs w:val="16"/>
                <w:b w:val="1"/>
                <w:bCs w:val="1"/>
                <w:color w:val="FFFFFF"/>
                <w:w w:val="99"/>
              </w:rPr>
              <w:t>Inputs</w:t>
            </w:r>
          </w:p>
        </w:tc>
        <w:tc>
          <w:tcPr>
            <w:tcW w:w="1080" w:type="dxa"/>
            <w:vAlign w:val="bottom"/>
            <w:shd w:val="clear" w:color="auto" w:fill="007CBA"/>
          </w:tcPr>
          <w:p>
            <w:pPr>
              <w:ind w:left="420"/>
              <w:spacing w:after="0"/>
              <w:rPr>
                <w:sz w:val="20"/>
                <w:szCs w:val="20"/>
                <w:color w:val="auto"/>
              </w:rPr>
            </w:pPr>
            <w:r>
              <w:rPr>
                <w:rFonts w:ascii="Arial" w:cs="Arial" w:eastAsia="Arial" w:hAnsi="Arial"/>
                <w:sz w:val="16"/>
                <w:szCs w:val="16"/>
                <w:b w:val="1"/>
                <w:bCs w:val="1"/>
                <w:color w:val="FFFFFF"/>
              </w:rPr>
              <w:t>Inputs</w:t>
            </w:r>
          </w:p>
        </w:tc>
        <w:tc>
          <w:tcPr>
            <w:tcW w:w="28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jc w:val="right"/>
              <w:ind w:right="139"/>
              <w:spacing w:after="0"/>
              <w:rPr>
                <w:sz w:val="20"/>
                <w:szCs w:val="20"/>
                <w:color w:val="auto"/>
              </w:rPr>
            </w:pPr>
            <w:r>
              <w:rPr>
                <w:rFonts w:ascii="Arial" w:cs="Arial" w:eastAsia="Arial" w:hAnsi="Arial"/>
                <w:sz w:val="16"/>
                <w:szCs w:val="16"/>
                <w:b w:val="1"/>
                <w:bCs w:val="1"/>
                <w:color w:val="FFFFFF"/>
              </w:rPr>
              <w:t>Net Asset</w:t>
            </w: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jc w:val="right"/>
              <w:ind w:right="199"/>
              <w:spacing w:after="0"/>
              <w:rPr>
                <w:sz w:val="20"/>
                <w:szCs w:val="20"/>
                <w:color w:val="auto"/>
              </w:rPr>
            </w:pPr>
            <w:r>
              <w:rPr>
                <w:rFonts w:ascii="Arial" w:cs="Arial" w:eastAsia="Arial" w:hAnsi="Arial"/>
                <w:sz w:val="16"/>
                <w:szCs w:val="16"/>
                <w:b w:val="1"/>
                <w:bCs w:val="1"/>
                <w:color w:val="FFFFFF"/>
                <w:w w:val="99"/>
              </w:rPr>
              <w:t>Total Fair</w:t>
            </w:r>
          </w:p>
        </w:tc>
      </w:tr>
      <w:tr>
        <w:trPr>
          <w:trHeight w:val="217"/>
        </w:trPr>
        <w:tc>
          <w:tcPr>
            <w:tcW w:w="47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i w:val="1"/>
                <w:iCs w:val="1"/>
                <w:color w:val="FFFFFF"/>
              </w:rPr>
              <w:t>December 31</w:t>
            </w:r>
          </w:p>
        </w:tc>
        <w:tc>
          <w:tcPr>
            <w:tcW w:w="260" w:type="dxa"/>
            <w:vAlign w:val="bottom"/>
            <w:shd w:val="clear" w:color="auto" w:fill="007CBA"/>
          </w:tcPr>
          <w:p>
            <w:pPr>
              <w:spacing w:after="0"/>
              <w:rPr>
                <w:sz w:val="18"/>
                <w:szCs w:val="18"/>
                <w:color w:val="auto"/>
              </w:rPr>
            </w:pPr>
          </w:p>
        </w:tc>
        <w:tc>
          <w:tcPr>
            <w:tcW w:w="1000" w:type="dxa"/>
            <w:vAlign w:val="bottom"/>
            <w:shd w:val="clear" w:color="auto" w:fill="007CBA"/>
          </w:tcPr>
          <w:p>
            <w:pPr>
              <w:jc w:val="center"/>
              <w:ind w:right="99"/>
              <w:spacing w:after="0"/>
              <w:rPr>
                <w:sz w:val="20"/>
                <w:szCs w:val="20"/>
                <w:color w:val="auto"/>
              </w:rPr>
            </w:pPr>
            <w:r>
              <w:rPr>
                <w:rFonts w:ascii="Arial" w:cs="Arial" w:eastAsia="Arial" w:hAnsi="Arial"/>
                <w:sz w:val="16"/>
                <w:szCs w:val="16"/>
                <w:b w:val="1"/>
                <w:bCs w:val="1"/>
                <w:color w:val="FFFFFF"/>
              </w:rPr>
              <w:t>(Level 1)</w:t>
            </w:r>
          </w:p>
        </w:tc>
        <w:tc>
          <w:tcPr>
            <w:tcW w:w="100" w:type="dxa"/>
            <w:vAlign w:val="bottom"/>
            <w:tcBorders>
              <w:right w:val="single" w:sz="8" w:color="007CBA"/>
            </w:tcBorders>
            <w:shd w:val="clear" w:color="auto" w:fill="007CBA"/>
          </w:tcPr>
          <w:p>
            <w:pPr>
              <w:spacing w:after="0"/>
              <w:rPr>
                <w:sz w:val="18"/>
                <w:szCs w:val="18"/>
                <w:color w:val="auto"/>
              </w:rPr>
            </w:pPr>
          </w:p>
        </w:tc>
        <w:tc>
          <w:tcPr>
            <w:tcW w:w="13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(Level 2)</w:t>
            </w:r>
          </w:p>
        </w:tc>
        <w:tc>
          <w:tcPr>
            <w:tcW w:w="1080" w:type="dxa"/>
            <w:vAlign w:val="bottom"/>
            <w:shd w:val="clear" w:color="auto" w:fill="007CBA"/>
          </w:tcPr>
          <w:p>
            <w:pPr>
              <w:ind w:left="360"/>
              <w:spacing w:after="0"/>
              <w:rPr>
                <w:sz w:val="20"/>
                <w:szCs w:val="20"/>
                <w:color w:val="auto"/>
              </w:rPr>
            </w:pPr>
            <w:r>
              <w:rPr>
                <w:rFonts w:ascii="Arial" w:cs="Arial" w:eastAsia="Arial" w:hAnsi="Arial"/>
                <w:sz w:val="16"/>
                <w:szCs w:val="16"/>
                <w:b w:val="1"/>
                <w:bCs w:val="1"/>
                <w:color w:val="FFFFFF"/>
              </w:rPr>
              <w:t>(Level 3)</w:t>
            </w:r>
          </w:p>
        </w:tc>
        <w:tc>
          <w:tcPr>
            <w:tcW w:w="28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jc w:val="right"/>
              <w:ind w:right="299"/>
              <w:spacing w:after="0"/>
              <w:rPr>
                <w:sz w:val="20"/>
                <w:szCs w:val="20"/>
                <w:color w:val="auto"/>
              </w:rPr>
            </w:pPr>
            <w:r>
              <w:rPr>
                <w:rFonts w:ascii="Arial" w:cs="Arial" w:eastAsia="Arial" w:hAnsi="Arial"/>
                <w:sz w:val="16"/>
                <w:szCs w:val="16"/>
                <w:b w:val="1"/>
                <w:bCs w:val="1"/>
                <w:color w:val="FFFFFF"/>
              </w:rPr>
              <w:t>Value</w:t>
            </w:r>
          </w:p>
        </w:tc>
        <w:tc>
          <w:tcPr>
            <w:tcW w:w="200" w:type="dxa"/>
            <w:vAlign w:val="bottom"/>
            <w:shd w:val="clear" w:color="auto" w:fill="007CBA"/>
          </w:tcPr>
          <w:p>
            <w:pPr>
              <w:spacing w:after="0"/>
              <w:rPr>
                <w:sz w:val="18"/>
                <w:szCs w:val="18"/>
                <w:color w:val="auto"/>
              </w:rPr>
            </w:pPr>
          </w:p>
        </w:tc>
        <w:tc>
          <w:tcPr>
            <w:tcW w:w="1020" w:type="dxa"/>
            <w:vAlign w:val="bottom"/>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Value</w:t>
            </w:r>
          </w:p>
        </w:tc>
      </w:tr>
      <w:tr>
        <w:trPr>
          <w:trHeight w:val="189"/>
        </w:trPr>
        <w:tc>
          <w:tcPr>
            <w:tcW w:w="47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color w:val="FFFFFF"/>
              </w:rPr>
              <w:t>(in millions)</w:t>
            </w:r>
          </w:p>
        </w:tc>
        <w:tc>
          <w:tcPr>
            <w:tcW w:w="260" w:type="dxa"/>
            <w:vAlign w:val="bottom"/>
            <w:shd w:val="clear" w:color="auto" w:fill="007CBA"/>
          </w:tcPr>
          <w:p>
            <w:pPr>
              <w:spacing w:after="0"/>
              <w:rPr>
                <w:sz w:val="16"/>
                <w:szCs w:val="16"/>
                <w:color w:val="auto"/>
              </w:rPr>
            </w:pPr>
          </w:p>
        </w:tc>
        <w:tc>
          <w:tcPr>
            <w:tcW w:w="1000" w:type="dxa"/>
            <w:vAlign w:val="bottom"/>
            <w:shd w:val="clear" w:color="auto" w:fill="007CBA"/>
          </w:tcPr>
          <w:p>
            <w:pPr>
              <w:spacing w:after="0"/>
              <w:rPr>
                <w:sz w:val="16"/>
                <w:szCs w:val="16"/>
                <w:color w:val="auto"/>
              </w:rPr>
            </w:pPr>
          </w:p>
        </w:tc>
        <w:tc>
          <w:tcPr>
            <w:tcW w:w="1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1080" w:type="dxa"/>
            <w:vAlign w:val="bottom"/>
            <w:shd w:val="clear" w:color="auto" w:fill="007CBA"/>
          </w:tcPr>
          <w:p>
            <w:pPr>
              <w:ind w:left="340"/>
              <w:spacing w:after="0"/>
              <w:rPr>
                <w:sz w:val="20"/>
                <w:szCs w:val="20"/>
                <w:color w:val="auto"/>
              </w:rPr>
            </w:pPr>
            <w:r>
              <w:rPr>
                <w:rFonts w:ascii="Arial" w:cs="Arial" w:eastAsia="Arial" w:hAnsi="Arial"/>
                <w:sz w:val="16"/>
                <w:szCs w:val="16"/>
                <w:b w:val="1"/>
                <w:bCs w:val="1"/>
                <w:color w:val="FFFFFF"/>
              </w:rPr>
              <w:t>2025</w:t>
            </w:r>
          </w:p>
        </w:tc>
        <w:tc>
          <w:tcPr>
            <w:tcW w:w="28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spacing w:after="0"/>
              <w:rPr>
                <w:sz w:val="16"/>
                <w:szCs w:val="16"/>
                <w:color w:val="auto"/>
              </w:rPr>
            </w:pPr>
          </w:p>
        </w:tc>
      </w:tr>
      <w:tr>
        <w:trPr>
          <w:trHeight w:val="189"/>
        </w:trPr>
        <w:tc>
          <w:tcPr>
            <w:tcW w:w="4740" w:type="dxa"/>
            <w:vAlign w:val="bottom"/>
            <w:tcBorders>
              <w:right w:val="single" w:sz="8" w:color="007CBA"/>
            </w:tcBorders>
            <w:shd w:val="clear" w:color="auto" w:fill="E5F1F8"/>
          </w:tcPr>
          <w:p>
            <w:pPr>
              <w:ind w:left="60"/>
              <w:spacing w:after="0" w:line="189" w:lineRule="exact"/>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16"/>
                <w:szCs w:val="16"/>
                <w:color w:val="auto"/>
              </w:rPr>
            </w:pP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spacing w:after="0"/>
              <w:rPr>
                <w:sz w:val="16"/>
                <w:szCs w:val="16"/>
                <w:color w:val="auto"/>
              </w:rPr>
            </w:pP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spacing w:after="0"/>
              <w:rPr>
                <w:sz w:val="16"/>
                <w:szCs w:val="16"/>
                <w:color w:val="auto"/>
              </w:rPr>
            </w:pPr>
          </w:p>
        </w:tc>
      </w:tr>
      <w:tr>
        <w:trPr>
          <w:trHeight w:val="189"/>
        </w:trPr>
        <w:tc>
          <w:tcPr>
            <w:tcW w:w="47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Mid-sized to large cap</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right w:val="single" w:sz="8" w:color="007CBA"/>
            </w:tcBorders>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right w:val="single" w:sz="8" w:color="007CBA"/>
            </w:tcBorders>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right w:val="single" w:sz="8" w:color="007CBA"/>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391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391</w:t>
            </w:r>
          </w:p>
        </w:tc>
      </w:tr>
      <w:tr>
        <w:trPr>
          <w:trHeight w:val="189"/>
        </w:trPr>
        <w:tc>
          <w:tcPr>
            <w:tcW w:w="4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Small cap, international and emerging growth funds</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425</w:t>
            </w: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425</w:t>
            </w:r>
          </w:p>
        </w:tc>
      </w:tr>
      <w:tr>
        <w:trPr>
          <w:trHeight w:val="189"/>
        </w:trPr>
        <w:tc>
          <w:tcPr>
            <w:tcW w:w="4740" w:type="dxa"/>
            <w:vAlign w:val="bottom"/>
            <w:tcBorders>
              <w:right w:val="single" w:sz="8" w:color="007CBA"/>
            </w:tcBorders>
          </w:tcPr>
          <w:p>
            <w:pPr>
              <w:ind w:left="60"/>
              <w:spacing w:after="0" w:line="189" w:lineRule="exact"/>
              <w:rPr>
                <w:sz w:val="20"/>
                <w:szCs w:val="20"/>
                <w:color w:val="auto"/>
              </w:rPr>
            </w:pPr>
            <w:r>
              <w:rPr>
                <w:rFonts w:ascii="Arial" w:cs="Arial" w:eastAsia="Arial" w:hAnsi="Arial"/>
                <w:sz w:val="16"/>
                <w:szCs w:val="16"/>
                <w:color w:val="auto"/>
              </w:rPr>
              <w:t>Debt securities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Core fixed income</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334</w:t>
            </w: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334</w:t>
            </w:r>
          </w:p>
        </w:tc>
      </w:tr>
      <w:tr>
        <w:trPr>
          <w:trHeight w:val="189"/>
        </w:trPr>
        <w:tc>
          <w:tcPr>
            <w:tcW w:w="47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Real estate</w:t>
            </w:r>
          </w:p>
        </w:tc>
        <w:tc>
          <w:tcPr>
            <w:tcW w:w="26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9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134</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134</w:t>
            </w:r>
          </w:p>
        </w:tc>
      </w:tr>
      <w:tr>
        <w:trPr>
          <w:trHeight w:val="189"/>
        </w:trPr>
        <w:tc>
          <w:tcPr>
            <w:tcW w:w="4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Private infrastructure</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100</w:t>
            </w: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100</w:t>
            </w:r>
          </w:p>
        </w:tc>
      </w:tr>
      <w:tr>
        <w:trPr>
          <w:trHeight w:val="189"/>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Cash equivalents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w:t>
            </w:r>
          </w:p>
        </w:tc>
      </w:tr>
      <w:tr>
        <w:trPr>
          <w:trHeight w:val="223"/>
        </w:trPr>
        <w:tc>
          <w:tcPr>
            <w:tcW w:w="4740" w:type="dxa"/>
            <w:vAlign w:val="bottom"/>
            <w:tcBorders>
              <w:bottom w:val="single" w:sz="8" w:color="auto"/>
              <w:right w:val="single" w:sz="8" w:color="E5F1F8"/>
            </w:tcBorders>
            <w:shd w:val="clear" w:color="auto" w:fill="E5F1F8"/>
          </w:tcPr>
          <w:p>
            <w:pPr>
              <w:ind w:left="6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E5F1F8"/>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E5F1F8"/>
          </w:tcPr>
          <w:p>
            <w:pPr>
              <w:ind w:left="820"/>
              <w:spacing w:after="0" w:line="183" w:lineRule="exact"/>
              <w:rPr>
                <w:sz w:val="20"/>
                <w:szCs w:val="20"/>
                <w:color w:val="auto"/>
              </w:rPr>
            </w:pPr>
            <w:r>
              <w:rPr>
                <w:rFonts w:ascii="Arial" w:cs="Arial" w:eastAsia="Arial" w:hAnsi="Arial"/>
                <w:sz w:val="16"/>
                <w:szCs w:val="16"/>
                <w:b w:val="1"/>
                <w:bCs w:val="1"/>
                <w:color w:val="auto"/>
                <w:w w:val="99"/>
              </w:rPr>
              <w:t>—</w:t>
            </w:r>
          </w:p>
        </w:tc>
        <w:tc>
          <w:tcPr>
            <w:tcW w:w="500" w:type="dxa"/>
            <w:vAlign w:val="bottom"/>
            <w:tcBorders>
              <w:bottom w:val="single" w:sz="8" w:color="auto"/>
            </w:tcBorders>
            <w:gridSpan w:val="2"/>
            <w:shd w:val="clear" w:color="auto" w:fill="E5F1F8"/>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right w:val="single" w:sz="8" w:color="E5F1F8"/>
            </w:tcBorders>
            <w:shd w:val="clear" w:color="auto" w:fill="E5F1F8"/>
          </w:tcPr>
          <w:p>
            <w:pPr>
              <w:ind w:left="680"/>
              <w:spacing w:after="0" w:line="183"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E5F1F8"/>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right w:val="single" w:sz="8" w:color="E5F1F8"/>
            </w:tcBorders>
            <w:shd w:val="clear" w:color="auto" w:fill="E5F1F8"/>
          </w:tcPr>
          <w:p>
            <w:pP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5F1F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E5F1F8"/>
            </w:tcBorders>
            <w:shd w:val="clear" w:color="auto" w:fill="E5F1F8"/>
          </w:tcPr>
          <w:p>
            <w:pPr>
              <w:jc w:val="right"/>
              <w:ind w:right="39"/>
              <w:spacing w:after="0" w:line="183" w:lineRule="exact"/>
              <w:rPr>
                <w:sz w:val="20"/>
                <w:szCs w:val="20"/>
                <w:color w:val="auto"/>
              </w:rPr>
            </w:pPr>
            <w:r>
              <w:rPr>
                <w:rFonts w:ascii="Arial" w:cs="Arial" w:eastAsia="Arial" w:hAnsi="Arial"/>
                <w:sz w:val="16"/>
                <w:szCs w:val="16"/>
                <w:b w:val="1"/>
                <w:bCs w:val="1"/>
                <w:color w:val="auto"/>
              </w:rPr>
              <w:t>1,392</w:t>
            </w:r>
          </w:p>
        </w:tc>
        <w:tc>
          <w:tcPr>
            <w:tcW w:w="200" w:type="dxa"/>
            <w:vAlign w:val="bottom"/>
            <w:tcBorders>
              <w:bottom w:val="single" w:sz="8" w:color="auto"/>
            </w:tcBorders>
            <w:shd w:val="clear" w:color="auto" w:fill="E5F1F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5F1F8"/>
          </w:tcPr>
          <w:p>
            <w:pPr>
              <w:jc w:val="right"/>
              <w:ind w:right="59"/>
              <w:spacing w:after="0" w:line="183" w:lineRule="exact"/>
              <w:rPr>
                <w:sz w:val="20"/>
                <w:szCs w:val="20"/>
                <w:color w:val="auto"/>
              </w:rPr>
            </w:pPr>
            <w:r>
              <w:rPr>
                <w:rFonts w:ascii="Arial" w:cs="Arial" w:eastAsia="Arial" w:hAnsi="Arial"/>
                <w:sz w:val="16"/>
                <w:szCs w:val="16"/>
                <w:b w:val="1"/>
                <w:bCs w:val="1"/>
                <w:color w:val="auto"/>
              </w:rPr>
              <w:t>1,392</w:t>
            </w:r>
          </w:p>
        </w:tc>
      </w:tr>
      <w:tr>
        <w:trPr>
          <w:trHeight w:val="170"/>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474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000" w:type="dxa"/>
            <w:vAlign w:val="bottom"/>
            <w:shd w:val="clear" w:color="auto" w:fill="007CBA"/>
          </w:tcPr>
          <w:p>
            <w:pPr>
              <w:spacing w:after="0"/>
              <w:rPr>
                <w:sz w:val="16"/>
                <w:szCs w:val="16"/>
                <w:color w:val="auto"/>
              </w:rPr>
            </w:pPr>
          </w:p>
        </w:tc>
        <w:tc>
          <w:tcPr>
            <w:tcW w:w="1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1080" w:type="dxa"/>
            <w:vAlign w:val="bottom"/>
            <w:shd w:val="clear" w:color="auto" w:fill="007CBA"/>
          </w:tcPr>
          <w:p>
            <w:pPr>
              <w:ind w:left="340"/>
              <w:spacing w:after="0"/>
              <w:rPr>
                <w:sz w:val="20"/>
                <w:szCs w:val="20"/>
                <w:color w:val="auto"/>
              </w:rPr>
            </w:pPr>
            <w:r>
              <w:rPr>
                <w:rFonts w:ascii="Arial" w:cs="Arial" w:eastAsia="Arial" w:hAnsi="Arial"/>
                <w:sz w:val="16"/>
                <w:szCs w:val="16"/>
                <w:color w:val="FFFFFF"/>
              </w:rPr>
              <w:t>2024</w:t>
            </w:r>
          </w:p>
        </w:tc>
        <w:tc>
          <w:tcPr>
            <w:tcW w:w="28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00" w:type="dxa"/>
            <w:vAlign w:val="bottom"/>
            <w:shd w:val="clear" w:color="auto" w:fill="007CBA"/>
          </w:tcPr>
          <w:p>
            <w:pPr>
              <w:spacing w:after="0"/>
              <w:rPr>
                <w:sz w:val="16"/>
                <w:szCs w:val="16"/>
                <w:color w:val="auto"/>
              </w:rPr>
            </w:pPr>
          </w:p>
        </w:tc>
        <w:tc>
          <w:tcPr>
            <w:tcW w:w="1020" w:type="dxa"/>
            <w:vAlign w:val="bottom"/>
            <w:shd w:val="clear" w:color="auto" w:fill="007CBA"/>
          </w:tcPr>
          <w:p>
            <w:pPr>
              <w:spacing w:after="0"/>
              <w:rPr>
                <w:sz w:val="16"/>
                <w:szCs w:val="16"/>
                <w:color w:val="auto"/>
              </w:rPr>
            </w:pPr>
          </w:p>
        </w:tc>
      </w:tr>
      <w:tr>
        <w:trPr>
          <w:trHeight w:val="189"/>
        </w:trPr>
        <w:tc>
          <w:tcPr>
            <w:tcW w:w="4740" w:type="dxa"/>
            <w:vAlign w:val="bottom"/>
            <w:tcBorders>
              <w:right w:val="single" w:sz="8" w:color="007CBA"/>
            </w:tcBorders>
          </w:tcPr>
          <w:p>
            <w:pPr>
              <w:ind w:left="60"/>
              <w:spacing w:after="0" w:line="189" w:lineRule="exact"/>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Mid-sized to large cap</w:t>
            </w:r>
          </w:p>
        </w:tc>
        <w:tc>
          <w:tcPr>
            <w:tcW w:w="260" w:type="dxa"/>
            <w:vAlign w:val="bottom"/>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1F8"/>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007CBA"/>
            </w:tcBorders>
            <w:shd w:val="clear" w:color="auto" w:fill="E5F1F8"/>
          </w:tcPr>
          <w:p>
            <w:pPr>
              <w:ind w:left="6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359</w:t>
            </w:r>
          </w:p>
        </w:tc>
        <w:tc>
          <w:tcPr>
            <w:tcW w:w="2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359</w:t>
            </w:r>
          </w:p>
        </w:tc>
      </w:tr>
      <w:tr>
        <w:trPr>
          <w:trHeight w:val="189"/>
        </w:trPr>
        <w:tc>
          <w:tcPr>
            <w:tcW w:w="47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Small cap, international and emerging growth funds</w:t>
            </w:r>
          </w:p>
        </w:tc>
        <w:tc>
          <w:tcPr>
            <w:tcW w:w="26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361</w:t>
            </w:r>
          </w:p>
        </w:tc>
      </w:tr>
      <w:tr>
        <w:trPr>
          <w:trHeight w:val="189"/>
        </w:trPr>
        <w:tc>
          <w:tcPr>
            <w:tcW w:w="4740" w:type="dxa"/>
            <w:vAlign w:val="bottom"/>
            <w:tcBorders>
              <w:right w:val="single" w:sz="8" w:color="007CBA"/>
            </w:tcBorders>
            <w:shd w:val="clear" w:color="auto" w:fill="E5F1F8"/>
          </w:tcPr>
          <w:p>
            <w:pPr>
              <w:ind w:left="60"/>
              <w:spacing w:after="0" w:line="189" w:lineRule="exact"/>
              <w:rPr>
                <w:sz w:val="20"/>
                <w:szCs w:val="20"/>
                <w:color w:val="auto"/>
              </w:rPr>
            </w:pPr>
            <w:r>
              <w:rPr>
                <w:rFonts w:ascii="Arial" w:cs="Arial" w:eastAsia="Arial" w:hAnsi="Arial"/>
                <w:sz w:val="16"/>
                <w:szCs w:val="16"/>
                <w:color w:val="auto"/>
              </w:rPr>
              <w:t>Debt securities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16"/>
                <w:szCs w:val="16"/>
                <w:color w:val="auto"/>
              </w:rPr>
            </w:pP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spacing w:after="0"/>
              <w:rPr>
                <w:sz w:val="16"/>
                <w:szCs w:val="16"/>
                <w:color w:val="auto"/>
              </w:rPr>
            </w:pP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spacing w:after="0"/>
              <w:rPr>
                <w:sz w:val="16"/>
                <w:szCs w:val="16"/>
                <w:color w:val="auto"/>
              </w:rPr>
            </w:pPr>
          </w:p>
        </w:tc>
      </w:tr>
      <w:tr>
        <w:trPr>
          <w:trHeight w:val="189"/>
        </w:trPr>
        <w:tc>
          <w:tcPr>
            <w:tcW w:w="47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Core fixed income</w:t>
            </w:r>
          </w:p>
        </w:tc>
        <w:tc>
          <w:tcPr>
            <w:tcW w:w="26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271</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271</w:t>
            </w:r>
          </w:p>
        </w:tc>
      </w:tr>
      <w:tr>
        <w:trPr>
          <w:trHeight w:val="189"/>
        </w:trPr>
        <w:tc>
          <w:tcPr>
            <w:tcW w:w="4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Real estate</w:t>
            </w:r>
          </w:p>
        </w:tc>
        <w:tc>
          <w:tcPr>
            <w:tcW w:w="260" w:type="dxa"/>
            <w:vAlign w:val="bottom"/>
            <w:shd w:val="clear" w:color="auto" w:fill="E5F1F8"/>
          </w:tcPr>
          <w:p>
            <w:pPr>
              <w:spacing w:after="0"/>
              <w:rPr>
                <w:sz w:val="16"/>
                <w:szCs w:val="16"/>
                <w:color w:val="auto"/>
              </w:rPr>
            </w:pPr>
          </w:p>
        </w:tc>
        <w:tc>
          <w:tcPr>
            <w:tcW w:w="1000" w:type="dxa"/>
            <w:vAlign w:val="bottom"/>
            <w:shd w:val="clear" w:color="auto" w:fill="E5F1F8"/>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960" w:type="dxa"/>
            <w:vAlign w:val="bottom"/>
            <w:tcBorders>
              <w:right w:val="single" w:sz="8" w:color="007CBA"/>
            </w:tcBorders>
            <w:shd w:val="clear" w:color="auto" w:fill="E5F1F8"/>
          </w:tcPr>
          <w:p>
            <w:pPr>
              <w:ind w:left="6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F1F8"/>
          </w:tcPr>
          <w:p>
            <w:pPr>
              <w:spacing w:after="0"/>
              <w:rPr>
                <w:sz w:val="16"/>
                <w:szCs w:val="16"/>
                <w:color w:val="auto"/>
              </w:rPr>
            </w:pPr>
          </w:p>
        </w:tc>
        <w:tc>
          <w:tcPr>
            <w:tcW w:w="2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130</w:t>
            </w:r>
          </w:p>
        </w:tc>
        <w:tc>
          <w:tcPr>
            <w:tcW w:w="200" w:type="dxa"/>
            <w:vAlign w:val="bottom"/>
            <w:shd w:val="clear" w:color="auto" w:fill="E5F1F8"/>
          </w:tcPr>
          <w:p>
            <w:pPr>
              <w:spacing w:after="0"/>
              <w:rPr>
                <w:sz w:val="16"/>
                <w:szCs w:val="16"/>
                <w:color w:val="auto"/>
              </w:rPr>
            </w:pPr>
          </w:p>
        </w:tc>
        <w:tc>
          <w:tcPr>
            <w:tcW w:w="102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130</w:t>
            </w:r>
          </w:p>
        </w:tc>
      </w:tr>
      <w:tr>
        <w:trPr>
          <w:trHeight w:val="189"/>
        </w:trPr>
        <w:tc>
          <w:tcPr>
            <w:tcW w:w="47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Private infrastructure</w:t>
            </w:r>
          </w:p>
        </w:tc>
        <w:tc>
          <w:tcPr>
            <w:tcW w:w="26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007CBA"/>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007CBA"/>
            </w:tcBorders>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2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8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96</w:t>
            </w:r>
          </w:p>
        </w:tc>
      </w:tr>
      <w:tr>
        <w:trPr>
          <w:trHeight w:val="189"/>
        </w:trPr>
        <w:tc>
          <w:tcPr>
            <w:tcW w:w="4740" w:type="dxa"/>
            <w:vAlign w:val="bottom"/>
            <w:tcBorders>
              <w:bottom w:val="single" w:sz="8" w:color="auto"/>
              <w:right w:val="single" w:sz="8" w:color="E5F1F8"/>
            </w:tcBorders>
            <w:shd w:val="clear" w:color="auto" w:fill="E5F1F8"/>
          </w:tcPr>
          <w:p>
            <w:pPr>
              <w:ind w:left="60"/>
              <w:spacing w:after="0"/>
              <w:rPr>
                <w:sz w:val="20"/>
                <w:szCs w:val="20"/>
                <w:color w:val="auto"/>
              </w:rPr>
            </w:pPr>
            <w:r>
              <w:rPr>
                <w:rFonts w:ascii="Arial" w:cs="Arial" w:eastAsia="Arial" w:hAnsi="Arial"/>
                <w:sz w:val="16"/>
                <w:szCs w:val="16"/>
                <w:color w:val="auto"/>
              </w:rPr>
              <w:t>Cash equivalents</w:t>
            </w:r>
          </w:p>
        </w:tc>
        <w:tc>
          <w:tcPr>
            <w:tcW w:w="260" w:type="dxa"/>
            <w:vAlign w:val="bottom"/>
            <w:tcBorders>
              <w:bottom w:val="single" w:sz="8" w:color="auto"/>
            </w:tcBorders>
            <w:shd w:val="clear" w:color="auto" w:fill="E5F1F8"/>
          </w:tcPr>
          <w:p>
            <w:pPr>
              <w:spacing w:after="0"/>
              <w:rPr>
                <w:sz w:val="16"/>
                <w:szCs w:val="16"/>
                <w:color w:val="auto"/>
              </w:rPr>
            </w:pPr>
          </w:p>
        </w:tc>
        <w:tc>
          <w:tcPr>
            <w:tcW w:w="1000" w:type="dxa"/>
            <w:vAlign w:val="bottom"/>
            <w:tcBorders>
              <w:bottom w:val="single" w:sz="8" w:color="auto"/>
            </w:tcBorders>
            <w:shd w:val="clear" w:color="auto" w:fill="E5F1F8"/>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auto"/>
              <w:right w:val="single" w:sz="8" w:color="E5F1F8"/>
            </w:tcBorders>
            <w:shd w:val="clear" w:color="auto" w:fill="E5F1F8"/>
          </w:tcPr>
          <w:p>
            <w:pPr>
              <w:spacing w:after="0"/>
              <w:rPr>
                <w:sz w:val="16"/>
                <w:szCs w:val="16"/>
                <w:color w:val="auto"/>
              </w:rPr>
            </w:pPr>
          </w:p>
        </w:tc>
        <w:tc>
          <w:tcPr>
            <w:tcW w:w="400" w:type="dxa"/>
            <w:vAlign w:val="bottom"/>
            <w:tcBorders>
              <w:bottom w:val="single" w:sz="8" w:color="auto"/>
            </w:tcBorders>
            <w:shd w:val="clear" w:color="auto" w:fill="E5F1F8"/>
          </w:tcPr>
          <w:p>
            <w:pPr>
              <w:spacing w:after="0"/>
              <w:rPr>
                <w:sz w:val="16"/>
                <w:szCs w:val="16"/>
                <w:color w:val="auto"/>
              </w:rPr>
            </w:pPr>
          </w:p>
        </w:tc>
        <w:tc>
          <w:tcPr>
            <w:tcW w:w="960" w:type="dxa"/>
            <w:vAlign w:val="bottom"/>
            <w:tcBorders>
              <w:bottom w:val="single" w:sz="8" w:color="auto"/>
              <w:right w:val="single" w:sz="8" w:color="E5F1F8"/>
            </w:tcBorders>
            <w:shd w:val="clear" w:color="auto" w:fill="E5F1F8"/>
          </w:tcPr>
          <w:p>
            <w:pPr>
              <w:ind w:left="6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5F1F8"/>
          </w:tcPr>
          <w:p>
            <w:pPr>
              <w:spacing w:after="0"/>
              <w:rPr>
                <w:sz w:val="16"/>
                <w:szCs w:val="16"/>
                <w:color w:val="auto"/>
              </w:rPr>
            </w:pPr>
          </w:p>
        </w:tc>
        <w:tc>
          <w:tcPr>
            <w:tcW w:w="280" w:type="dxa"/>
            <w:vAlign w:val="bottom"/>
            <w:tcBorders>
              <w:bottom w:val="single" w:sz="8" w:color="auto"/>
              <w:right w:val="single" w:sz="8" w:color="E5F1F8"/>
            </w:tcBorders>
            <w:shd w:val="clear" w:color="auto" w:fill="E5F1F8"/>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F1F8"/>
          </w:tcPr>
          <w:p>
            <w:pPr>
              <w:spacing w:after="0"/>
              <w:rPr>
                <w:sz w:val="16"/>
                <w:szCs w:val="16"/>
                <w:color w:val="auto"/>
              </w:rPr>
            </w:pPr>
          </w:p>
        </w:tc>
        <w:tc>
          <w:tcPr>
            <w:tcW w:w="980" w:type="dxa"/>
            <w:vAlign w:val="bottom"/>
            <w:tcBorders>
              <w:bottom w:val="single" w:sz="8" w:color="auto"/>
              <w:right w:val="single" w:sz="8" w:color="E5F1F8"/>
            </w:tcBorders>
            <w:shd w:val="clear" w:color="auto" w:fill="E5F1F8"/>
          </w:tcPr>
          <w:p>
            <w:pPr>
              <w:jc w:val="right"/>
              <w:ind w:right="3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shd w:val="clear" w:color="auto" w:fill="E5F1F8"/>
          </w:tcPr>
          <w:p>
            <w:pPr>
              <w:spacing w:after="0"/>
              <w:rPr>
                <w:sz w:val="16"/>
                <w:szCs w:val="16"/>
                <w:color w:val="auto"/>
              </w:rPr>
            </w:pPr>
          </w:p>
        </w:tc>
        <w:tc>
          <w:tcPr>
            <w:tcW w:w="102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21</w:t>
            </w:r>
          </w:p>
        </w:tc>
      </w:tr>
      <w:tr>
        <w:trPr>
          <w:trHeight w:val="183"/>
        </w:trPr>
        <w:tc>
          <w:tcPr>
            <w:tcW w:w="47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820"/>
              <w:spacing w:after="0" w:line="183" w:lineRule="exact"/>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1,238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1,238</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-3325495</wp:posOffset>
            </wp:positionV>
            <wp:extent cx="26746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-2596515</wp:posOffset>
            </wp:positionV>
            <wp:extent cx="40544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-1640840</wp:posOffset>
            </wp:positionV>
            <wp:extent cx="34290" cy="2997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-1640840</wp:posOffset>
            </wp:positionV>
            <wp:extent cx="33655" cy="2997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-1640840</wp:posOffset>
            </wp:positionV>
            <wp:extent cx="34290" cy="2997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-1640840</wp:posOffset>
            </wp:positionV>
            <wp:extent cx="34290" cy="2997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-1640840</wp:posOffset>
            </wp:positionV>
            <wp:extent cx="33655" cy="2997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-286385</wp:posOffset>
            </wp:positionV>
            <wp:extent cx="34290" cy="2997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-286385</wp:posOffset>
            </wp:positionV>
            <wp:extent cx="33655" cy="2997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-286385</wp:posOffset>
            </wp:positionV>
            <wp:extent cx="34290" cy="2997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-286385</wp:posOffset>
            </wp:positionV>
            <wp:extent cx="34290" cy="2997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-286385</wp:posOffset>
            </wp:positionV>
            <wp:extent cx="33655" cy="2997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299720"/>
                    </a:xfrm>
                    <a:prstGeom prst="rect">
                      <a:avLst/>
                    </a:prstGeom>
                    <a:noFill/>
                  </pic:spPr>
                </pic:pic>
              </a:graphicData>
            </a:graphic>
          </wp:anchor>
        </w:drawing>
      </w:r>
    </w:p>
    <w:p>
      <w:pPr>
        <w:spacing w:after="0" w:line="133" w:lineRule="exact"/>
        <w:rPr>
          <w:sz w:val="20"/>
          <w:szCs w:val="20"/>
          <w:color w:val="auto"/>
        </w:rPr>
      </w:pPr>
    </w:p>
    <w:p>
      <w:pPr>
        <w:ind w:left="760" w:hanging="374"/>
        <w:spacing w:after="0" w:line="285" w:lineRule="auto"/>
        <w:tabs>
          <w:tab w:leader="none" w:pos="760" w:val="left"/>
        </w:tabs>
        <w:numPr>
          <w:ilvl w:val="0"/>
          <w:numId w:val="26"/>
        </w:numPr>
        <w:rPr>
          <w:rFonts w:ascii="Calibri" w:cs="Calibri" w:eastAsia="Calibri" w:hAnsi="Calibri"/>
          <w:sz w:val="10"/>
          <w:szCs w:val="10"/>
          <w:color w:val="auto"/>
        </w:rPr>
      </w:pPr>
      <w:r>
        <w:rPr>
          <w:rFonts w:ascii="Arial" w:cs="Arial" w:eastAsia="Arial" w:hAnsi="Arial"/>
          <w:sz w:val="14"/>
          <w:szCs w:val="14"/>
          <w:color w:val="auto"/>
        </w:rPr>
        <w:t>These investments are common collective investment trusts valued using the net asset value (NAV) unit price provided by the fund administrator. The NAV is based on the value of the underlying assets owned by the fund.</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Real estate investments are stated at estimated fair value, which is the price that would be received to sell an asset or paid to transfer a liability in an orderly transaction between market participants at the measurement date. Real estate investments are valued at NAV based on the plan’s proportionate shares of the real estate funds’ fair value as recorded by the trustees/general partner of the funds. The funds are real estate investment trust based funds that offer participation in an actively managed, primarily core portfolio of equity real estate. The funds allocate gains, losses and expenses to investors based on the ownership percentage to determine the NAV. Private infrastructure assets represent investments in a fund that is stated at fair value. For financial assets in the fund that are actively traded in organized financial markets, fair value is based on exchange-quoted market prices. For investments in the fund for which there is no quoted market price, fair value is determined by the trustees/general partner of the fund based on discounted expected future cash flows prepared by third-party professionals.</w:t>
      </w:r>
    </w:p>
    <w:p>
      <w:pPr>
        <w:spacing w:after="0" w:line="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2025 and 2024, the Company made combined pension plan and SERP contributions of $42 million and $34 million, respectively. The Company currently estimates that it will contribute $25 million to its pension and SERP plans in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 payments to be paid from plan assets for each of the next five years and the five-year period thereafter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Borders>
              <w:right w:val="single" w:sz="8" w:color="007CBA"/>
            </w:tcBorders>
            <w:shd w:val="clear" w:color="auto" w:fill="007CBA"/>
          </w:tcPr>
          <w:p>
            <w:pPr>
              <w:ind w:left="100"/>
              <w:spacing w:after="0"/>
              <w:rPr>
                <w:sz w:val="20"/>
                <w:szCs w:val="20"/>
                <w:color w:val="auto"/>
              </w:rPr>
            </w:pPr>
            <w:r>
              <w:rPr>
                <w:rFonts w:ascii="Arial" w:cs="Arial" w:eastAsia="Arial" w:hAnsi="Arial"/>
                <w:sz w:val="18"/>
                <w:szCs w:val="18"/>
                <w:color w:val="FFFFFF"/>
              </w:rPr>
              <w:t>(in millions)</w:t>
            </w:r>
          </w:p>
        </w:tc>
        <w:tc>
          <w:tcPr>
            <w:tcW w:w="110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03"/>
        </w:trPr>
        <w:tc>
          <w:tcPr>
            <w:tcW w:w="898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2026</w:t>
            </w:r>
          </w:p>
        </w:tc>
        <w:tc>
          <w:tcPr>
            <w:tcW w:w="110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r>
      <w:tr>
        <w:trPr>
          <w:trHeight w:val="203"/>
        </w:trPr>
        <w:tc>
          <w:tcPr>
            <w:tcW w:w="898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2027</w:t>
            </w:r>
          </w:p>
        </w:tc>
        <w:tc>
          <w:tcPr>
            <w:tcW w:w="1100" w:type="dxa"/>
            <w:vAlign w:val="bottom"/>
            <w:shd w:val="clear" w:color="auto" w:fill="E5F1F8"/>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98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2028</w:t>
            </w:r>
          </w:p>
        </w:tc>
        <w:tc>
          <w:tcPr>
            <w:tcW w:w="110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98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2029</w:t>
            </w:r>
          </w:p>
        </w:tc>
        <w:tc>
          <w:tcPr>
            <w:tcW w:w="1100" w:type="dxa"/>
            <w:vAlign w:val="bottom"/>
            <w:shd w:val="clear" w:color="auto" w:fill="E5F1F8"/>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64</w:t>
            </w:r>
          </w:p>
        </w:tc>
      </w:tr>
      <w:tr>
        <w:trPr>
          <w:trHeight w:val="203"/>
        </w:trPr>
        <w:tc>
          <w:tcPr>
            <w:tcW w:w="898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2030</w:t>
            </w:r>
          </w:p>
        </w:tc>
        <w:tc>
          <w:tcPr>
            <w:tcW w:w="110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w:t>
            </w:r>
          </w:p>
        </w:tc>
      </w:tr>
      <w:tr>
        <w:trPr>
          <w:trHeight w:val="203"/>
        </w:trPr>
        <w:tc>
          <w:tcPr>
            <w:tcW w:w="8980" w:type="dxa"/>
            <w:vAlign w:val="bottom"/>
            <w:tcBorders>
              <w:bottom w:val="single" w:sz="8" w:color="auto"/>
              <w:right w:val="single" w:sz="8" w:color="E5F1F8"/>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Years 2031 - 2035</w:t>
            </w:r>
          </w:p>
        </w:tc>
        <w:tc>
          <w:tcPr>
            <w:tcW w:w="1100" w:type="dxa"/>
            <w:vAlign w:val="bottom"/>
            <w:tcBorders>
              <w:bottom w:val="single" w:sz="8" w:color="auto"/>
            </w:tcBorders>
            <w:shd w:val="clear" w:color="auto" w:fill="E5F1F8"/>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196850</wp:posOffset>
            </wp:positionV>
            <wp:extent cx="325755" cy="1968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-149225</wp:posOffset>
            </wp:positionV>
            <wp:extent cx="33655" cy="1625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16256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8" w:name="page99"/>
    <w:bookmarkEnd w:id="98"/>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4EAD8A"/>
        </w:rPr>
        <w:t>Postretirement and Postemployment Benefits</w:t>
      </w:r>
      <w:r>
        <w:rPr>
          <w:rFonts w:ascii="Arial" w:cs="Arial" w:eastAsia="Arial" w:hAnsi="Arial"/>
          <w:sz w:val="18"/>
          <w:szCs w:val="18"/>
          <w:i w:val="1"/>
          <w:i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provides other postretirement benefits for certain employees, including</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medical benefits for retirees and their spouses and retiree life insurance. Employees starting on or after January 1, 2002 are not eligible for postretirement welfare plans. Postretirement medical benefits are paid from the Company's assets. The obligation, if any, for retiree medical payments is subject to the terms of the plan. At both December 31, 2025 and 2024, the Company's recorded benefit obligation related to these benefits totaled $7 million. The Company also provides certain benefits, such as disability benefits, to former or inactive employees after employment but before retirement.</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EAD8A"/>
        </w:rPr>
        <w:t>Defined Contribution Plan</w:t>
      </w:r>
      <w:r>
        <w:rPr>
          <w:rFonts w:ascii="Arial" w:cs="Arial" w:eastAsia="Arial" w:hAnsi="Arial"/>
          <w:sz w:val="18"/>
          <w:szCs w:val="18"/>
          <w:i w:val="1"/>
          <w:i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maintains a defined contribution plan that covers substantially all employees. This plan, qualified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under Section 401(a) of the Internal Revenue Code, is a retirement savings and investment plan for the Company’s salaried and hourly employees</w:t>
      </w:r>
      <w:r>
        <w:rPr>
          <w:rFonts w:ascii="Arial" w:cs="Arial" w:eastAsia="Arial" w:hAnsi="Arial"/>
          <w:sz w:val="18"/>
          <w:szCs w:val="18"/>
          <w:b w:val="1"/>
          <w:bCs w:val="1"/>
          <w:i w:val="1"/>
          <w:iCs w:val="1"/>
          <w:color w:val="000000"/>
        </w:rPr>
        <w:t>.</w:t>
      </w:r>
      <w:r>
        <w:rPr>
          <w:rFonts w:ascii="Arial" w:cs="Arial" w:eastAsia="Arial" w:hAnsi="Arial"/>
          <w:sz w:val="18"/>
          <w:szCs w:val="18"/>
          <w:color w:val="000000"/>
        </w:rPr>
        <w:t xml:space="preserve"> Under certain provisions of the plan, the Company matches employees’ eligible contributions at established rates. The Company’s matching obligations were $23 million in 2025 and $22 million in both 2024 and 2023.</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K: Stock-Based Compensation</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May 19, 2016, the Company’s shareholders approved the Martin Marietta Amended and Restated Stock-Based Award Plan. The Martin Marietta Materials, Inc. Stock-Based Award Plan, as amended from time to time, along with the Amended Omnibus Securities Award Plan, originally approved in 1994 (collectively, the Plans), are still effective for awards made prior to 2017. The Company has been authorized by the Board of Directors to repurchase shares of the Company’s common stock for issuance under the stock-based award plans (see Note M).</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The number of shares may be increased to the maximum or reduced to the minimum threshold based on the results of those criteria.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fair value of stock-based award grants is expensed over the vesting period. Awards to employees eligible for retirement prior to the award becoming fully vested are expensed over the period through the date that the employee first becomes eligible to retire and is no longer required to provide service to earn the award. Awards granted to nonemployee members of the Board of Directors are expensed immediately.</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2026, the Company intends to submit to shareholders for approval a further Amended and Restated Stock-Based Award Plan. If approved, this updated plan will replace the existing stock-based award plans with respect to future grants while maintaining the validity of all outstanding awards previously issued under the current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9" w:name="page100"/>
    <w:bookmarkEnd w:id="99"/>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restricted stock awards and incentive compensation stock awards for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Borders>
              <w:right w:val="single" w:sz="8" w:color="007CBA"/>
            </w:tcBorders>
            <w:shd w:val="clear" w:color="auto" w:fill="007CBA"/>
          </w:tcPr>
          <w:p>
            <w:pPr>
              <w:spacing w:after="0"/>
              <w:rPr>
                <w:sz w:val="16"/>
                <w:szCs w:val="16"/>
                <w:color w:val="auto"/>
              </w:rPr>
            </w:pPr>
          </w:p>
        </w:tc>
        <w:tc>
          <w:tcPr>
            <w:tcW w:w="2860" w:type="dxa"/>
            <w:vAlign w:val="bottom"/>
            <w:tcBorders>
              <w:right w:val="single" w:sz="8" w:color="007CBA"/>
            </w:tcBorders>
            <w:gridSpan w:val="4"/>
            <w:shd w:val="clear" w:color="auto" w:fill="007CBA"/>
          </w:tcPr>
          <w:p>
            <w:pPr>
              <w:jc w:val="right"/>
              <w:ind w:right="679"/>
              <w:spacing w:after="0"/>
              <w:rPr>
                <w:sz w:val="20"/>
                <w:szCs w:val="20"/>
                <w:color w:val="auto"/>
              </w:rPr>
            </w:pPr>
            <w:r>
              <w:rPr>
                <w:rFonts w:ascii="Arial" w:cs="Arial" w:eastAsia="Arial" w:hAnsi="Arial"/>
                <w:sz w:val="16"/>
                <w:szCs w:val="16"/>
                <w:b w:val="1"/>
                <w:bCs w:val="1"/>
                <w:color w:val="FFFFFF"/>
              </w:rPr>
              <w:t>Restricted Stock -</w:t>
            </w:r>
          </w:p>
        </w:tc>
        <w:tc>
          <w:tcPr>
            <w:tcW w:w="120" w:type="dxa"/>
            <w:vAlign w:val="bottom"/>
            <w:shd w:val="clear" w:color="auto" w:fill="007CBA"/>
          </w:tcPr>
          <w:p>
            <w:pPr>
              <w:spacing w:after="0"/>
              <w:rPr>
                <w:sz w:val="16"/>
                <w:szCs w:val="16"/>
                <w:color w:val="auto"/>
              </w:rPr>
            </w:pPr>
          </w:p>
        </w:tc>
        <w:tc>
          <w:tcPr>
            <w:tcW w:w="2760" w:type="dxa"/>
            <w:vAlign w:val="bottom"/>
            <w:tcBorders>
              <w:right w:val="single" w:sz="8" w:color="007CBA"/>
            </w:tcBorders>
            <w:gridSpan w:val="4"/>
            <w:shd w:val="clear" w:color="auto" w:fill="007CBA"/>
          </w:tcPr>
          <w:p>
            <w:pPr>
              <w:jc w:val="right"/>
              <w:ind w:right="699"/>
              <w:spacing w:after="0"/>
              <w:rPr>
                <w:sz w:val="20"/>
                <w:szCs w:val="20"/>
                <w:color w:val="auto"/>
              </w:rPr>
            </w:pPr>
            <w:r>
              <w:rPr>
                <w:rFonts w:ascii="Arial" w:cs="Arial" w:eastAsia="Arial" w:hAnsi="Arial"/>
                <w:sz w:val="16"/>
                <w:szCs w:val="16"/>
                <w:b w:val="1"/>
                <w:bCs w:val="1"/>
                <w:color w:val="FFFFFF"/>
              </w:rPr>
              <w:t>Restricted Stock -</w:t>
            </w:r>
          </w:p>
        </w:tc>
        <w:tc>
          <w:tcPr>
            <w:tcW w:w="120" w:type="dxa"/>
            <w:vAlign w:val="bottom"/>
            <w:shd w:val="clear" w:color="auto" w:fill="007CBA"/>
          </w:tcPr>
          <w:p>
            <w:pPr>
              <w:spacing w:after="0"/>
              <w:rPr>
                <w:sz w:val="16"/>
                <w:szCs w:val="16"/>
                <w:color w:val="auto"/>
              </w:rPr>
            </w:pPr>
          </w:p>
        </w:tc>
        <w:tc>
          <w:tcPr>
            <w:tcW w:w="1320" w:type="dxa"/>
            <w:vAlign w:val="bottom"/>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7"/>
        </w:trPr>
        <w:tc>
          <w:tcPr>
            <w:tcW w:w="2600" w:type="dxa"/>
            <w:vAlign w:val="bottom"/>
            <w:tcBorders>
              <w:right w:val="single" w:sz="8" w:color="007CBA"/>
            </w:tcBorders>
            <w:shd w:val="clear" w:color="auto" w:fill="007CBA"/>
          </w:tcPr>
          <w:p>
            <w:pPr>
              <w:spacing w:after="0"/>
              <w:rPr>
                <w:sz w:val="18"/>
                <w:szCs w:val="18"/>
                <w:color w:val="auto"/>
              </w:rPr>
            </w:pPr>
          </w:p>
        </w:tc>
        <w:tc>
          <w:tcPr>
            <w:tcW w:w="2860" w:type="dxa"/>
            <w:vAlign w:val="bottom"/>
            <w:tcBorders>
              <w:right w:val="single" w:sz="8" w:color="007CBA"/>
            </w:tcBorders>
            <w:gridSpan w:val="4"/>
            <w:shd w:val="clear" w:color="auto" w:fill="007CBA"/>
          </w:tcPr>
          <w:p>
            <w:pPr>
              <w:jc w:val="right"/>
              <w:ind w:right="799"/>
              <w:spacing w:after="0"/>
              <w:rPr>
                <w:sz w:val="20"/>
                <w:szCs w:val="20"/>
                <w:color w:val="auto"/>
              </w:rPr>
            </w:pPr>
            <w:r>
              <w:rPr>
                <w:rFonts w:ascii="Arial" w:cs="Arial" w:eastAsia="Arial" w:hAnsi="Arial"/>
                <w:sz w:val="16"/>
                <w:szCs w:val="16"/>
                <w:b w:val="1"/>
                <w:bCs w:val="1"/>
                <w:color w:val="FFFFFF"/>
              </w:rPr>
              <w:t>Service Based</w:t>
            </w:r>
          </w:p>
        </w:tc>
        <w:tc>
          <w:tcPr>
            <w:tcW w:w="120" w:type="dxa"/>
            <w:vAlign w:val="bottom"/>
            <w:shd w:val="clear" w:color="auto" w:fill="007CBA"/>
          </w:tcPr>
          <w:p>
            <w:pPr>
              <w:spacing w:after="0"/>
              <w:rPr>
                <w:sz w:val="18"/>
                <w:szCs w:val="18"/>
                <w:color w:val="auto"/>
              </w:rPr>
            </w:pPr>
          </w:p>
        </w:tc>
        <w:tc>
          <w:tcPr>
            <w:tcW w:w="2760" w:type="dxa"/>
            <w:vAlign w:val="bottom"/>
            <w:tcBorders>
              <w:right w:val="single" w:sz="8" w:color="007CBA"/>
            </w:tcBorders>
            <w:gridSpan w:val="4"/>
            <w:shd w:val="clear" w:color="auto" w:fill="007CBA"/>
          </w:tcPr>
          <w:p>
            <w:pPr>
              <w:jc w:val="right"/>
              <w:ind w:right="599"/>
              <w:spacing w:after="0"/>
              <w:rPr>
                <w:sz w:val="20"/>
                <w:szCs w:val="20"/>
                <w:color w:val="auto"/>
              </w:rPr>
            </w:pPr>
            <w:r>
              <w:rPr>
                <w:rFonts w:ascii="Arial" w:cs="Arial" w:eastAsia="Arial" w:hAnsi="Arial"/>
                <w:sz w:val="16"/>
                <w:szCs w:val="16"/>
                <w:b w:val="1"/>
                <w:bCs w:val="1"/>
                <w:color w:val="FFFFFF"/>
              </w:rPr>
              <w:t>Performance Based</w:t>
            </w:r>
          </w:p>
        </w:tc>
        <w:tc>
          <w:tcPr>
            <w:tcW w:w="120" w:type="dxa"/>
            <w:vAlign w:val="bottom"/>
            <w:shd w:val="clear" w:color="auto" w:fill="007CBA"/>
          </w:tcPr>
          <w:p>
            <w:pPr>
              <w:spacing w:after="0"/>
              <w:rPr>
                <w:sz w:val="18"/>
                <w:szCs w:val="18"/>
                <w:color w:val="auto"/>
              </w:rPr>
            </w:pPr>
          </w:p>
        </w:tc>
        <w:tc>
          <w:tcPr>
            <w:tcW w:w="2780" w:type="dxa"/>
            <w:vAlign w:val="bottom"/>
            <w:gridSpan w:val="4"/>
            <w:shd w:val="clear" w:color="auto" w:fill="007CBA"/>
          </w:tcPr>
          <w:p>
            <w:pPr>
              <w:jc w:val="right"/>
              <w:ind w:right="199"/>
              <w:spacing w:after="0"/>
              <w:rPr>
                <w:sz w:val="20"/>
                <w:szCs w:val="20"/>
                <w:color w:val="auto"/>
              </w:rPr>
            </w:pPr>
            <w:r>
              <w:rPr>
                <w:rFonts w:ascii="Arial" w:cs="Arial" w:eastAsia="Arial" w:hAnsi="Arial"/>
                <w:sz w:val="16"/>
                <w:szCs w:val="16"/>
                <w:b w:val="1"/>
                <w:bCs w:val="1"/>
                <w:color w:val="FFFFFF"/>
              </w:rPr>
              <w:t>Incentive Compensation Stock</w:t>
            </w:r>
          </w:p>
        </w:tc>
      </w:tr>
      <w:tr>
        <w:trPr>
          <w:trHeight w:val="175"/>
        </w:trPr>
        <w:tc>
          <w:tcPr>
            <w:tcW w:w="2600" w:type="dxa"/>
            <w:vAlign w:val="bottom"/>
            <w:tcBorders>
              <w:right w:val="single" w:sz="8" w:color="007CBA"/>
            </w:tcBorders>
            <w:shd w:val="clear" w:color="auto" w:fill="007CBA"/>
          </w:tcPr>
          <w:p>
            <w:pPr>
              <w:spacing w:after="0"/>
              <w:rPr>
                <w:sz w:val="15"/>
                <w:szCs w:val="15"/>
                <w:color w:val="auto"/>
              </w:rPr>
            </w:pPr>
          </w:p>
        </w:tc>
        <w:tc>
          <w:tcPr>
            <w:tcW w:w="1420" w:type="dxa"/>
            <w:vAlign w:val="bottom"/>
            <w:shd w:val="clear" w:color="auto" w:fill="007CBA"/>
          </w:tcPr>
          <w:p>
            <w:pPr>
              <w:spacing w:after="0"/>
              <w:rPr>
                <w:sz w:val="15"/>
                <w:szCs w:val="15"/>
                <w:color w:val="auto"/>
              </w:rPr>
            </w:pPr>
          </w:p>
        </w:tc>
        <w:tc>
          <w:tcPr>
            <w:tcW w:w="18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jc w:val="center"/>
              <w:ind w:right="139"/>
              <w:spacing w:after="0" w:line="175" w:lineRule="exact"/>
              <w:rPr>
                <w:sz w:val="20"/>
                <w:szCs w:val="20"/>
                <w:color w:val="auto"/>
              </w:rPr>
            </w:pPr>
            <w:r>
              <w:rPr>
                <w:rFonts w:ascii="Arial" w:cs="Arial" w:eastAsia="Arial" w:hAnsi="Arial"/>
                <w:sz w:val="16"/>
                <w:szCs w:val="16"/>
                <w:b w:val="1"/>
                <w:bCs w:val="1"/>
                <w:color w:val="FFFFFF"/>
              </w:rPr>
              <w:t>Weighted-</w:t>
            </w:r>
          </w:p>
        </w:tc>
        <w:tc>
          <w:tcPr>
            <w:tcW w:w="120" w:type="dxa"/>
            <w:vAlign w:val="bottom"/>
            <w:shd w:val="clear" w:color="auto" w:fill="007CBA"/>
          </w:tcPr>
          <w:p>
            <w:pPr>
              <w:spacing w:after="0"/>
              <w:rPr>
                <w:sz w:val="15"/>
                <w:szCs w:val="15"/>
                <w:color w:val="auto"/>
              </w:rPr>
            </w:pPr>
          </w:p>
        </w:tc>
        <w:tc>
          <w:tcPr>
            <w:tcW w:w="1320" w:type="dxa"/>
            <w:vAlign w:val="bottom"/>
            <w:shd w:val="clear" w:color="auto" w:fill="007CBA"/>
          </w:tcPr>
          <w:p>
            <w:pPr>
              <w:spacing w:after="0"/>
              <w:rPr>
                <w:sz w:val="15"/>
                <w:szCs w:val="15"/>
                <w:color w:val="auto"/>
              </w:rPr>
            </w:pPr>
          </w:p>
        </w:tc>
        <w:tc>
          <w:tcPr>
            <w:tcW w:w="16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jc w:val="center"/>
              <w:ind w:right="139"/>
              <w:spacing w:after="0" w:line="175" w:lineRule="exact"/>
              <w:rPr>
                <w:sz w:val="20"/>
                <w:szCs w:val="20"/>
                <w:color w:val="auto"/>
              </w:rPr>
            </w:pPr>
            <w:r>
              <w:rPr>
                <w:rFonts w:ascii="Arial" w:cs="Arial" w:eastAsia="Arial" w:hAnsi="Arial"/>
                <w:sz w:val="16"/>
                <w:szCs w:val="16"/>
                <w:b w:val="1"/>
                <w:bCs w:val="1"/>
                <w:color w:val="FFFFFF"/>
              </w:rPr>
              <w:t>Weighted-</w:t>
            </w:r>
          </w:p>
        </w:tc>
        <w:tc>
          <w:tcPr>
            <w:tcW w:w="120" w:type="dxa"/>
            <w:vAlign w:val="bottom"/>
            <w:shd w:val="clear" w:color="auto" w:fill="007CBA"/>
          </w:tcPr>
          <w:p>
            <w:pPr>
              <w:spacing w:after="0"/>
              <w:rPr>
                <w:sz w:val="15"/>
                <w:szCs w:val="15"/>
                <w:color w:val="auto"/>
              </w:rPr>
            </w:pPr>
          </w:p>
        </w:tc>
        <w:tc>
          <w:tcPr>
            <w:tcW w:w="1320" w:type="dxa"/>
            <w:vAlign w:val="bottom"/>
            <w:shd w:val="clear" w:color="auto" w:fill="007CBA"/>
          </w:tcPr>
          <w:p>
            <w:pPr>
              <w:spacing w:after="0"/>
              <w:rPr>
                <w:sz w:val="15"/>
                <w:szCs w:val="15"/>
                <w:color w:val="auto"/>
              </w:rPr>
            </w:pPr>
          </w:p>
        </w:tc>
        <w:tc>
          <w:tcPr>
            <w:tcW w:w="18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1160" w:type="dxa"/>
            <w:vAlign w:val="bottom"/>
            <w:shd w:val="clear" w:color="auto" w:fill="007CBA"/>
          </w:tcPr>
          <w:p>
            <w:pPr>
              <w:jc w:val="center"/>
              <w:ind w:right="179"/>
              <w:spacing w:after="0" w:line="175" w:lineRule="exact"/>
              <w:rPr>
                <w:sz w:val="20"/>
                <w:szCs w:val="20"/>
                <w:color w:val="auto"/>
              </w:rPr>
            </w:pPr>
            <w:r>
              <w:rPr>
                <w:rFonts w:ascii="Arial" w:cs="Arial" w:eastAsia="Arial" w:hAnsi="Arial"/>
                <w:sz w:val="16"/>
                <w:szCs w:val="16"/>
                <w:b w:val="1"/>
                <w:bCs w:val="1"/>
                <w:color w:val="FFFFFF"/>
              </w:rPr>
              <w:t>Weighted-</w:t>
            </w:r>
          </w:p>
        </w:tc>
      </w:tr>
      <w:tr>
        <w:trPr>
          <w:trHeight w:val="189"/>
        </w:trPr>
        <w:tc>
          <w:tcPr>
            <w:tcW w:w="2600" w:type="dxa"/>
            <w:vAlign w:val="bottom"/>
            <w:tcBorders>
              <w:right w:val="single" w:sz="8" w:color="007CBA"/>
            </w:tcBorders>
            <w:shd w:val="clear" w:color="auto" w:fill="007CBA"/>
          </w:tcPr>
          <w:p>
            <w:pPr>
              <w:spacing w:after="0"/>
              <w:rPr>
                <w:sz w:val="16"/>
                <w:szCs w:val="16"/>
                <w:color w:val="auto"/>
              </w:rPr>
            </w:pPr>
          </w:p>
        </w:tc>
        <w:tc>
          <w:tcPr>
            <w:tcW w:w="1420" w:type="dxa"/>
            <w:vAlign w:val="bottom"/>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0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Average</w:t>
            </w:r>
          </w:p>
        </w:tc>
        <w:tc>
          <w:tcPr>
            <w:tcW w:w="120" w:type="dxa"/>
            <w:vAlign w:val="bottom"/>
            <w:shd w:val="clear" w:color="auto" w:fill="007CBA"/>
          </w:tcPr>
          <w:p>
            <w:pPr>
              <w:spacing w:after="0"/>
              <w:rPr>
                <w:sz w:val="16"/>
                <w:szCs w:val="16"/>
                <w:color w:val="auto"/>
              </w:rPr>
            </w:pPr>
          </w:p>
        </w:tc>
        <w:tc>
          <w:tcPr>
            <w:tcW w:w="1320" w:type="dxa"/>
            <w:vAlign w:val="bottom"/>
            <w:shd w:val="clear" w:color="auto" w:fill="007CBA"/>
          </w:tcPr>
          <w:p>
            <w:pPr>
              <w:spacing w:after="0"/>
              <w:rPr>
                <w:sz w:val="16"/>
                <w:szCs w:val="16"/>
                <w:color w:val="auto"/>
              </w:rPr>
            </w:pPr>
          </w:p>
        </w:tc>
        <w:tc>
          <w:tcPr>
            <w:tcW w:w="16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Average</w:t>
            </w:r>
          </w:p>
        </w:tc>
        <w:tc>
          <w:tcPr>
            <w:tcW w:w="120" w:type="dxa"/>
            <w:vAlign w:val="bottom"/>
            <w:shd w:val="clear" w:color="auto" w:fill="007CBA"/>
          </w:tcPr>
          <w:p>
            <w:pPr>
              <w:spacing w:after="0"/>
              <w:rPr>
                <w:sz w:val="16"/>
                <w:szCs w:val="16"/>
                <w:color w:val="auto"/>
              </w:rPr>
            </w:pPr>
          </w:p>
        </w:tc>
        <w:tc>
          <w:tcPr>
            <w:tcW w:w="1320" w:type="dxa"/>
            <w:vAlign w:val="bottom"/>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60" w:type="dxa"/>
            <w:vAlign w:val="bottom"/>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Average</w:t>
            </w:r>
          </w:p>
        </w:tc>
      </w:tr>
      <w:tr>
        <w:trPr>
          <w:trHeight w:val="189"/>
        </w:trPr>
        <w:tc>
          <w:tcPr>
            <w:tcW w:w="2600" w:type="dxa"/>
            <w:vAlign w:val="bottom"/>
            <w:tcBorders>
              <w:right w:val="single" w:sz="8" w:color="007CBA"/>
            </w:tcBorders>
            <w:shd w:val="clear" w:color="auto" w:fill="007CBA"/>
          </w:tcPr>
          <w:p>
            <w:pPr>
              <w:spacing w:after="0"/>
              <w:rPr>
                <w:sz w:val="16"/>
                <w:szCs w:val="16"/>
                <w:color w:val="auto"/>
              </w:rPr>
            </w:pPr>
          </w:p>
        </w:tc>
        <w:tc>
          <w:tcPr>
            <w:tcW w:w="1420" w:type="dxa"/>
            <w:vAlign w:val="bottom"/>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Number of</w:t>
            </w:r>
          </w:p>
        </w:tc>
        <w:tc>
          <w:tcPr>
            <w:tcW w:w="180" w:type="dxa"/>
            <w:vAlign w:val="bottom"/>
            <w:shd w:val="clear" w:color="auto" w:fill="007CBA"/>
          </w:tcPr>
          <w:p>
            <w:pPr>
              <w:spacing w:after="0"/>
              <w:rPr>
                <w:sz w:val="16"/>
                <w:szCs w:val="16"/>
                <w:color w:val="auto"/>
              </w:rPr>
            </w:pPr>
          </w:p>
        </w:tc>
        <w:tc>
          <w:tcPr>
            <w:tcW w:w="10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Grant-Date</w:t>
            </w:r>
          </w:p>
        </w:tc>
        <w:tc>
          <w:tcPr>
            <w:tcW w:w="120" w:type="dxa"/>
            <w:vAlign w:val="bottom"/>
            <w:shd w:val="clear" w:color="auto" w:fill="007CBA"/>
          </w:tcPr>
          <w:p>
            <w:pPr>
              <w:spacing w:after="0"/>
              <w:rPr>
                <w:sz w:val="16"/>
                <w:szCs w:val="16"/>
                <w:color w:val="auto"/>
              </w:rPr>
            </w:pPr>
          </w:p>
        </w:tc>
        <w:tc>
          <w:tcPr>
            <w:tcW w:w="1320" w:type="dxa"/>
            <w:vAlign w:val="bottom"/>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Number of</w:t>
            </w:r>
          </w:p>
        </w:tc>
        <w:tc>
          <w:tcPr>
            <w:tcW w:w="16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Grant-Date</w:t>
            </w:r>
          </w:p>
        </w:tc>
        <w:tc>
          <w:tcPr>
            <w:tcW w:w="120" w:type="dxa"/>
            <w:vAlign w:val="bottom"/>
            <w:shd w:val="clear" w:color="auto" w:fill="007CBA"/>
          </w:tcPr>
          <w:p>
            <w:pPr>
              <w:spacing w:after="0"/>
              <w:rPr>
                <w:sz w:val="16"/>
                <w:szCs w:val="16"/>
                <w:color w:val="auto"/>
              </w:rPr>
            </w:pPr>
          </w:p>
        </w:tc>
        <w:tc>
          <w:tcPr>
            <w:tcW w:w="1320" w:type="dxa"/>
            <w:vAlign w:val="bottom"/>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Number of</w:t>
            </w:r>
          </w:p>
        </w:tc>
        <w:tc>
          <w:tcPr>
            <w:tcW w:w="18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60" w:type="dxa"/>
            <w:vAlign w:val="bottom"/>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rPr>
              <w:t>Grant-Date</w:t>
            </w:r>
          </w:p>
        </w:tc>
      </w:tr>
      <w:tr>
        <w:trPr>
          <w:trHeight w:val="203"/>
        </w:trPr>
        <w:tc>
          <w:tcPr>
            <w:tcW w:w="2600" w:type="dxa"/>
            <w:vAlign w:val="bottom"/>
            <w:tcBorders>
              <w:right w:val="single" w:sz="8" w:color="007CBA"/>
            </w:tcBorders>
            <w:shd w:val="clear" w:color="auto" w:fill="007CBA"/>
          </w:tcPr>
          <w:p>
            <w:pPr>
              <w:spacing w:after="0"/>
              <w:rPr>
                <w:sz w:val="17"/>
                <w:szCs w:val="17"/>
                <w:color w:val="auto"/>
              </w:rPr>
            </w:pPr>
          </w:p>
        </w:tc>
        <w:tc>
          <w:tcPr>
            <w:tcW w:w="1420" w:type="dxa"/>
            <w:vAlign w:val="bottom"/>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Awards</w:t>
            </w:r>
          </w:p>
        </w:tc>
        <w:tc>
          <w:tcPr>
            <w:tcW w:w="180" w:type="dxa"/>
            <w:vAlign w:val="bottom"/>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139"/>
              <w:spacing w:after="0"/>
              <w:rPr>
                <w:sz w:val="20"/>
                <w:szCs w:val="20"/>
                <w:color w:val="auto"/>
              </w:rPr>
            </w:pPr>
            <w:r>
              <w:rPr>
                <w:rFonts w:ascii="Arial" w:cs="Arial" w:eastAsia="Arial" w:hAnsi="Arial"/>
                <w:sz w:val="16"/>
                <w:szCs w:val="16"/>
                <w:b w:val="1"/>
                <w:bCs w:val="1"/>
                <w:color w:val="FFFFFF"/>
              </w:rPr>
              <w:t>Fair Value</w:t>
            </w:r>
          </w:p>
        </w:tc>
        <w:tc>
          <w:tcPr>
            <w:tcW w:w="120" w:type="dxa"/>
            <w:vAlign w:val="bottom"/>
            <w:shd w:val="clear" w:color="auto" w:fill="007CBA"/>
          </w:tcPr>
          <w:p>
            <w:pPr>
              <w:spacing w:after="0"/>
              <w:rPr>
                <w:sz w:val="17"/>
                <w:szCs w:val="17"/>
                <w:color w:val="auto"/>
              </w:rPr>
            </w:pPr>
          </w:p>
        </w:tc>
        <w:tc>
          <w:tcPr>
            <w:tcW w:w="1320" w:type="dxa"/>
            <w:vAlign w:val="bottom"/>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Awards</w:t>
            </w:r>
          </w:p>
        </w:tc>
        <w:tc>
          <w:tcPr>
            <w:tcW w:w="160" w:type="dxa"/>
            <w:vAlign w:val="bottom"/>
            <w:shd w:val="clear" w:color="auto" w:fill="007CBA"/>
          </w:tcPr>
          <w:p>
            <w:pPr>
              <w:spacing w:after="0"/>
              <w:rPr>
                <w:sz w:val="17"/>
                <w:szCs w:val="17"/>
                <w:color w:val="auto"/>
              </w:rPr>
            </w:pPr>
          </w:p>
        </w:tc>
        <w:tc>
          <w:tcPr>
            <w:tcW w:w="12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9"/>
              </w:rPr>
              <w:t>Fair Value</w:t>
            </w:r>
          </w:p>
        </w:tc>
        <w:tc>
          <w:tcPr>
            <w:tcW w:w="120" w:type="dxa"/>
            <w:vAlign w:val="bottom"/>
            <w:shd w:val="clear" w:color="auto" w:fill="007CBA"/>
          </w:tcPr>
          <w:p>
            <w:pPr>
              <w:spacing w:after="0"/>
              <w:rPr>
                <w:sz w:val="17"/>
                <w:szCs w:val="17"/>
                <w:color w:val="auto"/>
              </w:rPr>
            </w:pPr>
          </w:p>
        </w:tc>
        <w:tc>
          <w:tcPr>
            <w:tcW w:w="1320" w:type="dxa"/>
            <w:vAlign w:val="bottom"/>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Awards</w:t>
            </w:r>
          </w:p>
        </w:tc>
        <w:tc>
          <w:tcPr>
            <w:tcW w:w="180" w:type="dxa"/>
            <w:vAlign w:val="bottom"/>
            <w:shd w:val="clear" w:color="auto" w:fill="007CBA"/>
          </w:tcPr>
          <w:p>
            <w:pPr>
              <w:spacing w:after="0"/>
              <w:rPr>
                <w:sz w:val="17"/>
                <w:szCs w:val="17"/>
                <w:color w:val="auto"/>
              </w:rPr>
            </w:pPr>
          </w:p>
        </w:tc>
        <w:tc>
          <w:tcPr>
            <w:tcW w:w="120" w:type="dxa"/>
            <w:vAlign w:val="bottom"/>
            <w:shd w:val="clear" w:color="auto" w:fill="007CBA"/>
          </w:tcPr>
          <w:p>
            <w:pPr>
              <w:spacing w:after="0"/>
              <w:rPr>
                <w:sz w:val="17"/>
                <w:szCs w:val="17"/>
                <w:color w:val="auto"/>
              </w:rPr>
            </w:pPr>
          </w:p>
        </w:tc>
        <w:tc>
          <w:tcPr>
            <w:tcW w:w="1160" w:type="dxa"/>
            <w:vAlign w:val="bottom"/>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9"/>
              </w:rPr>
              <w:t>Fair Value</w:t>
            </w:r>
          </w:p>
        </w:tc>
      </w:tr>
      <w:tr>
        <w:trPr>
          <w:trHeight w:val="189"/>
        </w:trPr>
        <w:tc>
          <w:tcPr>
            <w:tcW w:w="26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January 1, 2025</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191,534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370.27</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88,504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468.71</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15,543</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497.76</w:t>
            </w:r>
          </w:p>
        </w:tc>
      </w:tr>
      <w:tr>
        <w:trPr>
          <w:trHeight w:val="189"/>
        </w:trPr>
        <w:tc>
          <w:tcPr>
            <w:tcW w:w="26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Awarded</w:t>
            </w:r>
          </w:p>
        </w:tc>
        <w:tc>
          <w:tcPr>
            <w:tcW w:w="14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55,701</w:t>
            </w:r>
          </w:p>
        </w:tc>
        <w:tc>
          <w:tcPr>
            <w:tcW w:w="28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510.86</w:t>
            </w:r>
          </w:p>
        </w:tc>
        <w:tc>
          <w:tcPr>
            <w:tcW w:w="1440" w:type="dxa"/>
            <w:vAlign w:val="bottom"/>
            <w:gridSpan w:val="2"/>
            <w:shd w:val="clear" w:color="auto" w:fill="E5F1F8"/>
          </w:tcPr>
          <w:p>
            <w:pPr>
              <w:jc w:val="right"/>
              <w:ind w:right="39"/>
              <w:spacing w:after="0"/>
              <w:rPr>
                <w:sz w:val="20"/>
                <w:szCs w:val="20"/>
                <w:color w:val="auto"/>
              </w:rPr>
            </w:pPr>
            <w:r>
              <w:rPr>
                <w:rFonts w:ascii="Arial" w:cs="Arial" w:eastAsia="Arial" w:hAnsi="Arial"/>
                <w:sz w:val="16"/>
                <w:szCs w:val="16"/>
                <w:color w:val="auto"/>
              </w:rPr>
              <w:t>32,254</w:t>
            </w:r>
          </w:p>
        </w:tc>
        <w:tc>
          <w:tcPr>
            <w:tcW w:w="28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503.38</w:t>
            </w:r>
          </w:p>
        </w:tc>
        <w:tc>
          <w:tcPr>
            <w:tcW w:w="1440" w:type="dxa"/>
            <w:vAlign w:val="bottom"/>
            <w:gridSpan w:val="2"/>
            <w:shd w:val="clear" w:color="auto" w:fill="E5F1F8"/>
          </w:tcPr>
          <w:p>
            <w:pPr>
              <w:jc w:val="right"/>
              <w:ind w:right="39"/>
              <w:spacing w:after="0"/>
              <w:rPr>
                <w:sz w:val="20"/>
                <w:szCs w:val="20"/>
                <w:color w:val="auto"/>
              </w:rPr>
            </w:pPr>
            <w:r>
              <w:rPr>
                <w:rFonts w:ascii="Arial" w:cs="Arial" w:eastAsia="Arial" w:hAnsi="Arial"/>
                <w:sz w:val="16"/>
                <w:szCs w:val="16"/>
                <w:color w:val="auto"/>
              </w:rPr>
              <w:t>8,234</w:t>
            </w:r>
          </w:p>
        </w:tc>
        <w:tc>
          <w:tcPr>
            <w:tcW w:w="300" w:type="dxa"/>
            <w:vAlign w:val="bottom"/>
            <w:gridSpan w:val="2"/>
            <w:shd w:val="clear" w:color="auto" w:fill="E5F1F8"/>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489.84</w:t>
            </w:r>
          </w:p>
        </w:tc>
      </w:tr>
      <w:tr>
        <w:trPr>
          <w:trHeight w:val="189"/>
        </w:trPr>
        <w:tc>
          <w:tcPr>
            <w:tcW w:w="26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Distributed</w:t>
            </w:r>
          </w:p>
        </w:tc>
        <w:tc>
          <w:tcPr>
            <w:tcW w:w="1420" w:type="dxa"/>
            <w:vAlign w:val="bottom"/>
          </w:tcPr>
          <w:p>
            <w:pPr>
              <w:jc w:val="right"/>
              <w:spacing w:after="0"/>
              <w:rPr>
                <w:sz w:val="20"/>
                <w:szCs w:val="20"/>
                <w:color w:val="auto"/>
              </w:rPr>
            </w:pPr>
            <w:r>
              <w:rPr>
                <w:rFonts w:ascii="Arial" w:cs="Arial" w:eastAsia="Arial" w:hAnsi="Arial"/>
                <w:sz w:val="16"/>
                <w:szCs w:val="16"/>
                <w:color w:val="auto"/>
              </w:rPr>
              <w:t>(73,623)</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383.21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(66,977)</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417.26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(4,378)</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367.88</w:t>
            </w:r>
          </w:p>
        </w:tc>
      </w:tr>
      <w:tr>
        <w:trPr>
          <w:trHeight w:val="189"/>
        </w:trPr>
        <w:tc>
          <w:tcPr>
            <w:tcW w:w="26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Forfeited</w:t>
            </w:r>
          </w:p>
        </w:tc>
        <w:tc>
          <w:tcPr>
            <w:tcW w:w="14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(6,752)</w:t>
            </w:r>
          </w:p>
        </w:tc>
        <w:tc>
          <w:tcPr>
            <w:tcW w:w="28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470.05</w:t>
            </w:r>
          </w:p>
        </w:tc>
        <w:tc>
          <w:tcPr>
            <w:tcW w:w="1440" w:type="dxa"/>
            <w:vAlign w:val="bottom"/>
            <w:gridSpan w:val="2"/>
            <w:shd w:val="clear" w:color="auto" w:fill="E5F1F8"/>
          </w:tcPr>
          <w:p>
            <w:pPr>
              <w:jc w:val="right"/>
              <w:spacing w:after="0"/>
              <w:rPr>
                <w:sz w:val="20"/>
                <w:szCs w:val="20"/>
                <w:color w:val="auto"/>
              </w:rPr>
            </w:pPr>
            <w:r>
              <w:rPr>
                <w:rFonts w:ascii="Arial" w:cs="Arial" w:eastAsia="Arial" w:hAnsi="Arial"/>
                <w:sz w:val="16"/>
                <w:szCs w:val="16"/>
                <w:color w:val="auto"/>
              </w:rPr>
              <w:t>(7,545)</w:t>
            </w:r>
          </w:p>
        </w:tc>
        <w:tc>
          <w:tcPr>
            <w:tcW w:w="28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499.19</w:t>
            </w:r>
          </w:p>
        </w:tc>
        <w:tc>
          <w:tcPr>
            <w:tcW w:w="1440" w:type="dxa"/>
            <w:vAlign w:val="bottom"/>
            <w:gridSpan w:val="2"/>
            <w:shd w:val="clear" w:color="auto" w:fill="E5F1F8"/>
          </w:tcPr>
          <w:p>
            <w:pPr>
              <w:jc w:val="right"/>
              <w:spacing w:after="0"/>
              <w:rPr>
                <w:sz w:val="20"/>
                <w:szCs w:val="20"/>
                <w:color w:val="auto"/>
              </w:rPr>
            </w:pPr>
            <w:r>
              <w:rPr>
                <w:rFonts w:ascii="Arial" w:cs="Arial" w:eastAsia="Arial" w:hAnsi="Arial"/>
                <w:sz w:val="16"/>
                <w:szCs w:val="16"/>
                <w:color w:val="auto"/>
              </w:rPr>
              <w:t>(377)</w:t>
            </w:r>
          </w:p>
        </w:tc>
        <w:tc>
          <w:tcPr>
            <w:tcW w:w="300" w:type="dxa"/>
            <w:vAlign w:val="bottom"/>
            <w:gridSpan w:val="2"/>
            <w:shd w:val="clear" w:color="auto" w:fill="E5F1F8"/>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517.31</w:t>
            </w:r>
          </w:p>
        </w:tc>
      </w:tr>
      <w:tr>
        <w:trPr>
          <w:trHeight w:val="189"/>
        </w:trPr>
        <w:tc>
          <w:tcPr>
            <w:tcW w:w="2600" w:type="dxa"/>
            <w:vAlign w:val="bottom"/>
          </w:tcPr>
          <w:p>
            <w:pPr>
              <w:ind w:left="40"/>
              <w:spacing w:after="0"/>
              <w:rPr>
                <w:sz w:val="20"/>
                <w:szCs w:val="20"/>
                <w:color w:val="auto"/>
              </w:rPr>
            </w:pPr>
            <w:r>
              <w:rPr>
                <w:rFonts w:ascii="Arial" w:cs="Arial" w:eastAsia="Arial" w:hAnsi="Arial"/>
                <w:sz w:val="16"/>
                <w:szCs w:val="16"/>
                <w:color w:val="auto"/>
              </w:rPr>
              <w:t>Adjustment for performance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38,268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417.25</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E5F1F8"/>
            </w:tcBorders>
          </w:tcPr>
          <w:p>
            <w:pPr>
              <w:spacing w:after="0" w:line="20" w:lineRule="exact"/>
              <w:rPr>
                <w:sz w:val="1"/>
                <w:szCs w:val="1"/>
                <w:color w:val="auto"/>
              </w:rPr>
            </w:pPr>
          </w:p>
        </w:tc>
        <w:tc>
          <w:tcPr>
            <w:tcW w:w="100" w:type="dxa"/>
            <w:vAlign w:val="bottom"/>
            <w:tcBorders>
              <w:bottom w:val="single" w:sz="8" w:color="E5F1F8"/>
            </w:tcBorders>
            <w:shd w:val="clear" w:color="auto" w:fill="000000"/>
          </w:tcPr>
          <w:p>
            <w:pPr>
              <w:spacing w:after="0" w:line="20" w:lineRule="exact"/>
              <w:rPr>
                <w:sz w:val="1"/>
                <w:szCs w:val="1"/>
                <w:color w:val="auto"/>
              </w:rPr>
            </w:pPr>
          </w:p>
        </w:tc>
        <w:tc>
          <w:tcPr>
            <w:tcW w:w="1160" w:type="dxa"/>
            <w:vAlign w:val="bottom"/>
            <w:tcBorders>
              <w:bottom w:val="single" w:sz="8" w:color="E5F1F8"/>
              <w:right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E5F1F8"/>
            </w:tcBorders>
          </w:tcPr>
          <w:p>
            <w:pPr>
              <w:spacing w:after="0" w:line="20" w:lineRule="exact"/>
              <w:rPr>
                <w:sz w:val="1"/>
                <w:szCs w:val="1"/>
                <w:color w:val="auto"/>
              </w:rPr>
            </w:pPr>
          </w:p>
        </w:tc>
        <w:tc>
          <w:tcPr>
            <w:tcW w:w="1320" w:type="dxa"/>
            <w:vAlign w:val="bottom"/>
            <w:tcBorders>
              <w:bottom w:val="single" w:sz="8" w:color="E5F1F8"/>
            </w:tcBorders>
            <w:shd w:val="clear" w:color="auto" w:fill="000000"/>
          </w:tcPr>
          <w:p>
            <w:pPr>
              <w:spacing w:after="0" w:line="20" w:lineRule="exact"/>
              <w:rPr>
                <w:sz w:val="1"/>
                <w:szCs w:val="1"/>
                <w:color w:val="auto"/>
              </w:rPr>
            </w:pPr>
          </w:p>
        </w:tc>
        <w:tc>
          <w:tcPr>
            <w:tcW w:w="160" w:type="dxa"/>
            <w:vAlign w:val="bottom"/>
            <w:tcBorders>
              <w:bottom w:val="single" w:sz="8" w:color="E5F1F8"/>
            </w:tcBorders>
          </w:tcPr>
          <w:p>
            <w:pPr>
              <w:spacing w:after="0" w:line="20" w:lineRule="exact"/>
              <w:rPr>
                <w:sz w:val="1"/>
                <w:szCs w:val="1"/>
                <w:color w:val="auto"/>
              </w:rPr>
            </w:pPr>
          </w:p>
        </w:tc>
        <w:tc>
          <w:tcPr>
            <w:tcW w:w="120" w:type="dxa"/>
            <w:vAlign w:val="bottom"/>
            <w:tcBorders>
              <w:bottom w:val="single" w:sz="8" w:color="E5F1F8"/>
            </w:tcBorders>
            <w:shd w:val="clear" w:color="auto" w:fill="000000"/>
          </w:tcPr>
          <w:p>
            <w:pPr>
              <w:spacing w:after="0" w:line="20" w:lineRule="exact"/>
              <w:rPr>
                <w:sz w:val="1"/>
                <w:szCs w:val="1"/>
                <w:color w:val="auto"/>
              </w:rPr>
            </w:pPr>
          </w:p>
        </w:tc>
        <w:tc>
          <w:tcPr>
            <w:tcW w:w="1160" w:type="dxa"/>
            <w:vAlign w:val="bottom"/>
            <w:tcBorders>
              <w:bottom w:val="single" w:sz="8" w:color="E5F1F8"/>
              <w:right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E5F1F8"/>
            </w:tcBorders>
          </w:tcPr>
          <w:p>
            <w:pPr>
              <w:spacing w:after="0" w:line="20" w:lineRule="exact"/>
              <w:rPr>
                <w:sz w:val="1"/>
                <w:szCs w:val="1"/>
                <w:color w:val="auto"/>
              </w:rPr>
            </w:pPr>
          </w:p>
        </w:tc>
        <w:tc>
          <w:tcPr>
            <w:tcW w:w="1320" w:type="dxa"/>
            <w:vAlign w:val="bottom"/>
            <w:tcBorders>
              <w:bottom w:val="single" w:sz="8" w:color="E5F1F8"/>
            </w:tcBorders>
            <w:shd w:val="clear" w:color="auto" w:fill="000000"/>
          </w:tcPr>
          <w:p>
            <w:pPr>
              <w:spacing w:after="0" w:line="20" w:lineRule="exact"/>
              <w:rPr>
                <w:sz w:val="1"/>
                <w:szCs w:val="1"/>
                <w:color w:val="auto"/>
              </w:rPr>
            </w:pPr>
          </w:p>
        </w:tc>
        <w:tc>
          <w:tcPr>
            <w:tcW w:w="180" w:type="dxa"/>
            <w:vAlign w:val="bottom"/>
            <w:tcBorders>
              <w:bottom w:val="single" w:sz="8" w:color="E5F1F8"/>
            </w:tcBorders>
          </w:tcPr>
          <w:p>
            <w:pPr>
              <w:spacing w:after="0" w:line="20" w:lineRule="exact"/>
              <w:rPr>
                <w:sz w:val="1"/>
                <w:szCs w:val="1"/>
                <w:color w:val="auto"/>
              </w:rPr>
            </w:pPr>
          </w:p>
        </w:tc>
        <w:tc>
          <w:tcPr>
            <w:tcW w:w="120" w:type="dxa"/>
            <w:vAlign w:val="bottom"/>
            <w:tcBorders>
              <w:bottom w:val="single" w:sz="8" w:color="E5F1F8"/>
            </w:tcBorders>
            <w:shd w:val="clear" w:color="auto" w:fill="000000"/>
          </w:tcPr>
          <w:p>
            <w:pPr>
              <w:spacing w:after="0" w:line="20" w:lineRule="exact"/>
              <w:rPr>
                <w:sz w:val="1"/>
                <w:szCs w:val="1"/>
                <w:color w:val="auto"/>
              </w:rPr>
            </w:pPr>
          </w:p>
        </w:tc>
        <w:tc>
          <w:tcPr>
            <w:tcW w:w="1160" w:type="dxa"/>
            <w:vAlign w:val="bottom"/>
            <w:tcBorders>
              <w:bottom w:val="single" w:sz="8" w:color="E5F1F8"/>
            </w:tcBorders>
            <w:shd w:val="clear" w:color="auto" w:fill="000000"/>
          </w:tcPr>
          <w:p>
            <w:pPr>
              <w:spacing w:after="0" w:line="20" w:lineRule="exact"/>
              <w:rPr>
                <w:sz w:val="1"/>
                <w:szCs w:val="1"/>
                <w:color w:val="auto"/>
              </w:rPr>
            </w:pPr>
          </w:p>
        </w:tc>
      </w:tr>
      <w:tr>
        <w:trPr>
          <w:trHeight w:val="183"/>
        </w:trPr>
        <w:tc>
          <w:tcPr>
            <w:tcW w:w="2600" w:type="dxa"/>
            <w:vAlign w:val="bottom"/>
            <w:tcBorders>
              <w:right w:val="single" w:sz="8" w:color="E5F1F8"/>
            </w:tcBorders>
            <w:shd w:val="clear" w:color="auto" w:fill="E5F1F8"/>
          </w:tcPr>
          <w:p>
            <w:pPr>
              <w:ind w:left="40"/>
              <w:spacing w:after="0" w:line="162" w:lineRule="exact"/>
              <w:rPr>
                <w:sz w:val="20"/>
                <w:szCs w:val="20"/>
                <w:color w:val="auto"/>
              </w:rPr>
            </w:pPr>
            <w:r>
              <w:rPr>
                <w:rFonts w:ascii="Arial" w:cs="Arial" w:eastAsia="Arial" w:hAnsi="Arial"/>
                <w:sz w:val="16"/>
                <w:szCs w:val="16"/>
                <w:color w:val="auto"/>
              </w:rPr>
              <w:t>December 31, 2025</w:t>
            </w:r>
          </w:p>
        </w:tc>
        <w:tc>
          <w:tcPr>
            <w:tcW w:w="1420" w:type="dxa"/>
            <w:vAlign w:val="bottom"/>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166,860</w:t>
            </w:r>
          </w:p>
        </w:tc>
        <w:tc>
          <w:tcPr>
            <w:tcW w:w="280" w:type="dxa"/>
            <w:vAlign w:val="bottom"/>
            <w:gridSpan w:val="2"/>
            <w:shd w:val="clear" w:color="auto" w:fill="E5F1F8"/>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E5F1F8"/>
            </w:tcBorders>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407.46</w:t>
            </w:r>
          </w:p>
        </w:tc>
        <w:tc>
          <w:tcPr>
            <w:tcW w:w="1440" w:type="dxa"/>
            <w:vAlign w:val="bottom"/>
            <w:gridSpan w:val="2"/>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84,504</w:t>
            </w:r>
          </w:p>
        </w:tc>
        <w:tc>
          <w:tcPr>
            <w:tcW w:w="280" w:type="dxa"/>
            <w:vAlign w:val="bottom"/>
            <w:gridSpan w:val="2"/>
            <w:shd w:val="clear" w:color="auto" w:fill="E5F1F8"/>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E5F1F8"/>
            </w:tcBorders>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496.69</w:t>
            </w:r>
          </w:p>
        </w:tc>
        <w:tc>
          <w:tcPr>
            <w:tcW w:w="1440" w:type="dxa"/>
            <w:vAlign w:val="bottom"/>
            <w:gridSpan w:val="2"/>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19,022</w:t>
            </w:r>
          </w:p>
        </w:tc>
        <w:tc>
          <w:tcPr>
            <w:tcW w:w="300" w:type="dxa"/>
            <w:vAlign w:val="bottom"/>
            <w:gridSpan w:val="2"/>
            <w:shd w:val="clear" w:color="auto" w:fill="E5F1F8"/>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1160" w:type="dxa"/>
            <w:vAlign w:val="bottom"/>
            <w:shd w:val="clear" w:color="auto" w:fill="E5F1F8"/>
          </w:tcPr>
          <w:p>
            <w:pPr>
              <w:jc w:val="right"/>
              <w:ind w:right="39"/>
              <w:spacing w:after="0" w:line="162" w:lineRule="exact"/>
              <w:rPr>
                <w:sz w:val="20"/>
                <w:szCs w:val="20"/>
                <w:color w:val="auto"/>
              </w:rPr>
            </w:pPr>
            <w:r>
              <w:rPr>
                <w:rFonts w:ascii="Arial" w:cs="Arial" w:eastAsia="Arial" w:hAnsi="Arial"/>
                <w:sz w:val="16"/>
                <w:szCs w:val="16"/>
                <w:color w:val="auto"/>
              </w:rPr>
              <w:t>523.83</w:t>
            </w:r>
          </w:p>
        </w:tc>
      </w:tr>
      <w:tr>
        <w:trPr>
          <w:trHeight w:val="20"/>
        </w:trPr>
        <w:tc>
          <w:tcPr>
            <w:tcW w:w="2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00" w:type="dxa"/>
            <w:vAlign w:val="bottom"/>
            <w:tcBorders>
              <w:top w:val="single" w:sz="8" w:color="E5F1F8"/>
            </w:tcBorders>
            <w:shd w:val="clear" w:color="auto" w:fill="000000"/>
          </w:tcPr>
          <w:p>
            <w:pPr>
              <w:spacing w:after="0" w:line="20" w:lineRule="exact"/>
              <w:rPr>
                <w:sz w:val="1"/>
                <w:szCs w:val="1"/>
                <w:color w:val="auto"/>
              </w:rPr>
            </w:pPr>
          </w:p>
        </w:tc>
        <w:tc>
          <w:tcPr>
            <w:tcW w:w="116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000000"/>
          </w:tcPr>
          <w:p>
            <w:pPr>
              <w:spacing w:after="0" w:line="20" w:lineRule="exact"/>
              <w:rPr>
                <w:sz w:val="1"/>
                <w:szCs w:val="1"/>
                <w:color w:val="auto"/>
              </w:rPr>
            </w:pPr>
          </w:p>
        </w:tc>
        <w:tc>
          <w:tcPr>
            <w:tcW w:w="116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000000"/>
          </w:tcPr>
          <w:p>
            <w:pPr>
              <w:spacing w:after="0" w:line="20" w:lineRule="exact"/>
              <w:rPr>
                <w:sz w:val="1"/>
                <w:szCs w:val="1"/>
                <w:color w:val="auto"/>
              </w:rPr>
            </w:pPr>
          </w:p>
        </w:tc>
        <w:tc>
          <w:tcPr>
            <w:tcW w:w="1160" w:type="dxa"/>
            <w:vAlign w:val="bottom"/>
            <w:tcBorders>
              <w:top w:val="single" w:sz="8" w:color="E5F1F8"/>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-1242695</wp:posOffset>
            </wp:positionV>
            <wp:extent cx="54178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-286385</wp:posOffset>
            </wp:positionV>
            <wp:extent cx="34290" cy="2997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1117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1117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-286385</wp:posOffset>
            </wp:positionV>
            <wp:extent cx="98425" cy="2997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98425" cy="29972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1111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1111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-286385</wp:posOffset>
            </wp:positionV>
            <wp:extent cx="98425" cy="2997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98425" cy="29972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111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111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weighted-average grant-date fair value per share of service-based restricted stock awards granted during 2025, 2024 and 2023 was $510.86, $553.17 and $369.18, respectively. The weighted-average grant-date fair value per share of performance-based restricted stock awards granted during 2025, 2024 and 2023 was $503.38, $595.00 and $392.73, respectively. The weighted-average grant-date fair value per share of incentive compensation stock awards granted during 2025, 2024 and 2023 was $489.84, $548.68 and $362.08, respectively.</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intrinsic values for unvested service-based and performance-based restricted stock awards of $157 million and unvested incentive compensation stock awards of $4 million at December 31, 2025 were based on the closing price of the Company’s common stock at December 31, 2025, which was $622.66. The aggregate intrinsic values of service-based and performance -based restricted stock awards distributed during the years ended December 31, 2025, 2024 and 2023 were $74 million, $76 million and $48 million, respectively. The aggregate intrinsic values of incentive compensation stock awards distributed during the years ended December 31, 2025, 2024 and 2023 were $1 million, $4 million and $4 million, respectively. The aggregate intrinsic values for distributed awards were based on the closing prices of the Company’s common stock on the dates of distribution.</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2016, under the Plans, the Company granted options to employees to purchase its common stock at a price equal to the closing market value at the date of grant. Options became exercisable in four annual installments beginning one year after date of grant. Outstanding options expired ten years after the grant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60" w:type="dxa"/>
            <w:vAlign w:val="bottom"/>
          </w:tcPr>
          <w:p>
            <w:pPr>
              <w:spacing w:after="0"/>
              <w:rPr>
                <w:sz w:val="20"/>
                <w:szCs w:val="20"/>
                <w:color w:val="auto"/>
              </w:rPr>
            </w:pPr>
            <w:r>
              <w:rPr>
                <w:rFonts w:ascii="Arial" w:cs="Arial" w:eastAsia="Arial" w:hAnsi="Arial"/>
                <w:sz w:val="18"/>
                <w:szCs w:val="18"/>
                <w:color w:val="auto"/>
                <w:w w:val="99"/>
              </w:rPr>
              <w:t>The following table includes summary information for stock options as of December 31, 2025:</w:t>
            </w: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77"/>
        </w:trPr>
        <w:tc>
          <w:tcPr>
            <w:tcW w:w="74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184"/>
        </w:trPr>
        <w:tc>
          <w:tcPr>
            <w:tcW w:w="7460" w:type="dxa"/>
            <w:vAlign w:val="bottom"/>
            <w:tcBorders>
              <w:right w:val="single" w:sz="8" w:color="007CBA"/>
            </w:tcBorders>
            <w:shd w:val="clear" w:color="auto" w:fill="007CBA"/>
          </w:tcPr>
          <w:p>
            <w:pPr>
              <w:spacing w:after="0"/>
              <w:rPr>
                <w:sz w:val="15"/>
                <w:szCs w:val="15"/>
                <w:color w:val="auto"/>
              </w:rPr>
            </w:pPr>
          </w:p>
        </w:tc>
        <w:tc>
          <w:tcPr>
            <w:tcW w:w="190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460" w:type="dxa"/>
            <w:vAlign w:val="bottom"/>
            <w:shd w:val="clear" w:color="auto" w:fill="007CBA"/>
          </w:tcPr>
          <w:p>
            <w:pPr>
              <w:jc w:val="center"/>
              <w:ind w:right="250"/>
              <w:spacing w:after="0" w:line="183" w:lineRule="exact"/>
              <w:rPr>
                <w:sz w:val="20"/>
                <w:szCs w:val="20"/>
                <w:color w:val="auto"/>
              </w:rPr>
            </w:pPr>
            <w:r>
              <w:rPr>
                <w:rFonts w:ascii="Arial" w:cs="Arial" w:eastAsia="Arial" w:hAnsi="Arial"/>
                <w:sz w:val="18"/>
                <w:szCs w:val="18"/>
                <w:b w:val="1"/>
                <w:bCs w:val="1"/>
                <w:color w:val="FFFFFF"/>
              </w:rPr>
              <w:t>Weighted-</w:t>
            </w:r>
          </w:p>
        </w:tc>
      </w:tr>
      <w:tr>
        <w:trPr>
          <w:trHeight w:val="203"/>
        </w:trPr>
        <w:tc>
          <w:tcPr>
            <w:tcW w:w="7460" w:type="dxa"/>
            <w:vAlign w:val="bottom"/>
            <w:tcBorders>
              <w:right w:val="single" w:sz="8" w:color="007CBA"/>
            </w:tcBorders>
            <w:shd w:val="clear" w:color="auto" w:fill="007CBA"/>
          </w:tcPr>
          <w:p>
            <w:pPr>
              <w:spacing w:after="0"/>
              <w:rPr>
                <w:sz w:val="17"/>
                <w:szCs w:val="17"/>
                <w:color w:val="auto"/>
              </w:rPr>
            </w:pPr>
          </w:p>
        </w:tc>
        <w:tc>
          <w:tcPr>
            <w:tcW w:w="1900" w:type="dxa"/>
            <w:vAlign w:val="bottom"/>
            <w:tcBorders>
              <w:right w:val="single" w:sz="8" w:color="007CBA"/>
            </w:tcBorders>
            <w:shd w:val="clear" w:color="auto" w:fill="007CBA"/>
          </w:tcPr>
          <w:p>
            <w:pPr>
              <w:spacing w:after="0"/>
              <w:rPr>
                <w:sz w:val="17"/>
                <w:szCs w:val="17"/>
                <w:color w:val="auto"/>
              </w:rPr>
            </w:pPr>
          </w:p>
        </w:tc>
        <w:tc>
          <w:tcPr>
            <w:tcW w:w="420" w:type="dxa"/>
            <w:vAlign w:val="bottom"/>
            <w:shd w:val="clear" w:color="auto" w:fill="007CBA"/>
          </w:tcPr>
          <w:p>
            <w:pPr>
              <w:spacing w:after="0"/>
              <w:rPr>
                <w:sz w:val="17"/>
                <w:szCs w:val="17"/>
                <w:color w:val="auto"/>
              </w:rPr>
            </w:pPr>
          </w:p>
        </w:tc>
        <w:tc>
          <w:tcPr>
            <w:tcW w:w="1460" w:type="dxa"/>
            <w:vAlign w:val="bottom"/>
            <w:shd w:val="clear" w:color="auto" w:fill="007CBA"/>
          </w:tcPr>
          <w:p>
            <w:pPr>
              <w:jc w:val="center"/>
              <w:ind w:right="290"/>
              <w:spacing w:after="0" w:line="202" w:lineRule="exact"/>
              <w:rPr>
                <w:sz w:val="20"/>
                <w:szCs w:val="20"/>
                <w:color w:val="auto"/>
              </w:rPr>
            </w:pPr>
            <w:r>
              <w:rPr>
                <w:rFonts w:ascii="Arial" w:cs="Arial" w:eastAsia="Arial" w:hAnsi="Arial"/>
                <w:sz w:val="18"/>
                <w:szCs w:val="18"/>
                <w:b w:val="1"/>
                <w:bCs w:val="1"/>
                <w:color w:val="FFFFFF"/>
              </w:rPr>
              <w:t>Average</w:t>
            </w:r>
          </w:p>
        </w:tc>
      </w:tr>
      <w:tr>
        <w:trPr>
          <w:trHeight w:val="203"/>
        </w:trPr>
        <w:tc>
          <w:tcPr>
            <w:tcW w:w="7460" w:type="dxa"/>
            <w:vAlign w:val="bottom"/>
            <w:tcBorders>
              <w:right w:val="single" w:sz="8" w:color="007CBA"/>
            </w:tcBorders>
            <w:shd w:val="clear" w:color="auto" w:fill="007CBA"/>
          </w:tcPr>
          <w:p>
            <w:pPr>
              <w:spacing w:after="0"/>
              <w:rPr>
                <w:sz w:val="17"/>
                <w:szCs w:val="17"/>
                <w:color w:val="auto"/>
              </w:rPr>
            </w:pPr>
          </w:p>
        </w:tc>
        <w:tc>
          <w:tcPr>
            <w:tcW w:w="1900" w:type="dxa"/>
            <w:vAlign w:val="bottom"/>
            <w:tcBorders>
              <w:right w:val="single" w:sz="8" w:color="007CBA"/>
            </w:tcBorders>
            <w:shd w:val="clear" w:color="auto" w:fill="007CBA"/>
          </w:tcPr>
          <w:p>
            <w:pPr>
              <w:jc w:val="right"/>
              <w:ind w:right="390"/>
              <w:spacing w:after="0" w:line="202" w:lineRule="exact"/>
              <w:rPr>
                <w:sz w:val="20"/>
                <w:szCs w:val="20"/>
                <w:color w:val="auto"/>
              </w:rPr>
            </w:pPr>
            <w:r>
              <w:rPr>
                <w:rFonts w:ascii="Arial" w:cs="Arial" w:eastAsia="Arial" w:hAnsi="Arial"/>
                <w:sz w:val="18"/>
                <w:szCs w:val="18"/>
                <w:b w:val="1"/>
                <w:bCs w:val="1"/>
                <w:color w:val="FFFFFF"/>
              </w:rPr>
              <w:t>Number of</w:t>
            </w:r>
          </w:p>
        </w:tc>
        <w:tc>
          <w:tcPr>
            <w:tcW w:w="420" w:type="dxa"/>
            <w:vAlign w:val="bottom"/>
            <w:shd w:val="clear" w:color="auto" w:fill="007CBA"/>
          </w:tcPr>
          <w:p>
            <w:pPr>
              <w:spacing w:after="0"/>
              <w:rPr>
                <w:sz w:val="17"/>
                <w:szCs w:val="17"/>
                <w:color w:val="auto"/>
              </w:rPr>
            </w:pPr>
          </w:p>
        </w:tc>
        <w:tc>
          <w:tcPr>
            <w:tcW w:w="1460" w:type="dxa"/>
            <w:vAlign w:val="bottom"/>
            <w:shd w:val="clear" w:color="auto" w:fill="007CBA"/>
          </w:tcPr>
          <w:p>
            <w:pPr>
              <w:jc w:val="center"/>
              <w:ind w:right="310"/>
              <w:spacing w:after="0" w:line="202" w:lineRule="exact"/>
              <w:rPr>
                <w:sz w:val="20"/>
                <w:szCs w:val="20"/>
                <w:color w:val="auto"/>
              </w:rPr>
            </w:pPr>
            <w:r>
              <w:rPr>
                <w:rFonts w:ascii="Arial" w:cs="Arial" w:eastAsia="Arial" w:hAnsi="Arial"/>
                <w:sz w:val="18"/>
                <w:szCs w:val="18"/>
                <w:b w:val="1"/>
                <w:bCs w:val="1"/>
                <w:color w:val="FFFFFF"/>
                <w:w w:val="99"/>
              </w:rPr>
              <w:t>Exercise</w:t>
            </w:r>
          </w:p>
        </w:tc>
      </w:tr>
      <w:tr>
        <w:trPr>
          <w:trHeight w:val="235"/>
        </w:trPr>
        <w:tc>
          <w:tcPr>
            <w:tcW w:w="7460" w:type="dxa"/>
            <w:vAlign w:val="bottom"/>
            <w:tcBorders>
              <w:right w:val="single" w:sz="8" w:color="007CBA"/>
            </w:tcBorders>
            <w:shd w:val="clear" w:color="auto" w:fill="007CBA"/>
          </w:tcPr>
          <w:p>
            <w:pPr>
              <w:spacing w:after="0"/>
              <w:rPr>
                <w:sz w:val="20"/>
                <w:szCs w:val="20"/>
                <w:color w:val="auto"/>
              </w:rPr>
            </w:pPr>
          </w:p>
        </w:tc>
        <w:tc>
          <w:tcPr>
            <w:tcW w:w="190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Options</w:t>
            </w:r>
          </w:p>
        </w:tc>
        <w:tc>
          <w:tcPr>
            <w:tcW w:w="420" w:type="dxa"/>
            <w:vAlign w:val="bottom"/>
            <w:shd w:val="clear" w:color="auto" w:fill="007CBA"/>
          </w:tcPr>
          <w:p>
            <w:pPr>
              <w:spacing w:after="0"/>
              <w:rPr>
                <w:sz w:val="20"/>
                <w:szCs w:val="20"/>
                <w:color w:val="auto"/>
              </w:rPr>
            </w:pPr>
          </w:p>
        </w:tc>
        <w:tc>
          <w:tcPr>
            <w:tcW w:w="1460" w:type="dxa"/>
            <w:vAlign w:val="bottom"/>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99"/>
              </w:rPr>
              <w:t>Price</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Outstanding at January 1, 2025</w:t>
            </w:r>
          </w:p>
        </w:tc>
        <w:tc>
          <w:tcPr>
            <w:tcW w:w="19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3,623</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154.58</w:t>
            </w:r>
          </w:p>
        </w:tc>
      </w:tr>
      <w:tr>
        <w:trPr>
          <w:trHeight w:val="203"/>
        </w:trPr>
        <w:tc>
          <w:tcPr>
            <w:tcW w:w="7460" w:type="dxa"/>
            <w:vAlign w:val="bottom"/>
            <w:tcBorders>
              <w:bottom w:val="single" w:sz="8" w:color="auto"/>
              <w:right w:val="single" w:sz="8" w:color="E5F1F8"/>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Exercised</w:t>
            </w:r>
          </w:p>
        </w:tc>
        <w:tc>
          <w:tcPr>
            <w:tcW w:w="190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(3,623)</w:t>
            </w:r>
          </w:p>
        </w:tc>
        <w:tc>
          <w:tcPr>
            <w:tcW w:w="420" w:type="dxa"/>
            <w:vAlign w:val="bottom"/>
            <w:tcBorders>
              <w:bottom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154.58</w:t>
            </w:r>
          </w:p>
        </w:tc>
      </w:tr>
      <w:tr>
        <w:trPr>
          <w:trHeight w:val="196"/>
        </w:trPr>
        <w:tc>
          <w:tcPr>
            <w:tcW w:w="7460" w:type="dxa"/>
            <w:vAlign w:val="bottom"/>
          </w:tcPr>
          <w:p>
            <w:pPr>
              <w:ind w:left="80"/>
              <w:spacing w:after="0" w:line="196" w:lineRule="exact"/>
              <w:rPr>
                <w:sz w:val="20"/>
                <w:szCs w:val="20"/>
                <w:color w:val="auto"/>
              </w:rPr>
            </w:pPr>
            <w:r>
              <w:rPr>
                <w:rFonts w:ascii="Arial" w:cs="Arial" w:eastAsia="Arial" w:hAnsi="Arial"/>
                <w:sz w:val="18"/>
                <w:szCs w:val="18"/>
                <w:color w:val="auto"/>
              </w:rPr>
              <w:t>Outstanding at December 31, 2025</w:t>
            </w:r>
          </w:p>
        </w:tc>
        <w:tc>
          <w:tcPr>
            <w:tcW w:w="1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
        </w:trPr>
        <w:tc>
          <w:tcPr>
            <w:tcW w:w="74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7460" w:type="dxa"/>
            <w:vAlign w:val="bottom"/>
            <w:tcBorders>
              <w:right w:val="single" w:sz="8" w:color="007CBA"/>
            </w:tcBorders>
            <w:shd w:val="clear" w:color="auto" w:fill="E5F1F8"/>
          </w:tcPr>
          <w:p>
            <w:pPr>
              <w:spacing w:after="0"/>
              <w:rPr>
                <w:sz w:val="15"/>
                <w:szCs w:val="15"/>
                <w:color w:val="auto"/>
              </w:rPr>
            </w:pPr>
          </w:p>
        </w:tc>
        <w:tc>
          <w:tcPr>
            <w:tcW w:w="190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460" w:type="dxa"/>
            <w:vAlign w:val="bottom"/>
            <w:shd w:val="clear" w:color="auto" w:fill="E5F1F8"/>
          </w:tcPr>
          <w:p>
            <w:pPr>
              <w:spacing w:after="0"/>
              <w:rPr>
                <w:sz w:val="15"/>
                <w:szCs w:val="15"/>
                <w:color w:val="auto"/>
              </w:rPr>
            </w:pPr>
          </w:p>
        </w:tc>
      </w:tr>
      <w:tr>
        <w:trPr>
          <w:trHeight w:val="202"/>
        </w:trPr>
        <w:tc>
          <w:tcPr>
            <w:tcW w:w="74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Exercisable at December 31, 2025</w:t>
            </w: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45020" cy="7067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5020" cy="706755"/>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aggregate intrinsic values of options exercised during each of the three years ended December 31, 2025, 2024 and 2023 were immaterial.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there were approximately 0.3 million awards available for grant under the Plans.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1996, the Company adopted the Shareholder Value Achievement Plan to award shares of the Company’s common stock to key senior employees based on certain common stock performance criteria over a long-term period. As of December 31, 2025, 0.2 million shares of common stock remain reserved for issuance. No awards have been granted under this plan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74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0" w:name="page101"/>
    <w:bookmarkEnd w:id="100"/>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portions of their fees representing 826, 834 and 1,333 shares of the Company’s common stock under this plan during 2025, 2024 and 2023, respectively.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summarizes stock-based compensation expense for the years ended December 31, 2025, 2024 and 2023, unrecognized compensation cost for nonvested awards at December 31, 2025 and the weighted-average period over which unrecognized compensation cost will be recognized: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Borders>
              <w:right w:val="single" w:sz="8" w:color="007CBA"/>
            </w:tcBorders>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9"/>
              </w:rPr>
              <w:t>Restricted</w:t>
            </w:r>
          </w:p>
        </w:tc>
        <w:tc>
          <w:tcPr>
            <w:tcW w:w="280" w:type="dxa"/>
            <w:vAlign w:val="bottom"/>
            <w:shd w:val="clear" w:color="auto" w:fill="007CBA"/>
          </w:tcPr>
          <w:p>
            <w:pPr>
              <w:spacing w:after="0"/>
              <w:rPr>
                <w:sz w:val="17"/>
                <w:szCs w:val="17"/>
                <w:color w:val="auto"/>
              </w:rPr>
            </w:pPr>
          </w:p>
        </w:tc>
        <w:tc>
          <w:tcPr>
            <w:tcW w:w="126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040" w:type="dxa"/>
            <w:vAlign w:val="bottom"/>
            <w:shd w:val="clear" w:color="auto" w:fill="007CBA"/>
          </w:tcPr>
          <w:p>
            <w:pPr>
              <w:spacing w:after="0"/>
              <w:rPr>
                <w:sz w:val="17"/>
                <w:szCs w:val="17"/>
                <w:color w:val="auto"/>
              </w:rPr>
            </w:pPr>
          </w:p>
        </w:tc>
      </w:tr>
      <w:tr>
        <w:trPr>
          <w:trHeight w:val="203"/>
        </w:trPr>
        <w:tc>
          <w:tcPr>
            <w:tcW w:w="5220" w:type="dxa"/>
            <w:vAlign w:val="bottom"/>
            <w:tcBorders>
              <w:right w:val="single" w:sz="8" w:color="007CBA"/>
            </w:tcBorders>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1320" w:type="dxa"/>
            <w:vAlign w:val="bottom"/>
            <w:tcBorders>
              <w:right w:val="single" w:sz="8" w:color="007CBA"/>
            </w:tcBorders>
            <w:shd w:val="clear" w:color="auto" w:fill="007CBA"/>
          </w:tcPr>
          <w:p>
            <w:pPr>
              <w:jc w:val="center"/>
              <w:ind w:right="190"/>
              <w:spacing w:after="0" w:line="202" w:lineRule="exact"/>
              <w:rPr>
                <w:sz w:val="20"/>
                <w:szCs w:val="20"/>
                <w:color w:val="auto"/>
              </w:rPr>
            </w:pPr>
            <w:r>
              <w:rPr>
                <w:rFonts w:ascii="Arial" w:cs="Arial" w:eastAsia="Arial" w:hAnsi="Arial"/>
                <w:sz w:val="18"/>
                <w:szCs w:val="18"/>
                <w:b w:val="1"/>
                <w:bCs w:val="1"/>
                <w:color w:val="FFFFFF"/>
                <w:w w:val="97"/>
              </w:rPr>
              <w:t>Stock</w:t>
            </w:r>
          </w:p>
        </w:tc>
        <w:tc>
          <w:tcPr>
            <w:tcW w:w="280" w:type="dxa"/>
            <w:vAlign w:val="bottom"/>
            <w:shd w:val="clear" w:color="auto" w:fill="007CBA"/>
          </w:tcPr>
          <w:p>
            <w:pPr>
              <w:spacing w:after="0"/>
              <w:rPr>
                <w:sz w:val="17"/>
                <w:szCs w:val="17"/>
                <w:color w:val="auto"/>
              </w:rPr>
            </w:pPr>
          </w:p>
        </w:tc>
        <w:tc>
          <w:tcPr>
            <w:tcW w:w="1260" w:type="dxa"/>
            <w:vAlign w:val="bottom"/>
            <w:tcBorders>
              <w:right w:val="single" w:sz="8" w:color="007CBA"/>
            </w:tcBorders>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1040" w:type="dxa"/>
            <w:vAlign w:val="bottom"/>
            <w:shd w:val="clear" w:color="auto" w:fill="007CBA"/>
          </w:tcPr>
          <w:p>
            <w:pPr>
              <w:spacing w:after="0"/>
              <w:rPr>
                <w:sz w:val="17"/>
                <w:szCs w:val="17"/>
                <w:color w:val="auto"/>
              </w:rPr>
            </w:pPr>
          </w:p>
        </w:tc>
      </w:tr>
      <w:tr>
        <w:trPr>
          <w:trHeight w:val="203"/>
        </w:trPr>
        <w:tc>
          <w:tcPr>
            <w:tcW w:w="5220" w:type="dxa"/>
            <w:vAlign w:val="bottom"/>
            <w:tcBorders>
              <w:right w:val="single" w:sz="8" w:color="007CBA"/>
            </w:tcBorders>
            <w:shd w:val="clear" w:color="auto" w:fill="007CBA"/>
          </w:tcPr>
          <w:p>
            <w:pPr>
              <w:spacing w:after="0"/>
              <w:rPr>
                <w:sz w:val="17"/>
                <w:szCs w:val="17"/>
                <w:color w:val="auto"/>
              </w:rPr>
            </w:pPr>
          </w:p>
        </w:tc>
        <w:tc>
          <w:tcPr>
            <w:tcW w:w="1580" w:type="dxa"/>
            <w:vAlign w:val="bottom"/>
            <w:tcBorders>
              <w:right w:val="single" w:sz="8" w:color="007CBA"/>
            </w:tcBorders>
            <w:gridSpan w:val="2"/>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(Service- and</w:t>
            </w:r>
          </w:p>
        </w:tc>
        <w:tc>
          <w:tcPr>
            <w:tcW w:w="280" w:type="dxa"/>
            <w:vAlign w:val="bottom"/>
            <w:shd w:val="clear" w:color="auto" w:fill="007CBA"/>
          </w:tcPr>
          <w:p>
            <w:pPr>
              <w:spacing w:after="0"/>
              <w:rPr>
                <w:sz w:val="17"/>
                <w:szCs w:val="17"/>
                <w:color w:val="auto"/>
              </w:rPr>
            </w:pPr>
          </w:p>
        </w:tc>
        <w:tc>
          <w:tcPr>
            <w:tcW w:w="1260" w:type="dxa"/>
            <w:vAlign w:val="bottom"/>
            <w:tcBorders>
              <w:right w:val="single" w:sz="8" w:color="007CBA"/>
            </w:tcBorders>
            <w:shd w:val="clear" w:color="auto" w:fill="007CBA"/>
          </w:tcPr>
          <w:p>
            <w:pPr>
              <w:jc w:val="center"/>
              <w:ind w:right="190"/>
              <w:spacing w:after="0" w:line="202" w:lineRule="exact"/>
              <w:rPr>
                <w:sz w:val="20"/>
                <w:szCs w:val="20"/>
                <w:color w:val="auto"/>
              </w:rPr>
            </w:pPr>
            <w:r>
              <w:rPr>
                <w:rFonts w:ascii="Arial" w:cs="Arial" w:eastAsia="Arial" w:hAnsi="Arial"/>
                <w:sz w:val="18"/>
                <w:szCs w:val="18"/>
                <w:b w:val="1"/>
                <w:bCs w:val="1"/>
                <w:color w:val="FFFFFF"/>
                <w:w w:val="99"/>
              </w:rPr>
              <w:t>Incentive</w:t>
            </w:r>
          </w:p>
        </w:tc>
        <w:tc>
          <w:tcPr>
            <w:tcW w:w="2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jc w:val="center"/>
              <w:ind w:right="150"/>
              <w:spacing w:after="0" w:line="202" w:lineRule="exact"/>
              <w:rPr>
                <w:sz w:val="20"/>
                <w:szCs w:val="20"/>
                <w:color w:val="auto"/>
              </w:rPr>
            </w:pPr>
            <w:r>
              <w:rPr>
                <w:rFonts w:ascii="Arial" w:cs="Arial" w:eastAsia="Arial" w:hAnsi="Arial"/>
                <w:sz w:val="18"/>
                <w:szCs w:val="18"/>
                <w:b w:val="1"/>
                <w:bCs w:val="1"/>
                <w:color w:val="FFFFFF"/>
                <w:w w:val="99"/>
              </w:rPr>
              <w:t>Directors’</w:t>
            </w:r>
          </w:p>
        </w:tc>
        <w:tc>
          <w:tcPr>
            <w:tcW w:w="380" w:type="dxa"/>
            <w:vAlign w:val="bottom"/>
            <w:shd w:val="clear" w:color="auto" w:fill="007CBA"/>
          </w:tcPr>
          <w:p>
            <w:pPr>
              <w:spacing w:after="0"/>
              <w:rPr>
                <w:sz w:val="17"/>
                <w:szCs w:val="17"/>
                <w:color w:val="auto"/>
              </w:rPr>
            </w:pPr>
          </w:p>
        </w:tc>
        <w:tc>
          <w:tcPr>
            <w:tcW w:w="1040" w:type="dxa"/>
            <w:vAlign w:val="bottom"/>
            <w:shd w:val="clear" w:color="auto" w:fill="007CBA"/>
          </w:tcPr>
          <w:p>
            <w:pPr>
              <w:spacing w:after="0"/>
              <w:rPr>
                <w:sz w:val="17"/>
                <w:szCs w:val="17"/>
                <w:color w:val="auto"/>
              </w:rPr>
            </w:pPr>
          </w:p>
        </w:tc>
      </w:tr>
      <w:tr>
        <w:trPr>
          <w:trHeight w:val="203"/>
        </w:trPr>
        <w:tc>
          <w:tcPr>
            <w:tcW w:w="5220" w:type="dxa"/>
            <w:vAlign w:val="bottom"/>
            <w:tcBorders>
              <w:right w:val="single" w:sz="8" w:color="007CBA"/>
            </w:tcBorders>
            <w:shd w:val="clear" w:color="auto" w:fill="007CBA"/>
          </w:tcPr>
          <w:p>
            <w:pPr>
              <w:spacing w:after="0"/>
              <w:rPr>
                <w:sz w:val="17"/>
                <w:szCs w:val="17"/>
                <w:color w:val="auto"/>
              </w:rPr>
            </w:pPr>
          </w:p>
        </w:tc>
        <w:tc>
          <w:tcPr>
            <w:tcW w:w="1580" w:type="dxa"/>
            <w:vAlign w:val="bottom"/>
            <w:tcBorders>
              <w:right w:val="single" w:sz="8" w:color="007CBA"/>
            </w:tcBorders>
            <w:gridSpan w:val="2"/>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Performance-</w:t>
            </w:r>
          </w:p>
        </w:tc>
        <w:tc>
          <w:tcPr>
            <w:tcW w:w="1540" w:type="dxa"/>
            <w:vAlign w:val="bottom"/>
            <w:tcBorders>
              <w:right w:val="single" w:sz="8" w:color="007CBA"/>
            </w:tcBorders>
            <w:gridSpan w:val="2"/>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w w:val="99"/>
              </w:rPr>
              <w:t>Compensation</w:t>
            </w:r>
          </w:p>
        </w:tc>
        <w:tc>
          <w:tcPr>
            <w:tcW w:w="1480" w:type="dxa"/>
            <w:vAlign w:val="bottom"/>
            <w:tcBorders>
              <w:right w:val="single" w:sz="8" w:color="007CBA"/>
            </w:tcBorders>
            <w:gridSpan w:val="2"/>
            <w:shd w:val="clear" w:color="auto" w:fill="007CBA"/>
          </w:tcPr>
          <w:p>
            <w:pPr>
              <w:jc w:val="center"/>
              <w:spacing w:after="0" w:line="202" w:lineRule="exact"/>
              <w:rPr>
                <w:sz w:val="20"/>
                <w:szCs w:val="20"/>
                <w:color w:val="auto"/>
              </w:rPr>
            </w:pPr>
            <w:r>
              <w:rPr>
                <w:rFonts w:ascii="Arial" w:cs="Arial" w:eastAsia="Arial" w:hAnsi="Arial"/>
                <w:sz w:val="18"/>
                <w:szCs w:val="18"/>
                <w:b w:val="1"/>
                <w:bCs w:val="1"/>
                <w:color w:val="FFFFFF"/>
              </w:rPr>
              <w:t>Fees Paid in</w:t>
            </w:r>
          </w:p>
        </w:tc>
        <w:tc>
          <w:tcPr>
            <w:tcW w:w="380" w:type="dxa"/>
            <w:vAlign w:val="bottom"/>
            <w:shd w:val="clear" w:color="auto" w:fill="007CBA"/>
          </w:tcPr>
          <w:p>
            <w:pPr>
              <w:spacing w:after="0"/>
              <w:rPr>
                <w:sz w:val="17"/>
                <w:szCs w:val="17"/>
                <w:color w:val="auto"/>
              </w:rPr>
            </w:pPr>
          </w:p>
        </w:tc>
        <w:tc>
          <w:tcPr>
            <w:tcW w:w="1040" w:type="dxa"/>
            <w:vAlign w:val="bottom"/>
            <w:shd w:val="clear" w:color="auto" w:fill="007CBA"/>
          </w:tcPr>
          <w:p>
            <w:pPr>
              <w:spacing w:after="0"/>
              <w:rPr>
                <w:sz w:val="17"/>
                <w:szCs w:val="17"/>
                <w:color w:val="auto"/>
              </w:rPr>
            </w:pPr>
          </w:p>
        </w:tc>
      </w:tr>
      <w:tr>
        <w:trPr>
          <w:trHeight w:val="235"/>
        </w:trPr>
        <w:tc>
          <w:tcPr>
            <w:tcW w:w="52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 except year data)</w:t>
            </w:r>
          </w:p>
        </w:tc>
        <w:tc>
          <w:tcPr>
            <w:tcW w:w="260" w:type="dxa"/>
            <w:vAlign w:val="bottom"/>
            <w:shd w:val="clear" w:color="auto" w:fill="007CBA"/>
          </w:tcPr>
          <w:p>
            <w:pPr>
              <w:spacing w:after="0"/>
              <w:rPr>
                <w:sz w:val="20"/>
                <w:szCs w:val="20"/>
                <w:color w:val="auto"/>
              </w:rPr>
            </w:pPr>
          </w:p>
        </w:tc>
        <w:tc>
          <w:tcPr>
            <w:tcW w:w="132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9"/>
              </w:rPr>
              <w:t>Based)</w:t>
            </w:r>
          </w:p>
        </w:tc>
        <w:tc>
          <w:tcPr>
            <w:tcW w:w="280" w:type="dxa"/>
            <w:vAlign w:val="bottom"/>
            <w:shd w:val="clear" w:color="auto" w:fill="007CBA"/>
          </w:tcPr>
          <w:p>
            <w:pPr>
              <w:spacing w:after="0"/>
              <w:rPr>
                <w:sz w:val="20"/>
                <w:szCs w:val="20"/>
                <w:color w:val="auto"/>
              </w:rPr>
            </w:pPr>
          </w:p>
        </w:tc>
        <w:tc>
          <w:tcPr>
            <w:tcW w:w="1260" w:type="dxa"/>
            <w:vAlign w:val="bottom"/>
            <w:tcBorders>
              <w:right w:val="single" w:sz="8" w:color="007CBA"/>
            </w:tcBorders>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97"/>
              </w:rPr>
              <w:t>Stock</w:t>
            </w:r>
          </w:p>
        </w:tc>
        <w:tc>
          <w:tcPr>
            <w:tcW w:w="28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b w:val="1"/>
                <w:bCs w:val="1"/>
                <w:color w:val="FFFFFF"/>
              </w:rPr>
              <w:t>Stock</w:t>
            </w:r>
          </w:p>
        </w:tc>
        <w:tc>
          <w:tcPr>
            <w:tcW w:w="380" w:type="dxa"/>
            <w:vAlign w:val="bottom"/>
            <w:shd w:val="clear" w:color="auto" w:fill="007CBA"/>
          </w:tcPr>
          <w:p>
            <w:pPr>
              <w:spacing w:after="0"/>
              <w:rPr>
                <w:sz w:val="20"/>
                <w:szCs w:val="20"/>
                <w:color w:val="auto"/>
              </w:rPr>
            </w:pPr>
          </w:p>
        </w:tc>
        <w:tc>
          <w:tcPr>
            <w:tcW w:w="1040" w:type="dxa"/>
            <w:vAlign w:val="bottom"/>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Total</w:t>
            </w:r>
          </w:p>
        </w:tc>
      </w:tr>
      <w:tr>
        <w:trPr>
          <w:trHeight w:val="184"/>
        </w:trPr>
        <w:tc>
          <w:tcPr>
            <w:tcW w:w="5220" w:type="dxa"/>
            <w:vAlign w:val="bottom"/>
            <w:tcBorders>
              <w:right w:val="single" w:sz="8" w:color="007CBA"/>
            </w:tcBorders>
          </w:tcPr>
          <w:p>
            <w:pPr>
              <w:ind w:left="60"/>
              <w:spacing w:after="0" w:line="183" w:lineRule="exact"/>
              <w:rPr>
                <w:sz w:val="20"/>
                <w:szCs w:val="20"/>
                <w:color w:val="auto"/>
              </w:rPr>
            </w:pPr>
            <w:r>
              <w:rPr>
                <w:rFonts w:ascii="Arial" w:cs="Arial" w:eastAsia="Arial" w:hAnsi="Arial"/>
                <w:sz w:val="18"/>
                <w:szCs w:val="18"/>
                <w:color w:val="auto"/>
              </w:rPr>
              <w:t>Stock-based compensation expense recognized for</w:t>
            </w:r>
          </w:p>
        </w:tc>
        <w:tc>
          <w:tcPr>
            <w:tcW w:w="260" w:type="dxa"/>
            <w:vAlign w:val="bottom"/>
          </w:tcPr>
          <w:p>
            <w:pPr>
              <w:spacing w:after="0"/>
              <w:rPr>
                <w:sz w:val="15"/>
                <w:szCs w:val="15"/>
                <w:color w:val="auto"/>
              </w:rPr>
            </w:pPr>
          </w:p>
        </w:tc>
        <w:tc>
          <w:tcPr>
            <w:tcW w:w="1320" w:type="dxa"/>
            <w:vAlign w:val="bottom"/>
            <w:tcBorders>
              <w:right w:val="single" w:sz="8" w:color="007CBA"/>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right w:val="single" w:sz="8" w:color="007CBA"/>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right w:val="single" w:sz="8" w:color="007CBA"/>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5220" w:type="dxa"/>
            <w:vAlign w:val="bottom"/>
            <w:tcBorders>
              <w:right w:val="single" w:sz="8" w:color="007CBA"/>
            </w:tcBorders>
          </w:tcPr>
          <w:p>
            <w:pPr>
              <w:ind w:left="20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19"/>
                <w:szCs w:val="19"/>
                <w:color w:val="auto"/>
              </w:rPr>
            </w:pPr>
          </w:p>
        </w:tc>
        <w:tc>
          <w:tcPr>
            <w:tcW w:w="132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right w:val="single" w:sz="8" w:color="007CBA"/>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3"/>
        </w:trPr>
        <w:tc>
          <w:tcPr>
            <w:tcW w:w="522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b w:val="1"/>
                <w:bCs w:val="1"/>
                <w:color w:val="auto"/>
              </w:rPr>
              <w:t>2025</w:t>
            </w:r>
          </w:p>
        </w:tc>
        <w:tc>
          <w:tcPr>
            <w:tcW w:w="2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b w:val="1"/>
                <w:bCs w:val="1"/>
                <w:color w:val="auto"/>
              </w:rPr>
              <w:t>46</w:t>
            </w:r>
          </w:p>
        </w:tc>
      </w:tr>
      <w:tr>
        <w:trPr>
          <w:trHeight w:val="203"/>
        </w:trPr>
        <w:tc>
          <w:tcPr>
            <w:tcW w:w="522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2024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522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2023</w:t>
            </w:r>
          </w:p>
        </w:tc>
        <w:tc>
          <w:tcPr>
            <w:tcW w:w="26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2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50</w:t>
            </w:r>
          </w:p>
        </w:tc>
      </w:tr>
      <w:tr>
        <w:trPr>
          <w:trHeight w:val="177"/>
        </w:trPr>
        <w:tc>
          <w:tcPr>
            <w:tcW w:w="5220" w:type="dxa"/>
            <w:vAlign w:val="bottom"/>
          </w:tcPr>
          <w:p>
            <w:pPr>
              <w:ind w:left="60"/>
              <w:spacing w:after="0" w:line="177" w:lineRule="exact"/>
              <w:rPr>
                <w:sz w:val="20"/>
                <w:szCs w:val="20"/>
                <w:color w:val="auto"/>
              </w:rPr>
            </w:pPr>
            <w:r>
              <w:rPr>
                <w:rFonts w:ascii="Arial" w:cs="Arial" w:eastAsia="Arial" w:hAnsi="Arial"/>
                <w:sz w:val="18"/>
                <w:szCs w:val="18"/>
                <w:color w:val="auto"/>
              </w:rPr>
              <w:t>Unrecognized compensation cost at</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December 31, 2025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w:t>
            </w:r>
          </w:p>
        </w:tc>
      </w:tr>
      <w:tr>
        <w:trPr>
          <w:trHeight w:val="177"/>
        </w:trPr>
        <w:tc>
          <w:tcPr>
            <w:tcW w:w="5220" w:type="dxa"/>
            <w:vAlign w:val="bottom"/>
            <w:tcBorders>
              <w:right w:val="single" w:sz="8" w:color="E5F1F8"/>
            </w:tcBorders>
            <w:shd w:val="clear" w:color="auto" w:fill="E5F1F8"/>
          </w:tcPr>
          <w:p>
            <w:pPr>
              <w:ind w:left="60"/>
              <w:spacing w:after="0" w:line="177" w:lineRule="exact"/>
              <w:rPr>
                <w:sz w:val="20"/>
                <w:szCs w:val="20"/>
                <w:color w:val="auto"/>
              </w:rPr>
            </w:pPr>
            <w:r>
              <w:rPr>
                <w:rFonts w:ascii="Arial" w:cs="Arial" w:eastAsia="Arial" w:hAnsi="Arial"/>
                <w:sz w:val="18"/>
                <w:szCs w:val="18"/>
                <w:color w:val="auto"/>
              </w:rPr>
              <w:t>Weighted-average period over which unrecognized</w:t>
            </w:r>
          </w:p>
        </w:tc>
        <w:tc>
          <w:tcPr>
            <w:tcW w:w="260" w:type="dxa"/>
            <w:vAlign w:val="bottom"/>
            <w:shd w:val="clear" w:color="auto" w:fill="E5F1F8"/>
          </w:tcPr>
          <w:p>
            <w:pPr>
              <w:spacing w:after="0"/>
              <w:rPr>
                <w:sz w:val="15"/>
                <w:szCs w:val="15"/>
                <w:color w:val="auto"/>
              </w:rPr>
            </w:pPr>
          </w:p>
        </w:tc>
        <w:tc>
          <w:tcPr>
            <w:tcW w:w="1320" w:type="dxa"/>
            <w:vAlign w:val="bottom"/>
            <w:tcBorders>
              <w:right w:val="single" w:sz="8" w:color="E5F1F8"/>
            </w:tcBorders>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1260" w:type="dxa"/>
            <w:vAlign w:val="bottom"/>
            <w:tcBorders>
              <w:right w:val="single" w:sz="8" w:color="E5F1F8"/>
            </w:tcBorders>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1200" w:type="dxa"/>
            <w:vAlign w:val="bottom"/>
            <w:tcBorders>
              <w:right w:val="single" w:sz="8" w:color="E5F1F8"/>
            </w:tcBorders>
            <w:shd w:val="clear" w:color="auto" w:fill="E5F1F8"/>
          </w:tcPr>
          <w:p>
            <w:pPr>
              <w:spacing w:after="0"/>
              <w:rPr>
                <w:sz w:val="15"/>
                <w:szCs w:val="15"/>
                <w:color w:val="auto"/>
              </w:rPr>
            </w:pPr>
          </w:p>
        </w:tc>
        <w:tc>
          <w:tcPr>
            <w:tcW w:w="380" w:type="dxa"/>
            <w:vAlign w:val="bottom"/>
            <w:shd w:val="clear" w:color="auto" w:fill="E5F1F8"/>
          </w:tcPr>
          <w:p>
            <w:pPr>
              <w:spacing w:after="0"/>
              <w:rPr>
                <w:sz w:val="15"/>
                <w:szCs w:val="15"/>
                <w:color w:val="auto"/>
              </w:rPr>
            </w:pPr>
          </w:p>
        </w:tc>
        <w:tc>
          <w:tcPr>
            <w:tcW w:w="1040" w:type="dxa"/>
            <w:vAlign w:val="bottom"/>
            <w:shd w:val="clear" w:color="auto" w:fill="E5F1F8"/>
          </w:tcPr>
          <w:p>
            <w:pPr>
              <w:spacing w:after="0"/>
              <w:rPr>
                <w:sz w:val="15"/>
                <w:szCs w:val="15"/>
                <w:color w:val="auto"/>
              </w:rPr>
            </w:pPr>
          </w:p>
        </w:tc>
      </w:tr>
      <w:tr>
        <w:trPr>
          <w:trHeight w:val="221"/>
        </w:trPr>
        <w:tc>
          <w:tcPr>
            <w:tcW w:w="5220" w:type="dxa"/>
            <w:vAlign w:val="bottom"/>
            <w:tcBorders>
              <w:bottom w:val="single" w:sz="8" w:color="auto"/>
              <w:right w:val="single" w:sz="8" w:color="E5F1F8"/>
            </w:tcBorders>
            <w:shd w:val="clear" w:color="auto" w:fill="E5F1F8"/>
          </w:tcPr>
          <w:p>
            <w:pPr>
              <w:ind w:left="200"/>
              <w:spacing w:after="0"/>
              <w:rPr>
                <w:sz w:val="20"/>
                <w:szCs w:val="20"/>
                <w:color w:val="auto"/>
              </w:rPr>
            </w:pPr>
            <w:r>
              <w:rPr>
                <w:rFonts w:ascii="Arial" w:cs="Arial" w:eastAsia="Arial" w:hAnsi="Arial"/>
                <w:sz w:val="18"/>
                <w:szCs w:val="18"/>
                <w:color w:val="auto"/>
              </w:rPr>
              <w:t>compensation cost will be recognized</w:t>
            </w:r>
          </w:p>
        </w:tc>
        <w:tc>
          <w:tcPr>
            <w:tcW w:w="260" w:type="dxa"/>
            <w:vAlign w:val="bottom"/>
            <w:tcBorders>
              <w:bottom w:val="single" w:sz="8" w:color="auto"/>
            </w:tcBorders>
            <w:shd w:val="clear" w:color="auto" w:fill="E5F1F8"/>
          </w:tcPr>
          <w:p>
            <w:pPr>
              <w:spacing w:after="0"/>
              <w:rPr>
                <w:sz w:val="19"/>
                <w:szCs w:val="19"/>
                <w:color w:val="auto"/>
              </w:rPr>
            </w:pPr>
          </w:p>
        </w:tc>
        <w:tc>
          <w:tcPr>
            <w:tcW w:w="132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color w:val="auto"/>
              </w:rPr>
              <w:t>2.1 years</w:t>
            </w:r>
          </w:p>
        </w:tc>
        <w:tc>
          <w:tcPr>
            <w:tcW w:w="280" w:type="dxa"/>
            <w:vAlign w:val="bottom"/>
            <w:tcBorders>
              <w:bottom w:val="single" w:sz="8" w:color="auto"/>
            </w:tcBorders>
            <w:shd w:val="clear" w:color="auto" w:fill="E5F1F8"/>
          </w:tcPr>
          <w:p>
            <w:pPr>
              <w:spacing w:after="0"/>
              <w:rPr>
                <w:sz w:val="19"/>
                <w:szCs w:val="19"/>
                <w:color w:val="auto"/>
              </w:rPr>
            </w:pPr>
          </w:p>
        </w:tc>
        <w:tc>
          <w:tcPr>
            <w:tcW w:w="1260" w:type="dxa"/>
            <w:vAlign w:val="bottom"/>
            <w:tcBorders>
              <w:bottom w:val="single" w:sz="8" w:color="auto"/>
              <w:right w:val="single" w:sz="8" w:color="E5F1F8"/>
            </w:tcBorders>
            <w:shd w:val="clear" w:color="auto" w:fill="E5F1F8"/>
          </w:tcPr>
          <w:p>
            <w:pPr>
              <w:jc w:val="right"/>
              <w:ind w:right="30"/>
              <w:spacing w:after="0"/>
              <w:rPr>
                <w:sz w:val="20"/>
                <w:szCs w:val="20"/>
                <w:color w:val="auto"/>
              </w:rPr>
            </w:pPr>
            <w:r>
              <w:rPr>
                <w:rFonts w:ascii="Arial" w:cs="Arial" w:eastAsia="Arial" w:hAnsi="Arial"/>
                <w:sz w:val="18"/>
                <w:szCs w:val="18"/>
                <w:color w:val="auto"/>
              </w:rPr>
              <w:t>1.6 years</w:t>
            </w:r>
          </w:p>
        </w:tc>
        <w:tc>
          <w:tcPr>
            <w:tcW w:w="28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E5F1F8"/>
            </w:tcBorders>
            <w:shd w:val="clear" w:color="auto" w:fill="E5F1F8"/>
          </w:tcPr>
          <w:p>
            <w:pPr>
              <w:spacing w:after="0"/>
              <w:rPr>
                <w:sz w:val="19"/>
                <w:szCs w:val="19"/>
                <w:color w:val="auto"/>
              </w:rPr>
            </w:pPr>
          </w:p>
        </w:tc>
        <w:tc>
          <w:tcPr>
            <w:tcW w:w="38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tcBorders>
            <w:shd w:val="clear" w:color="auto" w:fill="E5F1F8"/>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265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-680720</wp:posOffset>
            </wp:positionV>
            <wp:extent cx="34290" cy="6940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6940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-680720</wp:posOffset>
            </wp:positionV>
            <wp:extent cx="34290" cy="6940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69405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-680720</wp:posOffset>
            </wp:positionV>
            <wp:extent cx="33655" cy="6940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69405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-680720</wp:posOffset>
            </wp:positionV>
            <wp:extent cx="34290" cy="6940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694055"/>
                    </a:xfrm>
                    <a:prstGeom prst="rect">
                      <a:avLst/>
                    </a:prstGeom>
                    <a:noFill/>
                  </pic:spPr>
                </pic:pic>
              </a:graphicData>
            </a:graphic>
          </wp:anchor>
        </w:drawing>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tax benefits related to stock-based compensation expense were $8 million, $9 million and $9 million for the years ended December 31, 2025, 2024 and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expected stock-based compensation expense in future periods for outstanding awards as of December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80" w:type="dxa"/>
            <w:vAlign w:val="bottom"/>
            <w:tcBorders>
              <w:right w:val="single" w:sz="8" w:color="007CBA"/>
            </w:tcBorders>
            <w:shd w:val="clear" w:color="auto" w:fill="007CBA"/>
          </w:tcPr>
          <w:p>
            <w:pPr>
              <w:ind w:left="100"/>
              <w:spacing w:after="0"/>
              <w:rPr>
                <w:sz w:val="20"/>
                <w:szCs w:val="20"/>
                <w:color w:val="auto"/>
              </w:rPr>
            </w:pPr>
            <w:r>
              <w:rPr>
                <w:rFonts w:ascii="Arial" w:cs="Arial" w:eastAsia="Arial" w:hAnsi="Arial"/>
                <w:sz w:val="18"/>
                <w:szCs w:val="18"/>
                <w:color w:val="FFFFFF"/>
              </w:rPr>
              <w:t>(in millions)</w:t>
            </w:r>
          </w:p>
        </w:tc>
        <w:tc>
          <w:tcPr>
            <w:tcW w:w="114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02"/>
        </w:trPr>
        <w:tc>
          <w:tcPr>
            <w:tcW w:w="898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2026</w:t>
            </w:r>
          </w:p>
        </w:tc>
        <w:tc>
          <w:tcPr>
            <w:tcW w:w="114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w:t>
            </w:r>
          </w:p>
        </w:tc>
      </w:tr>
      <w:tr>
        <w:trPr>
          <w:trHeight w:val="203"/>
        </w:trPr>
        <w:tc>
          <w:tcPr>
            <w:tcW w:w="8980" w:type="dxa"/>
            <w:vAlign w:val="bottom"/>
            <w:tcBorders>
              <w:right w:val="single" w:sz="8" w:color="007CBA"/>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2027</w:t>
            </w:r>
          </w:p>
        </w:tc>
        <w:tc>
          <w:tcPr>
            <w:tcW w:w="1140" w:type="dxa"/>
            <w:vAlign w:val="bottom"/>
            <w:shd w:val="clear" w:color="auto" w:fill="E5F1F8"/>
          </w:tcPr>
          <w:p>
            <w:pPr>
              <w:spacing w:after="0"/>
              <w:rPr>
                <w:sz w:val="17"/>
                <w:szCs w:val="17"/>
                <w:color w:val="auto"/>
              </w:rPr>
            </w:pPr>
          </w:p>
        </w:tc>
        <w:tc>
          <w:tcPr>
            <w:tcW w:w="112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9</w:t>
            </w:r>
          </w:p>
        </w:tc>
      </w:tr>
      <w:tr>
        <w:trPr>
          <w:trHeight w:val="203"/>
        </w:trPr>
        <w:tc>
          <w:tcPr>
            <w:tcW w:w="8980" w:type="dxa"/>
            <w:vAlign w:val="bottom"/>
            <w:tcBorders>
              <w:right w:val="single" w:sz="8" w:color="007CBA"/>
            </w:tcBorders>
          </w:tcPr>
          <w:p>
            <w:pPr>
              <w:ind w:left="100"/>
              <w:spacing w:after="0" w:line="202" w:lineRule="exact"/>
              <w:rPr>
                <w:sz w:val="20"/>
                <w:szCs w:val="20"/>
                <w:color w:val="auto"/>
              </w:rPr>
            </w:pPr>
            <w:r>
              <w:rPr>
                <w:rFonts w:ascii="Arial" w:cs="Arial" w:eastAsia="Arial" w:hAnsi="Arial"/>
                <w:sz w:val="18"/>
                <w:szCs w:val="18"/>
                <w:color w:val="auto"/>
              </w:rPr>
              <w:t>2028</w:t>
            </w:r>
          </w:p>
        </w:tc>
        <w:tc>
          <w:tcPr>
            <w:tcW w:w="114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r>
      <w:tr>
        <w:trPr>
          <w:trHeight w:val="202"/>
        </w:trPr>
        <w:tc>
          <w:tcPr>
            <w:tcW w:w="8980" w:type="dxa"/>
            <w:vAlign w:val="bottom"/>
            <w:tcBorders>
              <w:bottom w:val="single" w:sz="8" w:color="auto"/>
              <w:right w:val="single" w:sz="8" w:color="E5F1F8"/>
            </w:tcBorders>
            <w:shd w:val="clear" w:color="auto" w:fill="E5F1F8"/>
          </w:tcPr>
          <w:p>
            <w:pPr>
              <w:ind w:left="100"/>
              <w:spacing w:after="0" w:line="202" w:lineRule="exact"/>
              <w:rPr>
                <w:sz w:val="20"/>
                <w:szCs w:val="20"/>
                <w:color w:val="auto"/>
              </w:rPr>
            </w:pPr>
            <w:r>
              <w:rPr>
                <w:rFonts w:ascii="Arial" w:cs="Arial" w:eastAsia="Arial" w:hAnsi="Arial"/>
                <w:sz w:val="18"/>
                <w:szCs w:val="18"/>
                <w:color w:val="auto"/>
              </w:rPr>
              <w:t>2029</w:t>
            </w:r>
          </w:p>
        </w:tc>
        <w:tc>
          <w:tcPr>
            <w:tcW w:w="1140" w:type="dxa"/>
            <w:vAlign w:val="bottom"/>
            <w:tcBorders>
              <w:bottom w:val="single" w:sz="8" w:color="auto"/>
            </w:tcBorders>
            <w:shd w:val="clear" w:color="auto" w:fill="E5F1F8"/>
          </w:tcPr>
          <w:p>
            <w:pPr>
              <w:spacing w:after="0"/>
              <w:rPr>
                <w:sz w:val="17"/>
                <w:szCs w:val="17"/>
                <w:color w:val="auto"/>
              </w:rPr>
            </w:pPr>
          </w:p>
        </w:tc>
        <w:tc>
          <w:tcPr>
            <w:tcW w:w="112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w:t>
            </w:r>
          </w:p>
        </w:tc>
      </w:tr>
      <w:tr>
        <w:trPr>
          <w:trHeight w:val="196"/>
        </w:trPr>
        <w:tc>
          <w:tcPr>
            <w:tcW w:w="89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w:t>
            </w:r>
          </w:p>
        </w:tc>
      </w:tr>
      <w:tr>
        <w:trPr>
          <w:trHeight w:val="20"/>
        </w:trPr>
        <w:tc>
          <w:tcPr>
            <w:tcW w:w="8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-303530</wp:posOffset>
            </wp:positionV>
            <wp:extent cx="33655" cy="3168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Stock-based compensation expense is primarily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Company’s consolidated statements of earnings.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L: Leases</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leases, primarily for equipment, railcars, fleet vehicles, office space, land, information technology equipment and software. The Company’s leases have remaining lease terms, inclusive of options to renew that the Company is reasonably certain to exercise, ranging from less than one year to 46 years. Some of the Company's leases include options to terminate the leases within one year.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308"/>
        </w:trPr>
        <w:tc>
          <w:tcPr>
            <w:tcW w:w="6540" w:type="dxa"/>
            <w:vAlign w:val="bottom"/>
            <w:gridSpan w:val="2"/>
          </w:tcPr>
          <w:p>
            <w:pPr>
              <w:ind w:left="6020"/>
              <w:spacing w:after="0"/>
              <w:rPr>
                <w:sz w:val="20"/>
                <w:szCs w:val="20"/>
                <w:color w:val="auto"/>
              </w:rPr>
            </w:pPr>
            <w:r>
              <w:rPr>
                <w:rFonts w:ascii="Arial" w:cs="Arial" w:eastAsia="Arial" w:hAnsi="Arial"/>
                <w:sz w:val="18"/>
                <w:szCs w:val="18"/>
                <w:color w:val="auto"/>
              </w:rPr>
              <w:t>Part II</w:t>
            </w:r>
          </w:p>
        </w:tc>
        <w:tc>
          <w:tcPr>
            <w:tcW w:w="4700" w:type="dxa"/>
            <w:vAlign w:val="bottom"/>
            <w:gridSpan w:val="6"/>
          </w:tcPr>
          <w:p>
            <w:pPr>
              <w:ind w:left="6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389"/>
        </w:trPr>
        <w:tc>
          <w:tcPr>
            <w:tcW w:w="6540" w:type="dxa"/>
            <w:vAlign w:val="bottom"/>
            <w:gridSpan w:val="2"/>
          </w:tcPr>
          <w:p>
            <w:pPr>
              <w:spacing w:after="0"/>
              <w:rPr>
                <w:sz w:val="20"/>
                <w:szCs w:val="20"/>
                <w:color w:val="auto"/>
              </w:rPr>
            </w:pPr>
            <w:r>
              <w:rPr>
                <w:rFonts w:ascii="Arial" w:cs="Arial" w:eastAsia="Arial" w:hAnsi="Arial"/>
                <w:sz w:val="18"/>
                <w:szCs w:val="18"/>
                <w:color w:val="auto"/>
              </w:rPr>
              <w:t>The components of lease cost are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7"/>
        </w:trPr>
        <w:tc>
          <w:tcPr>
            <w:tcW w:w="6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540" w:type="dxa"/>
            <w:vAlign w:val="bottom"/>
            <w:gridSpan w:val="2"/>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32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21"/>
        </w:trPr>
        <w:tc>
          <w:tcPr>
            <w:tcW w:w="6540" w:type="dxa"/>
            <w:vAlign w:val="bottom"/>
            <w:gridSpan w:val="2"/>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32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70"/>
              <w:spacing w:after="0"/>
              <w:rPr>
                <w:sz w:val="20"/>
                <w:szCs w:val="20"/>
                <w:color w:val="auto"/>
              </w:rPr>
            </w:pPr>
            <w:r>
              <w:rPr>
                <w:rFonts w:ascii="Arial" w:cs="Arial" w:eastAsia="Arial" w:hAnsi="Arial"/>
                <w:sz w:val="18"/>
                <w:szCs w:val="18"/>
                <w:color w:val="FFFFFF"/>
              </w:rPr>
              <w:t>2023</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79</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w:t>
            </w:r>
          </w:p>
        </w:tc>
      </w:tr>
      <w:tr>
        <w:trPr>
          <w:trHeight w:val="203"/>
        </w:trPr>
        <w:tc>
          <w:tcPr>
            <w:tcW w:w="64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Finance lease cost:</w:t>
            </w:r>
          </w:p>
        </w:tc>
        <w:tc>
          <w:tcPr>
            <w:tcW w:w="140" w:type="dxa"/>
            <w:vAlign w:val="bottom"/>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spacing w:after="0"/>
              <w:rPr>
                <w:sz w:val="17"/>
                <w:szCs w:val="17"/>
                <w:color w:val="auto"/>
              </w:rPr>
            </w:pPr>
          </w:p>
        </w:tc>
      </w:tr>
      <w:tr>
        <w:trPr>
          <w:trHeight w:val="203"/>
        </w:trPr>
        <w:tc>
          <w:tcPr>
            <w:tcW w:w="640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21</w:t>
            </w:r>
          </w:p>
        </w:tc>
        <w:tc>
          <w:tcPr>
            <w:tcW w:w="440" w:type="dxa"/>
            <w:vAlign w:val="bottom"/>
          </w:tcPr>
          <w:p>
            <w:pPr>
              <w:spacing w:after="0"/>
              <w:rPr>
                <w:sz w:val="17"/>
                <w:szCs w:val="17"/>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44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400" w:type="dxa"/>
            <w:vAlign w:val="bottom"/>
            <w:tcBorders>
              <w:right w:val="single" w:sz="8" w:color="007CBA"/>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140" w:type="dxa"/>
            <w:vAlign w:val="bottom"/>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44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4</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18</w:t>
            </w:r>
          </w:p>
        </w:tc>
        <w:tc>
          <w:tcPr>
            <w:tcW w:w="440" w:type="dxa"/>
            <w:vAlign w:val="bottom"/>
          </w:tcPr>
          <w:p>
            <w:pPr>
              <w:spacing w:after="0"/>
              <w:rPr>
                <w:sz w:val="17"/>
                <w:szCs w:val="17"/>
                <w:color w:val="auto"/>
              </w:rPr>
            </w:pP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14</w:t>
            </w:r>
          </w:p>
        </w:tc>
        <w:tc>
          <w:tcPr>
            <w:tcW w:w="44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6540" w:type="dxa"/>
            <w:vAlign w:val="bottom"/>
            <w:tcBorders>
              <w:bottom w:val="single" w:sz="8" w:color="auto"/>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50</w:t>
            </w:r>
          </w:p>
        </w:tc>
        <w:tc>
          <w:tcPr>
            <w:tcW w:w="44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44</w:t>
            </w:r>
          </w:p>
        </w:tc>
      </w:tr>
      <w:tr>
        <w:trPr>
          <w:trHeight w:val="196"/>
        </w:trPr>
        <w:tc>
          <w:tcPr>
            <w:tcW w:w="654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178</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160</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153</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-303530</wp:posOffset>
            </wp:positionV>
            <wp:extent cx="33655" cy="3168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-303530</wp:posOffset>
            </wp:positionV>
            <wp:extent cx="34290" cy="3168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royalty agreements that are prescriptively excluded from the scope of ASC 842 and generally require royalty payments based on tons produced, tons sold or total sales dollars and also contain minimum payments. Royalty expense was $104 million, $92 million and $86 million for the years ended December 31, 2025, 2024 and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The balance sheet classifications of operating and finance leases are as follows: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77"/>
        </w:trPr>
        <w:tc>
          <w:tcPr>
            <w:tcW w:w="7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184"/>
        </w:trPr>
        <w:tc>
          <w:tcPr>
            <w:tcW w:w="7460" w:type="dxa"/>
            <w:vAlign w:val="bottom"/>
            <w:tcBorders>
              <w:right w:val="single" w:sz="8" w:color="007CBA"/>
            </w:tcBorders>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560" w:type="dxa"/>
            <w:vAlign w:val="bottom"/>
            <w:shd w:val="clear" w:color="auto" w:fill="007CBA"/>
          </w:tcPr>
          <w:p>
            <w:pPr>
              <w:spacing w:after="0"/>
              <w:rPr>
                <w:sz w:val="15"/>
                <w:szCs w:val="15"/>
                <w:color w:val="auto"/>
              </w:rPr>
            </w:pPr>
          </w:p>
        </w:tc>
        <w:tc>
          <w:tcPr>
            <w:tcW w:w="1360" w:type="dxa"/>
            <w:vAlign w:val="bottom"/>
            <w:tcBorders>
              <w:right w:val="single" w:sz="8" w:color="007CBA"/>
            </w:tcBorders>
            <w:shd w:val="clear" w:color="auto" w:fill="007CBA"/>
          </w:tcPr>
          <w:p>
            <w:pPr>
              <w:spacing w:after="0"/>
              <w:rPr>
                <w:sz w:val="15"/>
                <w:szCs w:val="15"/>
                <w:color w:val="auto"/>
              </w:rPr>
            </w:pPr>
          </w:p>
        </w:tc>
        <w:tc>
          <w:tcPr>
            <w:tcW w:w="540" w:type="dxa"/>
            <w:vAlign w:val="bottom"/>
            <w:shd w:val="clear" w:color="auto" w:fill="007CBA"/>
          </w:tcPr>
          <w:p>
            <w:pPr>
              <w:spacing w:after="0"/>
              <w:rPr>
                <w:sz w:val="15"/>
                <w:szCs w:val="15"/>
                <w:color w:val="auto"/>
              </w:rPr>
            </w:pPr>
          </w:p>
        </w:tc>
        <w:tc>
          <w:tcPr>
            <w:tcW w:w="1320" w:type="dxa"/>
            <w:vAlign w:val="bottom"/>
            <w:shd w:val="clear" w:color="auto" w:fill="007CBA"/>
          </w:tcPr>
          <w:p>
            <w:pPr>
              <w:spacing w:after="0"/>
              <w:rPr>
                <w:sz w:val="15"/>
                <w:szCs w:val="15"/>
                <w:color w:val="auto"/>
              </w:rPr>
            </w:pPr>
          </w:p>
        </w:tc>
      </w:tr>
      <w:tr>
        <w:trPr>
          <w:trHeight w:val="221"/>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56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2025</w:t>
            </w:r>
          </w:p>
        </w:tc>
        <w:tc>
          <w:tcPr>
            <w:tcW w:w="540" w:type="dxa"/>
            <w:vAlign w:val="bottom"/>
            <w:shd w:val="clear" w:color="auto" w:fill="007CBA"/>
          </w:tcPr>
          <w:p>
            <w:pPr>
              <w:spacing w:after="0"/>
              <w:rPr>
                <w:sz w:val="19"/>
                <w:szCs w:val="19"/>
                <w:color w:val="auto"/>
              </w:rPr>
            </w:pPr>
          </w:p>
        </w:tc>
        <w:tc>
          <w:tcPr>
            <w:tcW w:w="1320" w:type="dxa"/>
            <w:vAlign w:val="bottom"/>
            <w:shd w:val="clear" w:color="auto" w:fill="007CBA"/>
          </w:tcPr>
          <w:p>
            <w:pPr>
              <w:jc w:val="right"/>
              <w:ind w:right="59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Operating leases:</w:t>
            </w:r>
          </w:p>
        </w:tc>
        <w:tc>
          <w:tcPr>
            <w:tcW w:w="560" w:type="dxa"/>
            <w:vAlign w:val="bottom"/>
          </w:tcPr>
          <w:p>
            <w:pPr>
              <w:spacing w:after="0"/>
              <w:rPr>
                <w:sz w:val="17"/>
                <w:szCs w:val="17"/>
                <w:color w:val="auto"/>
              </w:rPr>
            </w:pPr>
          </w:p>
        </w:tc>
        <w:tc>
          <w:tcPr>
            <w:tcW w:w="1360" w:type="dxa"/>
            <w:vAlign w:val="bottom"/>
            <w:tcBorders>
              <w:right w:val="single" w:sz="8" w:color="007CBA"/>
            </w:tcBorders>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2"/>
        </w:trPr>
        <w:tc>
          <w:tcPr>
            <w:tcW w:w="7460" w:type="dxa"/>
            <w:vAlign w:val="bottom"/>
            <w:tcBorders>
              <w:bottom w:val="single" w:sz="8" w:color="auto"/>
              <w:right w:val="single" w:sz="8" w:color="E5F1F8"/>
            </w:tcBorders>
            <w:shd w:val="clear" w:color="auto" w:fill="E5F1F8"/>
          </w:tcPr>
          <w:p>
            <w:pPr>
              <w:ind w:left="140"/>
              <w:spacing w:after="0" w:line="202" w:lineRule="exact"/>
              <w:rPr>
                <w:sz w:val="20"/>
                <w:szCs w:val="20"/>
                <w:color w:val="auto"/>
              </w:rPr>
            </w:pPr>
            <w:r>
              <w:rPr>
                <w:rFonts w:ascii="Arial" w:cs="Arial" w:eastAsia="Arial" w:hAnsi="Arial"/>
                <w:sz w:val="18"/>
                <w:szCs w:val="18"/>
                <w:color w:val="auto"/>
              </w:rPr>
              <w:t>Operating lease right-of-use assets</w:t>
            </w:r>
          </w:p>
        </w:tc>
        <w:tc>
          <w:tcPr>
            <w:tcW w:w="560" w:type="dxa"/>
            <w:vAlign w:val="bottom"/>
            <w:tcBorders>
              <w:bottom w:val="single" w:sz="8" w:color="auto"/>
            </w:tcBorders>
            <w:shd w:val="clear" w:color="auto" w:fill="E5F1F8"/>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367</w:t>
            </w:r>
          </w:p>
        </w:tc>
        <w:tc>
          <w:tcPr>
            <w:tcW w:w="540" w:type="dxa"/>
            <w:vAlign w:val="bottom"/>
            <w:tcBorders>
              <w:bottom w:val="single" w:sz="8" w:color="auto"/>
            </w:tcBorders>
            <w:shd w:val="clear" w:color="auto" w:fill="E5F1F8"/>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366</w:t>
            </w:r>
          </w:p>
        </w:tc>
      </w:tr>
      <w:tr>
        <w:trPr>
          <w:trHeight w:val="183"/>
        </w:trPr>
        <w:tc>
          <w:tcPr>
            <w:tcW w:w="7460" w:type="dxa"/>
            <w:vAlign w:val="bottom"/>
            <w:tcBorders>
              <w:right w:val="single" w:sz="8" w:color="007CBA"/>
            </w:tcBorders>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Borders>
              <w:right w:val="single" w:sz="8" w:color="007CBA"/>
            </w:tcBorders>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7460" w:type="dxa"/>
            <w:vAlign w:val="bottom"/>
            <w:tcBorders>
              <w:right w:val="single" w:sz="8" w:color="007CBA"/>
            </w:tcBorders>
            <w:shd w:val="clear" w:color="auto" w:fill="E5F1F8"/>
          </w:tcPr>
          <w:p>
            <w:pPr>
              <w:ind w:left="140"/>
              <w:spacing w:after="0" w:line="202" w:lineRule="exact"/>
              <w:rPr>
                <w:sz w:val="20"/>
                <w:szCs w:val="20"/>
                <w:color w:val="auto"/>
              </w:rPr>
            </w:pPr>
            <w:r>
              <w:rPr>
                <w:rFonts w:ascii="Arial" w:cs="Arial" w:eastAsia="Arial" w:hAnsi="Arial"/>
                <w:sz w:val="18"/>
                <w:szCs w:val="18"/>
                <w:color w:val="auto"/>
              </w:rPr>
              <w:t>Current operating lease liabilities</w:t>
            </w:r>
          </w:p>
        </w:tc>
        <w:tc>
          <w:tcPr>
            <w:tcW w:w="56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62</w:t>
            </w:r>
          </w:p>
        </w:tc>
        <w:tc>
          <w:tcPr>
            <w:tcW w:w="540" w:type="dxa"/>
            <w:vAlign w:val="bottom"/>
            <w:shd w:val="clear" w:color="auto" w:fill="E5F1F8"/>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55</w:t>
            </w:r>
          </w:p>
        </w:tc>
      </w:tr>
      <w:tr>
        <w:trPr>
          <w:trHeight w:val="202"/>
        </w:trPr>
        <w:tc>
          <w:tcPr>
            <w:tcW w:w="746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Noncurrent operating lease liabilities</w:t>
            </w:r>
          </w:p>
        </w:tc>
        <w:tc>
          <w:tcPr>
            <w:tcW w:w="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320</w:t>
            </w: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w:t>
            </w:r>
          </w:p>
        </w:tc>
      </w:tr>
      <w:tr>
        <w:trPr>
          <w:trHeight w:val="236"/>
        </w:trPr>
        <w:tc>
          <w:tcPr>
            <w:tcW w:w="7460" w:type="dxa"/>
            <w:vAlign w:val="bottom"/>
            <w:tcBorders>
              <w:bottom w:val="single" w:sz="8" w:color="auto"/>
              <w:right w:val="single" w:sz="8" w:color="E5F1F8"/>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382</w:t>
            </w:r>
          </w:p>
        </w:tc>
        <w:tc>
          <w:tcPr>
            <w:tcW w:w="54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5F1F8"/>
          </w:tcPr>
          <w:p>
            <w:pPr>
              <w:jc w:val="right"/>
              <w:ind w:right="10"/>
              <w:spacing w:after="0" w:line="196" w:lineRule="exact"/>
              <w:rPr>
                <w:sz w:val="20"/>
                <w:szCs w:val="20"/>
                <w:color w:val="auto"/>
              </w:rPr>
            </w:pPr>
            <w:r>
              <w:rPr>
                <w:rFonts w:ascii="Arial" w:cs="Arial" w:eastAsia="Arial" w:hAnsi="Arial"/>
                <w:sz w:val="18"/>
                <w:szCs w:val="18"/>
                <w:color w:val="auto"/>
              </w:rPr>
              <w:t>382</w:t>
            </w:r>
          </w:p>
        </w:tc>
      </w:tr>
      <w:tr>
        <w:trPr>
          <w:trHeight w:val="183"/>
        </w:trPr>
        <w:tc>
          <w:tcPr>
            <w:tcW w:w="7460" w:type="dxa"/>
            <w:vAlign w:val="bottom"/>
            <w:tcBorders>
              <w:right w:val="single" w:sz="8" w:color="007CBA"/>
            </w:tcBorders>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Borders>
              <w:right w:val="single" w:sz="8" w:color="007CBA"/>
            </w:tcBorders>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746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Finance leases:</w:t>
            </w:r>
          </w:p>
        </w:tc>
        <w:tc>
          <w:tcPr>
            <w:tcW w:w="56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540" w:type="dxa"/>
            <w:vAlign w:val="bottom"/>
            <w:shd w:val="clear" w:color="auto" w:fill="E5F1F8"/>
          </w:tcPr>
          <w:p>
            <w:pPr>
              <w:spacing w:after="0"/>
              <w:rPr>
                <w:sz w:val="17"/>
                <w:szCs w:val="17"/>
                <w:color w:val="auto"/>
              </w:rPr>
            </w:pPr>
          </w:p>
        </w:tc>
        <w:tc>
          <w:tcPr>
            <w:tcW w:w="1320" w:type="dxa"/>
            <w:vAlign w:val="bottom"/>
            <w:shd w:val="clear" w:color="auto" w:fill="E5F1F8"/>
          </w:tcPr>
          <w:p>
            <w:pPr>
              <w:spacing w:after="0"/>
              <w:rPr>
                <w:sz w:val="17"/>
                <w:szCs w:val="17"/>
                <w:color w:val="auto"/>
              </w:rPr>
            </w:pPr>
          </w:p>
        </w:tc>
      </w:tr>
      <w:tr>
        <w:trPr>
          <w:trHeight w:val="203"/>
        </w:trPr>
        <w:tc>
          <w:tcPr>
            <w:tcW w:w="7460" w:type="dxa"/>
            <w:vAlign w:val="bottom"/>
            <w:tcBorders>
              <w:right w:val="single" w:sz="8" w:color="007CBA"/>
            </w:tcBorders>
          </w:tcPr>
          <w:p>
            <w:pPr>
              <w:ind w:left="140"/>
              <w:spacing w:after="0" w:line="202" w:lineRule="exact"/>
              <w:rPr>
                <w:sz w:val="20"/>
                <w:szCs w:val="20"/>
                <w:color w:val="auto"/>
              </w:rPr>
            </w:pPr>
            <w:r>
              <w:rPr>
                <w:rFonts w:ascii="Arial" w:cs="Arial" w:eastAsia="Arial" w:hAnsi="Arial"/>
                <w:sz w:val="18"/>
                <w:szCs w:val="18"/>
                <w:color w:val="auto"/>
              </w:rPr>
              <w:t>Property, plant and equipment</w:t>
            </w:r>
          </w:p>
        </w:tc>
        <w:tc>
          <w:tcPr>
            <w:tcW w:w="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368</w:t>
            </w: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7460" w:type="dxa"/>
            <w:vAlign w:val="bottom"/>
            <w:tcBorders>
              <w:bottom w:val="single" w:sz="8" w:color="auto"/>
              <w:right w:val="single" w:sz="8" w:color="E5F1F8"/>
            </w:tcBorders>
            <w:shd w:val="clear" w:color="auto" w:fill="E5F1F8"/>
          </w:tcPr>
          <w:p>
            <w:pPr>
              <w:ind w:left="140"/>
              <w:spacing w:after="0" w:line="202" w:lineRule="exact"/>
              <w:rPr>
                <w:sz w:val="20"/>
                <w:szCs w:val="20"/>
                <w:color w:val="auto"/>
              </w:rPr>
            </w:pPr>
            <w:r>
              <w:rPr>
                <w:rFonts w:ascii="Arial" w:cs="Arial" w:eastAsia="Arial" w:hAnsi="Arial"/>
                <w:sz w:val="18"/>
                <w:szCs w:val="18"/>
                <w:color w:val="auto"/>
              </w:rPr>
              <w:t>Accumulated depreciation</w:t>
            </w:r>
          </w:p>
        </w:tc>
        <w:tc>
          <w:tcPr>
            <w:tcW w:w="560" w:type="dxa"/>
            <w:vAlign w:val="bottom"/>
            <w:tcBorders>
              <w:bottom w:val="single" w:sz="8" w:color="auto"/>
            </w:tcBorders>
            <w:shd w:val="clear" w:color="auto" w:fill="E5F1F8"/>
          </w:tcPr>
          <w:p>
            <w:pPr>
              <w:spacing w:after="0"/>
              <w:rPr>
                <w:sz w:val="17"/>
                <w:szCs w:val="17"/>
                <w:color w:val="auto"/>
              </w:rPr>
            </w:pPr>
          </w:p>
        </w:tc>
        <w:tc>
          <w:tcPr>
            <w:tcW w:w="136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(79)</w:t>
            </w:r>
          </w:p>
        </w:tc>
        <w:tc>
          <w:tcPr>
            <w:tcW w:w="540" w:type="dxa"/>
            <w:vAlign w:val="bottom"/>
            <w:tcBorders>
              <w:bottom w:val="single" w:sz="8" w:color="auto"/>
            </w:tcBorders>
            <w:shd w:val="clear" w:color="auto" w:fill="E5F1F8"/>
          </w:tcPr>
          <w:p>
            <w:pPr>
              <w:spacing w:after="0"/>
              <w:rPr>
                <w:sz w:val="17"/>
                <w:szCs w:val="17"/>
                <w:color w:val="auto"/>
              </w:rPr>
            </w:pPr>
          </w:p>
        </w:tc>
        <w:tc>
          <w:tcPr>
            <w:tcW w:w="132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(58)</w:t>
            </w:r>
          </w:p>
        </w:tc>
      </w:tr>
      <w:tr>
        <w:trPr>
          <w:trHeight w:val="196"/>
        </w:trPr>
        <w:tc>
          <w:tcPr>
            <w:tcW w:w="74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Property, plant and equipment, net</w:t>
            </w:r>
          </w:p>
        </w:tc>
        <w:tc>
          <w:tcPr>
            <w:tcW w:w="5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289</w:t>
            </w:r>
          </w:p>
        </w:tc>
        <w:tc>
          <w:tcPr>
            <w:tcW w:w="5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195</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7460" w:type="dxa"/>
            <w:vAlign w:val="bottom"/>
            <w:tcBorders>
              <w:right w:val="single" w:sz="8" w:color="007CBA"/>
            </w:tcBorders>
            <w:shd w:val="clear" w:color="auto" w:fill="E5F1F8"/>
          </w:tcPr>
          <w:p>
            <w:pPr>
              <w:spacing w:after="0"/>
              <w:rPr>
                <w:sz w:val="15"/>
                <w:szCs w:val="15"/>
                <w:color w:val="auto"/>
              </w:rPr>
            </w:pPr>
          </w:p>
        </w:tc>
        <w:tc>
          <w:tcPr>
            <w:tcW w:w="560" w:type="dxa"/>
            <w:vAlign w:val="bottom"/>
            <w:shd w:val="clear" w:color="auto" w:fill="E5F1F8"/>
          </w:tcPr>
          <w:p>
            <w:pPr>
              <w:spacing w:after="0"/>
              <w:rPr>
                <w:sz w:val="15"/>
                <w:szCs w:val="15"/>
                <w:color w:val="auto"/>
              </w:rPr>
            </w:pPr>
          </w:p>
        </w:tc>
        <w:tc>
          <w:tcPr>
            <w:tcW w:w="1360" w:type="dxa"/>
            <w:vAlign w:val="bottom"/>
            <w:tcBorders>
              <w:right w:val="single" w:sz="8" w:color="007CBA"/>
            </w:tcBorders>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1320" w:type="dxa"/>
            <w:vAlign w:val="bottom"/>
            <w:shd w:val="clear" w:color="auto" w:fill="E5F1F8"/>
          </w:tcPr>
          <w:p>
            <w:pPr>
              <w:spacing w:after="0"/>
              <w:rPr>
                <w:sz w:val="15"/>
                <w:szCs w:val="15"/>
                <w:color w:val="auto"/>
              </w:rPr>
            </w:pPr>
          </w:p>
        </w:tc>
      </w:tr>
      <w:tr>
        <w:trPr>
          <w:trHeight w:val="203"/>
        </w:trPr>
        <w:tc>
          <w:tcPr>
            <w:tcW w:w="7460" w:type="dxa"/>
            <w:vAlign w:val="bottom"/>
            <w:tcBorders>
              <w:right w:val="single" w:sz="8" w:color="007CBA"/>
            </w:tcBorders>
          </w:tcPr>
          <w:p>
            <w:pPr>
              <w:ind w:left="140"/>
              <w:spacing w:after="0" w:line="202" w:lineRule="exact"/>
              <w:rPr>
                <w:sz w:val="20"/>
                <w:szCs w:val="20"/>
                <w:color w:val="auto"/>
              </w:rPr>
            </w:pPr>
            <w:r>
              <w:rPr>
                <w:rFonts w:ascii="Arial" w:cs="Arial" w:eastAsia="Arial" w:hAnsi="Arial"/>
                <w:sz w:val="18"/>
                <w:szCs w:val="18"/>
                <w:color w:val="auto"/>
              </w:rPr>
              <w:t>Other current liabilities</w:t>
            </w:r>
          </w:p>
        </w:tc>
        <w:tc>
          <w:tcPr>
            <w:tcW w:w="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460" w:type="dxa"/>
            <w:vAlign w:val="bottom"/>
            <w:tcBorders>
              <w:bottom w:val="single" w:sz="8" w:color="auto"/>
              <w:right w:val="single" w:sz="8" w:color="E5F1F8"/>
            </w:tcBorders>
            <w:shd w:val="clear" w:color="auto" w:fill="E5F1F8"/>
          </w:tcPr>
          <w:p>
            <w:pPr>
              <w:ind w:left="140"/>
              <w:spacing w:after="0" w:line="202" w:lineRule="exact"/>
              <w:rPr>
                <w:sz w:val="20"/>
                <w:szCs w:val="20"/>
                <w:color w:val="auto"/>
              </w:rPr>
            </w:pPr>
            <w:r>
              <w:rPr>
                <w:rFonts w:ascii="Arial" w:cs="Arial" w:eastAsia="Arial" w:hAnsi="Arial"/>
                <w:sz w:val="18"/>
                <w:szCs w:val="18"/>
                <w:color w:val="auto"/>
              </w:rPr>
              <w:t>Other noncurrent liabilities</w:t>
            </w:r>
          </w:p>
        </w:tc>
        <w:tc>
          <w:tcPr>
            <w:tcW w:w="560" w:type="dxa"/>
            <w:vAlign w:val="bottom"/>
            <w:tcBorders>
              <w:bottom w:val="single" w:sz="8" w:color="auto"/>
            </w:tcBorders>
            <w:shd w:val="clear" w:color="auto" w:fill="E5F1F8"/>
          </w:tcPr>
          <w:p>
            <w:pPr>
              <w:spacing w:after="0"/>
              <w:rPr>
                <w:sz w:val="17"/>
                <w:szCs w:val="17"/>
                <w:color w:val="auto"/>
              </w:rPr>
            </w:pPr>
          </w:p>
        </w:tc>
        <w:tc>
          <w:tcPr>
            <w:tcW w:w="13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287</w:t>
            </w:r>
          </w:p>
        </w:tc>
        <w:tc>
          <w:tcPr>
            <w:tcW w:w="540" w:type="dxa"/>
            <w:vAlign w:val="bottom"/>
            <w:tcBorders>
              <w:bottom w:val="single" w:sz="8" w:color="auto"/>
            </w:tcBorders>
            <w:shd w:val="clear" w:color="auto" w:fill="E5F1F8"/>
          </w:tcPr>
          <w:p>
            <w:pPr>
              <w:spacing w:after="0"/>
              <w:rPr>
                <w:sz w:val="17"/>
                <w:szCs w:val="17"/>
                <w:color w:val="auto"/>
              </w:rPr>
            </w:pPr>
          </w:p>
        </w:tc>
        <w:tc>
          <w:tcPr>
            <w:tcW w:w="132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190</w:t>
            </w:r>
          </w:p>
        </w:tc>
      </w:tr>
      <w:tr>
        <w:trPr>
          <w:trHeight w:val="196"/>
        </w:trPr>
        <w:tc>
          <w:tcPr>
            <w:tcW w:w="74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finance lease liabilities</w:t>
            </w:r>
          </w:p>
        </w:tc>
        <w:tc>
          <w:tcPr>
            <w:tcW w:w="5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302</w:t>
            </w:r>
          </w:p>
        </w:tc>
        <w:tc>
          <w:tcPr>
            <w:tcW w:w="5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203</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-1941195</wp:posOffset>
            </wp:positionV>
            <wp:extent cx="34290" cy="1797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-1941195</wp:posOffset>
            </wp:positionV>
            <wp:extent cx="33655" cy="1797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-1529080</wp:posOffset>
            </wp:positionV>
            <wp:extent cx="34290" cy="3168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-1529080</wp:posOffset>
            </wp:positionV>
            <wp:extent cx="33655" cy="3168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-852170</wp:posOffset>
            </wp:positionV>
            <wp:extent cx="34290" cy="3168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-852170</wp:posOffset>
            </wp:positionV>
            <wp:extent cx="33655" cy="3168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-303530</wp:posOffset>
            </wp:positionV>
            <wp:extent cx="34290" cy="3168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-303530</wp:posOffset>
            </wp:positionV>
            <wp:extent cx="33655" cy="3168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incremental borrowing rate ranged from 0.004% to 6.0% for the years ended December 31, 2025 and 2024. Weighted-average remaining lease terms and discount rates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i w:val="1"/>
                <w:iCs w:val="1"/>
                <w:color w:val="FFFFFF"/>
              </w:rPr>
              <w:t>December 31</w:t>
            </w:r>
          </w:p>
        </w:tc>
        <w:tc>
          <w:tcPr>
            <w:tcW w:w="190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2025</w:t>
            </w:r>
          </w:p>
        </w:tc>
        <w:tc>
          <w:tcPr>
            <w:tcW w:w="1880" w:type="dxa"/>
            <w:vAlign w:val="bottom"/>
            <w:shd w:val="clear" w:color="auto" w:fill="007CBA"/>
          </w:tcPr>
          <w:p>
            <w:pPr>
              <w:jc w:val="right"/>
              <w:ind w:right="550"/>
              <w:spacing w:after="0"/>
              <w:rPr>
                <w:sz w:val="20"/>
                <w:szCs w:val="20"/>
                <w:color w:val="auto"/>
              </w:rPr>
            </w:pPr>
            <w:r>
              <w:rPr>
                <w:rFonts w:ascii="Arial" w:cs="Arial" w:eastAsia="Arial" w:hAnsi="Arial"/>
                <w:sz w:val="18"/>
                <w:szCs w:val="18"/>
                <w:color w:val="FFFFFF"/>
              </w:rPr>
              <w:t>2024</w:t>
            </w: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Weighted-average remaining lease terms (years):</w:t>
            </w:r>
          </w:p>
        </w:tc>
        <w:tc>
          <w:tcPr>
            <w:tcW w:w="1900" w:type="dxa"/>
            <w:vAlign w:val="bottom"/>
            <w:tcBorders>
              <w:right w:val="single" w:sz="8" w:color="007CBA"/>
            </w:tcBorders>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7460" w:type="dxa"/>
            <w:vAlign w:val="bottom"/>
            <w:tcBorders>
              <w:right w:val="single" w:sz="8" w:color="007CBA"/>
            </w:tcBorders>
            <w:shd w:val="clear" w:color="auto" w:fill="E5F1F8"/>
          </w:tcPr>
          <w:p>
            <w:pPr>
              <w:ind w:left="300"/>
              <w:spacing w:after="0" w:line="202" w:lineRule="exact"/>
              <w:rPr>
                <w:sz w:val="20"/>
                <w:szCs w:val="20"/>
                <w:color w:val="auto"/>
              </w:rPr>
            </w:pPr>
            <w:r>
              <w:rPr>
                <w:rFonts w:ascii="Arial" w:cs="Arial" w:eastAsia="Arial" w:hAnsi="Arial"/>
                <w:sz w:val="18"/>
                <w:szCs w:val="18"/>
                <w:color w:val="auto"/>
              </w:rPr>
              <w:t>Operating leases</w:t>
            </w:r>
          </w:p>
        </w:tc>
        <w:tc>
          <w:tcPr>
            <w:tcW w:w="1900" w:type="dxa"/>
            <w:vAlign w:val="bottom"/>
            <w:tcBorders>
              <w:right w:val="single" w:sz="8" w:color="007CBA"/>
            </w:tcBorders>
            <w:shd w:val="clear" w:color="auto" w:fill="E5F1F8"/>
          </w:tcPr>
          <w:p>
            <w:pPr>
              <w:jc w:val="center"/>
              <w:spacing w:after="0" w:line="202" w:lineRule="exact"/>
              <w:rPr>
                <w:sz w:val="20"/>
                <w:szCs w:val="20"/>
                <w:color w:val="auto"/>
              </w:rPr>
            </w:pPr>
            <w:r>
              <w:rPr>
                <w:rFonts w:ascii="Arial" w:cs="Arial" w:eastAsia="Arial" w:hAnsi="Arial"/>
                <w:sz w:val="18"/>
                <w:szCs w:val="18"/>
                <w:b w:val="1"/>
                <w:bCs w:val="1"/>
                <w:color w:val="auto"/>
                <w:w w:val="96"/>
              </w:rPr>
              <w:t>10.2</w:t>
            </w:r>
          </w:p>
        </w:tc>
        <w:tc>
          <w:tcPr>
            <w:tcW w:w="1880" w:type="dxa"/>
            <w:vAlign w:val="bottom"/>
            <w:shd w:val="clear" w:color="auto" w:fill="E5F1F8"/>
          </w:tcPr>
          <w:p>
            <w:pPr>
              <w:jc w:val="center"/>
              <w:spacing w:after="0" w:line="202" w:lineRule="exact"/>
              <w:rPr>
                <w:sz w:val="20"/>
                <w:szCs w:val="20"/>
                <w:color w:val="auto"/>
              </w:rPr>
            </w:pPr>
            <w:r>
              <w:rPr>
                <w:rFonts w:ascii="Arial" w:cs="Arial" w:eastAsia="Arial" w:hAnsi="Arial"/>
                <w:sz w:val="18"/>
                <w:szCs w:val="18"/>
                <w:color w:val="auto"/>
              </w:rPr>
              <w:t>11.1</w:t>
            </w:r>
          </w:p>
        </w:tc>
      </w:tr>
      <w:tr>
        <w:trPr>
          <w:trHeight w:val="203"/>
        </w:trPr>
        <w:tc>
          <w:tcPr>
            <w:tcW w:w="7460" w:type="dxa"/>
            <w:vAlign w:val="bottom"/>
            <w:tcBorders>
              <w:right w:val="single" w:sz="8" w:color="007CBA"/>
            </w:tcBorders>
          </w:tcPr>
          <w:p>
            <w:pPr>
              <w:ind w:left="300"/>
              <w:spacing w:after="0" w:line="202" w:lineRule="exact"/>
              <w:rPr>
                <w:sz w:val="20"/>
                <w:szCs w:val="20"/>
                <w:color w:val="auto"/>
              </w:rPr>
            </w:pPr>
            <w:r>
              <w:rPr>
                <w:rFonts w:ascii="Arial" w:cs="Arial" w:eastAsia="Arial" w:hAnsi="Arial"/>
                <w:sz w:val="18"/>
                <w:szCs w:val="18"/>
                <w:color w:val="auto"/>
              </w:rPr>
              <w:t>Finance leases</w:t>
            </w:r>
          </w:p>
        </w:tc>
        <w:tc>
          <w:tcPr>
            <w:tcW w:w="1900" w:type="dxa"/>
            <w:vAlign w:val="bottom"/>
            <w:tcBorders>
              <w:right w:val="single" w:sz="8" w:color="007CBA"/>
            </w:tcBorders>
          </w:tcPr>
          <w:p>
            <w:pPr>
              <w:jc w:val="center"/>
              <w:spacing w:after="0" w:line="202" w:lineRule="exact"/>
              <w:rPr>
                <w:sz w:val="20"/>
                <w:szCs w:val="20"/>
                <w:color w:val="auto"/>
              </w:rPr>
            </w:pPr>
            <w:r>
              <w:rPr>
                <w:rFonts w:ascii="Arial" w:cs="Arial" w:eastAsia="Arial" w:hAnsi="Arial"/>
                <w:sz w:val="18"/>
                <w:szCs w:val="18"/>
                <w:b w:val="1"/>
                <w:bCs w:val="1"/>
                <w:color w:val="auto"/>
                <w:w w:val="96"/>
              </w:rPr>
              <w:t>22.0</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rPr>
              <w:t>18.7</w:t>
            </w:r>
          </w:p>
        </w:tc>
      </w:tr>
      <w:tr>
        <w:trPr>
          <w:trHeight w:val="202"/>
        </w:trPr>
        <w:tc>
          <w:tcPr>
            <w:tcW w:w="7460" w:type="dxa"/>
            <w:vAlign w:val="bottom"/>
            <w:tcBorders>
              <w:right w:val="single" w:sz="8" w:color="007CBA"/>
            </w:tcBorders>
            <w:shd w:val="clear" w:color="auto" w:fill="E5F1F8"/>
          </w:tcPr>
          <w:p>
            <w:pPr>
              <w:spacing w:after="0"/>
              <w:rPr>
                <w:sz w:val="17"/>
                <w:szCs w:val="17"/>
                <w:color w:val="auto"/>
              </w:rPr>
            </w:pPr>
          </w:p>
        </w:tc>
        <w:tc>
          <w:tcPr>
            <w:tcW w:w="1900" w:type="dxa"/>
            <w:vAlign w:val="bottom"/>
            <w:tcBorders>
              <w:right w:val="single" w:sz="8" w:color="007CBA"/>
            </w:tcBorders>
            <w:shd w:val="clear" w:color="auto" w:fill="E5F1F8"/>
          </w:tcPr>
          <w:p>
            <w:pPr>
              <w:spacing w:after="0"/>
              <w:rPr>
                <w:sz w:val="17"/>
                <w:szCs w:val="17"/>
                <w:color w:val="auto"/>
              </w:rPr>
            </w:pPr>
          </w:p>
        </w:tc>
        <w:tc>
          <w:tcPr>
            <w:tcW w:w="1880" w:type="dxa"/>
            <w:vAlign w:val="bottom"/>
            <w:shd w:val="clear" w:color="auto" w:fill="E5F1F8"/>
          </w:tcPr>
          <w:p>
            <w:pPr>
              <w:spacing w:after="0"/>
              <w:rPr>
                <w:sz w:val="17"/>
                <w:szCs w:val="17"/>
                <w:color w:val="auto"/>
              </w:rPr>
            </w:pPr>
          </w:p>
        </w:tc>
      </w:tr>
      <w:tr>
        <w:trPr>
          <w:trHeight w:val="203"/>
        </w:trPr>
        <w:tc>
          <w:tcPr>
            <w:tcW w:w="746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Weighted-average discount rates:</w:t>
            </w:r>
          </w:p>
        </w:tc>
        <w:tc>
          <w:tcPr>
            <w:tcW w:w="1900" w:type="dxa"/>
            <w:vAlign w:val="bottom"/>
            <w:tcBorders>
              <w:right w:val="single" w:sz="8" w:color="007CBA"/>
            </w:tcBorders>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7460" w:type="dxa"/>
            <w:vAlign w:val="bottom"/>
            <w:tcBorders>
              <w:right w:val="single" w:sz="8" w:color="007CBA"/>
            </w:tcBorders>
            <w:shd w:val="clear" w:color="auto" w:fill="E5F1F8"/>
          </w:tcPr>
          <w:p>
            <w:pPr>
              <w:ind w:left="300"/>
              <w:spacing w:after="0" w:line="202" w:lineRule="exact"/>
              <w:rPr>
                <w:sz w:val="20"/>
                <w:szCs w:val="20"/>
                <w:color w:val="auto"/>
              </w:rPr>
            </w:pPr>
            <w:r>
              <w:rPr>
                <w:rFonts w:ascii="Arial" w:cs="Arial" w:eastAsia="Arial" w:hAnsi="Arial"/>
                <w:sz w:val="18"/>
                <w:szCs w:val="18"/>
                <w:color w:val="auto"/>
              </w:rPr>
              <w:t>Operating leases</w:t>
            </w:r>
          </w:p>
        </w:tc>
        <w:tc>
          <w:tcPr>
            <w:tcW w:w="1900" w:type="dxa"/>
            <w:vAlign w:val="bottom"/>
            <w:tcBorders>
              <w:right w:val="single" w:sz="8" w:color="007CBA"/>
            </w:tcBorders>
            <w:shd w:val="clear" w:color="auto" w:fill="E5F1F8"/>
          </w:tcPr>
          <w:p>
            <w:pPr>
              <w:jc w:val="center"/>
              <w:spacing w:after="0" w:line="202" w:lineRule="exact"/>
              <w:rPr>
                <w:sz w:val="20"/>
                <w:szCs w:val="20"/>
                <w:color w:val="auto"/>
              </w:rPr>
            </w:pPr>
            <w:r>
              <w:rPr>
                <w:rFonts w:ascii="Arial" w:cs="Arial" w:eastAsia="Arial" w:hAnsi="Arial"/>
                <w:sz w:val="18"/>
                <w:szCs w:val="18"/>
                <w:b w:val="1"/>
                <w:bCs w:val="1"/>
                <w:color w:val="auto"/>
              </w:rPr>
              <w:t>4.5%</w:t>
            </w:r>
          </w:p>
        </w:tc>
        <w:tc>
          <w:tcPr>
            <w:tcW w:w="1880" w:type="dxa"/>
            <w:vAlign w:val="bottom"/>
            <w:shd w:val="clear" w:color="auto" w:fill="E5F1F8"/>
          </w:tcPr>
          <w:p>
            <w:pPr>
              <w:jc w:val="center"/>
              <w:spacing w:after="0" w:line="202" w:lineRule="exact"/>
              <w:rPr>
                <w:sz w:val="20"/>
                <w:szCs w:val="20"/>
                <w:color w:val="auto"/>
              </w:rPr>
            </w:pPr>
            <w:r>
              <w:rPr>
                <w:rFonts w:ascii="Arial" w:cs="Arial" w:eastAsia="Arial" w:hAnsi="Arial"/>
                <w:sz w:val="18"/>
                <w:szCs w:val="18"/>
                <w:color w:val="auto"/>
                <w:w w:val="97"/>
              </w:rPr>
              <w:t>4.6%</w:t>
            </w:r>
          </w:p>
        </w:tc>
      </w:tr>
      <w:tr>
        <w:trPr>
          <w:trHeight w:val="202"/>
        </w:trPr>
        <w:tc>
          <w:tcPr>
            <w:tcW w:w="746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Finance leases</w:t>
            </w: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3.9%</w:t>
            </w: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196850</wp:posOffset>
            </wp:positionV>
            <wp:extent cx="325755" cy="1968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-149225</wp:posOffset>
            </wp:positionV>
            <wp:extent cx="34290" cy="1625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-149225</wp:posOffset>
            </wp:positionV>
            <wp:extent cx="34290" cy="1625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700" w:type="dxa"/>
            <w:vAlign w:val="bottom"/>
            <w:gridSpan w:val="6"/>
          </w:tcPr>
          <w:p>
            <w:pPr>
              <w:ind w:left="4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c>
          <w:tcPr>
            <w:tcW w:w="0" w:type="dxa"/>
            <w:vAlign w:val="bottom"/>
          </w:tcPr>
          <w:p>
            <w:pPr>
              <w:spacing w:after="0"/>
              <w:rPr>
                <w:sz w:val="1"/>
                <w:szCs w:val="1"/>
                <w:color w:val="auto"/>
              </w:rPr>
            </w:pPr>
          </w:p>
        </w:tc>
      </w:tr>
      <w:tr>
        <w:trPr>
          <w:trHeight w:val="389"/>
        </w:trPr>
        <w:tc>
          <w:tcPr>
            <w:tcW w:w="6560" w:type="dxa"/>
            <w:vAlign w:val="bottom"/>
          </w:tcPr>
          <w:p>
            <w:pPr>
              <w:spacing w:after="0"/>
              <w:rPr>
                <w:sz w:val="20"/>
                <w:szCs w:val="20"/>
                <w:color w:val="auto"/>
              </w:rPr>
            </w:pPr>
            <w:r>
              <w:rPr>
                <w:rFonts w:ascii="Arial" w:cs="Arial" w:eastAsia="Arial" w:hAnsi="Arial"/>
                <w:sz w:val="18"/>
                <w:szCs w:val="18"/>
                <w:color w:val="auto"/>
              </w:rPr>
              <w:t>Future lease payments as of December 31, 2025 are as follows: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6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007CBA"/>
          </w:tcPr>
          <w:p>
            <w:pPr>
              <w:spacing w:after="0"/>
              <w:rPr>
                <w:sz w:val="15"/>
                <w:szCs w:val="15"/>
                <w:color w:val="auto"/>
              </w:rPr>
            </w:pPr>
          </w:p>
        </w:tc>
        <w:tc>
          <w:tcPr>
            <w:tcW w:w="90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460" w:type="dxa"/>
            <w:vAlign w:val="bottom"/>
            <w:tcBorders>
              <w:right w:val="single" w:sz="8" w:color="007CBA"/>
            </w:tcBorders>
            <w:shd w:val="clear" w:color="auto" w:fill="007CBA"/>
          </w:tcPr>
          <w:p>
            <w:pPr>
              <w:jc w:val="right"/>
              <w:ind w:right="390"/>
              <w:spacing w:after="0" w:line="183" w:lineRule="exact"/>
              <w:rPr>
                <w:sz w:val="20"/>
                <w:szCs w:val="20"/>
                <w:color w:val="auto"/>
              </w:rPr>
            </w:pPr>
            <w:r>
              <w:rPr>
                <w:rFonts w:ascii="Arial" w:cs="Arial" w:eastAsia="Arial" w:hAnsi="Arial"/>
                <w:sz w:val="18"/>
                <w:szCs w:val="18"/>
                <w:b w:val="1"/>
                <w:bCs w:val="1"/>
                <w:color w:val="FFFFFF"/>
              </w:rPr>
              <w:t>Operating</w:t>
            </w:r>
          </w:p>
        </w:tc>
        <w:tc>
          <w:tcPr>
            <w:tcW w:w="480" w:type="dxa"/>
            <w:vAlign w:val="bottom"/>
            <w:shd w:val="clear" w:color="auto" w:fill="007CBA"/>
          </w:tcPr>
          <w:p>
            <w:pPr>
              <w:spacing w:after="0"/>
              <w:rPr>
                <w:sz w:val="15"/>
                <w:szCs w:val="15"/>
                <w:color w:val="auto"/>
              </w:rPr>
            </w:pPr>
          </w:p>
        </w:tc>
        <w:tc>
          <w:tcPr>
            <w:tcW w:w="1400" w:type="dxa"/>
            <w:vAlign w:val="bottom"/>
            <w:shd w:val="clear" w:color="auto" w:fill="007CBA"/>
          </w:tcPr>
          <w:p>
            <w:pPr>
              <w:jc w:val="right"/>
              <w:ind w:right="470"/>
              <w:spacing w:after="0" w:line="183" w:lineRule="exact"/>
              <w:rPr>
                <w:sz w:val="20"/>
                <w:szCs w:val="20"/>
                <w:color w:val="auto"/>
              </w:rPr>
            </w:pPr>
            <w:r>
              <w:rPr>
                <w:rFonts w:ascii="Arial" w:cs="Arial" w:eastAsia="Arial" w:hAnsi="Arial"/>
                <w:sz w:val="18"/>
                <w:szCs w:val="18"/>
                <w:b w:val="1"/>
                <w:bCs w:val="1"/>
                <w:color w:val="FFFFFF"/>
              </w:rPr>
              <w:t>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90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46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Leases</w:t>
            </w:r>
          </w:p>
        </w:tc>
        <w:tc>
          <w:tcPr>
            <w:tcW w:w="480" w:type="dxa"/>
            <w:vAlign w:val="bottom"/>
            <w:shd w:val="clear" w:color="auto" w:fill="007CBA"/>
          </w:tcPr>
          <w:p>
            <w:pPr>
              <w:spacing w:after="0"/>
              <w:rPr>
                <w:sz w:val="20"/>
                <w:szCs w:val="20"/>
                <w:color w:val="auto"/>
              </w:rPr>
            </w:pPr>
          </w:p>
        </w:tc>
        <w:tc>
          <w:tcPr>
            <w:tcW w:w="1400" w:type="dxa"/>
            <w:vAlign w:val="bottom"/>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Leases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2026</w:t>
            </w:r>
          </w:p>
        </w:tc>
        <w:tc>
          <w:tcPr>
            <w:tcW w:w="900" w:type="dxa"/>
            <w:vAlign w:val="bottom"/>
            <w:tcBorders>
              <w:right w:val="single" w:sz="8" w:color="007CBA"/>
            </w:tcBorders>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4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2027</w:t>
            </w:r>
          </w:p>
        </w:tc>
        <w:tc>
          <w:tcPr>
            <w:tcW w:w="90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4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69</w:t>
            </w:r>
          </w:p>
        </w:tc>
        <w:tc>
          <w:tcPr>
            <w:tcW w:w="480" w:type="dxa"/>
            <w:vAlign w:val="bottom"/>
            <w:shd w:val="clear" w:color="auto" w:fill="E5F1F8"/>
          </w:tcPr>
          <w:p>
            <w:pPr>
              <w:spacing w:after="0"/>
              <w:rPr>
                <w:sz w:val="17"/>
                <w:szCs w:val="17"/>
                <w:color w:val="auto"/>
              </w:rPr>
            </w:pPr>
          </w:p>
        </w:tc>
        <w:tc>
          <w:tcPr>
            <w:tcW w:w="140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2028</w:t>
            </w:r>
          </w:p>
        </w:tc>
        <w:tc>
          <w:tcPr>
            <w:tcW w:w="90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48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2029</w:t>
            </w:r>
          </w:p>
        </w:tc>
        <w:tc>
          <w:tcPr>
            <w:tcW w:w="90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4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480" w:type="dxa"/>
            <w:vAlign w:val="bottom"/>
            <w:shd w:val="clear" w:color="auto" w:fill="E5F1F8"/>
          </w:tcPr>
          <w:p>
            <w:pPr>
              <w:spacing w:after="0"/>
              <w:rPr>
                <w:sz w:val="17"/>
                <w:szCs w:val="17"/>
                <w:color w:val="auto"/>
              </w:rPr>
            </w:pPr>
          </w:p>
        </w:tc>
        <w:tc>
          <w:tcPr>
            <w:tcW w:w="140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2030</w:t>
            </w:r>
          </w:p>
        </w:tc>
        <w:tc>
          <w:tcPr>
            <w:tcW w:w="90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48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right w:val="single" w:sz="8" w:color="E5F1F8"/>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4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208</w:t>
            </w:r>
          </w:p>
        </w:tc>
        <w:tc>
          <w:tcPr>
            <w:tcW w:w="48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Total lease payments</w:t>
            </w:r>
          </w:p>
        </w:tc>
        <w:tc>
          <w:tcPr>
            <w:tcW w:w="90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495</w:t>
            </w:r>
          </w:p>
        </w:tc>
        <w:tc>
          <w:tcPr>
            <w:tcW w:w="48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tcBorders>
              <w:bottom w:val="single" w:sz="8" w:color="auto"/>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auto"/>
              <w:right w:val="single" w:sz="8" w:color="E5F1F8"/>
            </w:tcBorders>
            <w:shd w:val="clear" w:color="auto" w:fill="E5F1F8"/>
          </w:tcPr>
          <w:p>
            <w:pPr>
              <w:spacing w:after="0"/>
              <w:rPr>
                <w:sz w:val="17"/>
                <w:szCs w:val="17"/>
                <w:color w:val="auto"/>
              </w:rPr>
            </w:pPr>
          </w:p>
        </w:tc>
        <w:tc>
          <w:tcPr>
            <w:tcW w:w="440" w:type="dxa"/>
            <w:vAlign w:val="bottom"/>
            <w:tcBorders>
              <w:bottom w:val="single" w:sz="8" w:color="auto"/>
            </w:tcBorders>
            <w:shd w:val="clear" w:color="auto" w:fill="E5F1F8"/>
          </w:tcPr>
          <w:p>
            <w:pPr>
              <w:spacing w:after="0"/>
              <w:rPr>
                <w:sz w:val="17"/>
                <w:szCs w:val="17"/>
                <w:color w:val="auto"/>
              </w:rPr>
            </w:pPr>
          </w:p>
        </w:tc>
        <w:tc>
          <w:tcPr>
            <w:tcW w:w="146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(103)</w:t>
            </w:r>
          </w:p>
        </w:tc>
        <w:tc>
          <w:tcPr>
            <w:tcW w:w="480" w:type="dxa"/>
            <w:vAlign w:val="bottom"/>
            <w:tcBorders>
              <w:bottom w:val="single" w:sz="8" w:color="auto"/>
            </w:tcBorders>
            <w:shd w:val="clear" w:color="auto" w:fill="E5F1F8"/>
          </w:tcPr>
          <w:p>
            <w:pPr>
              <w:spacing w:after="0"/>
              <w:rPr>
                <w:sz w:val="17"/>
                <w:szCs w:val="17"/>
                <w:color w:val="auto"/>
              </w:rPr>
            </w:pPr>
          </w:p>
        </w:tc>
        <w:tc>
          <w:tcPr>
            <w:tcW w:w="140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line="196" w:lineRule="exact"/>
              <w:rPr>
                <w:sz w:val="20"/>
                <w:szCs w:val="20"/>
                <w:color w:val="auto"/>
              </w:rPr>
            </w:pPr>
            <w:r>
              <w:rPr>
                <w:rFonts w:ascii="Arial" w:cs="Arial" w:eastAsia="Arial" w:hAnsi="Arial"/>
                <w:sz w:val="18"/>
                <w:szCs w:val="18"/>
                <w:color w:val="auto"/>
              </w:rPr>
              <w:t>Present value of lease payments</w:t>
            </w:r>
          </w:p>
        </w:tc>
        <w:tc>
          <w:tcPr>
            <w:tcW w:w="90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392</w:t>
            </w:r>
          </w:p>
        </w:tc>
        <w:tc>
          <w:tcPr>
            <w:tcW w:w="48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Less: leases classified as held for sale</w:t>
            </w:r>
          </w:p>
        </w:tc>
        <w:tc>
          <w:tcPr>
            <w:tcW w:w="90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46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(10)</w:t>
            </w:r>
          </w:p>
        </w:tc>
        <w:tc>
          <w:tcPr>
            <w:tcW w:w="480" w:type="dxa"/>
            <w:vAlign w:val="bottom"/>
            <w:shd w:val="clear" w:color="auto" w:fill="E5F1F8"/>
          </w:tcPr>
          <w:p>
            <w:pPr>
              <w:spacing w:after="0"/>
              <w:rPr>
                <w:sz w:val="17"/>
                <w:szCs w:val="17"/>
                <w:color w:val="auto"/>
              </w:rPr>
            </w:pPr>
          </w:p>
        </w:tc>
        <w:tc>
          <w:tcPr>
            <w:tcW w:w="140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Less: current lease obligations</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Total long-term lease obligations</w:t>
            </w:r>
          </w:p>
        </w:tc>
        <w:tc>
          <w:tcPr>
            <w:tcW w:w="1340" w:type="dxa"/>
            <w:vAlign w:val="bottom"/>
            <w:tcBorders>
              <w:bottom w:val="single" w:sz="8" w:color="auto"/>
            </w:tcBorders>
            <w:gridSpan w:val="2"/>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320</w:t>
            </w:r>
          </w:p>
        </w:tc>
        <w:tc>
          <w:tcPr>
            <w:tcW w:w="48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287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-963930</wp:posOffset>
            </wp:positionV>
            <wp:extent cx="34290" cy="1625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-963930</wp:posOffset>
            </wp:positionV>
            <wp:extent cx="34290" cy="1625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-697865</wp:posOffset>
            </wp:positionV>
            <wp:extent cx="34290" cy="1625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-697865</wp:posOffset>
            </wp:positionV>
            <wp:extent cx="34290" cy="1625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-303530</wp:posOffset>
            </wp:positionV>
            <wp:extent cx="34290" cy="3168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-303530</wp:posOffset>
            </wp:positionV>
            <wp:extent cx="34290" cy="3168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M: Shareholders’ Equity</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authorized capital structure of the Company includes 100 million shares of common stock, with a par value of $0.01 per share. At December 31, 2025, approximately 0.9 million common shares were reserved for issuance under stock-based award plans.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Pursuant to authority granted by its Board of Directors, the Company can repurchase up to 20 million shares of common stock. During 2025, 2024 and 2023, the Company repurchased 0.9 million, 0.8 million and 0.4 million shares of common stock, respectively. Future share repurchases are at the discretion of management. At December 31, 2025, 11.0 million shares of common stock were remaining under the Company’s repurchase authorization.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N: Commitments and Contingencies</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Legal and Administrative Proceedings. </w:t>
      </w:r>
      <w:r>
        <w:rPr>
          <w:rFonts w:ascii="Arial" w:cs="Arial" w:eastAsia="Arial" w:hAnsi="Arial"/>
          <w:sz w:val="18"/>
          <w:szCs w:val="18"/>
          <w:color w:val="000000"/>
        </w:rPr>
        <w:t>The Company is engaged in certain legal and administrative proceedings incidental to its normal</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business activities. In the opinion of management and counsel, based upon currently available facts, the likelihood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Asset Retirement Obligations. </w:t>
      </w:r>
      <w:r>
        <w:rPr>
          <w:rFonts w:ascii="Arial" w:cs="Arial" w:eastAsia="Arial" w:hAnsi="Arial"/>
          <w:sz w:val="18"/>
          <w:szCs w:val="18"/>
          <w:color w:val="000000"/>
        </w:rPr>
        <w:t>The Company incurs reclamation and teardown costs as part of its mining and production processes.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Estimated future 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2025, 2024 and 2023 were $20 million, $27 million and $16 million, respectively, and are included in </w:t>
      </w:r>
      <w:r>
        <w:rPr>
          <w:rFonts w:ascii="Arial" w:cs="Arial" w:eastAsia="Arial" w:hAnsi="Arial"/>
          <w:sz w:val="18"/>
          <w:szCs w:val="18"/>
          <w:i w:val="1"/>
          <w:iCs w:val="1"/>
          <w:color w:val="000000"/>
        </w:rPr>
        <w:t>Other operating income, net</w:t>
      </w:r>
      <w:r>
        <w:rPr>
          <w:rFonts w:ascii="Arial" w:cs="Arial" w:eastAsia="Arial" w:hAnsi="Arial"/>
          <w:sz w:val="18"/>
          <w:szCs w:val="18"/>
          <w:color w:val="000000"/>
        </w:rPr>
        <w:t>, in the consolidated statements of earnings.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40" w:type="dxa"/>
            <w:vAlign w:val="bottom"/>
          </w:tcPr>
          <w:p>
            <w:pPr>
              <w:spacing w:after="0"/>
              <w:rPr>
                <w:sz w:val="20"/>
                <w:szCs w:val="20"/>
                <w:color w:val="auto"/>
              </w:rPr>
            </w:pPr>
            <w:r>
              <w:rPr>
                <w:rFonts w:ascii="Arial" w:cs="Arial" w:eastAsia="Arial" w:hAnsi="Arial"/>
                <w:sz w:val="18"/>
                <w:szCs w:val="18"/>
                <w:color w:val="auto"/>
              </w:rPr>
              <w:t>The following shows the changes in asset retirement obligations:</w:t>
            </w: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7"/>
        </w:trPr>
        <w:tc>
          <w:tcPr>
            <w:tcW w:w="6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34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6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6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21"/>
        </w:trPr>
        <w:tc>
          <w:tcPr>
            <w:tcW w:w="63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6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Balance at beginning of year</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429</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397</w:t>
            </w:r>
          </w:p>
        </w:tc>
        <w:tc>
          <w:tcPr>
            <w:tcW w:w="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63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Accretion expense</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11</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11</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11</w:t>
            </w:r>
          </w:p>
        </w:tc>
      </w:tr>
      <w:tr>
        <w:trPr>
          <w:trHeight w:val="203"/>
        </w:trPr>
        <w:tc>
          <w:tcPr>
            <w:tcW w:w="63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Liabilities incurred and liabilities assumed in business combinations</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634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Liabilities settled</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46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w:t>
            </w:r>
          </w:p>
        </w:tc>
        <w:tc>
          <w:tcPr>
            <w:tcW w:w="460" w:type="dxa"/>
            <w:vAlign w:val="bottom"/>
            <w:shd w:val="clear" w:color="auto" w:fill="E5F1F8"/>
          </w:tcPr>
          <w:p>
            <w:pPr>
              <w:spacing w:after="0"/>
              <w:rPr>
                <w:sz w:val="17"/>
                <w:szCs w:val="17"/>
                <w:color w:val="auto"/>
              </w:rPr>
            </w:pPr>
          </w:p>
        </w:tc>
        <w:tc>
          <w:tcPr>
            <w:tcW w:w="1160" w:type="dxa"/>
            <w:vAlign w:val="bottom"/>
            <w:shd w:val="clear" w:color="auto" w:fill="E5F1F8"/>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634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Revisions in estimated cash flows</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460" w:type="dxa"/>
            <w:vAlign w:val="bottom"/>
          </w:tcPr>
          <w:p>
            <w:pPr>
              <w:spacing w:after="0"/>
              <w:rPr>
                <w:sz w:val="17"/>
                <w:szCs w:val="17"/>
                <w:color w:val="auto"/>
              </w:rPr>
            </w:pPr>
          </w:p>
        </w:tc>
        <w:tc>
          <w:tcPr>
            <w:tcW w:w="118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4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634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Liabilities reclassified from assets held for sale</w:t>
            </w:r>
          </w:p>
        </w:tc>
        <w:tc>
          <w:tcPr>
            <w:tcW w:w="46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13</w:t>
            </w:r>
          </w:p>
        </w:tc>
      </w:tr>
      <w:tr>
        <w:trPr>
          <w:trHeight w:val="196"/>
        </w:trPr>
        <w:tc>
          <w:tcPr>
            <w:tcW w:w="63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Balance at end of year</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353</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429</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397</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188595</wp:posOffset>
            </wp:positionV>
            <wp:extent cx="325755" cy="1968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-303530</wp:posOffset>
            </wp:positionV>
            <wp:extent cx="34290" cy="3168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-303530</wp:posOffset>
            </wp:positionV>
            <wp:extent cx="34290" cy="3168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-303530</wp:posOffset>
            </wp:positionV>
            <wp:extent cx="34290" cy="3168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3" w:name="page104"/>
    <w:bookmarkEnd w:id="103"/>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4EAD8A"/>
        </w:rPr>
        <w:t>Other Environmental Matters</w:t>
      </w:r>
      <w:r>
        <w:rPr>
          <w:rFonts w:ascii="Arial" w:cs="Arial" w:eastAsia="Arial" w:hAnsi="Arial"/>
          <w:sz w:val="18"/>
          <w:szCs w:val="18"/>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Company’s operations are subject to and affected by federal, state and local laws and regulations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relating to the 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4EAD8A"/>
        </w:rPr>
        <w:t xml:space="preserve">Insurance Accruals. </w:t>
      </w:r>
      <w:r>
        <w:rPr>
          <w:rFonts w:ascii="Arial" w:cs="Arial" w:eastAsia="Arial" w:hAnsi="Arial"/>
          <w:sz w:val="18"/>
          <w:szCs w:val="18"/>
          <w:color w:val="000000"/>
        </w:rPr>
        <w:t>At December 31, 2025 and 2024, accruals of $56 million and $53 million, respectively, were recorded for insurance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claims.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Letters of Credit. </w:t>
      </w:r>
      <w:r>
        <w:rPr>
          <w:rFonts w:ascii="Arial" w:cs="Arial" w:eastAsia="Arial" w:hAnsi="Arial"/>
          <w:sz w:val="18"/>
          <w:szCs w:val="18"/>
          <w:color w:val="000000"/>
        </w:rPr>
        <w:t>In the normal course of business, the Company provides certain third parties with standby letter of credit agreements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guaranteeing its payment for certain insurance claims, contract performance and permit requirements. At December 31, 2025, the Company was contingently liable for $34 million in letters of credit.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Surety Bonds. </w:t>
      </w:r>
      <w:r>
        <w:rPr>
          <w:rFonts w:ascii="Arial" w:cs="Arial" w:eastAsia="Arial" w:hAnsi="Arial"/>
          <w:sz w:val="18"/>
          <w:szCs w:val="18"/>
          <w:color w:val="000000"/>
        </w:rPr>
        <w:t>At December 31, 2025, the Company was contingently liable for $850 million in surety bonds required by certain</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governments and their related agencies. The bonds are provided in the normal course of business and are principally for certain insurance claims, construction contracts, reclamation obligations and mining permits guaranteeing the Company’s own performance. The Company has indemnified the underwriting insurance company against any exposure under the surety bonds. In the Company’s past experience, no material claims have been made against these financial instruments.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Purchase Commitments. </w:t>
      </w:r>
      <w:r>
        <w:rPr>
          <w:rFonts w:ascii="Arial" w:cs="Arial" w:eastAsia="Arial" w:hAnsi="Arial"/>
          <w:sz w:val="18"/>
          <w:szCs w:val="18"/>
          <w:color w:val="000000"/>
        </w:rPr>
        <w:t>The Company had purchase commitments for property, plant and equipment of $119 million as of December 31,</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2025. The Company also had other purchase obligations related to energy and service contracts of $154 million as of December 31, 2025. The Company’s contractual purchase commitments as of December 31, 2025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1240" w:type="dxa"/>
            <w:vAlign w:val="bottom"/>
            <w:shd w:val="clear" w:color="auto" w:fill="007CBA"/>
          </w:tcPr>
          <w:p>
            <w:pPr>
              <w:spacing w:after="0"/>
              <w:rPr>
                <w:sz w:val="17"/>
                <w:szCs w:val="17"/>
                <w:color w:val="auto"/>
              </w:rPr>
            </w:pPr>
          </w:p>
        </w:tc>
        <w:tc>
          <w:tcPr>
            <w:tcW w:w="1260" w:type="dxa"/>
            <w:vAlign w:val="bottom"/>
            <w:shd w:val="clear" w:color="auto" w:fill="007CBA"/>
          </w:tcPr>
          <w:p>
            <w:pPr>
              <w:spacing w:after="0"/>
              <w:rPr>
                <w:sz w:val="17"/>
                <w:szCs w:val="17"/>
                <w:color w:val="auto"/>
              </w:rPr>
            </w:pPr>
          </w:p>
        </w:tc>
      </w:tr>
      <w:tr>
        <w:trPr>
          <w:trHeight w:val="203"/>
        </w:trPr>
        <w:tc>
          <w:tcPr>
            <w:tcW w:w="87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2026</w:t>
            </w:r>
          </w:p>
        </w:tc>
        <w:tc>
          <w:tcPr>
            <w:tcW w:w="124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874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2027</w:t>
            </w:r>
          </w:p>
        </w:tc>
        <w:tc>
          <w:tcPr>
            <w:tcW w:w="124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7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2028</w:t>
            </w:r>
          </w:p>
        </w:tc>
        <w:tc>
          <w:tcPr>
            <w:tcW w:w="12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74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2029</w:t>
            </w:r>
          </w:p>
        </w:tc>
        <w:tc>
          <w:tcPr>
            <w:tcW w:w="1240" w:type="dxa"/>
            <w:vAlign w:val="bottom"/>
            <w:shd w:val="clear" w:color="auto" w:fill="E5F1F8"/>
          </w:tcPr>
          <w:p>
            <w:pPr>
              <w:spacing w:after="0"/>
              <w:rPr>
                <w:sz w:val="17"/>
                <w:szCs w:val="17"/>
                <w:color w:val="auto"/>
              </w:rPr>
            </w:pPr>
          </w:p>
        </w:tc>
        <w:tc>
          <w:tcPr>
            <w:tcW w:w="126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11</w:t>
            </w:r>
          </w:p>
        </w:tc>
      </w:tr>
      <w:tr>
        <w:trPr>
          <w:trHeight w:val="203"/>
        </w:trPr>
        <w:tc>
          <w:tcPr>
            <w:tcW w:w="87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2030</w:t>
            </w:r>
          </w:p>
        </w:tc>
        <w:tc>
          <w:tcPr>
            <w:tcW w:w="12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r>
      <w:tr>
        <w:trPr>
          <w:trHeight w:val="203"/>
        </w:trPr>
        <w:tc>
          <w:tcPr>
            <w:tcW w:w="8740" w:type="dxa"/>
            <w:vAlign w:val="bottom"/>
            <w:tcBorders>
              <w:bottom w:val="single" w:sz="8" w:color="auto"/>
              <w:right w:val="single" w:sz="8" w:color="E5F1F8"/>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auto"/>
            </w:tcBorders>
            <w:shd w:val="clear" w:color="auto" w:fill="E5F1F8"/>
          </w:tcPr>
          <w:p>
            <w:pPr>
              <w:spacing w:after="0"/>
              <w:rPr>
                <w:sz w:val="17"/>
                <w:szCs w:val="17"/>
                <w:color w:val="auto"/>
              </w:rPr>
            </w:pPr>
          </w:p>
        </w:tc>
        <w:tc>
          <w:tcPr>
            <w:tcW w:w="126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32</w:t>
            </w:r>
          </w:p>
        </w:tc>
      </w:tr>
      <w:tr>
        <w:trPr>
          <w:trHeight w:val="196"/>
        </w:trPr>
        <w:tc>
          <w:tcPr>
            <w:tcW w:w="87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273</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-303530</wp:posOffset>
            </wp:positionV>
            <wp:extent cx="33655" cy="3168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 the total contractual purchase commitments, $14 million was for the Company's Texas cement business and related ready mixed concrete operations that are classified as assets held for sale as of December 31, 2025.</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expenditures in 2025, 2024 and 2023 that were purchase commitments as of the prior year end were $150 million, $139 million and $111 million, respectively.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Contracts of Affreightment and Royalty Commitments. </w:t>
      </w:r>
      <w:r>
        <w:rPr>
          <w:rFonts w:ascii="Arial" w:cs="Arial" w:eastAsia="Arial" w:hAnsi="Arial"/>
          <w:sz w:val="18"/>
          <w:szCs w:val="18"/>
          <w:color w:val="000000"/>
        </w:rPr>
        <w:t>Future minimum contracts of affreightment and royalty commitments for all</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noncancelable agreements that are not accounted for as leases on the Company’s consolidated balance sheet as of December 31, 2025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Borders>
              <w:right w:val="single" w:sz="8" w:color="007CBA"/>
            </w:tcBorders>
            <w:shd w:val="clear" w:color="auto" w:fill="007CBA"/>
          </w:tcPr>
          <w:p>
            <w:pPr>
              <w:spacing w:after="0"/>
              <w:rPr>
                <w:sz w:val="18"/>
                <w:szCs w:val="18"/>
                <w:color w:val="auto"/>
              </w:rPr>
            </w:pPr>
          </w:p>
        </w:tc>
        <w:tc>
          <w:tcPr>
            <w:tcW w:w="1720" w:type="dxa"/>
            <w:vAlign w:val="bottom"/>
            <w:shd w:val="clear" w:color="auto" w:fill="007CBA"/>
          </w:tcPr>
          <w:p>
            <w:pPr>
              <w:jc w:val="right"/>
              <w:ind w:right="30"/>
              <w:spacing w:after="0"/>
              <w:rPr>
                <w:sz w:val="20"/>
                <w:szCs w:val="20"/>
                <w:color w:val="auto"/>
              </w:rPr>
            </w:pPr>
            <w:r>
              <w:rPr>
                <w:rFonts w:ascii="Arial" w:cs="Arial" w:eastAsia="Arial" w:hAnsi="Arial"/>
                <w:sz w:val="18"/>
                <w:szCs w:val="18"/>
                <w:b w:val="1"/>
                <w:bCs w:val="1"/>
                <w:color w:val="FFFFFF"/>
              </w:rPr>
              <w:t>Contracts of</w:t>
            </w:r>
          </w:p>
        </w:tc>
        <w:tc>
          <w:tcPr>
            <w:tcW w:w="36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620" w:type="dxa"/>
            <w:vAlign w:val="bottom"/>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Royalty</w:t>
            </w:r>
          </w:p>
        </w:tc>
      </w:tr>
      <w:tr>
        <w:trPr>
          <w:trHeight w:val="235"/>
        </w:trPr>
        <w:tc>
          <w:tcPr>
            <w:tcW w:w="71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8"/>
                <w:szCs w:val="18"/>
                <w:color w:val="FFFFFF"/>
              </w:rPr>
              <w:t>(in millions)</w:t>
            </w:r>
          </w:p>
        </w:tc>
        <w:tc>
          <w:tcPr>
            <w:tcW w:w="172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Affreightment</w:t>
            </w:r>
          </w:p>
        </w:tc>
        <w:tc>
          <w:tcPr>
            <w:tcW w:w="360" w:type="dxa"/>
            <w:vAlign w:val="bottom"/>
            <w:tcBorders>
              <w:right w:val="single" w:sz="8" w:color="007CBA"/>
            </w:tcBorders>
            <w:shd w:val="clear" w:color="auto" w:fill="007CBA"/>
          </w:tcPr>
          <w:p>
            <w:pPr>
              <w:spacing w:after="0"/>
              <w:rPr>
                <w:sz w:val="20"/>
                <w:szCs w:val="20"/>
                <w:color w:val="auto"/>
              </w:rPr>
            </w:pPr>
          </w:p>
        </w:tc>
        <w:tc>
          <w:tcPr>
            <w:tcW w:w="40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270"/>
              <w:spacing w:after="0"/>
              <w:rPr>
                <w:sz w:val="20"/>
                <w:szCs w:val="20"/>
                <w:color w:val="auto"/>
              </w:rPr>
            </w:pPr>
            <w:r>
              <w:rPr>
                <w:rFonts w:ascii="Arial" w:cs="Arial" w:eastAsia="Arial" w:hAnsi="Arial"/>
                <w:sz w:val="18"/>
                <w:szCs w:val="18"/>
                <w:b w:val="1"/>
                <w:bCs w:val="1"/>
                <w:color w:val="FFFFFF"/>
              </w:rPr>
              <w:t>Commitments</w:t>
            </w:r>
          </w:p>
        </w:tc>
      </w:tr>
      <w:tr>
        <w:trPr>
          <w:trHeight w:val="203"/>
        </w:trPr>
        <w:tc>
          <w:tcPr>
            <w:tcW w:w="71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2026</w:t>
            </w:r>
          </w:p>
        </w:tc>
        <w:tc>
          <w:tcPr>
            <w:tcW w:w="1720" w:type="dxa"/>
            <w:vAlign w:val="bottom"/>
          </w:tcPr>
          <w:p>
            <w:pPr>
              <w:jc w:val="right"/>
              <w:ind w:right="129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203"/>
        </w:trPr>
        <w:tc>
          <w:tcPr>
            <w:tcW w:w="714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2027</w:t>
            </w:r>
          </w:p>
        </w:tc>
        <w:tc>
          <w:tcPr>
            <w:tcW w:w="1720" w:type="dxa"/>
            <w:vAlign w:val="bottom"/>
            <w:shd w:val="clear" w:color="auto" w:fill="E5F1F8"/>
          </w:tcPr>
          <w:p>
            <w:pPr>
              <w:spacing w:after="0"/>
              <w:rPr>
                <w:sz w:val="17"/>
                <w:szCs w:val="17"/>
                <w:color w:val="auto"/>
              </w:rPr>
            </w:pPr>
          </w:p>
        </w:tc>
        <w:tc>
          <w:tcPr>
            <w:tcW w:w="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18</w:t>
            </w:r>
          </w:p>
        </w:tc>
        <w:tc>
          <w:tcPr>
            <w:tcW w:w="400" w:type="dxa"/>
            <w:vAlign w:val="bottom"/>
            <w:shd w:val="clear" w:color="auto" w:fill="E5F1F8"/>
          </w:tcPr>
          <w:p>
            <w:pPr>
              <w:spacing w:after="0"/>
              <w:rPr>
                <w:sz w:val="17"/>
                <w:szCs w:val="17"/>
                <w:color w:val="auto"/>
              </w:rPr>
            </w:pPr>
          </w:p>
        </w:tc>
        <w:tc>
          <w:tcPr>
            <w:tcW w:w="16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203"/>
        </w:trPr>
        <w:tc>
          <w:tcPr>
            <w:tcW w:w="71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2028</w:t>
            </w:r>
          </w:p>
        </w:tc>
        <w:tc>
          <w:tcPr>
            <w:tcW w:w="1720" w:type="dxa"/>
            <w:vAlign w:val="bottom"/>
          </w:tcPr>
          <w:p>
            <w:pPr>
              <w:spacing w:after="0"/>
              <w:rPr>
                <w:sz w:val="17"/>
                <w:szCs w:val="17"/>
                <w:color w:val="auto"/>
              </w:rPr>
            </w:pPr>
          </w:p>
        </w:tc>
        <w:tc>
          <w:tcPr>
            <w:tcW w:w="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140" w:type="dxa"/>
            <w:vAlign w:val="bottom"/>
            <w:tcBorders>
              <w:right w:val="single" w:sz="8" w:color="007CBA"/>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2029</w:t>
            </w:r>
          </w:p>
        </w:tc>
        <w:tc>
          <w:tcPr>
            <w:tcW w:w="1720" w:type="dxa"/>
            <w:vAlign w:val="bottom"/>
            <w:shd w:val="clear" w:color="auto" w:fill="E5F1F8"/>
          </w:tcPr>
          <w:p>
            <w:pPr>
              <w:spacing w:after="0"/>
              <w:rPr>
                <w:sz w:val="17"/>
                <w:szCs w:val="17"/>
                <w:color w:val="auto"/>
              </w:rPr>
            </w:pPr>
          </w:p>
        </w:tc>
        <w:tc>
          <w:tcPr>
            <w:tcW w:w="36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F1F8"/>
          </w:tcPr>
          <w:p>
            <w:pPr>
              <w:spacing w:after="0"/>
              <w:rPr>
                <w:sz w:val="17"/>
                <w:szCs w:val="17"/>
                <w:color w:val="auto"/>
              </w:rPr>
            </w:pPr>
          </w:p>
        </w:tc>
        <w:tc>
          <w:tcPr>
            <w:tcW w:w="1620" w:type="dxa"/>
            <w:vAlign w:val="bottom"/>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140" w:type="dxa"/>
            <w:vAlign w:val="bottom"/>
            <w:tcBorders>
              <w:right w:val="single" w:sz="8" w:color="007CBA"/>
            </w:tcBorders>
          </w:tcPr>
          <w:p>
            <w:pPr>
              <w:ind w:left="80"/>
              <w:spacing w:after="0" w:line="202" w:lineRule="exact"/>
              <w:rPr>
                <w:sz w:val="20"/>
                <w:szCs w:val="20"/>
                <w:color w:val="auto"/>
              </w:rPr>
            </w:pPr>
            <w:r>
              <w:rPr>
                <w:rFonts w:ascii="Arial" w:cs="Arial" w:eastAsia="Arial" w:hAnsi="Arial"/>
                <w:sz w:val="18"/>
                <w:szCs w:val="18"/>
                <w:color w:val="auto"/>
              </w:rPr>
              <w:t>2030</w:t>
            </w:r>
          </w:p>
        </w:tc>
        <w:tc>
          <w:tcPr>
            <w:tcW w:w="1720" w:type="dxa"/>
            <w:vAlign w:val="bottom"/>
          </w:tcPr>
          <w:p>
            <w:pPr>
              <w:spacing w:after="0"/>
              <w:rPr>
                <w:sz w:val="17"/>
                <w:szCs w:val="17"/>
                <w:color w:val="auto"/>
              </w:rPr>
            </w:pPr>
          </w:p>
        </w:tc>
        <w:tc>
          <w:tcPr>
            <w:tcW w:w="3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140" w:type="dxa"/>
            <w:vAlign w:val="bottom"/>
            <w:tcBorders>
              <w:bottom w:val="single" w:sz="8" w:color="auto"/>
              <w:right w:val="single" w:sz="8" w:color="E5F1F8"/>
            </w:tcBorders>
            <w:shd w:val="clear" w:color="auto" w:fill="E5F1F8"/>
          </w:tcPr>
          <w:p>
            <w:pPr>
              <w:ind w:left="80"/>
              <w:spacing w:after="0" w:line="202" w:lineRule="exact"/>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auto"/>
            </w:tcBorders>
            <w:shd w:val="clear" w:color="auto" w:fill="E5F1F8"/>
          </w:tcPr>
          <w:p>
            <w:pPr>
              <w:spacing w:after="0"/>
              <w:rPr>
                <w:sz w:val="17"/>
                <w:szCs w:val="17"/>
                <w:color w:val="auto"/>
              </w:rPr>
            </w:pPr>
          </w:p>
        </w:tc>
        <w:tc>
          <w:tcPr>
            <w:tcW w:w="3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F1F8"/>
          </w:tcPr>
          <w:p>
            <w:pPr>
              <w:spacing w:after="0"/>
              <w:rPr>
                <w:sz w:val="17"/>
                <w:szCs w:val="17"/>
                <w:color w:val="auto"/>
              </w:rPr>
            </w:pPr>
          </w:p>
        </w:tc>
        <w:tc>
          <w:tcPr>
            <w:tcW w:w="162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81</w:t>
            </w:r>
          </w:p>
        </w:tc>
      </w:tr>
      <w:tr>
        <w:trPr>
          <w:trHeight w:val="196"/>
        </w:trPr>
        <w:tc>
          <w:tcPr>
            <w:tcW w:w="71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12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169</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371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-303530</wp:posOffset>
            </wp:positionV>
            <wp:extent cx="33655" cy="3168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-303530</wp:posOffset>
            </wp:positionV>
            <wp:extent cx="33655" cy="3168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4EAD8A"/>
        </w:rPr>
        <w:t xml:space="preserve">Employees. </w:t>
      </w:r>
      <w:r>
        <w:rPr>
          <w:rFonts w:ascii="Arial" w:cs="Arial" w:eastAsia="Arial" w:hAnsi="Arial"/>
          <w:sz w:val="18"/>
          <w:szCs w:val="18"/>
          <w:color w:val="000000"/>
        </w:rPr>
        <w:t>As of December 31, 2025, approximately 13% of the Company’s employees are represented by a labor union. All such</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employees are hourly employees. The Company maintains collective bargaining agreements relating to the union employees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32385</wp:posOffset>
            </wp:positionV>
            <wp:extent cx="325755" cy="1968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4" w:name="page105"/>
    <w:bookmarkEnd w:id="104"/>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Building Materials business and Specialties segment. Within the Specialties segment, 59% of hourly employees are represented by labor unions. The Company’s principal union contracts for the Specialties segment cover employees at the Manistee, Michigan, magnesia-based chemicals plant, the Woodville, Ohio, lime plant and the Gabbs, Nevada, magnesia mine and processing plant. The Woodville, Manistee and Gabbs collective bargaining agreements expire in June 2026, August 2027 and June 2028,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O: Segments</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the Building Materials business is comprised of four divisions that represent individual operating segments. These operating segments are consolidated into two reportable segments, the East Group and the West Group, for financial reporting purposes, as they meet the aggregation criteria. The Specialties business represents an individual operating and reportable segment. The accounting policies used for segment reporting are the same as those described in Note A.</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Chief Operating Decision Maker (CODM) is the Chair, President and Chief Executive Officer. The CODM reviews results by reportable segment on a quarterly basis and allocates resources to achieve the Company’s strategic objectives based on an evaluation of each reportable segment’s performance. This evaluation is largely based on segment earnings from operations, as management believes this is the best metric of segment profitability and operating performance. Segment earnings from operations is also a measure in the determination of incentive compensation targets and awards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Segment earnings from operations include revenues less cost of revenues; selling, general and administrative expenses; other operating income and expenses, net; and exclude interest income and expense; other nonoperating income and expenses, net; and income tax expense. The significant expense categories shown below align with the segment-level information regularly provided to the CODM. Other costs of revenues for each reportable segment include mainly repairs and maintenance, contract services, supplies and royalties.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Corporate loss from operations primarily includes depreciation and amortization of corporate assets; expenses for corporate administrative functions; acquisition, divestiture and integration expenses; and other nonrecurring income and expenses not attributable to operations of the Company's other operating segments.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Earnings from operations for the West Group included an asset and portfolio rationalization charge of $21 million (see note R) in 2025; a $1.3 billion gain and $16 million of transaction expenses in 2024 and $6 million of transaction expenses in 2023 on the divestiture of the South Texas cement business and certain of its related ready mixed concrete operations (see Note B); and an asset and portfolio rationalization charge of $50 million (see Note R) in 2024.</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tables display selected financial data for the Company’s reportable segments and reflect continuing operations only. Revenues, as presented on the consolidated statements of earnings, reflect the elimination of intersegment revenues, which represent sales from one segment to another segment and are immaterial. Income tax expense is not allocated to the Company's reportable segments.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Borders>
              <w:right w:val="single" w:sz="8" w:color="007CBA"/>
            </w:tcBorders>
            <w:shd w:val="clear" w:color="auto" w:fill="007CBA"/>
          </w:tcPr>
          <w:p>
            <w:pPr>
              <w:spacing w:after="0"/>
              <w:rPr>
                <w:sz w:val="16"/>
                <w:szCs w:val="16"/>
                <w:color w:val="auto"/>
              </w:rPr>
            </w:pPr>
          </w:p>
        </w:tc>
        <w:tc>
          <w:tcPr>
            <w:tcW w:w="440" w:type="dxa"/>
            <w:vAlign w:val="bottom"/>
            <w:shd w:val="clear" w:color="auto" w:fill="007CBA"/>
          </w:tcPr>
          <w:p>
            <w:pPr>
              <w:spacing w:after="0"/>
              <w:rPr>
                <w:sz w:val="16"/>
                <w:szCs w:val="16"/>
                <w:color w:val="auto"/>
              </w:rPr>
            </w:pPr>
          </w:p>
        </w:tc>
        <w:tc>
          <w:tcPr>
            <w:tcW w:w="760" w:type="dxa"/>
            <w:vAlign w:val="bottom"/>
            <w:tcBorders>
              <w:right w:val="single" w:sz="8" w:color="007CBA"/>
            </w:tcBorders>
            <w:shd w:val="clear" w:color="auto" w:fill="007CBA"/>
          </w:tcPr>
          <w:p>
            <w:pPr>
              <w:spacing w:after="0"/>
              <w:rPr>
                <w:sz w:val="16"/>
                <w:szCs w:val="16"/>
                <w:color w:val="auto"/>
              </w:rPr>
            </w:pPr>
          </w:p>
        </w:tc>
        <w:tc>
          <w:tcPr>
            <w:tcW w:w="440" w:type="dxa"/>
            <w:vAlign w:val="bottom"/>
            <w:shd w:val="clear" w:color="auto" w:fill="007CBA"/>
          </w:tcPr>
          <w:p>
            <w:pPr>
              <w:spacing w:after="0"/>
              <w:rPr>
                <w:sz w:val="16"/>
                <w:szCs w:val="16"/>
                <w:color w:val="auto"/>
              </w:rPr>
            </w:pPr>
          </w:p>
        </w:tc>
        <w:tc>
          <w:tcPr>
            <w:tcW w:w="760" w:type="dxa"/>
            <w:vAlign w:val="bottom"/>
            <w:tcBorders>
              <w:right w:val="single" w:sz="8" w:color="007CBA"/>
            </w:tcBorders>
            <w:shd w:val="clear" w:color="auto" w:fill="007CBA"/>
          </w:tcPr>
          <w:p>
            <w:pPr>
              <w:spacing w:after="0"/>
              <w:rPr>
                <w:sz w:val="16"/>
                <w:szCs w:val="16"/>
                <w:color w:val="auto"/>
              </w:rPr>
            </w:pPr>
          </w:p>
        </w:tc>
        <w:tc>
          <w:tcPr>
            <w:tcW w:w="48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90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Total</w:t>
            </w:r>
          </w:p>
        </w:tc>
        <w:tc>
          <w:tcPr>
            <w:tcW w:w="440" w:type="dxa"/>
            <w:vAlign w:val="bottom"/>
            <w:shd w:val="clear" w:color="auto" w:fill="007CBA"/>
          </w:tcPr>
          <w:p>
            <w:pPr>
              <w:spacing w:after="0"/>
              <w:rPr>
                <w:sz w:val="16"/>
                <w:szCs w:val="16"/>
                <w:color w:val="auto"/>
              </w:rPr>
            </w:pPr>
          </w:p>
        </w:tc>
        <w:tc>
          <w:tcPr>
            <w:tcW w:w="70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40" w:type="dxa"/>
            <w:vAlign w:val="bottom"/>
            <w:shd w:val="clear" w:color="auto" w:fill="007CBA"/>
          </w:tcPr>
          <w:p>
            <w:pPr>
              <w:spacing w:after="0"/>
              <w:rPr>
                <w:sz w:val="16"/>
                <w:szCs w:val="16"/>
                <w:color w:val="auto"/>
              </w:rPr>
            </w:pPr>
          </w:p>
        </w:tc>
      </w:tr>
      <w:tr>
        <w:trPr>
          <w:trHeight w:val="189"/>
        </w:trPr>
        <w:tc>
          <w:tcPr>
            <w:tcW w:w="426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i w:val="1"/>
                <w:iCs w:val="1"/>
                <w:color w:val="FFFFFF"/>
              </w:rPr>
              <w:t>year ended December 31, 2025</w:t>
            </w:r>
          </w:p>
        </w:tc>
        <w:tc>
          <w:tcPr>
            <w:tcW w:w="440" w:type="dxa"/>
            <w:vAlign w:val="bottom"/>
            <w:shd w:val="clear" w:color="auto" w:fill="007CBA"/>
          </w:tcPr>
          <w:p>
            <w:pPr>
              <w:spacing w:after="0"/>
              <w:rPr>
                <w:sz w:val="16"/>
                <w:szCs w:val="16"/>
                <w:color w:val="auto"/>
              </w:rPr>
            </w:pPr>
          </w:p>
        </w:tc>
        <w:tc>
          <w:tcPr>
            <w:tcW w:w="760" w:type="dxa"/>
            <w:vAlign w:val="bottom"/>
            <w:tcBorders>
              <w:right w:val="single" w:sz="8" w:color="007CBA"/>
            </w:tcBorders>
            <w:shd w:val="clear" w:color="auto" w:fill="007CBA"/>
          </w:tcPr>
          <w:p>
            <w:pPr>
              <w:spacing w:after="0"/>
              <w:rPr>
                <w:sz w:val="16"/>
                <w:szCs w:val="16"/>
                <w:color w:val="auto"/>
              </w:rPr>
            </w:pPr>
          </w:p>
        </w:tc>
        <w:tc>
          <w:tcPr>
            <w:tcW w:w="440" w:type="dxa"/>
            <w:vAlign w:val="bottom"/>
            <w:shd w:val="clear" w:color="auto" w:fill="007CBA"/>
          </w:tcPr>
          <w:p>
            <w:pPr>
              <w:spacing w:after="0"/>
              <w:rPr>
                <w:sz w:val="16"/>
                <w:szCs w:val="16"/>
                <w:color w:val="auto"/>
              </w:rPr>
            </w:pPr>
          </w:p>
        </w:tc>
        <w:tc>
          <w:tcPr>
            <w:tcW w:w="760" w:type="dxa"/>
            <w:vAlign w:val="bottom"/>
            <w:tcBorders>
              <w:right w:val="single" w:sz="8" w:color="007CBA"/>
            </w:tcBorders>
            <w:shd w:val="clear" w:color="auto" w:fill="007CBA"/>
          </w:tcPr>
          <w:p>
            <w:pPr>
              <w:spacing w:after="0"/>
              <w:rPr>
                <w:sz w:val="16"/>
                <w:szCs w:val="16"/>
                <w:color w:val="auto"/>
              </w:rPr>
            </w:pPr>
          </w:p>
        </w:tc>
        <w:tc>
          <w:tcPr>
            <w:tcW w:w="48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18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6"/>
                <w:szCs w:val="16"/>
                <w:b w:val="1"/>
                <w:bCs w:val="1"/>
                <w:color w:val="FFFFFF"/>
              </w:rPr>
              <w:t>Reportable</w:t>
            </w:r>
          </w:p>
        </w:tc>
        <w:tc>
          <w:tcPr>
            <w:tcW w:w="440" w:type="dxa"/>
            <w:vAlign w:val="bottom"/>
            <w:shd w:val="clear" w:color="auto" w:fill="007CBA"/>
          </w:tcPr>
          <w:p>
            <w:pPr>
              <w:spacing w:after="0"/>
              <w:rPr>
                <w:sz w:val="16"/>
                <w:szCs w:val="16"/>
                <w:color w:val="auto"/>
              </w:rPr>
            </w:pPr>
          </w:p>
        </w:tc>
        <w:tc>
          <w:tcPr>
            <w:tcW w:w="70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40" w:type="dxa"/>
            <w:vAlign w:val="bottom"/>
            <w:shd w:val="clear" w:color="auto" w:fill="007CBA"/>
          </w:tcPr>
          <w:p>
            <w:pPr>
              <w:spacing w:after="0"/>
              <w:rPr>
                <w:sz w:val="16"/>
                <w:szCs w:val="16"/>
                <w:color w:val="auto"/>
              </w:rPr>
            </w:pPr>
          </w:p>
        </w:tc>
      </w:tr>
      <w:tr>
        <w:trPr>
          <w:trHeight w:val="203"/>
        </w:trPr>
        <w:tc>
          <w:tcPr>
            <w:tcW w:w="426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color w:val="FFFFFF"/>
              </w:rPr>
              <w:t>(in millions)</w:t>
            </w:r>
          </w:p>
        </w:tc>
        <w:tc>
          <w:tcPr>
            <w:tcW w:w="1200" w:type="dxa"/>
            <w:vAlign w:val="bottom"/>
            <w:tcBorders>
              <w:right w:val="single" w:sz="8" w:color="007CBA"/>
            </w:tcBorders>
            <w:gridSpan w:val="2"/>
            <w:shd w:val="clear" w:color="auto" w:fill="007CBA"/>
          </w:tcPr>
          <w:p>
            <w:pPr>
              <w:jc w:val="right"/>
              <w:ind w:right="79"/>
              <w:spacing w:after="0"/>
              <w:rPr>
                <w:sz w:val="20"/>
                <w:szCs w:val="20"/>
                <w:color w:val="auto"/>
              </w:rPr>
            </w:pPr>
            <w:r>
              <w:rPr>
                <w:rFonts w:ascii="Arial" w:cs="Arial" w:eastAsia="Arial" w:hAnsi="Arial"/>
                <w:sz w:val="16"/>
                <w:szCs w:val="16"/>
                <w:b w:val="1"/>
                <w:bCs w:val="1"/>
                <w:color w:val="FFFFFF"/>
              </w:rPr>
              <w:t>East Group</w:t>
            </w:r>
          </w:p>
        </w:tc>
        <w:tc>
          <w:tcPr>
            <w:tcW w:w="120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6"/>
                <w:szCs w:val="16"/>
                <w:b w:val="1"/>
                <w:bCs w:val="1"/>
                <w:color w:val="FFFFFF"/>
              </w:rPr>
              <w:t>West Group</w:t>
            </w:r>
          </w:p>
        </w:tc>
        <w:tc>
          <w:tcPr>
            <w:tcW w:w="114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6"/>
                <w:szCs w:val="16"/>
                <w:b w:val="1"/>
                <w:bCs w:val="1"/>
                <w:color w:val="FFFFFF"/>
              </w:rPr>
              <w:t>Specialties</w:t>
            </w:r>
          </w:p>
        </w:tc>
        <w:tc>
          <w:tcPr>
            <w:tcW w:w="1180" w:type="dxa"/>
            <w:vAlign w:val="bottom"/>
            <w:tcBorders>
              <w:right w:val="single" w:sz="8" w:color="007CBA"/>
            </w:tcBorders>
            <w:gridSpan w:val="2"/>
            <w:shd w:val="clear" w:color="auto" w:fill="007CBA"/>
          </w:tcPr>
          <w:p>
            <w:pPr>
              <w:jc w:val="right"/>
              <w:ind w:right="119"/>
              <w:spacing w:after="0"/>
              <w:rPr>
                <w:sz w:val="20"/>
                <w:szCs w:val="20"/>
                <w:color w:val="auto"/>
              </w:rPr>
            </w:pPr>
            <w:r>
              <w:rPr>
                <w:rFonts w:ascii="Arial" w:cs="Arial" w:eastAsia="Arial" w:hAnsi="Arial"/>
                <w:sz w:val="16"/>
                <w:szCs w:val="16"/>
                <w:b w:val="1"/>
                <w:bCs w:val="1"/>
                <w:color w:val="FFFFFF"/>
              </w:rPr>
              <w:t>Segments</w:t>
            </w:r>
          </w:p>
        </w:tc>
        <w:tc>
          <w:tcPr>
            <w:tcW w:w="1140" w:type="dxa"/>
            <w:vAlign w:val="bottom"/>
            <w:tcBorders>
              <w:right w:val="single" w:sz="8" w:color="007CBA"/>
            </w:tcBorders>
            <w:gridSpan w:val="2"/>
            <w:shd w:val="clear" w:color="auto" w:fill="007CBA"/>
          </w:tcPr>
          <w:p>
            <w:pPr>
              <w:jc w:val="right"/>
              <w:ind w:right="99"/>
              <w:spacing w:after="0"/>
              <w:rPr>
                <w:sz w:val="20"/>
                <w:szCs w:val="20"/>
                <w:color w:val="auto"/>
              </w:rPr>
            </w:pPr>
            <w:r>
              <w:rPr>
                <w:rFonts w:ascii="Arial" w:cs="Arial" w:eastAsia="Arial" w:hAnsi="Arial"/>
                <w:sz w:val="16"/>
                <w:szCs w:val="16"/>
                <w:b w:val="1"/>
                <w:bCs w:val="1"/>
                <w:color w:val="FFFFFF"/>
              </w:rPr>
              <w:t>Corporate</w:t>
            </w:r>
          </w:p>
        </w:tc>
        <w:tc>
          <w:tcPr>
            <w:tcW w:w="280" w:type="dxa"/>
            <w:vAlign w:val="bottom"/>
            <w:shd w:val="clear" w:color="auto" w:fill="007CBA"/>
          </w:tcPr>
          <w:p>
            <w:pPr>
              <w:spacing w:after="0"/>
              <w:rPr>
                <w:sz w:val="17"/>
                <w:szCs w:val="17"/>
                <w:color w:val="auto"/>
              </w:rPr>
            </w:pPr>
          </w:p>
        </w:tc>
        <w:tc>
          <w:tcPr>
            <w:tcW w:w="840" w:type="dxa"/>
            <w:vAlign w:val="bottom"/>
            <w:shd w:val="clear" w:color="auto" w:fill="007CBA"/>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189"/>
        </w:trPr>
        <w:tc>
          <w:tcPr>
            <w:tcW w:w="426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Segment Revenues</w:t>
            </w:r>
          </w:p>
        </w:tc>
        <w:tc>
          <w:tcPr>
            <w:tcW w:w="4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3,194</w:t>
            </w:r>
          </w:p>
        </w:tc>
        <w:tc>
          <w:tcPr>
            <w:tcW w:w="44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2,515</w:t>
            </w:r>
          </w:p>
        </w:tc>
        <w:tc>
          <w:tcPr>
            <w:tcW w:w="4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441</w:t>
            </w:r>
          </w:p>
        </w:tc>
        <w:tc>
          <w:tcPr>
            <w:tcW w:w="2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6,150</w:t>
            </w:r>
          </w:p>
        </w:tc>
        <w:tc>
          <w:tcPr>
            <w:tcW w:w="4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6,150</w:t>
            </w:r>
          </w:p>
        </w:tc>
      </w:tr>
      <w:tr>
        <w:trPr>
          <w:trHeight w:val="189"/>
        </w:trPr>
        <w:tc>
          <w:tcPr>
            <w:tcW w:w="426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Less:</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spacing w:after="0"/>
              <w:rPr>
                <w:sz w:val="16"/>
                <w:szCs w:val="16"/>
                <w:color w:val="auto"/>
              </w:rPr>
            </w:pPr>
          </w:p>
        </w:tc>
        <w:tc>
          <w:tcPr>
            <w:tcW w:w="48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900" w:type="dxa"/>
            <w:vAlign w:val="bottom"/>
            <w:tcBorders>
              <w:right w:val="single" w:sz="8" w:color="007CBA"/>
            </w:tcBorders>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189"/>
        </w:trPr>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417</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300</w:t>
            </w:r>
          </w:p>
        </w:tc>
        <w:tc>
          <w:tcPr>
            <w:tcW w:w="48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59</w:t>
            </w:r>
          </w:p>
        </w:tc>
        <w:tc>
          <w:tcPr>
            <w:tcW w:w="280" w:type="dxa"/>
            <w:vAlign w:val="bottom"/>
          </w:tcPr>
          <w:p>
            <w:pPr>
              <w:spacing w:after="0"/>
              <w:rPr>
                <w:sz w:val="16"/>
                <w:szCs w:val="16"/>
                <w:color w:val="auto"/>
              </w:rPr>
            </w:pPr>
          </w:p>
        </w:tc>
        <w:tc>
          <w:tcPr>
            <w:tcW w:w="9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776</w:t>
            </w:r>
          </w:p>
        </w:tc>
        <w:tc>
          <w:tcPr>
            <w:tcW w:w="440" w:type="dxa"/>
            <w:vAlign w:val="bottom"/>
          </w:tcPr>
          <w:p>
            <w:pPr>
              <w:spacing w:after="0"/>
              <w:rPr>
                <w:sz w:val="16"/>
                <w:szCs w:val="16"/>
                <w:color w:val="auto"/>
              </w:rPr>
            </w:pPr>
          </w:p>
        </w:tc>
        <w:tc>
          <w:tcPr>
            <w:tcW w:w="7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779</w:t>
            </w:r>
          </w:p>
        </w:tc>
      </w:tr>
      <w:tr>
        <w:trPr>
          <w:trHeight w:val="189"/>
        </w:trPr>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Raw materials expense</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89</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128</w:t>
            </w:r>
          </w:p>
        </w:tc>
        <w:tc>
          <w:tcPr>
            <w:tcW w:w="48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26</w:t>
            </w:r>
          </w:p>
        </w:tc>
        <w:tc>
          <w:tcPr>
            <w:tcW w:w="280" w:type="dxa"/>
            <w:vAlign w:val="bottom"/>
            <w:shd w:val="clear" w:color="auto" w:fill="E5F1F8"/>
          </w:tcPr>
          <w:p>
            <w:pPr>
              <w:spacing w:after="0"/>
              <w:rPr>
                <w:sz w:val="16"/>
                <w:szCs w:val="16"/>
                <w:color w:val="auto"/>
              </w:rPr>
            </w:pPr>
          </w:p>
        </w:tc>
        <w:tc>
          <w:tcPr>
            <w:tcW w:w="9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243</w:t>
            </w:r>
          </w:p>
        </w:tc>
        <w:tc>
          <w:tcPr>
            <w:tcW w:w="44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243</w:t>
            </w:r>
          </w:p>
        </w:tc>
      </w:tr>
      <w:tr>
        <w:trPr>
          <w:trHeight w:val="189"/>
        </w:trPr>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Depreciation, depletion and amortization expense</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314</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212</w:t>
            </w:r>
          </w:p>
        </w:tc>
        <w:tc>
          <w:tcPr>
            <w:tcW w:w="48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6"/>
                <w:szCs w:val="16"/>
                <w:color w:val="auto"/>
              </w:rPr>
            </w:pPr>
          </w:p>
        </w:tc>
        <w:tc>
          <w:tcPr>
            <w:tcW w:w="9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552</w:t>
            </w:r>
          </w:p>
        </w:tc>
        <w:tc>
          <w:tcPr>
            <w:tcW w:w="440" w:type="dxa"/>
            <w:vAlign w:val="bottom"/>
          </w:tcPr>
          <w:p>
            <w:pPr>
              <w:spacing w:after="0"/>
              <w:rPr>
                <w:sz w:val="16"/>
                <w:szCs w:val="16"/>
                <w:color w:val="auto"/>
              </w:rPr>
            </w:pPr>
          </w:p>
        </w:tc>
        <w:tc>
          <w:tcPr>
            <w:tcW w:w="7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555</w:t>
            </w:r>
          </w:p>
        </w:tc>
      </w:tr>
      <w:tr>
        <w:trPr>
          <w:trHeight w:val="189"/>
        </w:trPr>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146</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103</w:t>
            </w:r>
          </w:p>
        </w:tc>
        <w:tc>
          <w:tcPr>
            <w:tcW w:w="48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36</w:t>
            </w:r>
          </w:p>
        </w:tc>
        <w:tc>
          <w:tcPr>
            <w:tcW w:w="280" w:type="dxa"/>
            <w:vAlign w:val="bottom"/>
            <w:shd w:val="clear" w:color="auto" w:fill="E5F1F8"/>
          </w:tcPr>
          <w:p>
            <w:pPr>
              <w:spacing w:after="0"/>
              <w:rPr>
                <w:sz w:val="16"/>
                <w:szCs w:val="16"/>
                <w:color w:val="auto"/>
              </w:rPr>
            </w:pPr>
          </w:p>
        </w:tc>
        <w:tc>
          <w:tcPr>
            <w:tcW w:w="9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285</w:t>
            </w:r>
          </w:p>
        </w:tc>
        <w:tc>
          <w:tcPr>
            <w:tcW w:w="44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285</w:t>
            </w:r>
          </w:p>
        </w:tc>
      </w:tr>
      <w:tr>
        <w:trPr>
          <w:trHeight w:val="189"/>
        </w:trPr>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114</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234</w:t>
            </w:r>
          </w:p>
        </w:tc>
        <w:tc>
          <w:tcPr>
            <w:tcW w:w="48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39</w:t>
            </w:r>
          </w:p>
        </w:tc>
        <w:tc>
          <w:tcPr>
            <w:tcW w:w="280" w:type="dxa"/>
            <w:vAlign w:val="bottom"/>
          </w:tcPr>
          <w:p>
            <w:pPr>
              <w:spacing w:after="0"/>
              <w:rPr>
                <w:sz w:val="16"/>
                <w:szCs w:val="16"/>
                <w:color w:val="auto"/>
              </w:rPr>
            </w:pPr>
          </w:p>
        </w:tc>
        <w:tc>
          <w:tcPr>
            <w:tcW w:w="9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387</w:t>
            </w:r>
          </w:p>
        </w:tc>
        <w:tc>
          <w:tcPr>
            <w:tcW w:w="440" w:type="dxa"/>
            <w:vAlign w:val="bottom"/>
          </w:tcPr>
          <w:p>
            <w:pPr>
              <w:spacing w:after="0"/>
              <w:rPr>
                <w:sz w:val="16"/>
                <w:szCs w:val="16"/>
                <w:color w:val="auto"/>
              </w:rPr>
            </w:pPr>
          </w:p>
        </w:tc>
        <w:tc>
          <w:tcPr>
            <w:tcW w:w="7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387</w:t>
            </w:r>
          </w:p>
        </w:tc>
      </w:tr>
      <w:tr>
        <w:trPr>
          <w:trHeight w:val="189"/>
        </w:trPr>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962</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915</w:t>
            </w:r>
          </w:p>
        </w:tc>
        <w:tc>
          <w:tcPr>
            <w:tcW w:w="48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118</w:t>
            </w:r>
          </w:p>
        </w:tc>
        <w:tc>
          <w:tcPr>
            <w:tcW w:w="280" w:type="dxa"/>
            <w:vAlign w:val="bottom"/>
            <w:shd w:val="clear" w:color="auto" w:fill="E5F1F8"/>
          </w:tcPr>
          <w:p>
            <w:pPr>
              <w:spacing w:after="0"/>
              <w:rPr>
                <w:sz w:val="16"/>
                <w:szCs w:val="16"/>
                <w:color w:val="auto"/>
              </w:rPr>
            </w:pPr>
          </w:p>
        </w:tc>
        <w:tc>
          <w:tcPr>
            <w:tcW w:w="9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1,995</w:t>
            </w:r>
          </w:p>
        </w:tc>
        <w:tc>
          <w:tcPr>
            <w:tcW w:w="44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17</w:t>
            </w: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2,012</w:t>
            </w:r>
          </w:p>
        </w:tc>
      </w:tr>
      <w:tr>
        <w:trPr>
          <w:trHeight w:val="189"/>
        </w:trPr>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164</w:t>
            </w:r>
          </w:p>
        </w:tc>
        <w:tc>
          <w:tcPr>
            <w:tcW w:w="440" w:type="dxa"/>
            <w:vAlign w:val="bottom"/>
          </w:tcPr>
          <w:p>
            <w:pPr>
              <w:spacing w:after="0"/>
              <w:rPr>
                <w:sz w:val="16"/>
                <w:szCs w:val="16"/>
                <w:color w:val="auto"/>
              </w:rPr>
            </w:pPr>
          </w:p>
        </w:tc>
        <w:tc>
          <w:tcPr>
            <w:tcW w:w="7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147</w:t>
            </w:r>
          </w:p>
        </w:tc>
        <w:tc>
          <w:tcPr>
            <w:tcW w:w="48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27</w:t>
            </w:r>
          </w:p>
        </w:tc>
        <w:tc>
          <w:tcPr>
            <w:tcW w:w="280" w:type="dxa"/>
            <w:vAlign w:val="bottom"/>
          </w:tcPr>
          <w:p>
            <w:pPr>
              <w:spacing w:after="0"/>
              <w:rPr>
                <w:sz w:val="16"/>
                <w:szCs w:val="16"/>
                <w:color w:val="auto"/>
              </w:rPr>
            </w:pPr>
          </w:p>
        </w:tc>
        <w:tc>
          <w:tcPr>
            <w:tcW w:w="9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338</w:t>
            </w:r>
          </w:p>
        </w:tc>
        <w:tc>
          <w:tcPr>
            <w:tcW w:w="440" w:type="dxa"/>
            <w:vAlign w:val="bottom"/>
          </w:tcPr>
          <w:p>
            <w:pPr>
              <w:spacing w:after="0"/>
              <w:rPr>
                <w:sz w:val="16"/>
                <w:szCs w:val="16"/>
                <w:color w:val="auto"/>
              </w:rPr>
            </w:pPr>
          </w:p>
        </w:tc>
        <w:tc>
          <w:tcPr>
            <w:tcW w:w="70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b w:val="1"/>
                <w:bCs w:val="1"/>
                <w:color w:val="auto"/>
              </w:rPr>
              <w:t>105</w:t>
            </w:r>
          </w:p>
        </w:tc>
        <w:tc>
          <w:tcPr>
            <w:tcW w:w="2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443</w:t>
            </w:r>
          </w:p>
        </w:tc>
      </w:tr>
      <w:tr>
        <w:trPr>
          <w:trHeight w:val="189"/>
        </w:trPr>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Acquisition, divestiture and integration expenses</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1F8"/>
          </w:tcPr>
          <w:p>
            <w:pPr>
              <w:spacing w:after="0"/>
              <w:rPr>
                <w:sz w:val="16"/>
                <w:szCs w:val="16"/>
                <w:color w:val="auto"/>
              </w:rPr>
            </w:pPr>
          </w:p>
        </w:tc>
        <w:tc>
          <w:tcPr>
            <w:tcW w:w="9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15</w:t>
            </w: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jc w:val="right"/>
              <w:ind w:right="39"/>
              <w:spacing w:after="0"/>
              <w:rPr>
                <w:sz w:val="20"/>
                <w:szCs w:val="20"/>
                <w:color w:val="auto"/>
              </w:rPr>
            </w:pPr>
            <w:r>
              <w:rPr>
                <w:rFonts w:ascii="Arial" w:cs="Arial" w:eastAsia="Arial" w:hAnsi="Arial"/>
                <w:sz w:val="16"/>
                <w:szCs w:val="16"/>
                <w:b w:val="1"/>
                <w:bCs w:val="1"/>
                <w:color w:val="auto"/>
              </w:rPr>
              <w:t>15</w:t>
            </w:r>
          </w:p>
        </w:tc>
      </w:tr>
      <w:tr>
        <w:trPr>
          <w:trHeight w:val="189"/>
        </w:trPr>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operating (income) expense, net</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183"/>
        </w:trPr>
        <w:tc>
          <w:tcPr>
            <w:tcW w:w="4260" w:type="dxa"/>
            <w:vAlign w:val="bottom"/>
            <w:tcBorders>
              <w:right w:val="single" w:sz="8" w:color="007CBA"/>
            </w:tcBorders>
            <w:shd w:val="clear" w:color="auto" w:fill="E5F1F8"/>
          </w:tcPr>
          <w:p>
            <w:pPr>
              <w:ind w:left="40"/>
              <w:spacing w:after="0" w:line="183" w:lineRule="exact"/>
              <w:rPr>
                <w:sz w:val="20"/>
                <w:szCs w:val="20"/>
                <w:color w:val="auto"/>
              </w:rPr>
            </w:pPr>
            <w:r>
              <w:rPr>
                <w:rFonts w:ascii="Arial" w:cs="Arial" w:eastAsia="Arial" w:hAnsi="Arial"/>
                <w:sz w:val="16"/>
                <w:szCs w:val="16"/>
                <w:b w:val="1"/>
                <w:bCs w:val="1"/>
                <w:color w:val="auto"/>
              </w:rPr>
              <w:t>Segment Earnings (Loss) from Operations</w:t>
            </w:r>
          </w:p>
        </w:tc>
        <w:tc>
          <w:tcPr>
            <w:tcW w:w="440" w:type="dxa"/>
            <w:vAlign w:val="bottom"/>
            <w:shd w:val="clear" w:color="auto" w:fill="E5F1F8"/>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b w:val="1"/>
                <w:bCs w:val="1"/>
                <w:color w:val="auto"/>
              </w:rPr>
              <w:t>992</w:t>
            </w:r>
          </w:p>
        </w:tc>
        <w:tc>
          <w:tcPr>
            <w:tcW w:w="440" w:type="dxa"/>
            <w:vAlign w:val="bottom"/>
            <w:shd w:val="clear" w:color="auto" w:fill="E5F1F8"/>
          </w:tcPr>
          <w:p>
            <w:pPr>
              <w:ind w:left="14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b w:val="1"/>
                <w:bCs w:val="1"/>
                <w:color w:val="auto"/>
              </w:rPr>
              <w:t>455</w:t>
            </w:r>
          </w:p>
        </w:tc>
        <w:tc>
          <w:tcPr>
            <w:tcW w:w="48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66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b w:val="1"/>
                <w:bCs w:val="1"/>
                <w:color w:val="auto"/>
              </w:rPr>
              <w:t>110</w:t>
            </w:r>
          </w:p>
        </w:tc>
        <w:tc>
          <w:tcPr>
            <w:tcW w:w="28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b w:val="1"/>
                <w:bCs w:val="1"/>
                <w:color w:val="auto"/>
              </w:rPr>
              <w:t>1,557</w:t>
            </w:r>
          </w:p>
        </w:tc>
        <w:tc>
          <w:tcPr>
            <w:tcW w:w="440" w:type="dxa"/>
            <w:vAlign w:val="bottom"/>
            <w:shd w:val="clear" w:color="auto" w:fill="E5F1F8"/>
          </w:tcPr>
          <w:p>
            <w:pPr>
              <w:jc w:val="right"/>
              <w:ind w:right="159"/>
              <w:spacing w:after="0" w:line="183" w:lineRule="exact"/>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007CBA"/>
            </w:tcBorders>
            <w:shd w:val="clear" w:color="auto" w:fill="E5F1F8"/>
          </w:tcPr>
          <w:p>
            <w:pPr>
              <w:jc w:val="right"/>
              <w:spacing w:after="0" w:line="183" w:lineRule="exact"/>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E5F1F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F1F8"/>
          </w:tcPr>
          <w:p>
            <w:pPr>
              <w:jc w:val="right"/>
              <w:ind w:right="39"/>
              <w:spacing w:after="0" w:line="183" w:lineRule="exact"/>
              <w:rPr>
                <w:sz w:val="20"/>
                <w:szCs w:val="20"/>
                <w:color w:val="auto"/>
              </w:rPr>
            </w:pPr>
            <w:r>
              <w:rPr>
                <w:rFonts w:ascii="Arial" w:cs="Arial" w:eastAsia="Arial" w:hAnsi="Arial"/>
                <w:sz w:val="16"/>
                <w:szCs w:val="16"/>
                <w:b w:val="1"/>
                <w:bCs w:val="1"/>
                <w:color w:val="auto"/>
              </w:rPr>
              <w:t>1,437</w:t>
            </w:r>
          </w:p>
        </w:tc>
      </w:tr>
      <w:tr>
        <w:trPr>
          <w:trHeight w:val="189"/>
        </w:trPr>
        <w:tc>
          <w:tcPr>
            <w:tcW w:w="426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6"/>
                <w:szCs w:val="16"/>
                <w:color w:val="auto"/>
              </w:rPr>
            </w:pPr>
          </w:p>
        </w:tc>
        <w:tc>
          <w:tcPr>
            <w:tcW w:w="760" w:type="dxa"/>
            <w:vAlign w:val="bottom"/>
            <w:tcBorders>
              <w:right w:val="single" w:sz="8" w:color="007CBA"/>
            </w:tcBorders>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Borders>
              <w:right w:val="single" w:sz="8" w:color="007CBA"/>
            </w:tcBorders>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right w:val="single" w:sz="8" w:color="007CBA"/>
            </w:tcBorders>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230</w:t>
            </w:r>
          </w:p>
        </w:tc>
      </w:tr>
      <w:tr>
        <w:trPr>
          <w:trHeight w:val="189"/>
        </w:trPr>
        <w:tc>
          <w:tcPr>
            <w:tcW w:w="4260" w:type="dxa"/>
            <w:vAlign w:val="bottom"/>
            <w:tcBorders>
              <w:bottom w:val="single" w:sz="8" w:color="auto"/>
              <w:right w:val="single" w:sz="8" w:color="E5F1F8"/>
            </w:tcBorders>
            <w:shd w:val="clear" w:color="auto" w:fill="E5F1F8"/>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Borders>
              <w:bottom w:val="single" w:sz="8" w:color="auto"/>
            </w:tcBorders>
            <w:shd w:val="clear" w:color="auto" w:fill="E5F1F8"/>
          </w:tcPr>
          <w:p>
            <w:pPr>
              <w:spacing w:after="0"/>
              <w:rPr>
                <w:sz w:val="16"/>
                <w:szCs w:val="16"/>
                <w:color w:val="auto"/>
              </w:rPr>
            </w:pPr>
          </w:p>
        </w:tc>
        <w:tc>
          <w:tcPr>
            <w:tcW w:w="760" w:type="dxa"/>
            <w:vAlign w:val="bottom"/>
            <w:tcBorders>
              <w:bottom w:val="single" w:sz="8" w:color="auto"/>
              <w:right w:val="single" w:sz="8" w:color="E5F1F8"/>
            </w:tcBorders>
            <w:shd w:val="clear" w:color="auto" w:fill="E5F1F8"/>
          </w:tcPr>
          <w:p>
            <w:pPr>
              <w:spacing w:after="0"/>
              <w:rPr>
                <w:sz w:val="16"/>
                <w:szCs w:val="16"/>
                <w:color w:val="auto"/>
              </w:rPr>
            </w:pPr>
          </w:p>
        </w:tc>
        <w:tc>
          <w:tcPr>
            <w:tcW w:w="440" w:type="dxa"/>
            <w:vAlign w:val="bottom"/>
            <w:tcBorders>
              <w:bottom w:val="single" w:sz="8" w:color="auto"/>
            </w:tcBorders>
            <w:shd w:val="clear" w:color="auto" w:fill="E5F1F8"/>
          </w:tcPr>
          <w:p>
            <w:pPr>
              <w:spacing w:after="0"/>
              <w:rPr>
                <w:sz w:val="16"/>
                <w:szCs w:val="16"/>
                <w:color w:val="auto"/>
              </w:rPr>
            </w:pPr>
          </w:p>
        </w:tc>
        <w:tc>
          <w:tcPr>
            <w:tcW w:w="760" w:type="dxa"/>
            <w:vAlign w:val="bottom"/>
            <w:tcBorders>
              <w:bottom w:val="single" w:sz="8" w:color="auto"/>
              <w:right w:val="single" w:sz="8" w:color="E5F1F8"/>
            </w:tcBorders>
            <w:shd w:val="clear" w:color="auto" w:fill="E5F1F8"/>
          </w:tcPr>
          <w:p>
            <w:pPr>
              <w:spacing w:after="0"/>
              <w:rPr>
                <w:sz w:val="16"/>
                <w:szCs w:val="16"/>
                <w:color w:val="auto"/>
              </w:rPr>
            </w:pPr>
          </w:p>
        </w:tc>
        <w:tc>
          <w:tcPr>
            <w:tcW w:w="480" w:type="dxa"/>
            <w:vAlign w:val="bottom"/>
            <w:tcBorders>
              <w:bottom w:val="single" w:sz="8" w:color="auto"/>
            </w:tcBorders>
            <w:shd w:val="clear" w:color="auto" w:fill="E5F1F8"/>
          </w:tcPr>
          <w:p>
            <w:pPr>
              <w:spacing w:after="0"/>
              <w:rPr>
                <w:sz w:val="16"/>
                <w:szCs w:val="16"/>
                <w:color w:val="auto"/>
              </w:rPr>
            </w:pPr>
          </w:p>
        </w:tc>
        <w:tc>
          <w:tcPr>
            <w:tcW w:w="66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900" w:type="dxa"/>
            <w:vAlign w:val="bottom"/>
            <w:tcBorders>
              <w:bottom w:val="single" w:sz="8" w:color="auto"/>
              <w:right w:val="single" w:sz="8" w:color="E5F1F8"/>
            </w:tcBorders>
            <w:shd w:val="clear" w:color="auto" w:fill="E5F1F8"/>
          </w:tcPr>
          <w:p>
            <w:pPr>
              <w:spacing w:after="0"/>
              <w:rPr>
                <w:sz w:val="16"/>
                <w:szCs w:val="16"/>
                <w:color w:val="auto"/>
              </w:rPr>
            </w:pPr>
          </w:p>
        </w:tc>
        <w:tc>
          <w:tcPr>
            <w:tcW w:w="440" w:type="dxa"/>
            <w:vAlign w:val="bottom"/>
            <w:tcBorders>
              <w:bottom w:val="single" w:sz="8" w:color="auto"/>
            </w:tcBorders>
            <w:shd w:val="clear" w:color="auto" w:fill="E5F1F8"/>
          </w:tcPr>
          <w:p>
            <w:pPr>
              <w:spacing w:after="0"/>
              <w:rPr>
                <w:sz w:val="16"/>
                <w:szCs w:val="16"/>
                <w:color w:val="auto"/>
              </w:rPr>
            </w:pPr>
          </w:p>
        </w:tc>
        <w:tc>
          <w:tcPr>
            <w:tcW w:w="70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8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(19)</w:t>
            </w:r>
          </w:p>
        </w:tc>
      </w:tr>
      <w:tr>
        <w:trPr>
          <w:trHeight w:val="168"/>
        </w:trPr>
        <w:tc>
          <w:tcPr>
            <w:tcW w:w="4260" w:type="dxa"/>
            <w:vAlign w:val="bottom"/>
          </w:tcPr>
          <w:p>
            <w:pPr>
              <w:ind w:left="40"/>
              <w:spacing w:after="0" w:line="168" w:lineRule="exact"/>
              <w:rPr>
                <w:sz w:val="20"/>
                <w:szCs w:val="20"/>
                <w:color w:val="auto"/>
              </w:rPr>
            </w:pPr>
            <w:r>
              <w:rPr>
                <w:rFonts w:ascii="Arial" w:cs="Arial" w:eastAsia="Arial" w:hAnsi="Arial"/>
                <w:sz w:val="16"/>
                <w:szCs w:val="16"/>
                <w:b w:val="1"/>
                <w:bCs w:val="1"/>
                <w:color w:val="auto"/>
              </w:rPr>
              <w:t>Earnings from continuing operations before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4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income tax expense</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1,226</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265430</wp:posOffset>
            </wp:positionV>
            <wp:extent cx="325755" cy="1968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-774700</wp:posOffset>
            </wp:positionV>
            <wp:extent cx="34290" cy="154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-774700</wp:posOffset>
            </wp:positionV>
            <wp:extent cx="34290" cy="154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-774700</wp:posOffset>
            </wp:positionV>
            <wp:extent cx="33655" cy="1543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-774700</wp:posOffset>
            </wp:positionV>
            <wp:extent cx="34290" cy="1543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-774700</wp:posOffset>
            </wp:positionV>
            <wp:extent cx="33655" cy="154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6404610</wp:posOffset>
            </wp:positionH>
            <wp:positionV relativeFrom="paragraph">
              <wp:posOffset>-774700</wp:posOffset>
            </wp:positionV>
            <wp:extent cx="33655" cy="154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-406400</wp:posOffset>
            </wp:positionV>
            <wp:extent cx="34290" cy="419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-406400</wp:posOffset>
            </wp:positionV>
            <wp:extent cx="34290" cy="419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-406400</wp:posOffset>
            </wp:positionV>
            <wp:extent cx="33655" cy="419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-406400</wp:posOffset>
            </wp:positionV>
            <wp:extent cx="34290" cy="419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-406400</wp:posOffset>
            </wp:positionV>
            <wp:extent cx="33655" cy="419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6404610</wp:posOffset>
            </wp:positionH>
            <wp:positionV relativeFrom="paragraph">
              <wp:posOffset>-406400</wp:posOffset>
            </wp:positionV>
            <wp:extent cx="33655" cy="419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655" cy="419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8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60" w:type="dxa"/>
            <w:vAlign w:val="bottom"/>
            <w:tcBorders>
              <w:right w:val="single" w:sz="8" w:color="007CBA"/>
            </w:tcBorders>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Total</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189"/>
        </w:trPr>
        <w:tc>
          <w:tcPr>
            <w:tcW w:w="45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i w:val="1"/>
                <w:iCs w:val="1"/>
                <w:color w:val="FFFFFF"/>
              </w:rPr>
              <w:t>year ended December 31, 2024</w:t>
            </w:r>
          </w:p>
        </w:tc>
        <w:tc>
          <w:tcPr>
            <w:tcW w:w="40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8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West</w:t>
            </w:r>
          </w:p>
        </w:tc>
        <w:tc>
          <w:tcPr>
            <w:tcW w:w="46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1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6"/>
                <w:szCs w:val="16"/>
                <w:b w:val="1"/>
                <w:bCs w:val="1"/>
                <w:color w:val="FFFFFF"/>
              </w:rPr>
              <w:t>Reportable</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203"/>
        </w:trPr>
        <w:tc>
          <w:tcPr>
            <w:tcW w:w="45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color w:val="FFFFFF"/>
              </w:rPr>
              <w:t>(in millions)</w:t>
            </w:r>
          </w:p>
        </w:tc>
        <w:tc>
          <w:tcPr>
            <w:tcW w:w="11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6"/>
                <w:szCs w:val="16"/>
                <w:b w:val="1"/>
                <w:bCs w:val="1"/>
                <w:color w:val="FFFFFF"/>
              </w:rPr>
              <w:t>East Group</w:t>
            </w:r>
          </w:p>
        </w:tc>
        <w:tc>
          <w:tcPr>
            <w:tcW w:w="280" w:type="dxa"/>
            <w:vAlign w:val="bottom"/>
            <w:shd w:val="clear" w:color="auto" w:fill="007CBA"/>
          </w:tcPr>
          <w:p>
            <w:pPr>
              <w:spacing w:after="0"/>
              <w:rPr>
                <w:sz w:val="17"/>
                <w:szCs w:val="17"/>
                <w:color w:val="auto"/>
              </w:rPr>
            </w:pPr>
          </w:p>
        </w:tc>
        <w:tc>
          <w:tcPr>
            <w:tcW w:w="880" w:type="dxa"/>
            <w:vAlign w:val="bottom"/>
            <w:tcBorders>
              <w:right w:val="single" w:sz="8" w:color="007CBA"/>
            </w:tcBorders>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Group</w:t>
            </w:r>
          </w:p>
        </w:tc>
        <w:tc>
          <w:tcPr>
            <w:tcW w:w="112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6"/>
                <w:szCs w:val="16"/>
                <w:b w:val="1"/>
                <w:bCs w:val="1"/>
                <w:color w:val="FFFFFF"/>
              </w:rPr>
              <w:t>Specialties</w:t>
            </w:r>
          </w:p>
        </w:tc>
        <w:tc>
          <w:tcPr>
            <w:tcW w:w="1140" w:type="dxa"/>
            <w:vAlign w:val="bottom"/>
            <w:tcBorders>
              <w:right w:val="single" w:sz="8" w:color="007CBA"/>
            </w:tcBorders>
            <w:gridSpan w:val="2"/>
            <w:shd w:val="clear" w:color="auto" w:fill="007CBA"/>
          </w:tcPr>
          <w:p>
            <w:pPr>
              <w:jc w:val="right"/>
              <w:ind w:right="99"/>
              <w:spacing w:after="0"/>
              <w:rPr>
                <w:sz w:val="20"/>
                <w:szCs w:val="20"/>
                <w:color w:val="auto"/>
              </w:rPr>
            </w:pPr>
            <w:r>
              <w:rPr>
                <w:rFonts w:ascii="Arial" w:cs="Arial" w:eastAsia="Arial" w:hAnsi="Arial"/>
                <w:sz w:val="16"/>
                <w:szCs w:val="16"/>
                <w:b w:val="1"/>
                <w:bCs w:val="1"/>
                <w:color w:val="FFFFFF"/>
              </w:rPr>
              <w:t>Segments</w:t>
            </w:r>
          </w:p>
        </w:tc>
        <w:tc>
          <w:tcPr>
            <w:tcW w:w="1360" w:type="dxa"/>
            <w:vAlign w:val="bottom"/>
            <w:gridSpan w:val="3"/>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Corporate</w:t>
            </w:r>
          </w:p>
        </w:tc>
        <w:tc>
          <w:tcPr>
            <w:tcW w:w="820" w:type="dxa"/>
            <w:vAlign w:val="bottom"/>
            <w:shd w:val="clear" w:color="auto" w:fill="007CBA"/>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189"/>
        </w:trPr>
        <w:tc>
          <w:tcPr>
            <w:tcW w:w="45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Segment Revenues</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2,941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2,401</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320</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5,662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5,662</w:t>
            </w:r>
          </w:p>
        </w:tc>
      </w:tr>
      <w:tr>
        <w:trPr>
          <w:trHeight w:val="189"/>
        </w:trPr>
        <w:tc>
          <w:tcPr>
            <w:tcW w:w="45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Less: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Labor and benefits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391</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296</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726</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727</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Raw materials expense</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96</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178</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292</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292</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Depreciation, depletion and amortization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259</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191</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465</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468</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Energy expense</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145</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105</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31</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281</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281</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External freight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208</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347</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347</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Other costs of revenues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905</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892</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79</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1,876</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1,911</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136</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295</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429</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Acquisition, divestiture and integration expenses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16</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16</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34</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50</w:t>
            </w:r>
          </w:p>
        </w:tc>
      </w:tr>
      <w:tr>
        <w:trPr>
          <w:trHeight w:val="189"/>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operating expense (income), net</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r>
      <w:tr>
        <w:trPr>
          <w:trHeight w:val="183"/>
        </w:trPr>
        <w:tc>
          <w:tcPr>
            <w:tcW w:w="4500" w:type="dxa"/>
            <w:vAlign w:val="bottom"/>
            <w:tcBorders>
              <w:right w:val="single" w:sz="8" w:color="007CBA"/>
            </w:tcBorders>
            <w:shd w:val="clear" w:color="auto" w:fill="E5F1F8"/>
          </w:tcPr>
          <w:p>
            <w:pPr>
              <w:ind w:left="40"/>
              <w:spacing w:after="0" w:line="183" w:lineRule="exact"/>
              <w:rPr>
                <w:sz w:val="20"/>
                <w:szCs w:val="20"/>
                <w:color w:val="auto"/>
              </w:rPr>
            </w:pPr>
            <w:r>
              <w:rPr>
                <w:rFonts w:ascii="Arial" w:cs="Arial" w:eastAsia="Arial" w:hAnsi="Arial"/>
                <w:sz w:val="16"/>
                <w:szCs w:val="16"/>
                <w:b w:val="1"/>
                <w:bCs w:val="1"/>
                <w:color w:val="auto"/>
              </w:rPr>
              <w:t>Segment Earnings (Loss) from Operations</w:t>
            </w:r>
          </w:p>
        </w:tc>
        <w:tc>
          <w:tcPr>
            <w:tcW w:w="40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color w:val="auto"/>
              </w:rPr>
              <w:t>891</w:t>
            </w:r>
          </w:p>
        </w:tc>
        <w:tc>
          <w:tcPr>
            <w:tcW w:w="280" w:type="dxa"/>
            <w:vAlign w:val="bottom"/>
            <w:shd w:val="clear" w:color="auto" w:fill="E5F1F8"/>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color w:val="auto"/>
              </w:rPr>
              <w:t>1,682</w:t>
            </w:r>
          </w:p>
        </w:tc>
        <w:tc>
          <w:tcPr>
            <w:tcW w:w="46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90</w:t>
            </w:r>
          </w:p>
        </w:tc>
        <w:tc>
          <w:tcPr>
            <w:tcW w:w="28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2,663</w:t>
            </w:r>
          </w:p>
        </w:tc>
        <w:tc>
          <w:tcPr>
            <w:tcW w:w="420" w:type="dxa"/>
            <w:vAlign w:val="bottom"/>
            <w:shd w:val="clear" w:color="auto" w:fill="E5F1F8"/>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shd w:val="clear" w:color="auto" w:fill="E5F1F8"/>
          </w:tcPr>
          <w:p>
            <w:pPr>
              <w:jc w:val="right"/>
              <w:spacing w:after="0" w:line="183" w:lineRule="exact"/>
              <w:rPr>
                <w:sz w:val="20"/>
                <w:szCs w:val="20"/>
                <w:color w:val="auto"/>
              </w:rPr>
            </w:pPr>
            <w:r>
              <w:rPr>
                <w:rFonts w:ascii="Arial" w:cs="Arial" w:eastAsia="Arial" w:hAnsi="Arial"/>
                <w:sz w:val="16"/>
                <w:szCs w:val="16"/>
                <w:color w:val="auto"/>
              </w:rPr>
              <w:t>(184)</w:t>
            </w:r>
          </w:p>
        </w:tc>
        <w:tc>
          <w:tcPr>
            <w:tcW w:w="260" w:type="dxa"/>
            <w:vAlign w:val="bottom"/>
            <w:shd w:val="clear" w:color="auto" w:fill="E5F1F8"/>
          </w:tcPr>
          <w:p>
            <w:pPr>
              <w:spacing w:after="0"/>
              <w:rPr>
                <w:sz w:val="15"/>
                <w:szCs w:val="15"/>
                <w:color w:val="auto"/>
              </w:rPr>
            </w:pPr>
          </w:p>
        </w:tc>
        <w:tc>
          <w:tcPr>
            <w:tcW w:w="820" w:type="dxa"/>
            <w:vAlign w:val="bottom"/>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2,479</w:t>
            </w:r>
          </w:p>
        </w:tc>
      </w:tr>
      <w:tr>
        <w:trPr>
          <w:trHeight w:val="189"/>
        </w:trPr>
        <w:tc>
          <w:tcPr>
            <w:tcW w:w="45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007CBA"/>
            </w:tcBorders>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169</w:t>
            </w:r>
          </w:p>
        </w:tc>
      </w:tr>
      <w:tr>
        <w:trPr>
          <w:trHeight w:val="189"/>
        </w:trPr>
        <w:tc>
          <w:tcPr>
            <w:tcW w:w="4500" w:type="dxa"/>
            <w:vAlign w:val="bottom"/>
            <w:tcBorders>
              <w:bottom w:val="single" w:sz="8" w:color="auto"/>
              <w:right w:val="single" w:sz="8" w:color="E5F1F8"/>
            </w:tcBorders>
            <w:shd w:val="clear" w:color="auto" w:fill="E5F1F8"/>
          </w:tcPr>
          <w:p>
            <w:pPr>
              <w:ind w:left="40"/>
              <w:spacing w:after="0"/>
              <w:rPr>
                <w:sz w:val="20"/>
                <w:szCs w:val="20"/>
                <w:color w:val="auto"/>
              </w:rPr>
            </w:pPr>
            <w:r>
              <w:rPr>
                <w:rFonts w:ascii="Arial" w:cs="Arial" w:eastAsia="Arial" w:hAnsi="Arial"/>
                <w:sz w:val="16"/>
                <w:szCs w:val="16"/>
                <w:color w:val="auto"/>
              </w:rPr>
              <w:t>Other nonoperating income, net</w:t>
            </w:r>
          </w:p>
        </w:tc>
        <w:tc>
          <w:tcPr>
            <w:tcW w:w="400" w:type="dxa"/>
            <w:vAlign w:val="bottom"/>
            <w:tcBorders>
              <w:bottom w:val="single" w:sz="8" w:color="auto"/>
            </w:tcBorders>
            <w:shd w:val="clear" w:color="auto" w:fill="E5F1F8"/>
          </w:tcPr>
          <w:p>
            <w:pPr>
              <w:spacing w:after="0"/>
              <w:rPr>
                <w:sz w:val="16"/>
                <w:szCs w:val="16"/>
                <w:color w:val="auto"/>
              </w:rPr>
            </w:pPr>
          </w:p>
        </w:tc>
        <w:tc>
          <w:tcPr>
            <w:tcW w:w="74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880" w:type="dxa"/>
            <w:vAlign w:val="bottom"/>
            <w:tcBorders>
              <w:bottom w:val="single" w:sz="8" w:color="auto"/>
              <w:right w:val="single" w:sz="8" w:color="E5F1F8"/>
            </w:tcBorders>
            <w:shd w:val="clear" w:color="auto" w:fill="E5F1F8"/>
          </w:tcPr>
          <w:p>
            <w:pPr>
              <w:spacing w:after="0"/>
              <w:rPr>
                <w:sz w:val="16"/>
                <w:szCs w:val="16"/>
                <w:color w:val="auto"/>
              </w:rPr>
            </w:pPr>
          </w:p>
        </w:tc>
        <w:tc>
          <w:tcPr>
            <w:tcW w:w="460" w:type="dxa"/>
            <w:vAlign w:val="bottom"/>
            <w:tcBorders>
              <w:bottom w:val="single" w:sz="8" w:color="auto"/>
            </w:tcBorders>
            <w:shd w:val="clear" w:color="auto" w:fill="E5F1F8"/>
          </w:tcPr>
          <w:p>
            <w:pPr>
              <w:spacing w:after="0"/>
              <w:rPr>
                <w:sz w:val="16"/>
                <w:szCs w:val="16"/>
                <w:color w:val="auto"/>
              </w:rPr>
            </w:pPr>
          </w:p>
        </w:tc>
        <w:tc>
          <w:tcPr>
            <w:tcW w:w="66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860" w:type="dxa"/>
            <w:vAlign w:val="bottom"/>
            <w:tcBorders>
              <w:bottom w:val="single" w:sz="8" w:color="auto"/>
              <w:right w:val="single" w:sz="8" w:color="E5F1F8"/>
            </w:tcBorders>
            <w:shd w:val="clear" w:color="auto" w:fill="E5F1F8"/>
          </w:tcPr>
          <w:p>
            <w:pPr>
              <w:spacing w:after="0"/>
              <w:rPr>
                <w:sz w:val="16"/>
                <w:szCs w:val="16"/>
                <w:color w:val="auto"/>
              </w:rPr>
            </w:pPr>
          </w:p>
        </w:tc>
        <w:tc>
          <w:tcPr>
            <w:tcW w:w="42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spacing w:after="0"/>
              <w:rPr>
                <w:sz w:val="16"/>
                <w:szCs w:val="16"/>
                <w:color w:val="auto"/>
              </w:rPr>
            </w:pPr>
          </w:p>
        </w:tc>
        <w:tc>
          <w:tcPr>
            <w:tcW w:w="260" w:type="dxa"/>
            <w:vAlign w:val="bottom"/>
            <w:tcBorders>
              <w:bottom w:val="single" w:sz="8" w:color="auto"/>
            </w:tcBorders>
            <w:shd w:val="clear" w:color="auto" w:fill="E5F1F8"/>
          </w:tcPr>
          <w:p>
            <w:pPr>
              <w:spacing w:after="0"/>
              <w:rPr>
                <w:sz w:val="16"/>
                <w:szCs w:val="16"/>
                <w:color w:val="auto"/>
              </w:rPr>
            </w:pPr>
          </w:p>
        </w:tc>
        <w:tc>
          <w:tcPr>
            <w:tcW w:w="8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color w:val="auto"/>
              </w:rPr>
              <w:t>(56)</w:t>
            </w:r>
          </w:p>
        </w:tc>
      </w:tr>
      <w:tr>
        <w:trPr>
          <w:trHeight w:val="168"/>
        </w:trPr>
        <w:tc>
          <w:tcPr>
            <w:tcW w:w="4500" w:type="dxa"/>
            <w:vAlign w:val="bottom"/>
          </w:tcPr>
          <w:p>
            <w:pPr>
              <w:ind w:left="40"/>
              <w:spacing w:after="0" w:line="168" w:lineRule="exact"/>
              <w:rPr>
                <w:sz w:val="20"/>
                <w:szCs w:val="20"/>
                <w:color w:val="auto"/>
              </w:rPr>
            </w:pPr>
            <w:r>
              <w:rPr>
                <w:rFonts w:ascii="Arial" w:cs="Arial" w:eastAsia="Arial" w:hAnsi="Arial"/>
                <w:sz w:val="16"/>
                <w:szCs w:val="16"/>
                <w:b w:val="1"/>
                <w:bCs w:val="1"/>
                <w:color w:val="auto"/>
              </w:rPr>
              <w:t>Earnings from continuing operations before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45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income tax expense</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-775335</wp:posOffset>
            </wp:positionV>
            <wp:extent cx="34290" cy="154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-775335</wp:posOffset>
            </wp:positionV>
            <wp:extent cx="33655" cy="154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-775335</wp:posOffset>
            </wp:positionV>
            <wp:extent cx="34290" cy="1543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-775335</wp:posOffset>
            </wp:positionV>
            <wp:extent cx="33655" cy="154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-775335</wp:posOffset>
            </wp:positionV>
            <wp:extent cx="33655" cy="1543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-775335</wp:posOffset>
            </wp:positionV>
            <wp:extent cx="33655" cy="154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-406400</wp:posOffset>
            </wp:positionV>
            <wp:extent cx="34290" cy="419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-406400</wp:posOffset>
            </wp:positionV>
            <wp:extent cx="33655" cy="419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-406400</wp:posOffset>
            </wp:positionV>
            <wp:extent cx="34290" cy="419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-406400</wp:posOffset>
            </wp:positionV>
            <wp:extent cx="33655" cy="419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-406400</wp:posOffset>
            </wp:positionV>
            <wp:extent cx="33655" cy="419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-406400</wp:posOffset>
            </wp:positionV>
            <wp:extent cx="33655" cy="419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3655" cy="41973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right w:val="single" w:sz="8" w:color="007CBA"/>
            </w:tcBorders>
            <w:shd w:val="clear" w:color="auto" w:fill="007CBA"/>
          </w:tcPr>
          <w:p>
            <w:pPr>
              <w:spacing w:after="0"/>
              <w:rPr>
                <w:sz w:val="16"/>
                <w:szCs w:val="16"/>
                <w:color w:val="auto"/>
              </w:rPr>
            </w:pPr>
          </w:p>
        </w:tc>
        <w:tc>
          <w:tcPr>
            <w:tcW w:w="40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8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60" w:type="dxa"/>
            <w:vAlign w:val="bottom"/>
            <w:tcBorders>
              <w:right w:val="single" w:sz="8" w:color="007CBA"/>
            </w:tcBorders>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Total</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189"/>
        </w:trPr>
        <w:tc>
          <w:tcPr>
            <w:tcW w:w="45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i w:val="1"/>
                <w:iCs w:val="1"/>
                <w:color w:val="FFFFFF"/>
              </w:rPr>
              <w:t>year ended December 31, 2023</w:t>
            </w:r>
          </w:p>
        </w:tc>
        <w:tc>
          <w:tcPr>
            <w:tcW w:w="40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8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West</w:t>
            </w:r>
          </w:p>
        </w:tc>
        <w:tc>
          <w:tcPr>
            <w:tcW w:w="46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1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6"/>
                <w:szCs w:val="16"/>
                <w:b w:val="1"/>
                <w:bCs w:val="1"/>
                <w:color w:val="FFFFFF"/>
              </w:rPr>
              <w:t>Reportable</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203"/>
        </w:trPr>
        <w:tc>
          <w:tcPr>
            <w:tcW w:w="45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6"/>
                <w:szCs w:val="16"/>
                <w:color w:val="FFFFFF"/>
              </w:rPr>
              <w:t>(in millions)</w:t>
            </w:r>
          </w:p>
        </w:tc>
        <w:tc>
          <w:tcPr>
            <w:tcW w:w="11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6"/>
                <w:szCs w:val="16"/>
                <w:b w:val="1"/>
                <w:bCs w:val="1"/>
                <w:color w:val="FFFFFF"/>
              </w:rPr>
              <w:t>East Group</w:t>
            </w:r>
          </w:p>
        </w:tc>
        <w:tc>
          <w:tcPr>
            <w:tcW w:w="280" w:type="dxa"/>
            <w:vAlign w:val="bottom"/>
            <w:shd w:val="clear" w:color="auto" w:fill="007CBA"/>
          </w:tcPr>
          <w:p>
            <w:pPr>
              <w:spacing w:after="0"/>
              <w:rPr>
                <w:sz w:val="17"/>
                <w:szCs w:val="17"/>
                <w:color w:val="auto"/>
              </w:rPr>
            </w:pPr>
          </w:p>
        </w:tc>
        <w:tc>
          <w:tcPr>
            <w:tcW w:w="880" w:type="dxa"/>
            <w:vAlign w:val="bottom"/>
            <w:tcBorders>
              <w:right w:val="single" w:sz="8" w:color="007CBA"/>
            </w:tcBorders>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Group</w:t>
            </w:r>
          </w:p>
        </w:tc>
        <w:tc>
          <w:tcPr>
            <w:tcW w:w="112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6"/>
                <w:szCs w:val="16"/>
                <w:b w:val="1"/>
                <w:bCs w:val="1"/>
                <w:color w:val="FFFFFF"/>
              </w:rPr>
              <w:t>Specialties</w:t>
            </w:r>
          </w:p>
        </w:tc>
        <w:tc>
          <w:tcPr>
            <w:tcW w:w="1140" w:type="dxa"/>
            <w:vAlign w:val="bottom"/>
            <w:tcBorders>
              <w:right w:val="single" w:sz="8" w:color="007CBA"/>
            </w:tcBorders>
            <w:gridSpan w:val="2"/>
            <w:shd w:val="clear" w:color="auto" w:fill="007CBA"/>
          </w:tcPr>
          <w:p>
            <w:pPr>
              <w:jc w:val="right"/>
              <w:ind w:right="99"/>
              <w:spacing w:after="0"/>
              <w:rPr>
                <w:sz w:val="20"/>
                <w:szCs w:val="20"/>
                <w:color w:val="auto"/>
              </w:rPr>
            </w:pPr>
            <w:r>
              <w:rPr>
                <w:rFonts w:ascii="Arial" w:cs="Arial" w:eastAsia="Arial" w:hAnsi="Arial"/>
                <w:sz w:val="16"/>
                <w:szCs w:val="16"/>
                <w:b w:val="1"/>
                <w:bCs w:val="1"/>
                <w:color w:val="FFFFFF"/>
              </w:rPr>
              <w:t>Segments</w:t>
            </w:r>
          </w:p>
        </w:tc>
        <w:tc>
          <w:tcPr>
            <w:tcW w:w="1100" w:type="dxa"/>
            <w:vAlign w:val="bottom"/>
            <w:tcBorders>
              <w:right w:val="single" w:sz="8" w:color="007CBA"/>
            </w:tcBorders>
            <w:gridSpan w:val="2"/>
            <w:shd w:val="clear" w:color="auto" w:fill="007CBA"/>
          </w:tcPr>
          <w:p>
            <w:pPr>
              <w:jc w:val="right"/>
              <w:ind w:right="99"/>
              <w:spacing w:after="0"/>
              <w:rPr>
                <w:sz w:val="20"/>
                <w:szCs w:val="20"/>
                <w:color w:val="auto"/>
              </w:rPr>
            </w:pPr>
            <w:r>
              <w:rPr>
                <w:rFonts w:ascii="Arial" w:cs="Arial" w:eastAsia="Arial" w:hAnsi="Arial"/>
                <w:sz w:val="16"/>
                <w:szCs w:val="16"/>
                <w:b w:val="1"/>
                <w:bCs w:val="1"/>
                <w:color w:val="FFFFFF"/>
              </w:rPr>
              <w:t>Corporate</w:t>
            </w:r>
          </w:p>
        </w:tc>
        <w:tc>
          <w:tcPr>
            <w:tcW w:w="260" w:type="dxa"/>
            <w:vAlign w:val="bottom"/>
            <w:shd w:val="clear" w:color="auto" w:fill="007CBA"/>
          </w:tcPr>
          <w:p>
            <w:pPr>
              <w:spacing w:after="0"/>
              <w:rPr>
                <w:sz w:val="17"/>
                <w:szCs w:val="17"/>
                <w:color w:val="auto"/>
              </w:rPr>
            </w:pPr>
          </w:p>
        </w:tc>
        <w:tc>
          <w:tcPr>
            <w:tcW w:w="820" w:type="dxa"/>
            <w:vAlign w:val="bottom"/>
            <w:shd w:val="clear" w:color="auto" w:fill="007CBA"/>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189"/>
        </w:trPr>
        <w:tc>
          <w:tcPr>
            <w:tcW w:w="45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Segment Revenues</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2,763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2,773</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315</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5,851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5,851</w:t>
            </w:r>
          </w:p>
        </w:tc>
      </w:tr>
      <w:tr>
        <w:trPr>
          <w:trHeight w:val="189"/>
        </w:trPr>
        <w:tc>
          <w:tcPr>
            <w:tcW w:w="45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Less: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Labor and benefits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362</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328</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726</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719</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Raw materials expense</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104</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251</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22</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377</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377</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Depreciation, depletion and amortization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205</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206</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424</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427</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Energy expense</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152</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163</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37</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352</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352</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External freight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113</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221</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364</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364</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Other costs of revenues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854</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932</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80</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1,866</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1,867</w:t>
            </w:r>
          </w:p>
        </w:tc>
      </w:tr>
      <w:tr>
        <w:trPr>
          <w:trHeight w:val="189"/>
        </w:trPr>
        <w:tc>
          <w:tcPr>
            <w:tcW w:w="45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6"/>
                <w:szCs w:val="16"/>
                <w:color w:val="auto"/>
              </w:rPr>
            </w:pPr>
          </w:p>
        </w:tc>
        <w:tc>
          <w:tcPr>
            <w:tcW w:w="7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6"/>
                <w:szCs w:val="16"/>
                <w:color w:val="auto"/>
              </w:rPr>
            </w:pPr>
          </w:p>
        </w:tc>
        <w:tc>
          <w:tcPr>
            <w:tcW w:w="8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139</w:t>
            </w:r>
          </w:p>
        </w:tc>
        <w:tc>
          <w:tcPr>
            <w:tcW w:w="460" w:type="dxa"/>
            <w:vAlign w:val="bottom"/>
          </w:tcPr>
          <w:p>
            <w:pPr>
              <w:spacing w:after="0"/>
              <w:rPr>
                <w:sz w:val="16"/>
                <w:szCs w:val="16"/>
                <w:color w:val="auto"/>
              </w:rPr>
            </w:pPr>
          </w:p>
        </w:tc>
        <w:tc>
          <w:tcPr>
            <w:tcW w:w="6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6"/>
                <w:szCs w:val="16"/>
                <w:color w:val="auto"/>
              </w:rPr>
            </w:pPr>
          </w:p>
        </w:tc>
        <w:tc>
          <w:tcPr>
            <w:tcW w:w="860" w:type="dxa"/>
            <w:vAlign w:val="bottom"/>
            <w:tcBorders>
              <w:right w:val="single" w:sz="8" w:color="007CBA"/>
            </w:tcBorders>
          </w:tcPr>
          <w:p>
            <w:pPr>
              <w:jc w:val="right"/>
              <w:ind w:right="39"/>
              <w:spacing w:after="0"/>
              <w:rPr>
                <w:sz w:val="20"/>
                <w:szCs w:val="20"/>
                <w:color w:val="auto"/>
              </w:rPr>
            </w:pPr>
            <w:r>
              <w:rPr>
                <w:rFonts w:ascii="Arial" w:cs="Arial" w:eastAsia="Arial" w:hAnsi="Arial"/>
                <w:sz w:val="16"/>
                <w:szCs w:val="16"/>
                <w:color w:val="auto"/>
              </w:rPr>
              <w:t>281</w:t>
            </w:r>
          </w:p>
        </w:tc>
        <w:tc>
          <w:tcPr>
            <w:tcW w:w="420" w:type="dxa"/>
            <w:vAlign w:val="bottom"/>
          </w:tcPr>
          <w:p>
            <w:pPr>
              <w:spacing w:after="0"/>
              <w:rPr>
                <w:sz w:val="16"/>
                <w:szCs w:val="16"/>
                <w:color w:val="auto"/>
              </w:rPr>
            </w:pPr>
          </w:p>
        </w:tc>
        <w:tc>
          <w:tcPr>
            <w:tcW w:w="6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144</w:t>
            </w: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425</w:t>
            </w:r>
          </w:p>
        </w:tc>
      </w:tr>
      <w:tr>
        <w:trPr>
          <w:trHeight w:val="189"/>
        </w:trPr>
        <w:tc>
          <w:tcPr>
            <w:tcW w:w="45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Acquisition, divestiture and integration expenses</w:t>
            </w:r>
          </w:p>
        </w:tc>
        <w:tc>
          <w:tcPr>
            <w:tcW w:w="400" w:type="dxa"/>
            <w:vAlign w:val="bottom"/>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6</w:t>
            </w:r>
          </w:p>
        </w:tc>
        <w:tc>
          <w:tcPr>
            <w:tcW w:w="460" w:type="dxa"/>
            <w:vAlign w:val="bottom"/>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jc w:val="right"/>
              <w:ind w:right="39"/>
              <w:spacing w:after="0"/>
              <w:rPr>
                <w:sz w:val="20"/>
                <w:szCs w:val="20"/>
                <w:color w:val="auto"/>
              </w:rPr>
            </w:pPr>
            <w:r>
              <w:rPr>
                <w:rFonts w:ascii="Arial" w:cs="Arial" w:eastAsia="Arial" w:hAnsi="Arial"/>
                <w:sz w:val="16"/>
                <w:szCs w:val="16"/>
                <w:color w:val="auto"/>
              </w:rPr>
              <w:t>6</w:t>
            </w:r>
          </w:p>
        </w:tc>
        <w:tc>
          <w:tcPr>
            <w:tcW w:w="42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6</w:t>
            </w:r>
          </w:p>
        </w:tc>
        <w:tc>
          <w:tcPr>
            <w:tcW w:w="260" w:type="dxa"/>
            <w:vAlign w:val="bottom"/>
            <w:shd w:val="clear" w:color="auto" w:fill="E5F1F8"/>
          </w:tcPr>
          <w:p>
            <w:pPr>
              <w:spacing w:after="0"/>
              <w:rPr>
                <w:sz w:val="16"/>
                <w:szCs w:val="16"/>
                <w:color w:val="auto"/>
              </w:rPr>
            </w:pPr>
          </w:p>
        </w:tc>
        <w:tc>
          <w:tcPr>
            <w:tcW w:w="82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12</w:t>
            </w:r>
          </w:p>
        </w:tc>
      </w:tr>
      <w:tr>
        <w:trPr>
          <w:trHeight w:val="189"/>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operating (income) expense, net</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183"/>
        </w:trPr>
        <w:tc>
          <w:tcPr>
            <w:tcW w:w="4500" w:type="dxa"/>
            <w:vAlign w:val="bottom"/>
            <w:tcBorders>
              <w:right w:val="single" w:sz="8" w:color="007CBA"/>
            </w:tcBorders>
            <w:shd w:val="clear" w:color="auto" w:fill="E5F1F8"/>
          </w:tcPr>
          <w:p>
            <w:pPr>
              <w:ind w:left="40"/>
              <w:spacing w:after="0" w:line="183" w:lineRule="exact"/>
              <w:rPr>
                <w:sz w:val="20"/>
                <w:szCs w:val="20"/>
                <w:color w:val="auto"/>
              </w:rPr>
            </w:pPr>
            <w:r>
              <w:rPr>
                <w:rFonts w:ascii="Arial" w:cs="Arial" w:eastAsia="Arial" w:hAnsi="Arial"/>
                <w:sz w:val="16"/>
                <w:szCs w:val="16"/>
                <w:b w:val="1"/>
                <w:bCs w:val="1"/>
                <w:color w:val="auto"/>
              </w:rPr>
              <w:t>Segment Earnings (Loss) from Operations</w:t>
            </w:r>
          </w:p>
        </w:tc>
        <w:tc>
          <w:tcPr>
            <w:tcW w:w="40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color w:val="auto"/>
              </w:rPr>
              <w:t>857</w:t>
            </w:r>
          </w:p>
        </w:tc>
        <w:tc>
          <w:tcPr>
            <w:tcW w:w="280" w:type="dxa"/>
            <w:vAlign w:val="bottom"/>
            <w:shd w:val="clear" w:color="auto" w:fill="E5F1F8"/>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right w:val="single" w:sz="8" w:color="007CBA"/>
            </w:tcBorders>
            <w:shd w:val="clear" w:color="auto" w:fill="E5F1F8"/>
          </w:tcPr>
          <w:p>
            <w:pPr>
              <w:jc w:val="right"/>
              <w:ind w:right="59"/>
              <w:spacing w:after="0" w:line="183" w:lineRule="exact"/>
              <w:rPr>
                <w:sz w:val="20"/>
                <w:szCs w:val="20"/>
                <w:color w:val="auto"/>
              </w:rPr>
            </w:pPr>
            <w:r>
              <w:rPr>
                <w:rFonts w:ascii="Arial" w:cs="Arial" w:eastAsia="Arial" w:hAnsi="Arial"/>
                <w:sz w:val="16"/>
                <w:szCs w:val="16"/>
                <w:color w:val="auto"/>
              </w:rPr>
              <w:t>534</w:t>
            </w:r>
          </w:p>
        </w:tc>
        <w:tc>
          <w:tcPr>
            <w:tcW w:w="46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76</w:t>
            </w:r>
          </w:p>
        </w:tc>
        <w:tc>
          <w:tcPr>
            <w:tcW w:w="280" w:type="dxa"/>
            <w:vAlign w:val="bottom"/>
            <w:shd w:val="clear" w:color="auto" w:fill="E5F1F8"/>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1,467</w:t>
            </w:r>
          </w:p>
        </w:tc>
        <w:tc>
          <w:tcPr>
            <w:tcW w:w="420" w:type="dxa"/>
            <w:vAlign w:val="bottom"/>
            <w:shd w:val="clear" w:color="auto" w:fill="E5F1F8"/>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shd w:val="clear" w:color="auto" w:fill="E5F1F8"/>
          </w:tcPr>
          <w:p>
            <w:pPr>
              <w:jc w:val="right"/>
              <w:spacing w:after="0" w:line="183" w:lineRule="exact"/>
              <w:rPr>
                <w:sz w:val="20"/>
                <w:szCs w:val="20"/>
                <w:color w:val="auto"/>
              </w:rPr>
            </w:pPr>
            <w:r>
              <w:rPr>
                <w:rFonts w:ascii="Arial" w:cs="Arial" w:eastAsia="Arial" w:hAnsi="Arial"/>
                <w:sz w:val="16"/>
                <w:szCs w:val="16"/>
                <w:color w:val="auto"/>
              </w:rPr>
              <w:t>(134)</w:t>
            </w:r>
          </w:p>
        </w:tc>
        <w:tc>
          <w:tcPr>
            <w:tcW w:w="260" w:type="dxa"/>
            <w:vAlign w:val="bottom"/>
            <w:shd w:val="clear" w:color="auto" w:fill="E5F1F8"/>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5F1F8"/>
          </w:tcPr>
          <w:p>
            <w:pPr>
              <w:jc w:val="right"/>
              <w:ind w:right="39"/>
              <w:spacing w:after="0" w:line="183" w:lineRule="exact"/>
              <w:rPr>
                <w:sz w:val="20"/>
                <w:szCs w:val="20"/>
                <w:color w:val="auto"/>
              </w:rPr>
            </w:pPr>
            <w:r>
              <w:rPr>
                <w:rFonts w:ascii="Arial" w:cs="Arial" w:eastAsia="Arial" w:hAnsi="Arial"/>
                <w:sz w:val="16"/>
                <w:szCs w:val="16"/>
                <w:color w:val="auto"/>
              </w:rPr>
              <w:t>1,333</w:t>
            </w:r>
          </w:p>
        </w:tc>
      </w:tr>
      <w:tr>
        <w:trPr>
          <w:trHeight w:val="189"/>
        </w:trPr>
        <w:tc>
          <w:tcPr>
            <w:tcW w:w="45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6"/>
                <w:szCs w:val="16"/>
                <w:color w:val="auto"/>
              </w:rPr>
            </w:pPr>
          </w:p>
        </w:tc>
        <w:tc>
          <w:tcPr>
            <w:tcW w:w="7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007CBA"/>
            </w:tcBorders>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165</w:t>
            </w:r>
          </w:p>
        </w:tc>
      </w:tr>
      <w:tr>
        <w:trPr>
          <w:trHeight w:val="189"/>
        </w:trPr>
        <w:tc>
          <w:tcPr>
            <w:tcW w:w="4500" w:type="dxa"/>
            <w:vAlign w:val="bottom"/>
            <w:tcBorders>
              <w:bottom w:val="single" w:sz="8" w:color="auto"/>
              <w:right w:val="single" w:sz="8" w:color="E5F1F8"/>
            </w:tcBorders>
            <w:shd w:val="clear" w:color="auto" w:fill="E5F1F8"/>
          </w:tcPr>
          <w:p>
            <w:pPr>
              <w:ind w:left="40"/>
              <w:spacing w:after="0"/>
              <w:rPr>
                <w:sz w:val="20"/>
                <w:szCs w:val="20"/>
                <w:color w:val="auto"/>
              </w:rPr>
            </w:pPr>
            <w:r>
              <w:rPr>
                <w:rFonts w:ascii="Arial" w:cs="Arial" w:eastAsia="Arial" w:hAnsi="Arial"/>
                <w:sz w:val="16"/>
                <w:szCs w:val="16"/>
                <w:color w:val="auto"/>
              </w:rPr>
              <w:t>Other nonoperating income, net</w:t>
            </w:r>
          </w:p>
        </w:tc>
        <w:tc>
          <w:tcPr>
            <w:tcW w:w="400" w:type="dxa"/>
            <w:vAlign w:val="bottom"/>
            <w:tcBorders>
              <w:bottom w:val="single" w:sz="8" w:color="auto"/>
            </w:tcBorders>
            <w:shd w:val="clear" w:color="auto" w:fill="E5F1F8"/>
          </w:tcPr>
          <w:p>
            <w:pPr>
              <w:spacing w:after="0"/>
              <w:rPr>
                <w:sz w:val="16"/>
                <w:szCs w:val="16"/>
                <w:color w:val="auto"/>
              </w:rPr>
            </w:pPr>
          </w:p>
        </w:tc>
        <w:tc>
          <w:tcPr>
            <w:tcW w:w="74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880" w:type="dxa"/>
            <w:vAlign w:val="bottom"/>
            <w:tcBorders>
              <w:bottom w:val="single" w:sz="8" w:color="auto"/>
              <w:right w:val="single" w:sz="8" w:color="E5F1F8"/>
            </w:tcBorders>
            <w:shd w:val="clear" w:color="auto" w:fill="E5F1F8"/>
          </w:tcPr>
          <w:p>
            <w:pPr>
              <w:spacing w:after="0"/>
              <w:rPr>
                <w:sz w:val="16"/>
                <w:szCs w:val="16"/>
                <w:color w:val="auto"/>
              </w:rPr>
            </w:pPr>
          </w:p>
        </w:tc>
        <w:tc>
          <w:tcPr>
            <w:tcW w:w="460" w:type="dxa"/>
            <w:vAlign w:val="bottom"/>
            <w:tcBorders>
              <w:bottom w:val="single" w:sz="8" w:color="auto"/>
            </w:tcBorders>
            <w:shd w:val="clear" w:color="auto" w:fill="E5F1F8"/>
          </w:tcPr>
          <w:p>
            <w:pPr>
              <w:spacing w:after="0"/>
              <w:rPr>
                <w:sz w:val="16"/>
                <w:szCs w:val="16"/>
                <w:color w:val="auto"/>
              </w:rPr>
            </w:pPr>
          </w:p>
        </w:tc>
        <w:tc>
          <w:tcPr>
            <w:tcW w:w="660" w:type="dxa"/>
            <w:vAlign w:val="bottom"/>
            <w:tcBorders>
              <w:bottom w:val="single" w:sz="8" w:color="auto"/>
              <w:right w:val="single" w:sz="8" w:color="E5F1F8"/>
            </w:tcBorders>
            <w:shd w:val="clear" w:color="auto" w:fill="E5F1F8"/>
          </w:tcPr>
          <w:p>
            <w:pPr>
              <w:spacing w:after="0"/>
              <w:rPr>
                <w:sz w:val="16"/>
                <w:szCs w:val="16"/>
                <w:color w:val="auto"/>
              </w:rPr>
            </w:pPr>
          </w:p>
        </w:tc>
        <w:tc>
          <w:tcPr>
            <w:tcW w:w="280" w:type="dxa"/>
            <w:vAlign w:val="bottom"/>
            <w:tcBorders>
              <w:bottom w:val="single" w:sz="8" w:color="auto"/>
            </w:tcBorders>
            <w:shd w:val="clear" w:color="auto" w:fill="E5F1F8"/>
          </w:tcPr>
          <w:p>
            <w:pPr>
              <w:spacing w:after="0"/>
              <w:rPr>
                <w:sz w:val="16"/>
                <w:szCs w:val="16"/>
                <w:color w:val="auto"/>
              </w:rPr>
            </w:pPr>
          </w:p>
        </w:tc>
        <w:tc>
          <w:tcPr>
            <w:tcW w:w="860" w:type="dxa"/>
            <w:vAlign w:val="bottom"/>
            <w:tcBorders>
              <w:bottom w:val="single" w:sz="8" w:color="auto"/>
              <w:right w:val="single" w:sz="8" w:color="E5F1F8"/>
            </w:tcBorders>
            <w:shd w:val="clear" w:color="auto" w:fill="E5F1F8"/>
          </w:tcPr>
          <w:p>
            <w:pPr>
              <w:spacing w:after="0"/>
              <w:rPr>
                <w:sz w:val="16"/>
                <w:szCs w:val="16"/>
                <w:color w:val="auto"/>
              </w:rPr>
            </w:pPr>
          </w:p>
        </w:tc>
        <w:tc>
          <w:tcPr>
            <w:tcW w:w="42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spacing w:after="0"/>
              <w:rPr>
                <w:sz w:val="16"/>
                <w:szCs w:val="16"/>
                <w:color w:val="auto"/>
              </w:rPr>
            </w:pPr>
          </w:p>
        </w:tc>
        <w:tc>
          <w:tcPr>
            <w:tcW w:w="260" w:type="dxa"/>
            <w:vAlign w:val="bottom"/>
            <w:tcBorders>
              <w:bottom w:val="single" w:sz="8" w:color="auto"/>
            </w:tcBorders>
            <w:shd w:val="clear" w:color="auto" w:fill="E5F1F8"/>
          </w:tcPr>
          <w:p>
            <w:pPr>
              <w:spacing w:after="0"/>
              <w:rPr>
                <w:sz w:val="16"/>
                <w:szCs w:val="16"/>
                <w:color w:val="auto"/>
              </w:rPr>
            </w:pPr>
          </w:p>
        </w:tc>
        <w:tc>
          <w:tcPr>
            <w:tcW w:w="8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color w:val="auto"/>
              </w:rPr>
              <w:t>(58)</w:t>
            </w:r>
          </w:p>
        </w:tc>
      </w:tr>
      <w:tr>
        <w:trPr>
          <w:trHeight w:val="168"/>
        </w:trPr>
        <w:tc>
          <w:tcPr>
            <w:tcW w:w="4500" w:type="dxa"/>
            <w:vAlign w:val="bottom"/>
          </w:tcPr>
          <w:p>
            <w:pPr>
              <w:ind w:left="40"/>
              <w:spacing w:after="0" w:line="168" w:lineRule="exact"/>
              <w:rPr>
                <w:sz w:val="20"/>
                <w:szCs w:val="20"/>
                <w:color w:val="auto"/>
              </w:rPr>
            </w:pPr>
            <w:r>
              <w:rPr>
                <w:rFonts w:ascii="Arial" w:cs="Arial" w:eastAsia="Arial" w:hAnsi="Arial"/>
                <w:sz w:val="16"/>
                <w:szCs w:val="16"/>
                <w:b w:val="1"/>
                <w:bCs w:val="1"/>
                <w:color w:val="auto"/>
              </w:rPr>
              <w:t>Earnings from continuing operations before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45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income tax expense</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-774700</wp:posOffset>
            </wp:positionV>
            <wp:extent cx="34290" cy="154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-774700</wp:posOffset>
            </wp:positionV>
            <wp:extent cx="33655" cy="1543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-774700</wp:posOffset>
            </wp:positionV>
            <wp:extent cx="34290" cy="154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-774700</wp:posOffset>
            </wp:positionV>
            <wp:extent cx="33655" cy="154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-774700</wp:posOffset>
            </wp:positionV>
            <wp:extent cx="33655" cy="1543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-774700</wp:posOffset>
            </wp:positionV>
            <wp:extent cx="33655" cy="1543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-406400</wp:posOffset>
            </wp:positionV>
            <wp:extent cx="34290" cy="419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-406400</wp:posOffset>
            </wp:positionV>
            <wp:extent cx="33655" cy="419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-406400</wp:posOffset>
            </wp:positionV>
            <wp:extent cx="34290" cy="419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-406400</wp:posOffset>
            </wp:positionV>
            <wp:extent cx="33655" cy="419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-406400</wp:posOffset>
            </wp:positionV>
            <wp:extent cx="33655" cy="419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3655" cy="419735"/>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-406400</wp:posOffset>
            </wp:positionV>
            <wp:extent cx="33655" cy="419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3655" cy="419735"/>
                    </a:xfrm>
                    <a:prstGeom prst="rect">
                      <a:avLst/>
                    </a:prstGeom>
                    <a:noFill/>
                  </pic:spPr>
                </pic:pic>
              </a:graphicData>
            </a:graphic>
          </wp:anchor>
        </w:drawing>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Assets employed by segment include assets directly identified with those operations, including assets held for sale. Corporate assets consist primarily of cash, cash equivalents and restricted cash; property, plant and equipment for corporate operations; and other assets not directly identifiable with a reportable segment. Assets held for sale associated with discontinued operations are predominantly included in the West Group. The increase in assets employed in the Specialties segment is primarily due to the Premier acquisition (see Note B). The decrease in assets employed in the Corporate segment primarily relates to a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355600</wp:posOffset>
            </wp:positionV>
            <wp:extent cx="325755" cy="1968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308"/>
        </w:trPr>
        <w:tc>
          <w:tcPr>
            <w:tcW w:w="6560" w:type="dxa"/>
            <w:vAlign w:val="bottom"/>
          </w:tcPr>
          <w:p>
            <w:pPr>
              <w:ind w:left="6020"/>
              <w:spacing w:after="0"/>
              <w:rPr>
                <w:sz w:val="20"/>
                <w:szCs w:val="20"/>
                <w:color w:val="auto"/>
              </w:rPr>
            </w:pPr>
            <w:r>
              <w:rPr>
                <w:rFonts w:ascii="Arial" w:cs="Arial" w:eastAsia="Arial" w:hAnsi="Arial"/>
                <w:sz w:val="18"/>
                <w:szCs w:val="18"/>
                <w:color w:val="auto"/>
              </w:rPr>
              <w:t>Part II</w:t>
            </w:r>
          </w:p>
        </w:tc>
        <w:tc>
          <w:tcPr>
            <w:tcW w:w="4680" w:type="dxa"/>
            <w:vAlign w:val="bottom"/>
            <w:gridSpan w:val="5"/>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169"/>
        </w:trPr>
        <w:tc>
          <w:tcPr>
            <w:tcW w:w="6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4"/>
        </w:trPr>
        <w:tc>
          <w:tcPr>
            <w:tcW w:w="6560" w:type="dxa"/>
            <w:vAlign w:val="bottom"/>
            <w:shd w:val="clear" w:color="auto" w:fill="007CBA"/>
          </w:tcPr>
          <w:p>
            <w:pPr>
              <w:ind w:left="80"/>
              <w:spacing w:after="0" w:line="183" w:lineRule="exact"/>
              <w:rPr>
                <w:sz w:val="20"/>
                <w:szCs w:val="20"/>
                <w:color w:val="auto"/>
              </w:rPr>
            </w:pPr>
            <w:r>
              <w:rPr>
                <w:rFonts w:ascii="Arial" w:cs="Arial" w:eastAsia="Arial" w:hAnsi="Arial"/>
                <w:sz w:val="18"/>
                <w:szCs w:val="18"/>
                <w:i w:val="1"/>
                <w:iCs w:val="1"/>
                <w:color w:val="FFFFFF"/>
              </w:rPr>
              <w:t>December 31</w:t>
            </w:r>
          </w:p>
        </w:tc>
        <w:tc>
          <w:tcPr>
            <w:tcW w:w="700" w:type="dxa"/>
            <w:vAlign w:val="bottom"/>
            <w:tcBorders>
              <w:right w:val="single" w:sz="8" w:color="007CBA"/>
            </w:tcBorders>
            <w:shd w:val="clear" w:color="auto" w:fill="007CBA"/>
          </w:tcPr>
          <w:p>
            <w:pPr>
              <w:spacing w:after="0"/>
              <w:rPr>
                <w:sz w:val="15"/>
                <w:szCs w:val="15"/>
                <w:color w:val="auto"/>
              </w:rPr>
            </w:pPr>
          </w:p>
        </w:tc>
        <w:tc>
          <w:tcPr>
            <w:tcW w:w="620" w:type="dxa"/>
            <w:vAlign w:val="bottom"/>
            <w:shd w:val="clear" w:color="auto" w:fill="007CBA"/>
          </w:tcPr>
          <w:p>
            <w:pPr>
              <w:spacing w:after="0"/>
              <w:rPr>
                <w:sz w:val="15"/>
                <w:szCs w:val="15"/>
                <w:color w:val="auto"/>
              </w:rPr>
            </w:pPr>
          </w:p>
        </w:tc>
        <w:tc>
          <w:tcPr>
            <w:tcW w:w="1380" w:type="dxa"/>
            <w:vAlign w:val="bottom"/>
            <w:tcBorders>
              <w:right w:val="single" w:sz="8" w:color="007CBA"/>
            </w:tcBorders>
            <w:shd w:val="clear" w:color="auto" w:fill="007CBA"/>
          </w:tcPr>
          <w:p>
            <w:pPr>
              <w:spacing w:after="0"/>
              <w:rPr>
                <w:sz w:val="15"/>
                <w:szCs w:val="15"/>
                <w:color w:val="auto"/>
              </w:rPr>
            </w:pPr>
          </w:p>
        </w:tc>
        <w:tc>
          <w:tcPr>
            <w:tcW w:w="600" w:type="dxa"/>
            <w:vAlign w:val="bottom"/>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r>
      <w:tr>
        <w:trPr>
          <w:trHeight w:val="203"/>
        </w:trPr>
        <w:tc>
          <w:tcPr>
            <w:tcW w:w="6560" w:type="dxa"/>
            <w:vAlign w:val="bottom"/>
            <w:shd w:val="clear" w:color="auto" w:fill="007CBA"/>
          </w:tcPr>
          <w:p>
            <w:pPr>
              <w:ind w:left="80"/>
              <w:spacing w:after="0" w:line="202" w:lineRule="exact"/>
              <w:rPr>
                <w:sz w:val="20"/>
                <w:szCs w:val="20"/>
                <w:color w:val="auto"/>
              </w:rPr>
            </w:pPr>
            <w:r>
              <w:rPr>
                <w:rFonts w:ascii="Arial" w:cs="Arial" w:eastAsia="Arial" w:hAnsi="Arial"/>
                <w:sz w:val="18"/>
                <w:szCs w:val="18"/>
                <w:color w:val="FFFFFF"/>
              </w:rPr>
              <w:t>(in millions)</w:t>
            </w:r>
          </w:p>
        </w:tc>
        <w:tc>
          <w:tcPr>
            <w:tcW w:w="700" w:type="dxa"/>
            <w:vAlign w:val="bottom"/>
            <w:tcBorders>
              <w:right w:val="single" w:sz="8" w:color="007CBA"/>
            </w:tcBorders>
            <w:shd w:val="clear" w:color="auto" w:fill="007CBA"/>
          </w:tcPr>
          <w:p>
            <w:pPr>
              <w:spacing w:after="0"/>
              <w:rPr>
                <w:sz w:val="17"/>
                <w:szCs w:val="17"/>
                <w:color w:val="auto"/>
              </w:rPr>
            </w:pPr>
          </w:p>
        </w:tc>
        <w:tc>
          <w:tcPr>
            <w:tcW w:w="620" w:type="dxa"/>
            <w:vAlign w:val="bottom"/>
            <w:shd w:val="clear" w:color="auto" w:fill="007CBA"/>
          </w:tcPr>
          <w:p>
            <w:pPr>
              <w:spacing w:after="0"/>
              <w:rPr>
                <w:sz w:val="17"/>
                <w:szCs w:val="17"/>
                <w:color w:val="auto"/>
              </w:rPr>
            </w:pPr>
          </w:p>
        </w:tc>
        <w:tc>
          <w:tcPr>
            <w:tcW w:w="1380" w:type="dxa"/>
            <w:vAlign w:val="bottom"/>
            <w:tcBorders>
              <w:right w:val="single" w:sz="8" w:color="007CBA"/>
            </w:tcBorders>
            <w:shd w:val="clear" w:color="auto" w:fill="007CBA"/>
          </w:tcPr>
          <w:p>
            <w:pPr>
              <w:spacing w:after="0"/>
              <w:rPr>
                <w:sz w:val="17"/>
                <w:szCs w:val="17"/>
                <w:color w:val="auto"/>
              </w:rPr>
            </w:pPr>
          </w:p>
        </w:tc>
        <w:tc>
          <w:tcPr>
            <w:tcW w:w="600" w:type="dxa"/>
            <w:vAlign w:val="bottom"/>
            <w:shd w:val="clear" w:color="auto" w:fill="007CBA"/>
          </w:tcPr>
          <w:p>
            <w:pPr>
              <w:spacing w:after="0"/>
              <w:rPr>
                <w:sz w:val="17"/>
                <w:szCs w:val="17"/>
                <w:color w:val="auto"/>
              </w:rPr>
            </w:pPr>
          </w:p>
        </w:tc>
        <w:tc>
          <w:tcPr>
            <w:tcW w:w="1380" w:type="dxa"/>
            <w:vAlign w:val="bottom"/>
            <w:shd w:val="clear" w:color="auto" w:fill="007CBA"/>
          </w:tcPr>
          <w:p>
            <w:pPr>
              <w:spacing w:after="0"/>
              <w:rPr>
                <w:sz w:val="17"/>
                <w:szCs w:val="17"/>
                <w:color w:val="auto"/>
              </w:rPr>
            </w:pPr>
          </w:p>
        </w:tc>
      </w:tr>
      <w:tr>
        <w:trPr>
          <w:trHeight w:val="221"/>
        </w:trPr>
        <w:tc>
          <w:tcPr>
            <w:tcW w:w="6560" w:type="dxa"/>
            <w:vAlign w:val="bottom"/>
            <w:shd w:val="clear" w:color="auto" w:fill="007CBA"/>
          </w:tcPr>
          <w:p>
            <w:pPr>
              <w:ind w:left="80"/>
              <w:spacing w:after="0"/>
              <w:rPr>
                <w:sz w:val="20"/>
                <w:szCs w:val="20"/>
                <w:color w:val="auto"/>
              </w:rPr>
            </w:pPr>
            <w:r>
              <w:rPr>
                <w:rFonts w:ascii="Arial" w:cs="Arial" w:eastAsia="Arial" w:hAnsi="Arial"/>
                <w:sz w:val="18"/>
                <w:szCs w:val="18"/>
                <w:b w:val="1"/>
                <w:bCs w:val="1"/>
                <w:color w:val="FFFFFF"/>
              </w:rPr>
              <w:t>Assets employed</w:t>
            </w:r>
          </w:p>
        </w:tc>
        <w:tc>
          <w:tcPr>
            <w:tcW w:w="700" w:type="dxa"/>
            <w:vAlign w:val="bottom"/>
            <w:tcBorders>
              <w:right w:val="single" w:sz="8" w:color="007CBA"/>
            </w:tcBorders>
            <w:shd w:val="clear" w:color="auto" w:fill="007CBA"/>
          </w:tcPr>
          <w:p>
            <w:pPr>
              <w:spacing w:after="0"/>
              <w:rPr>
                <w:sz w:val="19"/>
                <w:szCs w:val="19"/>
                <w:color w:val="auto"/>
              </w:rPr>
            </w:pPr>
          </w:p>
        </w:tc>
        <w:tc>
          <w:tcPr>
            <w:tcW w:w="62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2025</w:t>
            </w:r>
          </w:p>
        </w:tc>
        <w:tc>
          <w:tcPr>
            <w:tcW w:w="60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2024</w:t>
            </w:r>
          </w:p>
        </w:tc>
      </w:tr>
      <w:tr>
        <w:trPr>
          <w:trHeight w:val="203"/>
        </w:trPr>
        <w:tc>
          <w:tcPr>
            <w:tcW w:w="6560" w:type="dxa"/>
            <w:vAlign w:val="bottom"/>
          </w:tcPr>
          <w:p>
            <w:pPr>
              <w:ind w:left="80"/>
              <w:spacing w:after="0" w:line="202" w:lineRule="exact"/>
              <w:rPr>
                <w:sz w:val="20"/>
                <w:szCs w:val="20"/>
                <w:color w:val="auto"/>
              </w:rPr>
            </w:pPr>
            <w:r>
              <w:rPr>
                <w:rFonts w:ascii="Arial" w:cs="Arial" w:eastAsia="Arial" w:hAnsi="Arial"/>
                <w:sz w:val="18"/>
                <w:szCs w:val="18"/>
                <w:color w:val="auto"/>
              </w:rPr>
              <w:t>East Group</w:t>
            </w:r>
          </w:p>
        </w:tc>
        <w:tc>
          <w:tcPr>
            <w:tcW w:w="700" w:type="dxa"/>
            <w:vAlign w:val="bottom"/>
            <w:tcBorders>
              <w:right w:val="single" w:sz="8" w:color="007CBA"/>
            </w:tcBorders>
          </w:tcPr>
          <w:p>
            <w:pPr>
              <w:spacing w:after="0"/>
              <w:rPr>
                <w:sz w:val="17"/>
                <w:szCs w:val="17"/>
                <w:color w:val="auto"/>
              </w:rPr>
            </w:pPr>
          </w:p>
        </w:tc>
        <w:tc>
          <w:tcPr>
            <w:tcW w:w="6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8,783</w:t>
            </w:r>
          </w:p>
        </w:tc>
        <w:tc>
          <w:tcPr>
            <w:tcW w:w="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8,452</w:t>
            </w:r>
          </w:p>
        </w:tc>
      </w:tr>
      <w:tr>
        <w:trPr>
          <w:trHeight w:val="203"/>
        </w:trPr>
        <w:tc>
          <w:tcPr>
            <w:tcW w:w="6560" w:type="dxa"/>
            <w:vAlign w:val="bottom"/>
            <w:shd w:val="clear" w:color="auto" w:fill="E5F1F8"/>
          </w:tcPr>
          <w:p>
            <w:pPr>
              <w:ind w:left="80"/>
              <w:spacing w:after="0" w:line="202" w:lineRule="exact"/>
              <w:rPr>
                <w:sz w:val="20"/>
                <w:szCs w:val="20"/>
                <w:color w:val="auto"/>
              </w:rPr>
            </w:pPr>
            <w:r>
              <w:rPr>
                <w:rFonts w:ascii="Arial" w:cs="Arial" w:eastAsia="Arial" w:hAnsi="Arial"/>
                <w:sz w:val="18"/>
                <w:szCs w:val="18"/>
                <w:color w:val="auto"/>
              </w:rPr>
              <w:t>West Group</w:t>
            </w:r>
          </w:p>
        </w:tc>
        <w:tc>
          <w:tcPr>
            <w:tcW w:w="700" w:type="dxa"/>
            <w:vAlign w:val="bottom"/>
            <w:tcBorders>
              <w:right w:val="single" w:sz="8" w:color="007CBA"/>
            </w:tcBorders>
            <w:shd w:val="clear" w:color="auto" w:fill="E5F1F8"/>
          </w:tcPr>
          <w:p>
            <w:pPr>
              <w:spacing w:after="0"/>
              <w:rPr>
                <w:sz w:val="17"/>
                <w:szCs w:val="17"/>
                <w:color w:val="auto"/>
              </w:rPr>
            </w:pPr>
          </w:p>
        </w:tc>
        <w:tc>
          <w:tcPr>
            <w:tcW w:w="6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7,972</w:t>
            </w:r>
          </w:p>
        </w:tc>
        <w:tc>
          <w:tcPr>
            <w:tcW w:w="60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7,941</w:t>
            </w:r>
          </w:p>
        </w:tc>
      </w:tr>
      <w:tr>
        <w:trPr>
          <w:trHeight w:val="202"/>
        </w:trPr>
        <w:tc>
          <w:tcPr>
            <w:tcW w:w="65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Specialties</w:t>
            </w: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883</w:t>
            </w:r>
          </w:p>
        </w:tc>
        <w:tc>
          <w:tcPr>
            <w:tcW w:w="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269</w:t>
            </w:r>
          </w:p>
        </w:tc>
      </w:tr>
      <w:tr>
        <w:trPr>
          <w:trHeight w:val="196"/>
        </w:trPr>
        <w:tc>
          <w:tcPr>
            <w:tcW w:w="6560" w:type="dxa"/>
            <w:vAlign w:val="bottom"/>
            <w:shd w:val="clear" w:color="auto" w:fill="E5F1F8"/>
          </w:tcPr>
          <w:p>
            <w:pPr>
              <w:ind w:left="80"/>
              <w:spacing w:after="0" w:line="196" w:lineRule="exact"/>
              <w:rPr>
                <w:sz w:val="20"/>
                <w:szCs w:val="20"/>
                <w:color w:val="auto"/>
              </w:rPr>
            </w:pPr>
            <w:r>
              <w:rPr>
                <w:rFonts w:ascii="Arial" w:cs="Arial" w:eastAsia="Arial" w:hAnsi="Arial"/>
                <w:sz w:val="18"/>
                <w:szCs w:val="18"/>
                <w:color w:val="auto"/>
              </w:rPr>
              <w:t>Total reportable segments</w:t>
            </w:r>
          </w:p>
        </w:tc>
        <w:tc>
          <w:tcPr>
            <w:tcW w:w="700" w:type="dxa"/>
            <w:vAlign w:val="bottom"/>
            <w:tcBorders>
              <w:right w:val="single" w:sz="8" w:color="007CBA"/>
            </w:tcBorders>
            <w:shd w:val="clear" w:color="auto" w:fill="E5F1F8"/>
          </w:tcPr>
          <w:p>
            <w:pPr>
              <w:spacing w:after="0"/>
              <w:rPr>
                <w:sz w:val="17"/>
                <w:szCs w:val="17"/>
                <w:color w:val="auto"/>
              </w:rPr>
            </w:pPr>
          </w:p>
        </w:tc>
        <w:tc>
          <w:tcPr>
            <w:tcW w:w="620" w:type="dxa"/>
            <w:vAlign w:val="bottom"/>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17,638</w:t>
            </w:r>
          </w:p>
        </w:tc>
        <w:tc>
          <w:tcPr>
            <w:tcW w:w="600" w:type="dxa"/>
            <w:vAlign w:val="bottom"/>
            <w:shd w:val="clear" w:color="auto" w:fill="E5F1F8"/>
          </w:tcPr>
          <w:p>
            <w:pPr>
              <w:spacing w:after="0"/>
              <w:rPr>
                <w:sz w:val="17"/>
                <w:szCs w:val="17"/>
                <w:color w:val="auto"/>
              </w:rPr>
            </w:pPr>
          </w:p>
        </w:tc>
        <w:tc>
          <w:tcPr>
            <w:tcW w:w="1380" w:type="dxa"/>
            <w:vAlign w:val="bottom"/>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16,662</w:t>
            </w:r>
          </w:p>
        </w:tc>
      </w:tr>
      <w:tr>
        <w:trPr>
          <w:trHeight w:val="203"/>
        </w:trPr>
        <w:tc>
          <w:tcPr>
            <w:tcW w:w="65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Corporate</w:t>
            </w: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1,073</w:t>
            </w:r>
          </w:p>
        </w:tc>
        <w:tc>
          <w:tcPr>
            <w:tcW w:w="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1,508</w:t>
            </w:r>
          </w:p>
        </w:tc>
      </w:tr>
      <w:tr>
        <w:trPr>
          <w:trHeight w:val="236"/>
        </w:trPr>
        <w:tc>
          <w:tcPr>
            <w:tcW w:w="6560" w:type="dxa"/>
            <w:vAlign w:val="bottom"/>
            <w:tcBorders>
              <w:bottom w:val="single" w:sz="8" w:color="auto"/>
            </w:tcBorders>
            <w:shd w:val="clear" w:color="auto" w:fill="E5F1F8"/>
          </w:tcPr>
          <w:p>
            <w:pPr>
              <w:ind w:left="80"/>
              <w:spacing w:after="0" w:line="196"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gridSpan w:val="2"/>
            <w:shd w:val="clear" w:color="auto" w:fill="E5F1F8"/>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18,711</w:t>
            </w:r>
          </w:p>
        </w:tc>
        <w:tc>
          <w:tcPr>
            <w:tcW w:w="600" w:type="dxa"/>
            <w:vAlign w:val="bottom"/>
            <w:tcBorders>
              <w:bottom w:val="single" w:sz="8" w:color="auto"/>
            </w:tcBorders>
            <w:shd w:val="clear" w:color="auto" w:fill="E5F1F8"/>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18,170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-569595</wp:posOffset>
            </wp:positionV>
            <wp:extent cx="34290" cy="1625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-569595</wp:posOffset>
            </wp:positionV>
            <wp:extent cx="33655" cy="1625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-303530</wp:posOffset>
            </wp:positionV>
            <wp:extent cx="34290" cy="3168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-303530</wp:posOffset>
            </wp:positionV>
            <wp:extent cx="33655" cy="3168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property additions for the Company's reportable segments: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i w:val="1"/>
                <w:iCs w:val="1"/>
                <w:color w:val="FFFFFF"/>
              </w:rPr>
              <w:t>years ended December 31</w:t>
            </w:r>
          </w:p>
        </w:tc>
        <w:tc>
          <w:tcPr>
            <w:tcW w:w="50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03"/>
        </w:trPr>
        <w:tc>
          <w:tcPr>
            <w:tcW w:w="6180" w:type="dxa"/>
            <w:vAlign w:val="bottom"/>
            <w:tcBorders>
              <w:right w:val="single" w:sz="8" w:color="007CBA"/>
            </w:tcBorders>
            <w:shd w:val="clear" w:color="auto" w:fill="007CBA"/>
          </w:tcPr>
          <w:p>
            <w:pPr>
              <w:ind w:left="60"/>
              <w:spacing w:after="0" w:line="202" w:lineRule="exact"/>
              <w:rPr>
                <w:sz w:val="20"/>
                <w:szCs w:val="20"/>
                <w:color w:val="auto"/>
              </w:rPr>
            </w:pPr>
            <w:r>
              <w:rPr>
                <w:rFonts w:ascii="Arial" w:cs="Arial" w:eastAsia="Arial" w:hAnsi="Arial"/>
                <w:sz w:val="18"/>
                <w:szCs w:val="18"/>
                <w:color w:val="FFFFFF"/>
              </w:rPr>
              <w:t>(in millions)</w:t>
            </w:r>
          </w:p>
        </w:tc>
        <w:tc>
          <w:tcPr>
            <w:tcW w:w="50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21"/>
        </w:trPr>
        <w:tc>
          <w:tcPr>
            <w:tcW w:w="61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b w:val="1"/>
                <w:bCs w:val="1"/>
                <w:color w:val="FFFFFF"/>
              </w:rPr>
              <w:t>Total property additions, including the impact of acquisitions</w:t>
            </w:r>
          </w:p>
        </w:tc>
        <w:tc>
          <w:tcPr>
            <w:tcW w:w="50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2025</w:t>
            </w:r>
          </w:p>
        </w:tc>
        <w:tc>
          <w:tcPr>
            <w:tcW w:w="48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50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3"/>
        </w:trPr>
        <w:tc>
          <w:tcPr>
            <w:tcW w:w="61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East Group</w:t>
            </w:r>
          </w:p>
        </w:tc>
        <w:tc>
          <w:tcPr>
            <w:tcW w:w="50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537</w:t>
            </w:r>
          </w:p>
        </w:tc>
        <w:tc>
          <w:tcPr>
            <w:tcW w:w="48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3,185</w:t>
            </w:r>
          </w:p>
        </w:tc>
        <w:tc>
          <w:tcPr>
            <w:tcW w:w="500" w:type="dxa"/>
            <w:vAlign w:val="bottom"/>
            <w:shd w:val="clear" w:color="auto" w:fill="E5F1F8"/>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1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West Group</w:t>
            </w:r>
          </w:p>
        </w:tc>
        <w:tc>
          <w:tcPr>
            <w:tcW w:w="500" w:type="dxa"/>
            <w:vAlign w:val="bottom"/>
          </w:tcPr>
          <w:p>
            <w:pPr>
              <w:spacing w:after="0"/>
              <w:rPr>
                <w:sz w:val="17"/>
                <w:szCs w:val="17"/>
                <w:color w:val="auto"/>
              </w:rPr>
            </w:pPr>
          </w:p>
        </w:tc>
        <w:tc>
          <w:tcPr>
            <w:tcW w:w="12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300</w:t>
            </w:r>
          </w:p>
        </w:tc>
        <w:tc>
          <w:tcPr>
            <w:tcW w:w="48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1,216</w:t>
            </w:r>
          </w:p>
        </w:tc>
        <w:tc>
          <w:tcPr>
            <w:tcW w:w="5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342</w:t>
            </w:r>
          </w:p>
        </w:tc>
      </w:tr>
      <w:tr>
        <w:trPr>
          <w:trHeight w:val="203"/>
        </w:trPr>
        <w:tc>
          <w:tcPr>
            <w:tcW w:w="618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Specialties</w:t>
            </w:r>
          </w:p>
        </w:tc>
        <w:tc>
          <w:tcPr>
            <w:tcW w:w="50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377</w:t>
            </w:r>
          </w:p>
        </w:tc>
        <w:tc>
          <w:tcPr>
            <w:tcW w:w="48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32</w:t>
            </w:r>
          </w:p>
        </w:tc>
        <w:tc>
          <w:tcPr>
            <w:tcW w:w="50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196"/>
        </w:trPr>
        <w:tc>
          <w:tcPr>
            <w:tcW w:w="618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Total reportable segments</w:t>
            </w:r>
          </w:p>
        </w:tc>
        <w:tc>
          <w:tcPr>
            <w:tcW w:w="500" w:type="dxa"/>
            <w:vAlign w:val="bottom"/>
          </w:tcPr>
          <w:p>
            <w:pPr>
              <w:spacing w:after="0"/>
              <w:rPr>
                <w:sz w:val="17"/>
                <w:szCs w:val="17"/>
                <w:color w:val="auto"/>
              </w:rPr>
            </w:pPr>
          </w:p>
        </w:tc>
        <w:tc>
          <w:tcPr>
            <w:tcW w:w="1200" w:type="dxa"/>
            <w:vAlign w:val="bottom"/>
            <w:tcBorders>
              <w:right w:val="single" w:sz="8" w:color="007CBA"/>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1,214</w:t>
            </w:r>
          </w:p>
        </w:tc>
        <w:tc>
          <w:tcPr>
            <w:tcW w:w="480" w:type="dxa"/>
            <w:vAlign w:val="bottom"/>
          </w:tcPr>
          <w:p>
            <w:pPr>
              <w:spacing w:after="0"/>
              <w:rPr>
                <w:sz w:val="17"/>
                <w:szCs w:val="17"/>
                <w:color w:val="auto"/>
              </w:rPr>
            </w:pPr>
          </w:p>
        </w:tc>
        <w:tc>
          <w:tcPr>
            <w:tcW w:w="120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4,433</w:t>
            </w:r>
          </w:p>
        </w:tc>
        <w:tc>
          <w:tcPr>
            <w:tcW w:w="500" w:type="dxa"/>
            <w:vAlign w:val="bottom"/>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612</w:t>
            </w:r>
          </w:p>
        </w:tc>
      </w:tr>
      <w:tr>
        <w:trPr>
          <w:trHeight w:val="202"/>
        </w:trPr>
        <w:tc>
          <w:tcPr>
            <w:tcW w:w="618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Corporate</w:t>
            </w:r>
          </w:p>
        </w:tc>
        <w:tc>
          <w:tcPr>
            <w:tcW w:w="50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26</w:t>
            </w:r>
          </w:p>
        </w:tc>
        <w:tc>
          <w:tcPr>
            <w:tcW w:w="480" w:type="dxa"/>
            <w:vAlign w:val="bottom"/>
            <w:tcBorders>
              <w:bottom w:val="single" w:sz="8" w:color="auto"/>
            </w:tcBorders>
            <w:shd w:val="clear" w:color="auto" w:fill="E5F1F8"/>
          </w:tcPr>
          <w:p>
            <w:pPr>
              <w:spacing w:after="0"/>
              <w:rPr>
                <w:sz w:val="17"/>
                <w:szCs w:val="17"/>
                <w:color w:val="auto"/>
              </w:rPr>
            </w:pPr>
          </w:p>
        </w:tc>
        <w:tc>
          <w:tcPr>
            <w:tcW w:w="120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22</w:t>
            </w:r>
          </w:p>
        </w:tc>
        <w:tc>
          <w:tcPr>
            <w:tcW w:w="50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14</w:t>
            </w:r>
          </w:p>
        </w:tc>
      </w:tr>
      <w:tr>
        <w:trPr>
          <w:trHeight w:val="196"/>
        </w:trPr>
        <w:tc>
          <w:tcPr>
            <w:tcW w:w="6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1,240</w:t>
            </w:r>
          </w:p>
        </w:tc>
        <w:tc>
          <w:tcPr>
            <w:tcW w:w="4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4,455</w:t>
            </w:r>
          </w:p>
        </w:tc>
        <w:tc>
          <w:tcPr>
            <w:tcW w:w="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626</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5"/>
        </w:trPr>
        <w:tc>
          <w:tcPr>
            <w:tcW w:w="6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84"/>
        </w:trPr>
        <w:tc>
          <w:tcPr>
            <w:tcW w:w="618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500" w:type="dxa"/>
            <w:vAlign w:val="bottom"/>
            <w:shd w:val="clear" w:color="auto" w:fill="007CBA"/>
          </w:tcPr>
          <w:p>
            <w:pPr>
              <w:spacing w:after="0"/>
              <w:rPr>
                <w:sz w:val="15"/>
                <w:szCs w:val="15"/>
                <w:color w:val="auto"/>
              </w:rPr>
            </w:pPr>
          </w:p>
        </w:tc>
        <w:tc>
          <w:tcPr>
            <w:tcW w:w="1200" w:type="dxa"/>
            <w:vAlign w:val="bottom"/>
            <w:tcBorders>
              <w:right w:val="single" w:sz="8" w:color="007CBA"/>
            </w:tcBorders>
            <w:shd w:val="clear" w:color="auto" w:fill="007CBA"/>
          </w:tcPr>
          <w:p>
            <w:pPr>
              <w:spacing w:after="0"/>
              <w:rPr>
                <w:sz w:val="15"/>
                <w:szCs w:val="15"/>
                <w:color w:val="auto"/>
              </w:rPr>
            </w:pPr>
          </w:p>
        </w:tc>
        <w:tc>
          <w:tcPr>
            <w:tcW w:w="480" w:type="dxa"/>
            <w:vAlign w:val="bottom"/>
            <w:shd w:val="clear" w:color="auto" w:fill="007CBA"/>
          </w:tcPr>
          <w:p>
            <w:pPr>
              <w:spacing w:after="0"/>
              <w:rPr>
                <w:sz w:val="15"/>
                <w:szCs w:val="15"/>
                <w:color w:val="auto"/>
              </w:rPr>
            </w:pPr>
          </w:p>
        </w:tc>
        <w:tc>
          <w:tcPr>
            <w:tcW w:w="1200" w:type="dxa"/>
            <w:vAlign w:val="bottom"/>
            <w:tcBorders>
              <w:right w:val="single" w:sz="8" w:color="007CBA"/>
            </w:tcBorders>
            <w:shd w:val="clear" w:color="auto" w:fill="007CBA"/>
          </w:tcPr>
          <w:p>
            <w:pPr>
              <w:spacing w:after="0"/>
              <w:rPr>
                <w:sz w:val="15"/>
                <w:szCs w:val="15"/>
                <w:color w:val="auto"/>
              </w:rPr>
            </w:pPr>
          </w:p>
        </w:tc>
        <w:tc>
          <w:tcPr>
            <w:tcW w:w="500" w:type="dxa"/>
            <w:vAlign w:val="bottom"/>
            <w:shd w:val="clear" w:color="auto" w:fill="007CBA"/>
          </w:tcPr>
          <w:p>
            <w:pPr>
              <w:spacing w:after="0"/>
              <w:rPr>
                <w:sz w:val="15"/>
                <w:szCs w:val="15"/>
                <w:color w:val="auto"/>
              </w:rPr>
            </w:pPr>
          </w:p>
        </w:tc>
        <w:tc>
          <w:tcPr>
            <w:tcW w:w="1180" w:type="dxa"/>
            <w:vAlign w:val="bottom"/>
            <w:shd w:val="clear" w:color="auto" w:fill="007CBA"/>
          </w:tcPr>
          <w:p>
            <w:pPr>
              <w:spacing w:after="0"/>
              <w:rPr>
                <w:sz w:val="15"/>
                <w:szCs w:val="15"/>
                <w:color w:val="auto"/>
              </w:rPr>
            </w:pPr>
          </w:p>
        </w:tc>
      </w:tr>
      <w:tr>
        <w:trPr>
          <w:trHeight w:val="203"/>
        </w:trPr>
        <w:tc>
          <w:tcPr>
            <w:tcW w:w="6180" w:type="dxa"/>
            <w:vAlign w:val="bottom"/>
            <w:tcBorders>
              <w:right w:val="single" w:sz="8" w:color="007CBA"/>
            </w:tcBorders>
            <w:shd w:val="clear" w:color="auto" w:fill="007CBA"/>
          </w:tcPr>
          <w:p>
            <w:pPr>
              <w:ind w:left="60"/>
              <w:spacing w:after="0" w:line="202" w:lineRule="exact"/>
              <w:rPr>
                <w:sz w:val="20"/>
                <w:szCs w:val="20"/>
                <w:color w:val="auto"/>
              </w:rPr>
            </w:pPr>
            <w:r>
              <w:rPr>
                <w:rFonts w:ascii="Arial" w:cs="Arial" w:eastAsia="Arial" w:hAnsi="Arial"/>
                <w:sz w:val="18"/>
                <w:szCs w:val="18"/>
                <w:color w:val="FFFFFF"/>
              </w:rPr>
              <w:t>(in millions)</w:t>
            </w:r>
          </w:p>
        </w:tc>
        <w:tc>
          <w:tcPr>
            <w:tcW w:w="50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1200" w:type="dxa"/>
            <w:vAlign w:val="bottom"/>
            <w:tcBorders>
              <w:right w:val="single" w:sz="8" w:color="007CBA"/>
            </w:tcBorders>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21"/>
        </w:trPr>
        <w:tc>
          <w:tcPr>
            <w:tcW w:w="61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b w:val="1"/>
                <w:bCs w:val="1"/>
                <w:color w:val="FFFFFF"/>
              </w:rPr>
              <w:t>Property additions through acquisitions</w:t>
            </w:r>
          </w:p>
        </w:tc>
        <w:tc>
          <w:tcPr>
            <w:tcW w:w="50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2025</w:t>
            </w:r>
          </w:p>
        </w:tc>
        <w:tc>
          <w:tcPr>
            <w:tcW w:w="48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color w:val="FFFFFF"/>
              </w:rPr>
              <w:t>2024</w:t>
            </w:r>
          </w:p>
        </w:tc>
        <w:tc>
          <w:tcPr>
            <w:tcW w:w="50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2023</w:t>
            </w:r>
          </w:p>
        </w:tc>
      </w:tr>
      <w:tr>
        <w:trPr>
          <w:trHeight w:val="203"/>
        </w:trPr>
        <w:tc>
          <w:tcPr>
            <w:tcW w:w="61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East Group</w:t>
            </w:r>
          </w:p>
        </w:tc>
        <w:tc>
          <w:tcPr>
            <w:tcW w:w="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92</w:t>
            </w:r>
          </w:p>
        </w:tc>
        <w:tc>
          <w:tcPr>
            <w:tcW w:w="4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2,853</w:t>
            </w:r>
          </w:p>
        </w:tc>
        <w:tc>
          <w:tcPr>
            <w:tcW w:w="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West Group</w:t>
            </w:r>
          </w:p>
        </w:tc>
        <w:tc>
          <w:tcPr>
            <w:tcW w:w="50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732</w:t>
            </w:r>
          </w:p>
        </w:tc>
        <w:tc>
          <w:tcPr>
            <w:tcW w:w="500" w:type="dxa"/>
            <w:vAlign w:val="bottom"/>
            <w:shd w:val="clear" w:color="auto" w:fill="E5F1F8"/>
          </w:tcPr>
          <w:p>
            <w:pPr>
              <w:spacing w:after="0"/>
              <w:rPr>
                <w:sz w:val="17"/>
                <w:szCs w:val="17"/>
                <w:color w:val="auto"/>
              </w:rPr>
            </w:pPr>
          </w:p>
        </w:tc>
        <w:tc>
          <w:tcPr>
            <w:tcW w:w="11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Specialties</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335</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180" w:type="dxa"/>
            <w:vAlign w:val="bottom"/>
            <w:tcBorders>
              <w:right w:val="single" w:sz="8" w:color="007CBA"/>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reportable segments</w:t>
            </w:r>
          </w:p>
        </w:tc>
        <w:tc>
          <w:tcPr>
            <w:tcW w:w="50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429</w:t>
            </w:r>
          </w:p>
        </w:tc>
        <w:tc>
          <w:tcPr>
            <w:tcW w:w="48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3,585</w:t>
            </w:r>
          </w:p>
        </w:tc>
        <w:tc>
          <w:tcPr>
            <w:tcW w:w="500" w:type="dxa"/>
            <w:vAlign w:val="bottom"/>
            <w:shd w:val="clear" w:color="auto" w:fill="E5F1F8"/>
          </w:tcPr>
          <w:p>
            <w:pPr>
              <w:spacing w:after="0"/>
              <w:rPr>
                <w:sz w:val="17"/>
                <w:szCs w:val="17"/>
                <w:color w:val="auto"/>
              </w:rPr>
            </w:pPr>
          </w:p>
        </w:tc>
        <w:tc>
          <w:tcPr>
            <w:tcW w:w="1180" w:type="dxa"/>
            <w:vAlign w:val="bottom"/>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Corporate</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6180" w:type="dxa"/>
            <w:vAlign w:val="bottom"/>
            <w:tcBorders>
              <w:bottom w:val="single" w:sz="8" w:color="auto"/>
              <w:right w:val="single" w:sz="8" w:color="E5F1F8"/>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Arial" w:cs="Arial" w:eastAsia="Arial" w:hAnsi="Arial"/>
                <w:sz w:val="18"/>
                <w:szCs w:val="18"/>
                <w:b w:val="1"/>
                <w:bCs w:val="1"/>
                <w:color w:val="auto"/>
              </w:rPr>
              <w:t>429</w:t>
            </w:r>
          </w:p>
        </w:tc>
        <w:tc>
          <w:tcPr>
            <w:tcW w:w="480" w:type="dxa"/>
            <w:vAlign w:val="bottom"/>
            <w:tcBorders>
              <w:bottom w:val="single" w:sz="8" w:color="auto"/>
            </w:tcBorders>
            <w:shd w:val="clear" w:color="auto" w:fill="E5F1F8"/>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E5F1F8"/>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3,585</w:t>
            </w:r>
          </w:p>
        </w:tc>
        <w:tc>
          <w:tcPr>
            <w:tcW w:w="50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-1829435</wp:posOffset>
            </wp:positionV>
            <wp:extent cx="33655" cy="1625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-1829435</wp:posOffset>
            </wp:positionV>
            <wp:extent cx="34290" cy="16256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-1829435</wp:posOffset>
            </wp:positionV>
            <wp:extent cx="33655" cy="1625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-1563370</wp:posOffset>
            </wp:positionV>
            <wp:extent cx="33655" cy="3168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-1563370</wp:posOffset>
            </wp:positionV>
            <wp:extent cx="34290" cy="3168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-1563370</wp:posOffset>
            </wp:positionV>
            <wp:extent cx="33655" cy="3168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-568960</wp:posOffset>
            </wp:positionV>
            <wp:extent cx="33655" cy="16256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-568960</wp:posOffset>
            </wp:positionV>
            <wp:extent cx="34290" cy="1625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-568960</wp:posOffset>
            </wp:positionV>
            <wp:extent cx="33655" cy="1625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-303530</wp:posOffset>
            </wp:positionV>
            <wp:extent cx="33655" cy="3168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-303530</wp:posOffset>
            </wp:positionV>
            <wp:extent cx="34290" cy="3168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-303530</wp:posOffset>
            </wp:positionV>
            <wp:extent cx="33655" cy="3168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P: Revenues and Gross Profit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tables, which are reconciled to consolidated amounts and reflect continuing operations only, provide revenues and gross profit (loss) by line of business: Building Materials (further divided by product line) and Specialties. Interproduct revenues represent sales from the aggregates product line to the other building materials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308"/>
        </w:trPr>
        <w:tc>
          <w:tcPr>
            <w:tcW w:w="6520" w:type="dxa"/>
            <w:vAlign w:val="bottom"/>
            <w:gridSpan w:val="2"/>
          </w:tcPr>
          <w:p>
            <w:pPr>
              <w:ind w:left="6020"/>
              <w:spacing w:after="0"/>
              <w:rPr>
                <w:sz w:val="20"/>
                <w:szCs w:val="20"/>
                <w:color w:val="auto"/>
              </w:rPr>
            </w:pPr>
            <w:r>
              <w:rPr>
                <w:rFonts w:ascii="Arial" w:cs="Arial" w:eastAsia="Arial" w:hAnsi="Arial"/>
                <w:sz w:val="18"/>
                <w:szCs w:val="18"/>
                <w:color w:val="auto"/>
                <w:w w:val="99"/>
              </w:rPr>
              <w:t>Part II</w:t>
            </w:r>
          </w:p>
        </w:tc>
        <w:tc>
          <w:tcPr>
            <w:tcW w:w="4720" w:type="dxa"/>
            <w:vAlign w:val="bottom"/>
            <w:gridSpan w:val="6"/>
          </w:tcPr>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Item 8 – Financial Statements and Supplementary Data</w:t>
            </w:r>
          </w:p>
        </w:tc>
      </w:tr>
      <w:tr>
        <w:trPr>
          <w:trHeight w:val="263"/>
        </w:trPr>
        <w:tc>
          <w:tcPr>
            <w:tcW w:w="6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84"/>
        </w:trPr>
        <w:tc>
          <w:tcPr>
            <w:tcW w:w="6520" w:type="dxa"/>
            <w:vAlign w:val="bottom"/>
            <w:gridSpan w:val="2"/>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30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80" w:type="dxa"/>
            <w:vAlign w:val="bottom"/>
            <w:shd w:val="clear" w:color="auto" w:fill="007CBA"/>
          </w:tcPr>
          <w:p>
            <w:pPr>
              <w:spacing w:after="0"/>
              <w:rPr>
                <w:sz w:val="15"/>
                <w:szCs w:val="15"/>
                <w:color w:val="auto"/>
              </w:rPr>
            </w:pPr>
          </w:p>
        </w:tc>
      </w:tr>
      <w:tr>
        <w:trPr>
          <w:trHeight w:val="203"/>
        </w:trPr>
        <w:tc>
          <w:tcPr>
            <w:tcW w:w="6520" w:type="dxa"/>
            <w:vAlign w:val="bottom"/>
            <w:gridSpan w:val="2"/>
            <w:shd w:val="clear" w:color="auto" w:fill="007CBA"/>
          </w:tcPr>
          <w:p>
            <w:pPr>
              <w:ind w:left="60"/>
              <w:spacing w:after="0" w:line="202" w:lineRule="exact"/>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21"/>
        </w:trPr>
        <w:tc>
          <w:tcPr>
            <w:tcW w:w="6520" w:type="dxa"/>
            <w:vAlign w:val="bottom"/>
            <w:gridSpan w:val="2"/>
            <w:shd w:val="clear" w:color="auto" w:fill="007CBA"/>
          </w:tcPr>
          <w:p>
            <w:pPr>
              <w:ind w:left="60"/>
              <w:spacing w:after="0"/>
              <w:rPr>
                <w:sz w:val="20"/>
                <w:szCs w:val="20"/>
                <w:color w:val="auto"/>
              </w:rPr>
            </w:pPr>
            <w:r>
              <w:rPr>
                <w:rFonts w:ascii="Arial" w:cs="Arial" w:eastAsia="Arial" w:hAnsi="Arial"/>
                <w:sz w:val="18"/>
                <w:szCs w:val="18"/>
                <w:b w:val="1"/>
                <w:bCs w:val="1"/>
                <w:color w:val="FFFFFF"/>
              </w:rPr>
              <w:t>Revenues</w:t>
            </w:r>
          </w:p>
        </w:tc>
        <w:tc>
          <w:tcPr>
            <w:tcW w:w="30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Building Materials business: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Aggregates</w:t>
            </w:r>
          </w:p>
        </w:tc>
        <w:tc>
          <w:tcPr>
            <w:tcW w:w="140" w:type="dxa"/>
            <w:vAlign w:val="bottom"/>
            <w:shd w:val="clear" w:color="auto" w:fill="E5F1F8"/>
          </w:tcPr>
          <w:p>
            <w:pPr>
              <w:spacing w:after="0"/>
              <w:rPr>
                <w:sz w:val="17"/>
                <w:szCs w:val="17"/>
                <w:color w:val="auto"/>
              </w:rPr>
            </w:pPr>
          </w:p>
        </w:tc>
        <w:tc>
          <w:tcPr>
            <w:tcW w:w="300" w:type="dxa"/>
            <w:vAlign w:val="bottom"/>
            <w:shd w:val="clear" w:color="auto" w:fill="E5F1F8"/>
          </w:tcPr>
          <w:p>
            <w:pPr>
              <w:jc w:val="right"/>
              <w:ind w:right="85"/>
              <w:spacing w:after="0" w:line="202"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5,004</w:t>
            </w:r>
          </w:p>
        </w:tc>
        <w:tc>
          <w:tcPr>
            <w:tcW w:w="44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4,514</w:t>
            </w:r>
          </w:p>
        </w:tc>
        <w:tc>
          <w:tcPr>
            <w:tcW w:w="44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4,302</w:t>
            </w:r>
          </w:p>
        </w:tc>
      </w:tr>
      <w:tr>
        <w:trPr>
          <w:trHeight w:val="203"/>
        </w:trPr>
        <w:tc>
          <w:tcPr>
            <w:tcW w:w="6380" w:type="dxa"/>
            <w:vAlign w:val="bottom"/>
            <w:tcBorders>
              <w:right w:val="single" w:sz="8" w:color="007CBA"/>
            </w:tcBorders>
          </w:tcPr>
          <w:p>
            <w:pPr>
              <w:ind w:left="180"/>
              <w:spacing w:after="0" w:line="202" w:lineRule="exact"/>
              <w:rPr>
                <w:sz w:val="20"/>
                <w:szCs w:val="20"/>
                <w:color w:val="auto"/>
              </w:rPr>
            </w:pPr>
            <w:r>
              <w:rPr>
                <w:rFonts w:ascii="Arial" w:cs="Arial" w:eastAsia="Arial" w:hAnsi="Arial"/>
                <w:sz w:val="18"/>
                <w:szCs w:val="18"/>
                <w:color w:val="auto"/>
              </w:rPr>
              <w:t>Other Building Materials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992</w:t>
            </w:r>
          </w:p>
        </w:tc>
        <w:tc>
          <w:tcPr>
            <w:tcW w:w="44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1,078</w:t>
            </w:r>
          </w:p>
        </w:tc>
        <w:tc>
          <w:tcPr>
            <w:tcW w:w="44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1,479</w:t>
            </w:r>
          </w:p>
        </w:tc>
      </w:tr>
      <w:tr>
        <w:trPr>
          <w:trHeight w:val="203"/>
        </w:trPr>
        <w:tc>
          <w:tcPr>
            <w:tcW w:w="6520" w:type="dxa"/>
            <w:vAlign w:val="bottom"/>
            <w:tcBorders>
              <w:bottom w:val="single" w:sz="8" w:color="auto"/>
            </w:tcBorders>
            <w:gridSpan w:val="2"/>
            <w:shd w:val="clear" w:color="auto" w:fill="E5F1F8"/>
          </w:tcPr>
          <w:p>
            <w:pPr>
              <w:ind w:left="180"/>
              <w:spacing w:after="0" w:line="202" w:lineRule="exact"/>
              <w:rPr>
                <w:sz w:val="20"/>
                <w:szCs w:val="20"/>
                <w:color w:val="auto"/>
              </w:rPr>
            </w:pPr>
            <w:r>
              <w:rPr>
                <w:rFonts w:ascii="Arial" w:cs="Arial" w:eastAsia="Arial" w:hAnsi="Arial"/>
                <w:sz w:val="18"/>
                <w:szCs w:val="18"/>
                <w:color w:val="auto"/>
              </w:rPr>
              <w:t>Less: interproduct revenues</w:t>
            </w:r>
          </w:p>
        </w:tc>
        <w:tc>
          <w:tcPr>
            <w:tcW w:w="30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(287)</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(245)</w:t>
            </w:r>
          </w:p>
        </w:tc>
      </w:tr>
      <w:tr>
        <w:trPr>
          <w:trHeight w:val="196"/>
        </w:trPr>
        <w:tc>
          <w:tcPr>
            <w:tcW w:w="6380" w:type="dxa"/>
            <w:vAlign w:val="bottom"/>
            <w:tcBorders>
              <w:right w:val="single" w:sz="8" w:color="007CBA"/>
            </w:tcBorders>
          </w:tcPr>
          <w:p>
            <w:pPr>
              <w:ind w:left="60"/>
              <w:spacing w:after="0" w:line="196" w:lineRule="exact"/>
              <w:rPr>
                <w:sz w:val="20"/>
                <w:szCs w:val="20"/>
                <w:color w:val="auto"/>
              </w:rPr>
            </w:pPr>
            <w:r>
              <w:rPr>
                <w:rFonts w:ascii="Arial" w:cs="Arial" w:eastAsia="Arial" w:hAnsi="Arial"/>
                <w:sz w:val="18"/>
                <w:szCs w:val="18"/>
                <w:color w:val="auto"/>
              </w:rPr>
              <w:t>Total Building Materials business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5,709</w:t>
            </w:r>
          </w:p>
        </w:tc>
        <w:tc>
          <w:tcPr>
            <w:tcW w:w="44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196" w:lineRule="exact"/>
              <w:rPr>
                <w:sz w:val="20"/>
                <w:szCs w:val="20"/>
                <w:color w:val="auto"/>
              </w:rPr>
            </w:pPr>
            <w:r>
              <w:rPr>
                <w:rFonts w:ascii="Arial" w:cs="Arial" w:eastAsia="Arial" w:hAnsi="Arial"/>
                <w:sz w:val="18"/>
                <w:szCs w:val="18"/>
                <w:color w:val="auto"/>
              </w:rPr>
              <w:t>5,342</w:t>
            </w:r>
          </w:p>
        </w:tc>
        <w:tc>
          <w:tcPr>
            <w:tcW w:w="440" w:type="dxa"/>
            <w:vAlign w:val="bottom"/>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5,536</w:t>
            </w:r>
          </w:p>
        </w:tc>
      </w:tr>
      <w:tr>
        <w:trPr>
          <w:trHeight w:val="202"/>
        </w:trPr>
        <w:tc>
          <w:tcPr>
            <w:tcW w:w="6520" w:type="dxa"/>
            <w:vAlign w:val="bottom"/>
            <w:tcBorders>
              <w:bottom w:val="single" w:sz="8" w:color="auto"/>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Specialties</w:t>
            </w:r>
          </w:p>
        </w:tc>
        <w:tc>
          <w:tcPr>
            <w:tcW w:w="30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441</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320</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315</w:t>
            </w:r>
          </w:p>
        </w:tc>
      </w:tr>
      <w:tr>
        <w:trPr>
          <w:trHeight w:val="196"/>
        </w:trPr>
        <w:tc>
          <w:tcPr>
            <w:tcW w:w="652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85"/>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6,150</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5,662</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5,851</w:t>
            </w:r>
          </w:p>
        </w:tc>
      </w:tr>
      <w:tr>
        <w:trPr>
          <w:trHeight w:val="20"/>
        </w:trPr>
        <w:tc>
          <w:tcPr>
            <w:tcW w:w="65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6520" w:type="dxa"/>
            <w:vAlign w:val="bottom"/>
            <w:gridSpan w:val="2"/>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30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80" w:type="dxa"/>
            <w:vAlign w:val="bottom"/>
            <w:shd w:val="clear" w:color="auto" w:fill="007CBA"/>
          </w:tcPr>
          <w:p>
            <w:pPr>
              <w:spacing w:after="0"/>
              <w:rPr>
                <w:sz w:val="15"/>
                <w:szCs w:val="15"/>
                <w:color w:val="auto"/>
              </w:rPr>
            </w:pPr>
          </w:p>
        </w:tc>
      </w:tr>
      <w:tr>
        <w:trPr>
          <w:trHeight w:val="203"/>
        </w:trPr>
        <w:tc>
          <w:tcPr>
            <w:tcW w:w="6520" w:type="dxa"/>
            <w:vAlign w:val="bottom"/>
            <w:gridSpan w:val="2"/>
            <w:shd w:val="clear" w:color="auto" w:fill="007CBA"/>
          </w:tcPr>
          <w:p>
            <w:pPr>
              <w:ind w:left="60"/>
              <w:spacing w:after="0" w:line="202" w:lineRule="exact"/>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21"/>
        </w:trPr>
        <w:tc>
          <w:tcPr>
            <w:tcW w:w="6520" w:type="dxa"/>
            <w:vAlign w:val="bottom"/>
            <w:gridSpan w:val="2"/>
            <w:shd w:val="clear" w:color="auto" w:fill="007CBA"/>
          </w:tcPr>
          <w:p>
            <w:pPr>
              <w:ind w:left="60"/>
              <w:spacing w:after="0"/>
              <w:rPr>
                <w:sz w:val="20"/>
                <w:szCs w:val="20"/>
                <w:color w:val="auto"/>
              </w:rPr>
            </w:pPr>
            <w:r>
              <w:rPr>
                <w:rFonts w:ascii="Arial" w:cs="Arial" w:eastAsia="Arial" w:hAnsi="Arial"/>
                <w:sz w:val="18"/>
                <w:szCs w:val="18"/>
                <w:b w:val="1"/>
                <w:bCs w:val="1"/>
                <w:color w:val="FFFFFF"/>
              </w:rPr>
              <w:t>Gross profit (loss)</w:t>
            </w:r>
          </w:p>
        </w:tc>
        <w:tc>
          <w:tcPr>
            <w:tcW w:w="30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Building Materials business: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Borders>
              <w:right w:val="single" w:sz="8" w:color="007CBA"/>
            </w:tcBorders>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380" w:type="dxa"/>
            <w:vAlign w:val="bottom"/>
            <w:tcBorders>
              <w:right w:val="single" w:sz="8" w:color="007CBA"/>
            </w:tcBorders>
            <w:shd w:val="clear" w:color="auto" w:fill="E5F1F8"/>
          </w:tcPr>
          <w:p>
            <w:pPr>
              <w:ind w:left="180"/>
              <w:spacing w:after="0" w:line="202" w:lineRule="exact"/>
              <w:rPr>
                <w:sz w:val="20"/>
                <w:szCs w:val="20"/>
                <w:color w:val="auto"/>
              </w:rPr>
            </w:pPr>
            <w:r>
              <w:rPr>
                <w:rFonts w:ascii="Arial" w:cs="Arial" w:eastAsia="Arial" w:hAnsi="Arial"/>
                <w:sz w:val="18"/>
                <w:szCs w:val="18"/>
                <w:color w:val="auto"/>
              </w:rPr>
              <w:t>Aggregates</w:t>
            </w:r>
          </w:p>
        </w:tc>
        <w:tc>
          <w:tcPr>
            <w:tcW w:w="140" w:type="dxa"/>
            <w:vAlign w:val="bottom"/>
            <w:shd w:val="clear" w:color="auto" w:fill="E5F1F8"/>
          </w:tcPr>
          <w:p>
            <w:pPr>
              <w:spacing w:after="0"/>
              <w:rPr>
                <w:sz w:val="17"/>
                <w:szCs w:val="17"/>
                <w:color w:val="auto"/>
              </w:rPr>
            </w:pPr>
          </w:p>
        </w:tc>
        <w:tc>
          <w:tcPr>
            <w:tcW w:w="300" w:type="dxa"/>
            <w:vAlign w:val="bottom"/>
            <w:shd w:val="clear" w:color="auto" w:fill="E5F1F8"/>
          </w:tcPr>
          <w:p>
            <w:pPr>
              <w:jc w:val="right"/>
              <w:ind w:right="85"/>
              <w:spacing w:after="0" w:line="202"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1,677</w:t>
            </w:r>
          </w:p>
        </w:tc>
        <w:tc>
          <w:tcPr>
            <w:tcW w:w="44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1,449</w:t>
            </w:r>
          </w:p>
        </w:tc>
        <w:tc>
          <w:tcPr>
            <w:tcW w:w="44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1,378</w:t>
            </w:r>
          </w:p>
        </w:tc>
      </w:tr>
      <w:tr>
        <w:trPr>
          <w:trHeight w:val="203"/>
        </w:trPr>
        <w:tc>
          <w:tcPr>
            <w:tcW w:w="6520" w:type="dxa"/>
            <w:vAlign w:val="bottom"/>
            <w:tcBorders>
              <w:bottom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Other Building Materials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98</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267</w:t>
            </w:r>
          </w:p>
        </w:tc>
      </w:tr>
      <w:tr>
        <w:trPr>
          <w:trHeight w:val="196"/>
        </w:trPr>
        <w:tc>
          <w:tcPr>
            <w:tcW w:w="6380" w:type="dxa"/>
            <w:vAlign w:val="bottom"/>
            <w:tcBorders>
              <w:right w:val="single" w:sz="8" w:color="007CBA"/>
            </w:tcBorders>
            <w:shd w:val="clear" w:color="auto" w:fill="E5F1F8"/>
          </w:tcPr>
          <w:p>
            <w:pPr>
              <w:ind w:left="60"/>
              <w:spacing w:after="0" w:line="196" w:lineRule="exact"/>
              <w:rPr>
                <w:sz w:val="20"/>
                <w:szCs w:val="20"/>
                <w:color w:val="auto"/>
              </w:rPr>
            </w:pPr>
            <w:r>
              <w:rPr>
                <w:rFonts w:ascii="Arial" w:cs="Arial" w:eastAsia="Arial" w:hAnsi="Arial"/>
                <w:sz w:val="18"/>
                <w:szCs w:val="18"/>
                <w:color w:val="auto"/>
              </w:rPr>
              <w:t>Total Building Materials business</w:t>
            </w:r>
          </w:p>
        </w:tc>
        <w:tc>
          <w:tcPr>
            <w:tcW w:w="140" w:type="dxa"/>
            <w:vAlign w:val="bottom"/>
            <w:shd w:val="clear" w:color="auto" w:fill="E5F1F8"/>
          </w:tcPr>
          <w:p>
            <w:pPr>
              <w:spacing w:after="0"/>
              <w:rPr>
                <w:sz w:val="17"/>
                <w:szCs w:val="17"/>
                <w:color w:val="auto"/>
              </w:rPr>
            </w:pPr>
          </w:p>
        </w:tc>
        <w:tc>
          <w:tcPr>
            <w:tcW w:w="30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b w:val="1"/>
                <w:bCs w:val="1"/>
                <w:color w:val="auto"/>
              </w:rPr>
              <w:t>1,775</w:t>
            </w:r>
          </w:p>
        </w:tc>
        <w:tc>
          <w:tcPr>
            <w:tcW w:w="440" w:type="dxa"/>
            <w:vAlign w:val="bottom"/>
            <w:shd w:val="clear" w:color="auto" w:fill="E5F1F8"/>
          </w:tcPr>
          <w:p>
            <w:pPr>
              <w:spacing w:after="0"/>
              <w:rPr>
                <w:sz w:val="17"/>
                <w:szCs w:val="17"/>
                <w:color w:val="auto"/>
              </w:rPr>
            </w:pPr>
          </w:p>
        </w:tc>
        <w:tc>
          <w:tcPr>
            <w:tcW w:w="1180" w:type="dxa"/>
            <w:vAlign w:val="bottom"/>
            <w:tcBorders>
              <w:right w:val="single" w:sz="8" w:color="007CBA"/>
            </w:tcBorders>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1,568</w:t>
            </w:r>
          </w:p>
        </w:tc>
        <w:tc>
          <w:tcPr>
            <w:tcW w:w="440" w:type="dxa"/>
            <w:vAlign w:val="bottom"/>
            <w:shd w:val="clear" w:color="auto" w:fill="E5F1F8"/>
          </w:tcPr>
          <w:p>
            <w:pPr>
              <w:spacing w:after="0"/>
              <w:rPr>
                <w:sz w:val="17"/>
                <w:szCs w:val="17"/>
                <w:color w:val="auto"/>
              </w:rPr>
            </w:pPr>
          </w:p>
        </w:tc>
        <w:tc>
          <w:tcPr>
            <w:tcW w:w="1180" w:type="dxa"/>
            <w:vAlign w:val="bottom"/>
            <w:shd w:val="clear" w:color="auto" w:fill="E5F1F8"/>
          </w:tcPr>
          <w:p>
            <w:pPr>
              <w:jc w:val="right"/>
              <w:ind w:right="30"/>
              <w:spacing w:after="0" w:line="196" w:lineRule="exact"/>
              <w:rPr>
                <w:sz w:val="20"/>
                <w:szCs w:val="20"/>
                <w:color w:val="auto"/>
              </w:rPr>
            </w:pPr>
            <w:r>
              <w:rPr>
                <w:rFonts w:ascii="Arial" w:cs="Arial" w:eastAsia="Arial" w:hAnsi="Arial"/>
                <w:sz w:val="18"/>
                <w:szCs w:val="18"/>
                <w:color w:val="auto"/>
              </w:rPr>
              <w:t>1,645</w:t>
            </w:r>
          </w:p>
        </w:tc>
      </w:tr>
      <w:tr>
        <w:trPr>
          <w:trHeight w:val="203"/>
        </w:trPr>
        <w:tc>
          <w:tcPr>
            <w:tcW w:w="638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Specialties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137</w:t>
            </w:r>
          </w:p>
        </w:tc>
        <w:tc>
          <w:tcPr>
            <w:tcW w:w="440" w:type="dxa"/>
            <w:vAlign w:val="bottom"/>
          </w:tcPr>
          <w:p>
            <w:pPr>
              <w:spacing w:after="0"/>
              <w:rPr>
                <w:sz w:val="17"/>
                <w:szCs w:val="17"/>
                <w:color w:val="auto"/>
              </w:rPr>
            </w:pP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107</w:t>
            </w:r>
          </w:p>
        </w:tc>
        <w:tc>
          <w:tcPr>
            <w:tcW w:w="44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w:t>
            </w:r>
          </w:p>
        </w:tc>
      </w:tr>
      <w:tr>
        <w:trPr>
          <w:trHeight w:val="202"/>
        </w:trPr>
        <w:tc>
          <w:tcPr>
            <w:tcW w:w="6520" w:type="dxa"/>
            <w:vAlign w:val="bottom"/>
            <w:tcBorders>
              <w:bottom w:val="single" w:sz="8" w:color="auto"/>
            </w:tcBorders>
            <w:gridSpan w:val="2"/>
            <w:shd w:val="clear" w:color="auto" w:fill="E5F1F8"/>
          </w:tcPr>
          <w:p>
            <w:pPr>
              <w:ind w:left="60"/>
              <w:spacing w:after="0" w:line="202" w:lineRule="exact"/>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spacing w:after="0" w:line="202" w:lineRule="exact"/>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3</w:t>
            </w:r>
          </w:p>
        </w:tc>
      </w:tr>
      <w:tr>
        <w:trPr>
          <w:trHeight w:val="196"/>
        </w:trPr>
        <w:tc>
          <w:tcPr>
            <w:tcW w:w="6520" w:type="dxa"/>
            <w:vAlign w:val="bottom"/>
            <w:tcBorders>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85"/>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1,889</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1,636</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1,745</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-2026920</wp:posOffset>
            </wp:positionV>
            <wp:extent cx="34290" cy="1625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-2026920</wp:posOffset>
            </wp:positionV>
            <wp:extent cx="33655" cy="1625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-2026920</wp:posOffset>
            </wp:positionV>
            <wp:extent cx="33655" cy="1625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-1760855</wp:posOffset>
            </wp:positionV>
            <wp:extent cx="34290" cy="3168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-1760855</wp:posOffset>
            </wp:positionV>
            <wp:extent cx="33655" cy="3168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-1760855</wp:posOffset>
            </wp:positionV>
            <wp:extent cx="33655" cy="3168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-697865</wp:posOffset>
            </wp:positionV>
            <wp:extent cx="34290" cy="1625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-697865</wp:posOffset>
            </wp:positionV>
            <wp:extent cx="33655" cy="1625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-697865</wp:posOffset>
            </wp:positionV>
            <wp:extent cx="33655" cy="1625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-303530</wp:posOffset>
            </wp:positionV>
            <wp:extent cx="34290" cy="3168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-303530</wp:posOffset>
            </wp:positionV>
            <wp:extent cx="33655" cy="3168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-303530</wp:posOffset>
            </wp:positionV>
            <wp:extent cx="33655" cy="3168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Effective September 30, 2025, the Company combined the cement and ready mixed concrete and the asphalt and paving services product lines (hereinafter, other building materials). This change was driven by the reduced significance of each of these product lines relative to revenues from continuing operations and earnings from continuing operations as a result of the pending divestiture of the Company's Midlothian cement plant, related cement terminals and Texas ready mixed concrete plants (see Note B) and associated reclassification of these revenues and earnings to discontinued operations for all periods presented.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above information for 2024 and 2023 has been reclassified to conform to current-year presentation. For the year ended December 31, 2024, the cement and ready mixed concrete product line reported revenues of $1.1 billion and gross profit of $260 million (of which, $874 million and $242 million, respectively, are classified as discontinued operations) and the asphalt and paving services product line reported revenues of $869 million and gross profit of $101 million. For the year ended December 31, 2023, the cement and ready mixed concrete product line reported revenues of $1.5 billion and gross profit of $436 million (of which, $1.0 billion and $276 million, respectively, are classified as discontinued operations) and the asphalt and paving services product line reported revenues of $887 million and gross profit of $109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Domestic and foreign revenues are as follows:</w:t>
            </w: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7"/>
        </w:trPr>
        <w:tc>
          <w:tcPr>
            <w:tcW w:w="6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40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5"/>
                <w:szCs w:val="15"/>
                <w:color w:val="auto"/>
              </w:rPr>
            </w:pPr>
          </w:p>
        </w:tc>
        <w:tc>
          <w:tcPr>
            <w:tcW w:w="118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4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21"/>
        </w:trPr>
        <w:tc>
          <w:tcPr>
            <w:tcW w:w="64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2025</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4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Domestic</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6,092</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30"/>
              <w:spacing w:after="0" w:line="202" w:lineRule="exact"/>
              <w:rPr>
                <w:sz w:val="20"/>
                <w:szCs w:val="20"/>
                <w:color w:val="auto"/>
              </w:rPr>
            </w:pPr>
            <w:r>
              <w:rPr>
                <w:rFonts w:ascii="Arial" w:cs="Arial" w:eastAsia="Arial" w:hAnsi="Arial"/>
                <w:sz w:val="18"/>
                <w:szCs w:val="18"/>
                <w:color w:val="auto"/>
              </w:rPr>
              <w:t>5,613</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5,781</w:t>
            </w:r>
          </w:p>
        </w:tc>
      </w:tr>
      <w:tr>
        <w:trPr>
          <w:trHeight w:val="203"/>
        </w:trPr>
        <w:tc>
          <w:tcPr>
            <w:tcW w:w="640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Foreign</w:t>
            </w:r>
          </w:p>
        </w:tc>
        <w:tc>
          <w:tcPr>
            <w:tcW w:w="460" w:type="dxa"/>
            <w:vAlign w:val="bottom"/>
            <w:tcBorders>
              <w:bottom w:val="single" w:sz="8" w:color="auto"/>
            </w:tcBorders>
            <w:shd w:val="clear" w:color="auto" w:fill="E5F1F8"/>
          </w:tcPr>
          <w:p>
            <w:pPr>
              <w:spacing w:after="0"/>
              <w:rPr>
                <w:sz w:val="17"/>
                <w:szCs w:val="17"/>
                <w:color w:val="auto"/>
              </w:rPr>
            </w:pPr>
          </w:p>
        </w:tc>
        <w:tc>
          <w:tcPr>
            <w:tcW w:w="118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44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right w:val="single" w:sz="8" w:color="E5F1F8"/>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440" w:type="dxa"/>
            <w:vAlign w:val="bottom"/>
            <w:tcBorders>
              <w:bottom w:val="single" w:sz="8" w:color="auto"/>
            </w:tcBorders>
            <w:shd w:val="clear" w:color="auto" w:fill="E5F1F8"/>
          </w:tcPr>
          <w:p>
            <w:pPr>
              <w:spacing w:after="0"/>
              <w:rPr>
                <w:sz w:val="17"/>
                <w:szCs w:val="17"/>
                <w:color w:val="auto"/>
              </w:rPr>
            </w:pPr>
          </w:p>
        </w:tc>
        <w:tc>
          <w:tcPr>
            <w:tcW w:w="1160" w:type="dxa"/>
            <w:vAlign w:val="bottom"/>
            <w:tcBorders>
              <w:bottom w:val="single" w:sz="8" w:color="auto"/>
            </w:tcBorders>
            <w:shd w:val="clear" w:color="auto" w:fill="E5F1F8"/>
          </w:tcPr>
          <w:p>
            <w:pPr>
              <w:jc w:val="right"/>
              <w:ind w:right="10"/>
              <w:spacing w:after="0" w:line="202" w:lineRule="exact"/>
              <w:rPr>
                <w:sz w:val="20"/>
                <w:szCs w:val="20"/>
                <w:color w:val="auto"/>
              </w:rPr>
            </w:pPr>
            <w:r>
              <w:rPr>
                <w:rFonts w:ascii="Arial" w:cs="Arial" w:eastAsia="Arial" w:hAnsi="Arial"/>
                <w:sz w:val="18"/>
                <w:szCs w:val="18"/>
                <w:color w:val="auto"/>
              </w:rPr>
              <w:t>70</w:t>
            </w:r>
          </w:p>
        </w:tc>
      </w:tr>
      <w:tr>
        <w:trPr>
          <w:trHeight w:val="196"/>
        </w:trPr>
        <w:tc>
          <w:tcPr>
            <w:tcW w:w="64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6,150</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5,662</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5,851</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-303530</wp:posOffset>
            </wp:positionV>
            <wp:extent cx="33655" cy="3168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-303530</wp:posOffset>
            </wp:positionV>
            <wp:extent cx="33655" cy="3168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-303530</wp:posOffset>
            </wp:positionV>
            <wp:extent cx="34290" cy="3168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4EAD8A"/>
        </w:rPr>
        <w:t xml:space="preserve">Performance Obligations. </w:t>
      </w:r>
      <w:r>
        <w:rPr>
          <w:rFonts w:ascii="Arial" w:cs="Arial" w:eastAsia="Arial" w:hAnsi="Arial"/>
          <w:sz w:val="18"/>
          <w:szCs w:val="18"/>
          <w:color w:val="000000"/>
        </w:rPr>
        <w:t>Performance obligations are contractual promises to transfer or provide a distinct good or service for a stated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price. The Company’s product sales agreements are single-performance obligations that are satisfied at a point in time, and customer payment terms are generally 30 days from the invoice date. Performance obligations within paving service agreements are satisfied over time, primarily ranging from one day to two years. Customer payments for the paving operations are based on a contractual billing schedule and are typically "paid-when-paid", meaning the Company is paid once the customer is paid.</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Future revenues from unsatisfied performance obligations at December 31, 2025, 2024 and 2023 were $162 million, $255 million and $251 million, respectively, where the remaining periods to complete these obligations ranged from one month to 24 months at December 31, 2025, one month to 36 months at December 31, 2024 and one month to 22 months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8" w:name="page109"/>
    <w:bookmarkEnd w:id="108"/>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4EAD8A"/>
        </w:rPr>
        <w:t xml:space="preserve">Service Revenues. </w:t>
      </w:r>
      <w:r>
        <w:rPr>
          <w:rFonts w:ascii="Arial" w:cs="Arial" w:eastAsia="Arial" w:hAnsi="Arial"/>
          <w:sz w:val="18"/>
          <w:szCs w:val="18"/>
          <w:color w:val="000000"/>
        </w:rPr>
        <w:t>Service revenues were $356 million, $411 million and $411 million for the years ended December 31, 2025, 2024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2023, respectively, and are reported in the West Group. Service revenues include paving services in Colorado and California through its April 2025 divestiture date.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Q: Supplemental Cash Flow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Noncash investing and financing activities are as follows: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7"/>
        </w:trPr>
        <w:tc>
          <w:tcPr>
            <w:tcW w:w="6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50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42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21"/>
        </w:trPr>
        <w:tc>
          <w:tcPr>
            <w:tcW w:w="65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5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Accrued liabilities for purchases of property, plant and equipment</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140</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143</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128</w:t>
            </w:r>
          </w:p>
        </w:tc>
      </w:tr>
      <w:tr>
        <w:trPr>
          <w:trHeight w:val="184"/>
        </w:trPr>
        <w:tc>
          <w:tcPr>
            <w:tcW w:w="6500" w:type="dxa"/>
            <w:vAlign w:val="bottom"/>
            <w:tcBorders>
              <w:right w:val="single" w:sz="8" w:color="007CBA"/>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Right-of-use assets obtained in exchange for new operating lease</w:t>
            </w:r>
          </w:p>
        </w:tc>
        <w:tc>
          <w:tcPr>
            <w:tcW w:w="420" w:type="dxa"/>
            <w:vAlign w:val="bottom"/>
            <w:shd w:val="clear" w:color="auto" w:fill="E5F1F8"/>
          </w:tcPr>
          <w:p>
            <w:pPr>
              <w:spacing w:after="0"/>
              <w:rPr>
                <w:sz w:val="15"/>
                <w:szCs w:val="15"/>
                <w:color w:val="auto"/>
              </w:rPr>
            </w:pPr>
          </w:p>
        </w:tc>
        <w:tc>
          <w:tcPr>
            <w:tcW w:w="116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16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160" w:type="dxa"/>
            <w:vAlign w:val="bottom"/>
            <w:shd w:val="clear" w:color="auto" w:fill="E5F1F8"/>
          </w:tcPr>
          <w:p>
            <w:pPr>
              <w:spacing w:after="0"/>
              <w:rPr>
                <w:sz w:val="15"/>
                <w:szCs w:val="15"/>
                <w:color w:val="auto"/>
              </w:rPr>
            </w:pPr>
          </w:p>
        </w:tc>
      </w:tr>
      <w:tr>
        <w:trPr>
          <w:trHeight w:val="221"/>
        </w:trPr>
        <w:tc>
          <w:tcPr>
            <w:tcW w:w="6500" w:type="dxa"/>
            <w:vAlign w:val="bottom"/>
            <w:tcBorders>
              <w:right w:val="single" w:sz="8" w:color="007CBA"/>
            </w:tcBorders>
            <w:shd w:val="clear" w:color="auto" w:fill="E5F1F8"/>
          </w:tcPr>
          <w:p>
            <w:pPr>
              <w:ind w:left="220"/>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75</w:t>
            </w:r>
          </w:p>
        </w:tc>
        <w:tc>
          <w:tcPr>
            <w:tcW w:w="42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68</w:t>
            </w:r>
          </w:p>
        </w:tc>
        <w:tc>
          <w:tcPr>
            <w:tcW w:w="42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63</w:t>
            </w:r>
          </w:p>
        </w:tc>
      </w:tr>
      <w:tr>
        <w:trPr>
          <w:trHeight w:val="184"/>
        </w:trPr>
        <w:tc>
          <w:tcPr>
            <w:tcW w:w="6500" w:type="dxa"/>
            <w:vAlign w:val="bottom"/>
            <w:tcBorders>
              <w:right w:val="single" w:sz="8" w:color="007CBA"/>
            </w:tcBorders>
          </w:tcPr>
          <w:p>
            <w:pPr>
              <w:ind w:left="60"/>
              <w:spacing w:after="0" w:line="183" w:lineRule="exact"/>
              <w:rPr>
                <w:sz w:val="20"/>
                <w:szCs w:val="20"/>
                <w:color w:val="auto"/>
              </w:rPr>
            </w:pPr>
            <w:r>
              <w:rPr>
                <w:rFonts w:ascii="Arial" w:cs="Arial" w:eastAsia="Arial" w:hAnsi="Arial"/>
                <w:sz w:val="18"/>
                <w:szCs w:val="18"/>
                <w:color w:val="auto"/>
              </w:rPr>
              <w:t>Right-of-use assets obtained in exchange for new finance lease</w:t>
            </w:r>
          </w:p>
        </w:tc>
        <w:tc>
          <w:tcPr>
            <w:tcW w:w="420" w:type="dxa"/>
            <w:vAlign w:val="bottom"/>
          </w:tcPr>
          <w:p>
            <w:pPr>
              <w:spacing w:after="0"/>
              <w:rPr>
                <w:sz w:val="15"/>
                <w:szCs w:val="15"/>
                <w:color w:val="auto"/>
              </w:rPr>
            </w:pPr>
          </w:p>
        </w:tc>
        <w:tc>
          <w:tcPr>
            <w:tcW w:w="1160" w:type="dxa"/>
            <w:vAlign w:val="bottom"/>
            <w:tcBorders>
              <w:right w:val="single" w:sz="8" w:color="007CBA"/>
            </w:tcBorders>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Borders>
              <w:right w:val="single" w:sz="8" w:color="007CBA"/>
            </w:tcBorders>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1"/>
        </w:trPr>
        <w:tc>
          <w:tcPr>
            <w:tcW w:w="6500" w:type="dxa"/>
            <w:vAlign w:val="bottom"/>
            <w:tcBorders>
              <w:right w:val="single" w:sz="8" w:color="007CBA"/>
            </w:tcBorders>
          </w:tcPr>
          <w:p>
            <w:pPr>
              <w:ind w:left="220"/>
              <w:spacing w:after="0"/>
              <w:rPr>
                <w:sz w:val="20"/>
                <w:szCs w:val="20"/>
                <w:color w:val="auto"/>
              </w:rPr>
            </w:pPr>
            <w:r>
              <w:rPr>
                <w:rFonts w:ascii="Arial" w:cs="Arial" w:eastAsia="Arial" w:hAnsi="Arial"/>
                <w:sz w:val="18"/>
                <w:szCs w:val="18"/>
                <w:color w:val="auto"/>
              </w:rPr>
              <w:t>liabilities</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03"/>
        </w:trPr>
        <w:tc>
          <w:tcPr>
            <w:tcW w:w="6500" w:type="dxa"/>
            <w:vAlign w:val="bottom"/>
            <w:tcBorders>
              <w:right w:val="single" w:sz="8" w:color="007CBA"/>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Remeasurement of finance lease right-of-use assets</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50</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Remeasurement of operating lease right-of-use assets</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7</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2"/>
        </w:trPr>
        <w:tc>
          <w:tcPr>
            <w:tcW w:w="6500" w:type="dxa"/>
            <w:vAlign w:val="bottom"/>
            <w:tcBorders>
              <w:bottom w:val="single" w:sz="8" w:color="auto"/>
              <w:right w:val="single" w:sz="8" w:color="E5F1F8"/>
            </w:tcBorders>
            <w:shd w:val="clear" w:color="auto" w:fill="E5F1F8"/>
          </w:tcPr>
          <w:p>
            <w:pPr>
              <w:ind w:left="60"/>
              <w:spacing w:after="0" w:line="202" w:lineRule="exact"/>
              <w:rPr>
                <w:sz w:val="20"/>
                <w:szCs w:val="20"/>
                <w:color w:val="auto"/>
              </w:rPr>
            </w:pPr>
            <w:r>
              <w:rPr>
                <w:rFonts w:ascii="Arial" w:cs="Arial" w:eastAsia="Arial" w:hAnsi="Arial"/>
                <w:sz w:val="18"/>
                <w:szCs w:val="18"/>
                <w:color w:val="auto"/>
              </w:rPr>
              <w:t>Acquisition of assets through asset exchange</w:t>
            </w:r>
          </w:p>
        </w:tc>
        <w:tc>
          <w:tcPr>
            <w:tcW w:w="420" w:type="dxa"/>
            <w:vAlign w:val="bottom"/>
            <w:tcBorders>
              <w:bottom w:val="single" w:sz="8" w:color="auto"/>
            </w:tcBorders>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w:t>
            </w:r>
          </w:p>
        </w:tc>
      </w:tr>
      <w:tr>
        <w:trPr>
          <w:trHeight w:val="403"/>
        </w:trPr>
        <w:tc>
          <w:tcPr>
            <w:tcW w:w="6500" w:type="dxa"/>
            <w:vAlign w:val="bottom"/>
          </w:tcPr>
          <w:p>
            <w:pPr>
              <w:spacing w:after="0"/>
              <w:rPr>
                <w:sz w:val="20"/>
                <w:szCs w:val="20"/>
                <w:color w:val="auto"/>
              </w:rPr>
            </w:pPr>
            <w:r>
              <w:rPr>
                <w:rFonts w:ascii="Arial" w:cs="Arial" w:eastAsia="Arial" w:hAnsi="Arial"/>
                <w:sz w:val="18"/>
                <w:szCs w:val="18"/>
                <w:color w:val="auto"/>
              </w:rPr>
              <w:t>Supplemental disclosures of cash flow information are as follows: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7"/>
        </w:trPr>
        <w:tc>
          <w:tcPr>
            <w:tcW w:w="6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4"/>
        </w:trPr>
        <w:tc>
          <w:tcPr>
            <w:tcW w:w="6500" w:type="dxa"/>
            <w:vAlign w:val="bottom"/>
            <w:tcBorders>
              <w:right w:val="single" w:sz="8" w:color="007CBA"/>
            </w:tcBorders>
            <w:shd w:val="clear" w:color="auto" w:fill="007CBA"/>
          </w:tcPr>
          <w:p>
            <w:pPr>
              <w:ind w:left="60"/>
              <w:spacing w:after="0" w:line="183" w:lineRule="exact"/>
              <w:rPr>
                <w:sz w:val="20"/>
                <w:szCs w:val="20"/>
                <w:color w:val="auto"/>
              </w:rPr>
            </w:pPr>
            <w:r>
              <w:rPr>
                <w:rFonts w:ascii="Arial" w:cs="Arial" w:eastAsia="Arial" w:hAnsi="Arial"/>
                <w:sz w:val="18"/>
                <w:szCs w:val="18"/>
                <w:i w:val="1"/>
                <w:iCs w:val="1"/>
                <w:color w:val="FFFFFF"/>
              </w:rPr>
              <w:t>years ended December 31</w:t>
            </w:r>
          </w:p>
        </w:tc>
        <w:tc>
          <w:tcPr>
            <w:tcW w:w="42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420" w:type="dxa"/>
            <w:vAlign w:val="bottom"/>
            <w:shd w:val="clear" w:color="auto" w:fill="007CBA"/>
          </w:tcPr>
          <w:p>
            <w:pPr>
              <w:spacing w:after="0"/>
              <w:rPr>
                <w:sz w:val="15"/>
                <w:szCs w:val="15"/>
                <w:color w:val="auto"/>
              </w:rPr>
            </w:pPr>
          </w:p>
        </w:tc>
        <w:tc>
          <w:tcPr>
            <w:tcW w:w="1160" w:type="dxa"/>
            <w:vAlign w:val="bottom"/>
            <w:shd w:val="clear" w:color="auto" w:fill="007CBA"/>
          </w:tcPr>
          <w:p>
            <w:pPr>
              <w:spacing w:after="0"/>
              <w:rPr>
                <w:sz w:val="15"/>
                <w:szCs w:val="15"/>
                <w:color w:val="auto"/>
              </w:rPr>
            </w:pPr>
          </w:p>
        </w:tc>
      </w:tr>
      <w:tr>
        <w:trPr>
          <w:trHeight w:val="221"/>
        </w:trPr>
        <w:tc>
          <w:tcPr>
            <w:tcW w:w="65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8"/>
                <w:szCs w:val="18"/>
                <w:color w:val="FFFFFF"/>
              </w:rPr>
              <w:t>(in millions)</w:t>
            </w:r>
          </w:p>
        </w:tc>
        <w:tc>
          <w:tcPr>
            <w:tcW w:w="4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2025</w:t>
            </w:r>
          </w:p>
        </w:tc>
        <w:tc>
          <w:tcPr>
            <w:tcW w:w="4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2024</w:t>
            </w: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490"/>
              <w:spacing w:after="0"/>
              <w:rPr>
                <w:sz w:val="20"/>
                <w:szCs w:val="20"/>
                <w:color w:val="auto"/>
              </w:rPr>
            </w:pPr>
            <w:r>
              <w:rPr>
                <w:rFonts w:ascii="Arial" w:cs="Arial" w:eastAsia="Arial" w:hAnsi="Arial"/>
                <w:sz w:val="18"/>
                <w:szCs w:val="18"/>
                <w:color w:val="FFFFFF"/>
              </w:rPr>
              <w:t>2023</w:t>
            </w:r>
          </w:p>
        </w:tc>
      </w:tr>
      <w:tr>
        <w:trPr>
          <w:trHeight w:val="203"/>
        </w:trPr>
        <w:tc>
          <w:tcPr>
            <w:tcW w:w="6500" w:type="dxa"/>
            <w:vAlign w:val="bottom"/>
            <w:tcBorders>
              <w:right w:val="single" w:sz="8" w:color="007CBA"/>
            </w:tcBorders>
          </w:tcPr>
          <w:p>
            <w:pPr>
              <w:ind w:left="60"/>
              <w:spacing w:after="0" w:line="202" w:lineRule="exact"/>
              <w:rPr>
                <w:sz w:val="20"/>
                <w:szCs w:val="20"/>
                <w:color w:val="auto"/>
              </w:rPr>
            </w:pPr>
            <w:r>
              <w:rPr>
                <w:rFonts w:ascii="Arial" w:cs="Arial" w:eastAsia="Arial" w:hAnsi="Arial"/>
                <w:sz w:val="18"/>
                <w:szCs w:val="18"/>
                <w:color w:val="auto"/>
              </w:rPr>
              <w:t>Cash paid for interest, net of amount capitalized</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229</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158</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159</w:t>
            </w:r>
          </w:p>
        </w:tc>
      </w:tr>
      <w:tr>
        <w:trPr>
          <w:trHeight w:val="184"/>
        </w:trPr>
        <w:tc>
          <w:tcPr>
            <w:tcW w:w="6500" w:type="dxa"/>
            <w:vAlign w:val="bottom"/>
            <w:tcBorders>
              <w:right w:val="single" w:sz="8" w:color="007CBA"/>
            </w:tcBorders>
            <w:shd w:val="clear" w:color="auto" w:fill="E5F1F8"/>
          </w:tcPr>
          <w:p>
            <w:pPr>
              <w:ind w:left="60"/>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420" w:type="dxa"/>
            <w:vAlign w:val="bottom"/>
            <w:shd w:val="clear" w:color="auto" w:fill="E5F1F8"/>
          </w:tcPr>
          <w:p>
            <w:pPr>
              <w:spacing w:after="0"/>
              <w:rPr>
                <w:sz w:val="15"/>
                <w:szCs w:val="15"/>
                <w:color w:val="auto"/>
              </w:rPr>
            </w:pPr>
          </w:p>
        </w:tc>
        <w:tc>
          <w:tcPr>
            <w:tcW w:w="116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160" w:type="dxa"/>
            <w:vAlign w:val="bottom"/>
            <w:tcBorders>
              <w:right w:val="single" w:sz="8" w:color="007CBA"/>
            </w:tcBorders>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1160" w:type="dxa"/>
            <w:vAlign w:val="bottom"/>
            <w:shd w:val="clear" w:color="auto" w:fill="E5F1F8"/>
          </w:tcPr>
          <w:p>
            <w:pPr>
              <w:spacing w:after="0"/>
              <w:rPr>
                <w:sz w:val="15"/>
                <w:szCs w:val="15"/>
                <w:color w:val="auto"/>
              </w:rPr>
            </w:pPr>
          </w:p>
        </w:tc>
      </w:tr>
      <w:tr>
        <w:trPr>
          <w:trHeight w:val="221"/>
        </w:trPr>
        <w:tc>
          <w:tcPr>
            <w:tcW w:w="6500" w:type="dxa"/>
            <w:vAlign w:val="bottom"/>
            <w:tcBorders>
              <w:right w:val="single" w:sz="8" w:color="007CBA"/>
            </w:tcBorders>
            <w:shd w:val="clear" w:color="auto" w:fill="E5F1F8"/>
          </w:tcPr>
          <w:p>
            <w:pPr>
              <w:ind w:left="220"/>
              <w:spacing w:after="0"/>
              <w:rPr>
                <w:sz w:val="20"/>
                <w:szCs w:val="20"/>
                <w:color w:val="auto"/>
              </w:rPr>
            </w:pPr>
            <w:r>
              <w:rPr>
                <w:rFonts w:ascii="Arial" w:cs="Arial" w:eastAsia="Arial" w:hAnsi="Arial"/>
                <w:sz w:val="18"/>
                <w:szCs w:val="18"/>
                <w:color w:val="auto"/>
              </w:rPr>
              <w:t>lease liabilities:</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spacing w:after="0"/>
              <w:rPr>
                <w:sz w:val="19"/>
                <w:szCs w:val="19"/>
                <w:color w:val="auto"/>
              </w:rPr>
            </w:pPr>
          </w:p>
        </w:tc>
      </w:tr>
      <w:tr>
        <w:trPr>
          <w:trHeight w:val="203"/>
        </w:trPr>
        <w:tc>
          <w:tcPr>
            <w:tcW w:w="6500" w:type="dxa"/>
            <w:vAlign w:val="bottom"/>
            <w:tcBorders>
              <w:right w:val="single" w:sz="8" w:color="007CBA"/>
            </w:tcBorders>
          </w:tcPr>
          <w:p>
            <w:pPr>
              <w:ind w:left="120"/>
              <w:spacing w:after="0" w:line="202" w:lineRule="exact"/>
              <w:rPr>
                <w:sz w:val="20"/>
                <w:szCs w:val="20"/>
                <w:color w:val="auto"/>
              </w:rPr>
            </w:pPr>
            <w:r>
              <w:rPr>
                <w:rFonts w:ascii="Arial" w:cs="Arial" w:eastAsia="Arial" w:hAnsi="Arial"/>
                <w:sz w:val="18"/>
                <w:szCs w:val="18"/>
                <w:color w:val="auto"/>
              </w:rPr>
              <w:t>Operating cash flows used for operating leases</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82</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w:t>
            </w:r>
          </w:p>
        </w:tc>
      </w:tr>
      <w:tr>
        <w:trPr>
          <w:trHeight w:val="203"/>
        </w:trPr>
        <w:tc>
          <w:tcPr>
            <w:tcW w:w="6500" w:type="dxa"/>
            <w:vAlign w:val="bottom"/>
            <w:tcBorders>
              <w:right w:val="single" w:sz="8" w:color="007CBA"/>
            </w:tcBorders>
            <w:shd w:val="clear" w:color="auto" w:fill="E5F1F8"/>
          </w:tcPr>
          <w:p>
            <w:pPr>
              <w:ind w:left="120"/>
              <w:spacing w:after="0" w:line="202" w:lineRule="exact"/>
              <w:rPr>
                <w:sz w:val="20"/>
                <w:szCs w:val="20"/>
                <w:color w:val="auto"/>
              </w:rPr>
            </w:pPr>
            <w:r>
              <w:rPr>
                <w:rFonts w:ascii="Arial" w:cs="Arial" w:eastAsia="Arial" w:hAnsi="Arial"/>
                <w:sz w:val="18"/>
                <w:szCs w:val="18"/>
                <w:color w:val="auto"/>
              </w:rPr>
              <w:t>Operating cash flows used for finance leases</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b w:val="1"/>
                <w:bCs w:val="1"/>
                <w:color w:val="auto"/>
              </w:rPr>
              <w:t>10</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50"/>
              <w:spacing w:after="0" w:line="202" w:lineRule="exact"/>
              <w:rPr>
                <w:sz w:val="20"/>
                <w:szCs w:val="20"/>
                <w:color w:val="auto"/>
              </w:rPr>
            </w:pPr>
            <w:r>
              <w:rPr>
                <w:rFonts w:ascii="Arial" w:cs="Arial" w:eastAsia="Arial" w:hAnsi="Arial"/>
                <w:sz w:val="18"/>
                <w:szCs w:val="18"/>
                <w:color w:val="auto"/>
              </w:rPr>
              <w:t>6</w:t>
            </w:r>
          </w:p>
        </w:tc>
        <w:tc>
          <w:tcPr>
            <w:tcW w:w="420" w:type="dxa"/>
            <w:vAlign w:val="bottom"/>
            <w:shd w:val="clear" w:color="auto" w:fill="E5F1F8"/>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line="202" w:lineRule="exact"/>
              <w:rPr>
                <w:sz w:val="20"/>
                <w:szCs w:val="20"/>
                <w:color w:val="auto"/>
              </w:rPr>
            </w:pPr>
            <w:r>
              <w:rPr>
                <w:rFonts w:ascii="Arial" w:cs="Arial" w:eastAsia="Arial" w:hAnsi="Arial"/>
                <w:sz w:val="18"/>
                <w:szCs w:val="18"/>
                <w:color w:val="auto"/>
              </w:rPr>
              <w:t>5</w:t>
            </w:r>
          </w:p>
        </w:tc>
      </w:tr>
      <w:tr>
        <w:trPr>
          <w:trHeight w:val="203"/>
        </w:trPr>
        <w:tc>
          <w:tcPr>
            <w:tcW w:w="650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Financing cash flows used for finance leases</w:t>
            </w:r>
          </w:p>
        </w:tc>
        <w:tc>
          <w:tcPr>
            <w:tcW w:w="4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23</w:t>
            </w:r>
          </w:p>
        </w:tc>
        <w:tc>
          <w:tcPr>
            <w:tcW w:w="4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-1495425</wp:posOffset>
            </wp:positionV>
            <wp:extent cx="33655" cy="1625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-1495425</wp:posOffset>
            </wp:positionV>
            <wp:extent cx="33655" cy="1625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-1495425</wp:posOffset>
            </wp:positionV>
            <wp:extent cx="33655" cy="1625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-149225</wp:posOffset>
            </wp:positionV>
            <wp:extent cx="33655" cy="1625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-149225</wp:posOffset>
            </wp:positionV>
            <wp:extent cx="33655" cy="1625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-149225</wp:posOffset>
            </wp:positionV>
            <wp:extent cx="33655" cy="1625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3655" cy="16256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R: Other Operating Income, Net</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operating income, net, is comprised generally of gains and losses on divestitures and the sale of assets; asset and portfolio rationalization charges; recoveries and losses related to certain customer accounts receivable; recoveries and losses on the resolution of contingency accruals; rental, royalty and services income; and accretion expense, depreciation expense, and gains and losses related to asset retirement obligations. These net amounts represented income of $6 million, $1.3 billion and $25 million in 2025, 2024 and 2023, respectively.</w:t>
      </w:r>
    </w:p>
    <w:p>
      <w:pPr>
        <w:spacing w:after="0" w:line="6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In 2025, other operating income, net, included $18 million of gains on land sales, which were offset by a $21 million pretax asset and portfolio rationalization charge primarily related to the discontinuation of five operations in the West Group that are no longer commercially viable.</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2024, other operating income, net, included a $1.3 billion pretax gain on the divestiture of the South Texas cement business and certain of its related ready mixed concrete operations and $28 million of gains on land sales, which were partially offset by a $50 million pretax asset and portfolio rationalization charge. The 2024 asset and portfolio rationalization charge relates to the Company's decision to discontinue usage of certain long-haul distribution facilities to transport aggregates products into Colorado because the AFS acquisition completed in January 2024 provides more economical, local aggregates supply. This charge, which is reported in the West Group, reflects the Company's evaluation of the recoverability of certain long-lived assets, including property, plant and equipment and operating lease right-of-use assets, for the cessation of these railroad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2023, other operating income, net, included $20 million of gains on land sales.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S: Other Nonoperating Income, Net</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nonoperating income, net, is comprised generally of interest income; foreign currency transaction gains and losses; pension and postretirement benefit cost (excluding service cost); net equity earnings from nonconsolidated investments and other miscellaneous income and expenses. Other nonoperating income, net, was $19 million, $56 million and $58 million in 2025,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41910</wp:posOffset>
            </wp:positionV>
            <wp:extent cx="325755" cy="1968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9" w:name="page110"/>
    <w:bookmarkEnd w:id="109"/>
    <w:p>
      <w:pPr>
        <w:ind w:left="602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ind w:firstLine="77"/>
        <w:spacing w:after="0" w:line="247" w:lineRule="auto"/>
        <w:rPr>
          <w:sz w:val="20"/>
          <w:szCs w:val="20"/>
          <w:color w:val="auto"/>
        </w:rPr>
      </w:pPr>
      <w:r>
        <w:rPr>
          <w:rFonts w:ascii="Arial" w:cs="Arial" w:eastAsia="Arial" w:hAnsi="Arial"/>
          <w:sz w:val="18"/>
          <w:szCs w:val="18"/>
          <w:color w:val="auto"/>
        </w:rPr>
        <w:t>and 2023, respectively. In 2025, other nonoperating income, net, included $10 million of interest income and $13 million of third-party railroad track maintenance expense. In 2024, other nonoperating income, net, included $40 million of interest income and $10 million of third-party railroad track maintenance expense. In 2023, other nonoperating income, net, included $47 million of interest income and $9 million of third-party railroad track maintenance expense.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T: Quarterly Information (Unaudited)</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pending QUIKRETE transaction, the associated financial results of the Company's Midlothian cement plant, related cement distribution terminals and Texas ready mixed concrete assets are reported as discontinued operations on its consolidated statements of earnings for all periods presented (see Note B). The following table provides unaudited summarized quarterly financial information on this basis to allow for a meaningful comparison of continuing operations.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34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1700" w:type="dxa"/>
            <w:vAlign w:val="bottom"/>
            <w:gridSpan w:val="3"/>
            <w:shd w:val="clear" w:color="auto" w:fill="007CBA"/>
          </w:tcPr>
          <w:p>
            <w:pPr>
              <w:jc w:val="right"/>
              <w:ind w:right="501"/>
              <w:spacing w:after="0"/>
              <w:rPr>
                <w:sz w:val="20"/>
                <w:szCs w:val="20"/>
                <w:color w:val="auto"/>
              </w:rPr>
            </w:pPr>
            <w:r>
              <w:rPr>
                <w:rFonts w:ascii="Arial" w:cs="Arial" w:eastAsia="Arial" w:hAnsi="Arial"/>
                <w:sz w:val="14"/>
                <w:szCs w:val="14"/>
                <w:b w:val="1"/>
                <w:bCs w:val="1"/>
                <w:color w:val="FFFFFF"/>
              </w:rPr>
              <w:t>Net Earnings</w:t>
            </w:r>
          </w:p>
        </w:tc>
      </w:tr>
      <w:tr>
        <w:trPr>
          <w:trHeight w:val="162"/>
        </w:trPr>
        <w:tc>
          <w:tcPr>
            <w:tcW w:w="156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1660" w:type="dxa"/>
            <w:vAlign w:val="bottom"/>
            <w:tcBorders>
              <w:right w:val="single" w:sz="8" w:color="007CBA"/>
            </w:tcBorders>
            <w:gridSpan w:val="3"/>
            <w:shd w:val="clear" w:color="auto" w:fill="007CBA"/>
          </w:tcPr>
          <w:p>
            <w:pPr>
              <w:jc w:val="right"/>
              <w:ind w:right="421"/>
              <w:spacing w:after="0"/>
              <w:rPr>
                <w:sz w:val="20"/>
                <w:szCs w:val="20"/>
                <w:color w:val="auto"/>
              </w:rPr>
            </w:pPr>
            <w:r>
              <w:rPr>
                <w:rFonts w:ascii="Arial" w:cs="Arial" w:eastAsia="Arial" w:hAnsi="Arial"/>
                <w:sz w:val="14"/>
                <w:szCs w:val="14"/>
                <w:b w:val="1"/>
                <w:bCs w:val="1"/>
                <w:color w:val="FFFFFF"/>
              </w:rPr>
              <w:t>Earnings from</w:t>
            </w:r>
          </w:p>
        </w:tc>
        <w:tc>
          <w:tcPr>
            <w:tcW w:w="260" w:type="dxa"/>
            <w:vAlign w:val="bottom"/>
            <w:shd w:val="clear" w:color="auto" w:fill="007CBA"/>
          </w:tcPr>
          <w:p>
            <w:pPr>
              <w:spacing w:after="0"/>
              <w:rPr>
                <w:sz w:val="14"/>
                <w:szCs w:val="14"/>
                <w:color w:val="auto"/>
              </w:rPr>
            </w:pPr>
          </w:p>
        </w:tc>
        <w:tc>
          <w:tcPr>
            <w:tcW w:w="1660" w:type="dxa"/>
            <w:vAlign w:val="bottom"/>
            <w:tcBorders>
              <w:right w:val="single" w:sz="8" w:color="007CBA"/>
            </w:tcBorders>
            <w:gridSpan w:val="3"/>
            <w:shd w:val="clear" w:color="auto" w:fill="007CBA"/>
          </w:tcPr>
          <w:p>
            <w:pPr>
              <w:jc w:val="right"/>
              <w:ind w:right="321"/>
              <w:spacing w:after="0"/>
              <w:rPr>
                <w:sz w:val="20"/>
                <w:szCs w:val="20"/>
                <w:color w:val="auto"/>
              </w:rPr>
            </w:pPr>
            <w:r>
              <w:rPr>
                <w:rFonts w:ascii="Arial" w:cs="Arial" w:eastAsia="Arial" w:hAnsi="Arial"/>
                <w:sz w:val="14"/>
                <w:szCs w:val="14"/>
                <w:b w:val="1"/>
                <w:bCs w:val="1"/>
                <w:color w:val="FFFFFF"/>
              </w:rPr>
              <w:t>Consolidated Net</w:t>
            </w:r>
          </w:p>
        </w:tc>
        <w:tc>
          <w:tcPr>
            <w:tcW w:w="280" w:type="dxa"/>
            <w:vAlign w:val="bottom"/>
            <w:shd w:val="clear" w:color="auto" w:fill="007CBA"/>
          </w:tcPr>
          <w:p>
            <w:pPr>
              <w:spacing w:after="0"/>
              <w:rPr>
                <w:sz w:val="14"/>
                <w:szCs w:val="14"/>
                <w:color w:val="auto"/>
              </w:rPr>
            </w:pPr>
          </w:p>
        </w:tc>
        <w:tc>
          <w:tcPr>
            <w:tcW w:w="1700" w:type="dxa"/>
            <w:vAlign w:val="bottom"/>
            <w:gridSpan w:val="3"/>
            <w:shd w:val="clear" w:color="auto" w:fill="007CBA"/>
          </w:tcPr>
          <w:p>
            <w:pPr>
              <w:ind w:left="200"/>
              <w:spacing w:after="0"/>
              <w:rPr>
                <w:sz w:val="20"/>
                <w:szCs w:val="20"/>
                <w:color w:val="auto"/>
              </w:rPr>
            </w:pPr>
            <w:r>
              <w:rPr>
                <w:rFonts w:ascii="Arial" w:cs="Arial" w:eastAsia="Arial" w:hAnsi="Arial"/>
                <w:sz w:val="14"/>
                <w:szCs w:val="14"/>
                <w:b w:val="1"/>
                <w:bCs w:val="1"/>
                <w:color w:val="FFFFFF"/>
              </w:rPr>
              <w:t>Attributable to</w:t>
            </w:r>
          </w:p>
        </w:tc>
      </w:tr>
      <w:tr>
        <w:trPr>
          <w:trHeight w:val="185"/>
        </w:trPr>
        <w:tc>
          <w:tcPr>
            <w:tcW w:w="1560" w:type="dxa"/>
            <w:vAlign w:val="bottom"/>
            <w:tcBorders>
              <w:right w:val="single" w:sz="8" w:color="007CBA"/>
            </w:tcBorders>
            <w:shd w:val="clear" w:color="auto" w:fill="007CBA"/>
          </w:tcPr>
          <w:p>
            <w:pPr>
              <w:ind w:left="20"/>
              <w:spacing w:after="0"/>
              <w:rPr>
                <w:sz w:val="20"/>
                <w:szCs w:val="20"/>
                <w:color w:val="auto"/>
              </w:rPr>
            </w:pPr>
            <w:r>
              <w:rPr>
                <w:rFonts w:ascii="Arial" w:cs="Arial" w:eastAsia="Arial" w:hAnsi="Arial"/>
                <w:sz w:val="14"/>
                <w:szCs w:val="14"/>
                <w:color w:val="FFFFFF"/>
              </w:rPr>
              <w:t>(in millions)</w:t>
            </w:r>
          </w:p>
        </w:tc>
        <w:tc>
          <w:tcPr>
            <w:tcW w:w="280" w:type="dxa"/>
            <w:vAlign w:val="bottom"/>
            <w:shd w:val="clear" w:color="auto" w:fill="007CBA"/>
          </w:tcPr>
          <w:p>
            <w:pPr>
              <w:spacing w:after="0"/>
              <w:rPr>
                <w:sz w:val="16"/>
                <w:szCs w:val="16"/>
                <w:color w:val="auto"/>
              </w:rPr>
            </w:pPr>
          </w:p>
        </w:tc>
        <w:tc>
          <w:tcPr>
            <w:tcW w:w="1640" w:type="dxa"/>
            <w:vAlign w:val="bottom"/>
            <w:tcBorders>
              <w:right w:val="single" w:sz="8" w:color="007CBA"/>
            </w:tcBorders>
            <w:gridSpan w:val="3"/>
            <w:shd w:val="clear" w:color="auto" w:fill="007CBA"/>
          </w:tcPr>
          <w:p>
            <w:pPr>
              <w:jc w:val="right"/>
              <w:ind w:right="541"/>
              <w:spacing w:after="0"/>
              <w:rPr>
                <w:sz w:val="20"/>
                <w:szCs w:val="20"/>
                <w:color w:val="auto"/>
              </w:rPr>
            </w:pPr>
            <w:r>
              <w:rPr>
                <w:rFonts w:ascii="Arial" w:cs="Arial" w:eastAsia="Arial" w:hAnsi="Arial"/>
                <w:sz w:val="14"/>
                <w:szCs w:val="14"/>
                <w:b w:val="1"/>
                <w:bCs w:val="1"/>
                <w:color w:val="FFFFFF"/>
              </w:rPr>
              <w:t>Revenues</w:t>
            </w:r>
          </w:p>
        </w:tc>
        <w:tc>
          <w:tcPr>
            <w:tcW w:w="280" w:type="dxa"/>
            <w:vAlign w:val="bottom"/>
            <w:shd w:val="clear" w:color="auto" w:fill="007CBA"/>
          </w:tcPr>
          <w:p>
            <w:pPr>
              <w:spacing w:after="0"/>
              <w:rPr>
                <w:sz w:val="16"/>
                <w:szCs w:val="16"/>
                <w:color w:val="auto"/>
              </w:rPr>
            </w:pPr>
          </w:p>
        </w:tc>
        <w:tc>
          <w:tcPr>
            <w:tcW w:w="1640" w:type="dxa"/>
            <w:vAlign w:val="bottom"/>
            <w:tcBorders>
              <w:right w:val="single" w:sz="8" w:color="007CBA"/>
            </w:tcBorders>
            <w:gridSpan w:val="3"/>
            <w:shd w:val="clear" w:color="auto" w:fill="007CBA"/>
          </w:tcPr>
          <w:p>
            <w:pPr>
              <w:jc w:val="right"/>
              <w:ind w:right="461"/>
              <w:spacing w:after="0"/>
              <w:rPr>
                <w:sz w:val="20"/>
                <w:szCs w:val="20"/>
                <w:color w:val="auto"/>
              </w:rPr>
            </w:pPr>
            <w:r>
              <w:rPr>
                <w:rFonts w:ascii="Arial" w:cs="Arial" w:eastAsia="Arial" w:hAnsi="Arial"/>
                <w:sz w:val="14"/>
                <w:szCs w:val="14"/>
                <w:b w:val="1"/>
                <w:bCs w:val="1"/>
                <w:color w:val="FFFFFF"/>
              </w:rPr>
              <w:t>Gross Profit</w:t>
            </w:r>
          </w:p>
        </w:tc>
        <w:tc>
          <w:tcPr>
            <w:tcW w:w="1940" w:type="dxa"/>
            <w:vAlign w:val="bottom"/>
            <w:tcBorders>
              <w:right w:val="single" w:sz="8" w:color="007CBA"/>
            </w:tcBorders>
            <w:gridSpan w:val="4"/>
            <w:shd w:val="clear" w:color="auto" w:fill="007CBA"/>
          </w:tcPr>
          <w:p>
            <w:pPr>
              <w:jc w:val="right"/>
              <w:ind w:right="101"/>
              <w:spacing w:after="0"/>
              <w:rPr>
                <w:sz w:val="20"/>
                <w:szCs w:val="20"/>
                <w:color w:val="auto"/>
              </w:rPr>
            </w:pPr>
            <w:r>
              <w:rPr>
                <w:rFonts w:ascii="Arial" w:cs="Arial" w:eastAsia="Arial" w:hAnsi="Arial"/>
                <w:sz w:val="14"/>
                <w:szCs w:val="14"/>
                <w:b w:val="1"/>
                <w:bCs w:val="1"/>
                <w:color w:val="FFFFFF"/>
              </w:rPr>
              <w:t>Continuing Operations</w:t>
            </w:r>
          </w:p>
        </w:tc>
        <w:tc>
          <w:tcPr>
            <w:tcW w:w="260" w:type="dxa"/>
            <w:vAlign w:val="bottom"/>
            <w:shd w:val="clear" w:color="auto" w:fill="007CBA"/>
          </w:tcPr>
          <w:p>
            <w:pPr>
              <w:spacing w:after="0"/>
              <w:rPr>
                <w:sz w:val="16"/>
                <w:szCs w:val="16"/>
                <w:color w:val="auto"/>
              </w:rPr>
            </w:pPr>
          </w:p>
        </w:tc>
        <w:tc>
          <w:tcPr>
            <w:tcW w:w="1020" w:type="dxa"/>
            <w:vAlign w:val="bottom"/>
            <w:gridSpan w:val="2"/>
            <w:shd w:val="clear" w:color="auto" w:fill="007CBA"/>
          </w:tcPr>
          <w:p>
            <w:pPr>
              <w:jc w:val="right"/>
              <w:spacing w:after="0"/>
              <w:rPr>
                <w:sz w:val="20"/>
                <w:szCs w:val="20"/>
                <w:color w:val="auto"/>
              </w:rPr>
            </w:pPr>
            <w:r>
              <w:rPr>
                <w:rFonts w:ascii="Arial" w:cs="Arial" w:eastAsia="Arial" w:hAnsi="Arial"/>
                <w:sz w:val="14"/>
                <w:szCs w:val="14"/>
                <w:b w:val="1"/>
                <w:bCs w:val="1"/>
                <w:color w:val="FFFFFF"/>
              </w:rPr>
              <w:t>Earnings</w:t>
            </w:r>
          </w:p>
        </w:tc>
        <w:tc>
          <w:tcPr>
            <w:tcW w:w="64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1700" w:type="dxa"/>
            <w:vAlign w:val="bottom"/>
            <w:gridSpan w:val="3"/>
            <w:shd w:val="clear" w:color="auto" w:fill="007CBA"/>
          </w:tcPr>
          <w:p>
            <w:pPr>
              <w:ind w:left="200"/>
              <w:spacing w:after="0"/>
              <w:rPr>
                <w:sz w:val="20"/>
                <w:szCs w:val="20"/>
                <w:color w:val="auto"/>
              </w:rPr>
            </w:pPr>
            <w:r>
              <w:rPr>
                <w:rFonts w:ascii="Arial" w:cs="Arial" w:eastAsia="Arial" w:hAnsi="Arial"/>
                <w:sz w:val="14"/>
                <w:szCs w:val="14"/>
                <w:b w:val="1"/>
                <w:bCs w:val="1"/>
                <w:color w:val="FFFFFF"/>
              </w:rPr>
              <w:t>Martin Marietta</w:t>
            </w:r>
          </w:p>
        </w:tc>
      </w:tr>
      <w:tr>
        <w:trPr>
          <w:trHeight w:val="162"/>
        </w:trPr>
        <w:tc>
          <w:tcPr>
            <w:tcW w:w="1560" w:type="dxa"/>
            <w:vAlign w:val="bottom"/>
            <w:tcBorders>
              <w:right w:val="single" w:sz="8" w:color="007CBA"/>
            </w:tcBorders>
            <w:shd w:val="clear" w:color="auto" w:fill="007CBA"/>
          </w:tcPr>
          <w:p>
            <w:pPr>
              <w:ind w:left="20"/>
              <w:spacing w:after="0"/>
              <w:rPr>
                <w:sz w:val="20"/>
                <w:szCs w:val="20"/>
                <w:color w:val="auto"/>
              </w:rPr>
            </w:pPr>
            <w:r>
              <w:rPr>
                <w:rFonts w:ascii="Arial" w:cs="Arial" w:eastAsia="Arial" w:hAnsi="Arial"/>
                <w:sz w:val="14"/>
                <w:szCs w:val="14"/>
                <w:b w:val="1"/>
                <w:bCs w:val="1"/>
                <w:color w:val="FFFFFF"/>
              </w:rPr>
              <w:t>Quarter</w:t>
            </w: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right"/>
              <w:ind w:right="242"/>
              <w:spacing w:after="0"/>
              <w:rPr>
                <w:sz w:val="20"/>
                <w:szCs w:val="20"/>
                <w:color w:val="auto"/>
              </w:rPr>
            </w:pPr>
            <w:r>
              <w:rPr>
                <w:rFonts w:ascii="Arial" w:cs="Arial" w:eastAsia="Arial" w:hAnsi="Arial"/>
                <w:sz w:val="14"/>
                <w:szCs w:val="14"/>
                <w:b w:val="1"/>
                <w:bCs w:val="1"/>
                <w:color w:val="FFFFFF"/>
              </w:rPr>
              <w:t>2025</w:t>
            </w: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right"/>
              <w:ind w:right="241"/>
              <w:spacing w:after="0"/>
              <w:rPr>
                <w:sz w:val="20"/>
                <w:szCs w:val="20"/>
                <w:color w:val="auto"/>
              </w:rPr>
            </w:pPr>
            <w:r>
              <w:rPr>
                <w:rFonts w:ascii="Arial" w:cs="Arial" w:eastAsia="Arial" w:hAnsi="Arial"/>
                <w:sz w:val="14"/>
                <w:szCs w:val="14"/>
                <w:color w:val="FFFFFF"/>
              </w:rPr>
              <w:t>2024</w:t>
            </w: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right"/>
              <w:ind w:right="242"/>
              <w:spacing w:after="0"/>
              <w:rPr>
                <w:sz w:val="20"/>
                <w:szCs w:val="20"/>
                <w:color w:val="auto"/>
              </w:rPr>
            </w:pPr>
            <w:r>
              <w:rPr>
                <w:rFonts w:ascii="Arial" w:cs="Arial" w:eastAsia="Arial" w:hAnsi="Arial"/>
                <w:sz w:val="14"/>
                <w:szCs w:val="14"/>
                <w:b w:val="1"/>
                <w:bCs w:val="1"/>
                <w:color w:val="FFFFFF"/>
              </w:rPr>
              <w:t>2025</w:t>
            </w:r>
          </w:p>
        </w:tc>
        <w:tc>
          <w:tcPr>
            <w:tcW w:w="28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right"/>
              <w:ind w:right="241"/>
              <w:spacing w:after="0"/>
              <w:rPr>
                <w:sz w:val="20"/>
                <w:szCs w:val="20"/>
                <w:color w:val="auto"/>
              </w:rPr>
            </w:pPr>
            <w:r>
              <w:rPr>
                <w:rFonts w:ascii="Arial" w:cs="Arial" w:eastAsia="Arial" w:hAnsi="Arial"/>
                <w:sz w:val="14"/>
                <w:szCs w:val="14"/>
                <w:color w:val="FFFFFF"/>
              </w:rPr>
              <w:t>2024</w:t>
            </w:r>
          </w:p>
        </w:tc>
        <w:tc>
          <w:tcPr>
            <w:tcW w:w="28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jc w:val="right"/>
              <w:ind w:right="242"/>
              <w:spacing w:after="0"/>
              <w:rPr>
                <w:sz w:val="20"/>
                <w:szCs w:val="20"/>
                <w:color w:val="auto"/>
              </w:rPr>
            </w:pPr>
            <w:r>
              <w:rPr>
                <w:rFonts w:ascii="Arial" w:cs="Arial" w:eastAsia="Arial" w:hAnsi="Arial"/>
                <w:sz w:val="14"/>
                <w:szCs w:val="14"/>
                <w:b w:val="1"/>
                <w:bCs w:val="1"/>
                <w:color w:val="FFFFFF"/>
              </w:rPr>
              <w:t>2025</w:t>
            </w:r>
          </w:p>
        </w:tc>
        <w:tc>
          <w:tcPr>
            <w:tcW w:w="26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jc w:val="right"/>
              <w:ind w:right="241"/>
              <w:spacing w:after="0"/>
              <w:rPr>
                <w:sz w:val="20"/>
                <w:szCs w:val="20"/>
                <w:color w:val="auto"/>
              </w:rPr>
            </w:pPr>
            <w:r>
              <w:rPr>
                <w:rFonts w:ascii="Arial" w:cs="Arial" w:eastAsia="Arial" w:hAnsi="Arial"/>
                <w:sz w:val="14"/>
                <w:szCs w:val="14"/>
                <w:color w:val="FFFFFF"/>
              </w:rPr>
              <w:t>2024</w:t>
            </w:r>
          </w:p>
        </w:tc>
        <w:tc>
          <w:tcPr>
            <w:tcW w:w="260" w:type="dxa"/>
            <w:vAlign w:val="bottom"/>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right"/>
              <w:ind w:right="222"/>
              <w:spacing w:after="0"/>
              <w:rPr>
                <w:sz w:val="20"/>
                <w:szCs w:val="20"/>
                <w:color w:val="auto"/>
              </w:rPr>
            </w:pPr>
            <w:r>
              <w:rPr>
                <w:rFonts w:ascii="Arial" w:cs="Arial" w:eastAsia="Arial" w:hAnsi="Arial"/>
                <w:sz w:val="14"/>
                <w:szCs w:val="14"/>
                <w:b w:val="1"/>
                <w:bCs w:val="1"/>
                <w:color w:val="FFFFFF"/>
              </w:rPr>
              <w:t>2025</w:t>
            </w:r>
          </w:p>
        </w:tc>
        <w:tc>
          <w:tcPr>
            <w:tcW w:w="34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jc w:val="right"/>
              <w:ind w:right="241"/>
              <w:spacing w:after="0"/>
              <w:rPr>
                <w:sz w:val="20"/>
                <w:szCs w:val="20"/>
                <w:color w:val="auto"/>
              </w:rPr>
            </w:pPr>
            <w:r>
              <w:rPr>
                <w:rFonts w:ascii="Arial" w:cs="Arial" w:eastAsia="Arial" w:hAnsi="Arial"/>
                <w:sz w:val="14"/>
                <w:szCs w:val="14"/>
                <w:color w:val="FFFFFF"/>
                <w:w w:val="96"/>
              </w:rPr>
              <w:t>2024</w:t>
            </w:r>
          </w:p>
        </w:tc>
        <w:tc>
          <w:tcPr>
            <w:tcW w:w="28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jc w:val="right"/>
              <w:ind w:right="263"/>
              <w:spacing w:after="0"/>
              <w:rPr>
                <w:sz w:val="20"/>
                <w:szCs w:val="20"/>
                <w:color w:val="auto"/>
              </w:rPr>
            </w:pPr>
            <w:r>
              <w:rPr>
                <w:rFonts w:ascii="Arial" w:cs="Arial" w:eastAsia="Arial" w:hAnsi="Arial"/>
                <w:sz w:val="14"/>
                <w:szCs w:val="14"/>
                <w:b w:val="1"/>
                <w:bCs w:val="1"/>
                <w:color w:val="FFFFFF"/>
              </w:rPr>
              <w:t>2025</w:t>
            </w:r>
          </w:p>
        </w:tc>
        <w:tc>
          <w:tcPr>
            <w:tcW w:w="280" w:type="dxa"/>
            <w:vAlign w:val="bottom"/>
            <w:shd w:val="clear" w:color="auto" w:fill="007CBA"/>
          </w:tcPr>
          <w:p>
            <w:pPr>
              <w:spacing w:after="0"/>
              <w:rPr>
                <w:sz w:val="14"/>
                <w:szCs w:val="14"/>
                <w:color w:val="auto"/>
              </w:rPr>
            </w:pPr>
          </w:p>
        </w:tc>
        <w:tc>
          <w:tcPr>
            <w:tcW w:w="720" w:type="dxa"/>
            <w:vAlign w:val="bottom"/>
            <w:shd w:val="clear" w:color="auto" w:fill="007CBA"/>
          </w:tcPr>
          <w:p>
            <w:pPr>
              <w:jc w:val="right"/>
              <w:ind w:right="261"/>
              <w:spacing w:after="0"/>
              <w:rPr>
                <w:sz w:val="20"/>
                <w:szCs w:val="20"/>
                <w:color w:val="auto"/>
              </w:rPr>
            </w:pPr>
            <w:r>
              <w:rPr>
                <w:rFonts w:ascii="Arial" w:cs="Arial" w:eastAsia="Arial" w:hAnsi="Arial"/>
                <w:sz w:val="14"/>
                <w:szCs w:val="14"/>
                <w:color w:val="FFFFFF"/>
              </w:rPr>
              <w:t>2024</w:t>
            </w:r>
          </w:p>
        </w:tc>
      </w:tr>
      <w:tr>
        <w:trPr>
          <w:trHeight w:val="189"/>
        </w:trPr>
        <w:tc>
          <w:tcPr>
            <w:tcW w:w="1560" w:type="dxa"/>
            <w:vAlign w:val="bottom"/>
            <w:tcBorders>
              <w:right w:val="single" w:sz="8" w:color="007CBA"/>
            </w:tcBorders>
          </w:tcPr>
          <w:p>
            <w:pPr>
              <w:ind w:left="20"/>
              <w:spacing w:after="0"/>
              <w:rPr>
                <w:sz w:val="20"/>
                <w:szCs w:val="20"/>
                <w:color w:val="auto"/>
              </w:rPr>
            </w:pPr>
            <w:r>
              <w:rPr>
                <w:rFonts w:ascii="Arial" w:cs="Arial" w:eastAsia="Arial" w:hAnsi="Arial"/>
                <w:sz w:val="16"/>
                <w:szCs w:val="16"/>
                <w:color w:val="auto"/>
              </w:rPr>
              <w:t>First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1,161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1,056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314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250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007CBA"/>
            </w:tcBorders>
          </w:tcPr>
          <w:p>
            <w:pPr>
              <w:jc w:val="right"/>
              <w:ind w:right="62"/>
              <w:spacing w:after="0"/>
              <w:rPr>
                <w:sz w:val="20"/>
                <w:szCs w:val="20"/>
                <w:color w:val="auto"/>
              </w:rPr>
            </w:pPr>
            <w:r>
              <w:rPr>
                <w:rFonts w:ascii="Arial" w:cs="Arial" w:eastAsia="Arial" w:hAnsi="Arial"/>
                <w:sz w:val="16"/>
                <w:szCs w:val="16"/>
                <w:b w:val="1"/>
                <w:bCs w:val="1"/>
                <w:color w:val="auto"/>
              </w:rPr>
              <w:t>104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007CBA"/>
            </w:tcBorders>
          </w:tcPr>
          <w:p>
            <w:pPr>
              <w:jc w:val="right"/>
              <w:ind w:right="61"/>
              <w:spacing w:after="0"/>
              <w:rPr>
                <w:sz w:val="20"/>
                <w:szCs w:val="20"/>
                <w:color w:val="auto"/>
              </w:rPr>
            </w:pPr>
            <w:r>
              <w:rPr>
                <w:rFonts w:ascii="Arial" w:cs="Arial" w:eastAsia="Arial" w:hAnsi="Arial"/>
                <w:sz w:val="16"/>
                <w:szCs w:val="16"/>
                <w:color w:val="auto"/>
              </w:rPr>
              <w:t>1,030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116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1,045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007CBA"/>
            </w:tcBorders>
          </w:tcPr>
          <w:p>
            <w:pPr>
              <w:jc w:val="right"/>
              <w:ind w:right="63"/>
              <w:spacing w:after="0"/>
              <w:rPr>
                <w:sz w:val="20"/>
                <w:szCs w:val="20"/>
                <w:color w:val="auto"/>
              </w:rPr>
            </w:pPr>
            <w:r>
              <w:rPr>
                <w:rFonts w:ascii="Arial" w:cs="Arial" w:eastAsia="Arial" w:hAnsi="Arial"/>
                <w:sz w:val="16"/>
                <w:szCs w:val="16"/>
                <w:b w:val="1"/>
                <w:bCs w:val="1"/>
                <w:color w:val="auto"/>
              </w:rPr>
              <w:t>116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1,045</w:t>
            </w:r>
          </w:p>
        </w:tc>
      </w:tr>
      <w:tr>
        <w:trPr>
          <w:trHeight w:val="189"/>
        </w:trPr>
        <w:tc>
          <w:tcPr>
            <w:tcW w:w="1560" w:type="dxa"/>
            <w:vAlign w:val="bottom"/>
            <w:tcBorders>
              <w:right w:val="single" w:sz="8" w:color="007CBA"/>
            </w:tcBorders>
            <w:shd w:val="clear" w:color="auto" w:fill="E5F1F8"/>
          </w:tcPr>
          <w:p>
            <w:pPr>
              <w:ind w:left="20"/>
              <w:spacing w:after="0"/>
              <w:rPr>
                <w:sz w:val="20"/>
                <w:szCs w:val="20"/>
                <w:color w:val="auto"/>
              </w:rPr>
            </w:pPr>
            <w:r>
              <w:rPr>
                <w:rFonts w:ascii="Arial" w:cs="Arial" w:eastAsia="Arial" w:hAnsi="Arial"/>
                <w:sz w:val="16"/>
                <w:szCs w:val="16"/>
                <w:color w:val="auto"/>
              </w:rPr>
              <w:t>Second</w:t>
            </w:r>
          </w:p>
        </w:tc>
        <w:tc>
          <w:tcPr>
            <w:tcW w:w="28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1,609</w:t>
            </w:r>
          </w:p>
        </w:tc>
        <w:tc>
          <w:tcPr>
            <w:tcW w:w="28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41"/>
              <w:spacing w:after="0"/>
              <w:rPr>
                <w:sz w:val="20"/>
                <w:szCs w:val="20"/>
                <w:color w:val="auto"/>
              </w:rPr>
            </w:pPr>
            <w:r>
              <w:rPr>
                <w:rFonts w:ascii="Arial" w:cs="Arial" w:eastAsia="Arial" w:hAnsi="Arial"/>
                <w:sz w:val="16"/>
                <w:szCs w:val="16"/>
                <w:color w:val="auto"/>
              </w:rPr>
              <w:t>1,552</w:t>
            </w:r>
          </w:p>
        </w:tc>
        <w:tc>
          <w:tcPr>
            <w:tcW w:w="28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496</w:t>
            </w:r>
          </w:p>
        </w:tc>
        <w:tc>
          <w:tcPr>
            <w:tcW w:w="28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41"/>
              <w:spacing w:after="0"/>
              <w:rPr>
                <w:sz w:val="20"/>
                <w:szCs w:val="20"/>
                <w:color w:val="auto"/>
              </w:rPr>
            </w:pPr>
            <w:r>
              <w:rPr>
                <w:rFonts w:ascii="Arial" w:cs="Arial" w:eastAsia="Arial" w:hAnsi="Arial"/>
                <w:sz w:val="16"/>
                <w:szCs w:val="16"/>
                <w:color w:val="auto"/>
              </w:rPr>
              <w:t>449</w:t>
            </w:r>
          </w:p>
        </w:tc>
        <w:tc>
          <w:tcPr>
            <w:tcW w:w="28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62"/>
              <w:spacing w:after="0"/>
              <w:rPr>
                <w:sz w:val="20"/>
                <w:szCs w:val="20"/>
                <w:color w:val="auto"/>
              </w:rPr>
            </w:pPr>
            <w:r>
              <w:rPr>
                <w:rFonts w:ascii="Arial" w:cs="Arial" w:eastAsia="Arial" w:hAnsi="Arial"/>
                <w:sz w:val="16"/>
                <w:szCs w:val="16"/>
                <w:b w:val="1"/>
                <w:bCs w:val="1"/>
                <w:color w:val="auto"/>
              </w:rPr>
              <w:t>292</w:t>
            </w:r>
          </w:p>
        </w:tc>
        <w:tc>
          <w:tcPr>
            <w:tcW w:w="26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61"/>
              <w:spacing w:after="0"/>
              <w:rPr>
                <w:sz w:val="20"/>
                <w:szCs w:val="20"/>
                <w:color w:val="auto"/>
              </w:rPr>
            </w:pPr>
            <w:r>
              <w:rPr>
                <w:rFonts w:ascii="Arial" w:cs="Arial" w:eastAsia="Arial" w:hAnsi="Arial"/>
                <w:sz w:val="16"/>
                <w:szCs w:val="16"/>
                <w:color w:val="auto"/>
              </w:rPr>
              <w:t>241</w:t>
            </w:r>
          </w:p>
        </w:tc>
        <w:tc>
          <w:tcPr>
            <w:tcW w:w="260" w:type="dxa"/>
            <w:vAlign w:val="bottom"/>
            <w:shd w:val="clear" w:color="auto" w:fill="E5F1F8"/>
          </w:tcPr>
          <w:p>
            <w:pPr>
              <w:spacing w:after="0"/>
              <w:rPr>
                <w:sz w:val="16"/>
                <w:szCs w:val="16"/>
                <w:color w:val="auto"/>
              </w:rPr>
            </w:pPr>
          </w:p>
        </w:tc>
        <w:tc>
          <w:tcPr>
            <w:tcW w:w="680" w:type="dxa"/>
            <w:vAlign w:val="bottom"/>
            <w:tcBorders>
              <w:right w:val="single" w:sz="8" w:color="007CBA"/>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328</w:t>
            </w:r>
          </w:p>
        </w:tc>
        <w:tc>
          <w:tcPr>
            <w:tcW w:w="340" w:type="dxa"/>
            <w:vAlign w:val="bottom"/>
            <w:shd w:val="clear" w:color="auto" w:fill="E5F1F8"/>
          </w:tcPr>
          <w:p>
            <w:pPr>
              <w:spacing w:after="0"/>
              <w:rPr>
                <w:sz w:val="16"/>
                <w:szCs w:val="16"/>
                <w:color w:val="auto"/>
              </w:rPr>
            </w:pPr>
          </w:p>
        </w:tc>
        <w:tc>
          <w:tcPr>
            <w:tcW w:w="640" w:type="dxa"/>
            <w:vAlign w:val="bottom"/>
            <w:tcBorders>
              <w:right w:val="single" w:sz="8" w:color="007CBA"/>
            </w:tcBorders>
            <w:shd w:val="clear" w:color="auto" w:fill="E5F1F8"/>
          </w:tcPr>
          <w:p>
            <w:pPr>
              <w:jc w:val="right"/>
              <w:ind w:right="41"/>
              <w:spacing w:after="0"/>
              <w:rPr>
                <w:sz w:val="20"/>
                <w:szCs w:val="20"/>
                <w:color w:val="auto"/>
              </w:rPr>
            </w:pPr>
            <w:r>
              <w:rPr>
                <w:rFonts w:ascii="Arial" w:cs="Arial" w:eastAsia="Arial" w:hAnsi="Arial"/>
                <w:sz w:val="16"/>
                <w:szCs w:val="16"/>
                <w:color w:val="auto"/>
              </w:rPr>
              <w:t>294</w:t>
            </w:r>
          </w:p>
        </w:tc>
        <w:tc>
          <w:tcPr>
            <w:tcW w:w="280" w:type="dxa"/>
            <w:vAlign w:val="bottom"/>
            <w:shd w:val="clear" w:color="auto" w:fill="E5F1F8"/>
          </w:tcPr>
          <w:p>
            <w:pPr>
              <w:spacing w:after="0"/>
              <w:rPr>
                <w:sz w:val="16"/>
                <w:szCs w:val="16"/>
                <w:color w:val="auto"/>
              </w:rPr>
            </w:pPr>
          </w:p>
        </w:tc>
        <w:tc>
          <w:tcPr>
            <w:tcW w:w="700" w:type="dxa"/>
            <w:vAlign w:val="bottom"/>
            <w:tcBorders>
              <w:right w:val="single" w:sz="8" w:color="007CBA"/>
            </w:tcBorders>
            <w:shd w:val="clear" w:color="auto" w:fill="E5F1F8"/>
          </w:tcPr>
          <w:p>
            <w:pPr>
              <w:jc w:val="right"/>
              <w:ind w:right="63"/>
              <w:spacing w:after="0"/>
              <w:rPr>
                <w:sz w:val="20"/>
                <w:szCs w:val="20"/>
                <w:color w:val="auto"/>
              </w:rPr>
            </w:pPr>
            <w:r>
              <w:rPr>
                <w:rFonts w:ascii="Arial" w:cs="Arial" w:eastAsia="Arial" w:hAnsi="Arial"/>
                <w:sz w:val="16"/>
                <w:szCs w:val="16"/>
                <w:b w:val="1"/>
                <w:bCs w:val="1"/>
                <w:color w:val="auto"/>
              </w:rPr>
              <w:t>328</w:t>
            </w:r>
          </w:p>
        </w:tc>
        <w:tc>
          <w:tcPr>
            <w:tcW w:w="280" w:type="dxa"/>
            <w:vAlign w:val="bottom"/>
            <w:shd w:val="clear" w:color="auto" w:fill="E5F1F8"/>
          </w:tcPr>
          <w:p>
            <w:pPr>
              <w:spacing w:after="0"/>
              <w:rPr>
                <w:sz w:val="16"/>
                <w:szCs w:val="16"/>
                <w:color w:val="auto"/>
              </w:rPr>
            </w:pPr>
          </w:p>
        </w:tc>
        <w:tc>
          <w:tcPr>
            <w:tcW w:w="720" w:type="dxa"/>
            <w:vAlign w:val="bottom"/>
            <w:shd w:val="clear" w:color="auto" w:fill="E5F1F8"/>
          </w:tcPr>
          <w:p>
            <w:pPr>
              <w:jc w:val="right"/>
              <w:ind w:right="61"/>
              <w:spacing w:after="0"/>
              <w:rPr>
                <w:sz w:val="20"/>
                <w:szCs w:val="20"/>
                <w:color w:val="auto"/>
              </w:rPr>
            </w:pPr>
            <w:r>
              <w:rPr>
                <w:rFonts w:ascii="Arial" w:cs="Arial" w:eastAsia="Arial" w:hAnsi="Arial"/>
                <w:sz w:val="16"/>
                <w:szCs w:val="16"/>
                <w:color w:val="auto"/>
              </w:rPr>
              <w:t>293</w:t>
            </w:r>
          </w:p>
        </w:tc>
      </w:tr>
      <w:tr>
        <w:trPr>
          <w:trHeight w:val="189"/>
        </w:trPr>
        <w:tc>
          <w:tcPr>
            <w:tcW w:w="1560" w:type="dxa"/>
            <w:vAlign w:val="bottom"/>
            <w:tcBorders>
              <w:right w:val="single" w:sz="8" w:color="007CBA"/>
            </w:tcBorders>
          </w:tcPr>
          <w:p>
            <w:pPr>
              <w:ind w:left="20"/>
              <w:spacing w:after="0"/>
              <w:rPr>
                <w:sz w:val="20"/>
                <w:szCs w:val="20"/>
                <w:color w:val="auto"/>
              </w:rPr>
            </w:pPr>
            <w:r>
              <w:rPr>
                <w:rFonts w:ascii="Arial" w:cs="Arial" w:eastAsia="Arial" w:hAnsi="Arial"/>
                <w:sz w:val="16"/>
                <w:szCs w:val="16"/>
                <w:color w:val="auto"/>
              </w:rPr>
              <w:t>Third</w:t>
            </w:r>
          </w:p>
        </w:tc>
        <w:tc>
          <w:tcPr>
            <w:tcW w:w="280" w:type="dxa"/>
            <w:vAlign w:val="bottom"/>
          </w:tcPr>
          <w:p>
            <w:pPr>
              <w:spacing w:after="0"/>
              <w:rPr>
                <w:sz w:val="16"/>
                <w:szCs w:val="16"/>
                <w:color w:val="auto"/>
              </w:rPr>
            </w:pP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1,846</w:t>
            </w:r>
          </w:p>
        </w:tc>
        <w:tc>
          <w:tcPr>
            <w:tcW w:w="280" w:type="dxa"/>
            <w:vAlign w:val="bottom"/>
          </w:tcPr>
          <w:p>
            <w:pPr>
              <w:spacing w:after="0"/>
              <w:rPr>
                <w:sz w:val="16"/>
                <w:szCs w:val="16"/>
                <w:color w:val="auto"/>
              </w:rPr>
            </w:pPr>
          </w:p>
        </w:tc>
        <w:tc>
          <w:tcPr>
            <w:tcW w:w="68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1,642</w:t>
            </w:r>
          </w:p>
        </w:tc>
        <w:tc>
          <w:tcPr>
            <w:tcW w:w="280" w:type="dxa"/>
            <w:vAlign w:val="bottom"/>
          </w:tcPr>
          <w:p>
            <w:pPr>
              <w:spacing w:after="0"/>
              <w:rPr>
                <w:sz w:val="16"/>
                <w:szCs w:val="16"/>
                <w:color w:val="auto"/>
              </w:rPr>
            </w:pP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611</w:t>
            </w:r>
          </w:p>
        </w:tc>
        <w:tc>
          <w:tcPr>
            <w:tcW w:w="280" w:type="dxa"/>
            <w:vAlign w:val="bottom"/>
          </w:tcPr>
          <w:p>
            <w:pPr>
              <w:spacing w:after="0"/>
              <w:rPr>
                <w:sz w:val="16"/>
                <w:szCs w:val="16"/>
                <w:color w:val="auto"/>
              </w:rPr>
            </w:pPr>
          </w:p>
        </w:tc>
        <w:tc>
          <w:tcPr>
            <w:tcW w:w="68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513</w:t>
            </w:r>
          </w:p>
        </w:tc>
        <w:tc>
          <w:tcPr>
            <w:tcW w:w="280" w:type="dxa"/>
            <w:vAlign w:val="bottom"/>
          </w:tcPr>
          <w:p>
            <w:pPr>
              <w:spacing w:after="0"/>
              <w:rPr>
                <w:sz w:val="16"/>
                <w:szCs w:val="16"/>
                <w:color w:val="auto"/>
              </w:rPr>
            </w:pPr>
          </w:p>
        </w:tc>
        <w:tc>
          <w:tcPr>
            <w:tcW w:w="700" w:type="dxa"/>
            <w:vAlign w:val="bottom"/>
            <w:tcBorders>
              <w:right w:val="single" w:sz="8" w:color="007CBA"/>
            </w:tcBorders>
          </w:tcPr>
          <w:p>
            <w:pPr>
              <w:jc w:val="right"/>
              <w:ind w:right="62"/>
              <w:spacing w:after="0"/>
              <w:rPr>
                <w:sz w:val="20"/>
                <w:szCs w:val="20"/>
                <w:color w:val="auto"/>
              </w:rPr>
            </w:pPr>
            <w:r>
              <w:rPr>
                <w:rFonts w:ascii="Arial" w:cs="Arial" w:eastAsia="Arial" w:hAnsi="Arial"/>
                <w:sz w:val="16"/>
                <w:szCs w:val="16"/>
                <w:b w:val="1"/>
                <w:bCs w:val="1"/>
                <w:color w:val="auto"/>
              </w:rPr>
              <w:t>361</w:t>
            </w:r>
          </w:p>
        </w:tc>
        <w:tc>
          <w:tcPr>
            <w:tcW w:w="260" w:type="dxa"/>
            <w:vAlign w:val="bottom"/>
          </w:tcPr>
          <w:p>
            <w:pPr>
              <w:spacing w:after="0"/>
              <w:rPr>
                <w:sz w:val="16"/>
                <w:szCs w:val="16"/>
                <w:color w:val="auto"/>
              </w:rPr>
            </w:pPr>
          </w:p>
        </w:tc>
        <w:tc>
          <w:tcPr>
            <w:tcW w:w="700" w:type="dxa"/>
            <w:vAlign w:val="bottom"/>
            <w:tcBorders>
              <w:right w:val="single" w:sz="8" w:color="007CBA"/>
            </w:tcBorders>
          </w:tcPr>
          <w:p>
            <w:pPr>
              <w:jc w:val="right"/>
              <w:ind w:right="61"/>
              <w:spacing w:after="0"/>
              <w:rPr>
                <w:sz w:val="20"/>
                <w:szCs w:val="20"/>
                <w:color w:val="auto"/>
              </w:rPr>
            </w:pPr>
            <w:r>
              <w:rPr>
                <w:rFonts w:ascii="Arial" w:cs="Arial" w:eastAsia="Arial" w:hAnsi="Arial"/>
                <w:sz w:val="16"/>
                <w:szCs w:val="16"/>
                <w:color w:val="auto"/>
              </w:rPr>
              <w:t>297</w:t>
            </w:r>
          </w:p>
        </w:tc>
        <w:tc>
          <w:tcPr>
            <w:tcW w:w="260" w:type="dxa"/>
            <w:vAlign w:val="bottom"/>
          </w:tcPr>
          <w:p>
            <w:pPr>
              <w:spacing w:after="0"/>
              <w:rPr>
                <w:sz w:val="16"/>
                <w:szCs w:val="16"/>
                <w:color w:val="auto"/>
              </w:rPr>
            </w:pPr>
          </w:p>
        </w:tc>
        <w:tc>
          <w:tcPr>
            <w:tcW w:w="680" w:type="dxa"/>
            <w:vAlign w:val="bottom"/>
            <w:tcBorders>
              <w:right w:val="single" w:sz="8" w:color="007CBA"/>
            </w:tcBorders>
          </w:tcPr>
          <w:p>
            <w:pPr>
              <w:jc w:val="right"/>
              <w:ind w:right="42"/>
              <w:spacing w:after="0"/>
              <w:rPr>
                <w:sz w:val="20"/>
                <w:szCs w:val="20"/>
                <w:color w:val="auto"/>
              </w:rPr>
            </w:pPr>
            <w:r>
              <w:rPr>
                <w:rFonts w:ascii="Arial" w:cs="Arial" w:eastAsia="Arial" w:hAnsi="Arial"/>
                <w:sz w:val="16"/>
                <w:szCs w:val="16"/>
                <w:b w:val="1"/>
                <w:bCs w:val="1"/>
                <w:color w:val="auto"/>
              </w:rPr>
              <w:t>414</w:t>
            </w:r>
          </w:p>
        </w:tc>
        <w:tc>
          <w:tcPr>
            <w:tcW w:w="340" w:type="dxa"/>
            <w:vAlign w:val="bottom"/>
          </w:tcPr>
          <w:p>
            <w:pPr>
              <w:spacing w:after="0"/>
              <w:rPr>
                <w:sz w:val="16"/>
                <w:szCs w:val="16"/>
                <w:color w:val="auto"/>
              </w:rPr>
            </w:pPr>
          </w:p>
        </w:tc>
        <w:tc>
          <w:tcPr>
            <w:tcW w:w="640" w:type="dxa"/>
            <w:vAlign w:val="bottom"/>
            <w:tcBorders>
              <w:right w:val="single" w:sz="8" w:color="007CBA"/>
            </w:tcBorders>
          </w:tcPr>
          <w:p>
            <w:pPr>
              <w:jc w:val="right"/>
              <w:ind w:right="41"/>
              <w:spacing w:after="0"/>
              <w:rPr>
                <w:sz w:val="20"/>
                <w:szCs w:val="20"/>
                <w:color w:val="auto"/>
              </w:rPr>
            </w:pPr>
            <w:r>
              <w:rPr>
                <w:rFonts w:ascii="Arial" w:cs="Arial" w:eastAsia="Arial" w:hAnsi="Arial"/>
                <w:sz w:val="16"/>
                <w:szCs w:val="16"/>
                <w:color w:val="auto"/>
              </w:rPr>
              <w:t>363</w:t>
            </w:r>
          </w:p>
        </w:tc>
        <w:tc>
          <w:tcPr>
            <w:tcW w:w="280" w:type="dxa"/>
            <w:vAlign w:val="bottom"/>
          </w:tcPr>
          <w:p>
            <w:pPr>
              <w:spacing w:after="0"/>
              <w:rPr>
                <w:sz w:val="16"/>
                <w:szCs w:val="16"/>
                <w:color w:val="auto"/>
              </w:rPr>
            </w:pPr>
          </w:p>
        </w:tc>
        <w:tc>
          <w:tcPr>
            <w:tcW w:w="700" w:type="dxa"/>
            <w:vAlign w:val="bottom"/>
            <w:tcBorders>
              <w:right w:val="single" w:sz="8" w:color="007CBA"/>
            </w:tcBorders>
          </w:tcPr>
          <w:p>
            <w:pPr>
              <w:jc w:val="right"/>
              <w:ind w:right="63"/>
              <w:spacing w:after="0"/>
              <w:rPr>
                <w:sz w:val="20"/>
                <w:szCs w:val="20"/>
                <w:color w:val="auto"/>
              </w:rPr>
            </w:pPr>
            <w:r>
              <w:rPr>
                <w:rFonts w:ascii="Arial" w:cs="Arial" w:eastAsia="Arial" w:hAnsi="Arial"/>
                <w:sz w:val="16"/>
                <w:szCs w:val="16"/>
                <w:b w:val="1"/>
                <w:bCs w:val="1"/>
                <w:color w:val="auto"/>
              </w:rPr>
              <w:t>414</w:t>
            </w:r>
          </w:p>
        </w:tc>
        <w:tc>
          <w:tcPr>
            <w:tcW w:w="280" w:type="dxa"/>
            <w:vAlign w:val="bottom"/>
          </w:tcPr>
          <w:p>
            <w:pPr>
              <w:spacing w:after="0"/>
              <w:rPr>
                <w:sz w:val="16"/>
                <w:szCs w:val="16"/>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363</w:t>
            </w:r>
          </w:p>
        </w:tc>
      </w:tr>
      <w:tr>
        <w:trPr>
          <w:trHeight w:val="189"/>
        </w:trPr>
        <w:tc>
          <w:tcPr>
            <w:tcW w:w="1560" w:type="dxa"/>
            <w:vAlign w:val="bottom"/>
            <w:tcBorders>
              <w:bottom w:val="single" w:sz="8" w:color="auto"/>
              <w:right w:val="single" w:sz="8" w:color="E5F1F8"/>
            </w:tcBorders>
            <w:shd w:val="clear" w:color="auto" w:fill="E5F1F8"/>
          </w:tcPr>
          <w:p>
            <w:pPr>
              <w:ind w:left="20"/>
              <w:spacing w:after="0"/>
              <w:rPr>
                <w:sz w:val="20"/>
                <w:szCs w:val="20"/>
                <w:color w:val="auto"/>
              </w:rPr>
            </w:pPr>
            <w:r>
              <w:rPr>
                <w:rFonts w:ascii="Arial" w:cs="Arial" w:eastAsia="Arial" w:hAnsi="Arial"/>
                <w:sz w:val="16"/>
                <w:szCs w:val="16"/>
                <w:color w:val="auto"/>
              </w:rPr>
              <w:t>Fourth</w:t>
            </w:r>
          </w:p>
        </w:tc>
        <w:tc>
          <w:tcPr>
            <w:tcW w:w="28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1,534</w:t>
            </w:r>
          </w:p>
        </w:tc>
        <w:tc>
          <w:tcPr>
            <w:tcW w:w="28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jc w:val="right"/>
              <w:ind w:right="41"/>
              <w:spacing w:after="0"/>
              <w:rPr>
                <w:sz w:val="20"/>
                <w:szCs w:val="20"/>
                <w:color w:val="auto"/>
              </w:rPr>
            </w:pPr>
            <w:r>
              <w:rPr>
                <w:rFonts w:ascii="Arial" w:cs="Arial" w:eastAsia="Arial" w:hAnsi="Arial"/>
                <w:sz w:val="16"/>
                <w:szCs w:val="16"/>
                <w:color w:val="auto"/>
              </w:rPr>
              <w:t>1,412</w:t>
            </w:r>
          </w:p>
        </w:tc>
        <w:tc>
          <w:tcPr>
            <w:tcW w:w="28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468</w:t>
            </w:r>
          </w:p>
        </w:tc>
        <w:tc>
          <w:tcPr>
            <w:tcW w:w="28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jc w:val="right"/>
              <w:ind w:right="41"/>
              <w:spacing w:after="0"/>
              <w:rPr>
                <w:sz w:val="20"/>
                <w:szCs w:val="20"/>
                <w:color w:val="auto"/>
              </w:rPr>
            </w:pPr>
            <w:r>
              <w:rPr>
                <w:rFonts w:ascii="Arial" w:cs="Arial" w:eastAsia="Arial" w:hAnsi="Arial"/>
                <w:sz w:val="16"/>
                <w:szCs w:val="16"/>
                <w:color w:val="auto"/>
              </w:rPr>
              <w:t>424</w:t>
            </w:r>
          </w:p>
        </w:tc>
        <w:tc>
          <w:tcPr>
            <w:tcW w:w="280" w:type="dxa"/>
            <w:vAlign w:val="bottom"/>
            <w:tcBorders>
              <w:bottom w:val="single" w:sz="8" w:color="auto"/>
            </w:tcBorders>
            <w:shd w:val="clear" w:color="auto" w:fill="E5F1F8"/>
          </w:tcPr>
          <w:p>
            <w:pPr>
              <w:spacing w:after="0"/>
              <w:rPr>
                <w:sz w:val="16"/>
                <w:szCs w:val="16"/>
                <w:color w:val="auto"/>
              </w:rPr>
            </w:pPr>
          </w:p>
        </w:tc>
        <w:tc>
          <w:tcPr>
            <w:tcW w:w="700" w:type="dxa"/>
            <w:vAlign w:val="bottom"/>
            <w:tcBorders>
              <w:bottom w:val="single" w:sz="8" w:color="auto"/>
              <w:right w:val="single" w:sz="8" w:color="E5F1F8"/>
            </w:tcBorders>
            <w:shd w:val="clear" w:color="auto" w:fill="E5F1F8"/>
          </w:tcPr>
          <w:p>
            <w:pPr>
              <w:jc w:val="right"/>
              <w:ind w:right="62"/>
              <w:spacing w:after="0"/>
              <w:rPr>
                <w:sz w:val="20"/>
                <w:szCs w:val="20"/>
                <w:color w:val="auto"/>
              </w:rPr>
            </w:pPr>
            <w:r>
              <w:rPr>
                <w:rFonts w:ascii="Arial" w:cs="Arial" w:eastAsia="Arial" w:hAnsi="Arial"/>
                <w:sz w:val="16"/>
                <w:szCs w:val="16"/>
                <w:b w:val="1"/>
                <w:bCs w:val="1"/>
                <w:color w:val="auto"/>
              </w:rPr>
              <w:t>233</w:t>
            </w:r>
          </w:p>
        </w:tc>
        <w:tc>
          <w:tcPr>
            <w:tcW w:w="260" w:type="dxa"/>
            <w:vAlign w:val="bottom"/>
            <w:tcBorders>
              <w:bottom w:val="single" w:sz="8" w:color="auto"/>
            </w:tcBorders>
            <w:shd w:val="clear" w:color="auto" w:fill="E5F1F8"/>
          </w:tcPr>
          <w:p>
            <w:pPr>
              <w:spacing w:after="0"/>
              <w:rPr>
                <w:sz w:val="16"/>
                <w:szCs w:val="16"/>
                <w:color w:val="auto"/>
              </w:rPr>
            </w:pPr>
          </w:p>
        </w:tc>
        <w:tc>
          <w:tcPr>
            <w:tcW w:w="700" w:type="dxa"/>
            <w:vAlign w:val="bottom"/>
            <w:tcBorders>
              <w:bottom w:val="single" w:sz="8" w:color="auto"/>
              <w:right w:val="single" w:sz="8" w:color="E5F1F8"/>
            </w:tcBorders>
            <w:shd w:val="clear" w:color="auto" w:fill="E5F1F8"/>
          </w:tcPr>
          <w:p>
            <w:pPr>
              <w:jc w:val="right"/>
              <w:ind w:right="61"/>
              <w:spacing w:after="0"/>
              <w:rPr>
                <w:sz w:val="20"/>
                <w:szCs w:val="20"/>
                <w:color w:val="auto"/>
              </w:rPr>
            </w:pPr>
            <w:r>
              <w:rPr>
                <w:rFonts w:ascii="Arial" w:cs="Arial" w:eastAsia="Arial" w:hAnsi="Arial"/>
                <w:sz w:val="16"/>
                <w:szCs w:val="16"/>
                <w:color w:val="auto"/>
              </w:rPr>
              <w:t>248</w:t>
            </w:r>
          </w:p>
        </w:tc>
        <w:tc>
          <w:tcPr>
            <w:tcW w:w="260" w:type="dxa"/>
            <w:vAlign w:val="bottom"/>
            <w:tcBorders>
              <w:bottom w:val="single" w:sz="8" w:color="auto"/>
            </w:tcBorders>
            <w:shd w:val="clear" w:color="auto" w:fill="E5F1F8"/>
          </w:tcPr>
          <w:p>
            <w:pPr>
              <w:spacing w:after="0"/>
              <w:rPr>
                <w:sz w:val="16"/>
                <w:szCs w:val="16"/>
                <w:color w:val="auto"/>
              </w:rPr>
            </w:pPr>
          </w:p>
        </w:tc>
        <w:tc>
          <w:tcPr>
            <w:tcW w:w="680" w:type="dxa"/>
            <w:vAlign w:val="bottom"/>
            <w:tcBorders>
              <w:bottom w:val="single" w:sz="8" w:color="auto"/>
              <w:right w:val="single" w:sz="8" w:color="E5F1F8"/>
            </w:tcBorders>
            <w:shd w:val="clear" w:color="auto" w:fill="E5F1F8"/>
          </w:tcPr>
          <w:p>
            <w:pPr>
              <w:jc w:val="right"/>
              <w:ind w:right="42"/>
              <w:spacing w:after="0"/>
              <w:rPr>
                <w:sz w:val="20"/>
                <w:szCs w:val="20"/>
                <w:color w:val="auto"/>
              </w:rPr>
            </w:pPr>
            <w:r>
              <w:rPr>
                <w:rFonts w:ascii="Arial" w:cs="Arial" w:eastAsia="Arial" w:hAnsi="Arial"/>
                <w:sz w:val="16"/>
                <w:szCs w:val="16"/>
                <w:b w:val="1"/>
                <w:bCs w:val="1"/>
                <w:color w:val="auto"/>
              </w:rPr>
              <w:t>279</w:t>
            </w:r>
          </w:p>
        </w:tc>
        <w:tc>
          <w:tcPr>
            <w:tcW w:w="340" w:type="dxa"/>
            <w:vAlign w:val="bottom"/>
            <w:tcBorders>
              <w:bottom w:val="single" w:sz="8" w:color="auto"/>
            </w:tcBorders>
            <w:shd w:val="clear" w:color="auto" w:fill="E5F1F8"/>
          </w:tcPr>
          <w:p>
            <w:pPr>
              <w:spacing w:after="0"/>
              <w:rPr>
                <w:sz w:val="16"/>
                <w:szCs w:val="16"/>
                <w:color w:val="auto"/>
              </w:rPr>
            </w:pPr>
          </w:p>
        </w:tc>
        <w:tc>
          <w:tcPr>
            <w:tcW w:w="640" w:type="dxa"/>
            <w:vAlign w:val="bottom"/>
            <w:tcBorders>
              <w:bottom w:val="single" w:sz="8" w:color="auto"/>
              <w:right w:val="single" w:sz="8" w:color="E5F1F8"/>
            </w:tcBorders>
            <w:shd w:val="clear" w:color="auto" w:fill="E5F1F8"/>
          </w:tcPr>
          <w:p>
            <w:pPr>
              <w:jc w:val="right"/>
              <w:ind w:right="41"/>
              <w:spacing w:after="0"/>
              <w:rPr>
                <w:sz w:val="20"/>
                <w:szCs w:val="20"/>
                <w:color w:val="auto"/>
              </w:rPr>
            </w:pPr>
            <w:r>
              <w:rPr>
                <w:rFonts w:ascii="Arial" w:cs="Arial" w:eastAsia="Arial" w:hAnsi="Arial"/>
                <w:sz w:val="16"/>
                <w:szCs w:val="16"/>
                <w:color w:val="auto"/>
              </w:rPr>
              <w:t>294</w:t>
            </w:r>
          </w:p>
        </w:tc>
        <w:tc>
          <w:tcPr>
            <w:tcW w:w="280" w:type="dxa"/>
            <w:vAlign w:val="bottom"/>
            <w:tcBorders>
              <w:bottom w:val="single" w:sz="8" w:color="auto"/>
            </w:tcBorders>
            <w:shd w:val="clear" w:color="auto" w:fill="E5F1F8"/>
          </w:tcPr>
          <w:p>
            <w:pPr>
              <w:spacing w:after="0"/>
              <w:rPr>
                <w:sz w:val="16"/>
                <w:szCs w:val="16"/>
                <w:color w:val="auto"/>
              </w:rPr>
            </w:pPr>
          </w:p>
        </w:tc>
        <w:tc>
          <w:tcPr>
            <w:tcW w:w="700" w:type="dxa"/>
            <w:vAlign w:val="bottom"/>
            <w:tcBorders>
              <w:bottom w:val="single" w:sz="8" w:color="auto"/>
              <w:right w:val="single" w:sz="8" w:color="E5F1F8"/>
            </w:tcBorders>
            <w:shd w:val="clear" w:color="auto" w:fill="E5F1F8"/>
          </w:tcPr>
          <w:p>
            <w:pPr>
              <w:jc w:val="right"/>
              <w:ind w:right="63"/>
              <w:spacing w:after="0"/>
              <w:rPr>
                <w:sz w:val="20"/>
                <w:szCs w:val="20"/>
                <w:color w:val="auto"/>
              </w:rPr>
            </w:pPr>
            <w:r>
              <w:rPr>
                <w:rFonts w:ascii="Arial" w:cs="Arial" w:eastAsia="Arial" w:hAnsi="Arial"/>
                <w:sz w:val="16"/>
                <w:szCs w:val="16"/>
                <w:b w:val="1"/>
                <w:bCs w:val="1"/>
                <w:color w:val="auto"/>
              </w:rPr>
              <w:t>279</w:t>
            </w:r>
          </w:p>
        </w:tc>
        <w:tc>
          <w:tcPr>
            <w:tcW w:w="280" w:type="dxa"/>
            <w:vAlign w:val="bottom"/>
            <w:tcBorders>
              <w:bottom w:val="single" w:sz="8" w:color="auto"/>
            </w:tcBorders>
            <w:shd w:val="clear" w:color="auto" w:fill="E5F1F8"/>
          </w:tcPr>
          <w:p>
            <w:pPr>
              <w:spacing w:after="0"/>
              <w:rPr>
                <w:sz w:val="16"/>
                <w:szCs w:val="16"/>
                <w:color w:val="auto"/>
              </w:rPr>
            </w:pPr>
          </w:p>
        </w:tc>
        <w:tc>
          <w:tcPr>
            <w:tcW w:w="720" w:type="dxa"/>
            <w:vAlign w:val="bottom"/>
            <w:tcBorders>
              <w:bottom w:val="single" w:sz="8" w:color="auto"/>
            </w:tcBorders>
            <w:shd w:val="clear" w:color="auto" w:fill="E5F1F8"/>
          </w:tcPr>
          <w:p>
            <w:pPr>
              <w:jc w:val="right"/>
              <w:ind w:right="61"/>
              <w:spacing w:after="0"/>
              <w:rPr>
                <w:sz w:val="20"/>
                <w:szCs w:val="20"/>
                <w:color w:val="auto"/>
              </w:rPr>
            </w:pPr>
            <w:r>
              <w:rPr>
                <w:rFonts w:ascii="Arial" w:cs="Arial" w:eastAsia="Arial" w:hAnsi="Arial"/>
                <w:sz w:val="16"/>
                <w:szCs w:val="16"/>
                <w:color w:val="auto"/>
              </w:rPr>
              <w:t>294</w:t>
            </w:r>
          </w:p>
        </w:tc>
      </w:tr>
      <w:tr>
        <w:trPr>
          <w:trHeight w:val="183"/>
        </w:trPr>
        <w:tc>
          <w:tcPr>
            <w:tcW w:w="15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6,150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5,662</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1,889</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1,636</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990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1,816</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1,137</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1,996</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b w:val="1"/>
                <w:bCs w:val="1"/>
                <w:color w:val="auto"/>
              </w:rPr>
              <w:t>1,137</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1,995</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265430</wp:posOffset>
            </wp:positionV>
            <wp:extent cx="325755" cy="1974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-745490</wp:posOffset>
            </wp:positionV>
            <wp:extent cx="606044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-286385</wp:posOffset>
            </wp:positionV>
            <wp:extent cx="33655" cy="2997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-286385</wp:posOffset>
            </wp:positionV>
            <wp:extent cx="34290" cy="2997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-286385</wp:posOffset>
            </wp:positionV>
            <wp:extent cx="34290" cy="2997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-286385</wp:posOffset>
            </wp:positionV>
            <wp:extent cx="34290" cy="2997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-286385</wp:posOffset>
            </wp:positionV>
            <wp:extent cx="34290" cy="2997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-286385</wp:posOffset>
            </wp:positionV>
            <wp:extent cx="33655" cy="2997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-286385</wp:posOffset>
            </wp:positionV>
            <wp:extent cx="34290" cy="2997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-286385</wp:posOffset>
            </wp:positionV>
            <wp:extent cx="34290" cy="2997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-286385</wp:posOffset>
            </wp:positionV>
            <wp:extent cx="33655" cy="2997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6473190</wp:posOffset>
            </wp:positionH>
            <wp:positionV relativeFrom="paragraph">
              <wp:posOffset>-286385</wp:posOffset>
            </wp:positionV>
            <wp:extent cx="33655" cy="2997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655" cy="2997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0" w:name="page111"/>
    <w:bookmarkEnd w:id="110"/>
    <w:p>
      <w:pPr>
        <w:ind w:left="764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9A – Controls and Procedures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25"/>
          <w:szCs w:val="25"/>
          <w:b w:val="1"/>
          <w:bCs w:val="1"/>
          <w:color w:val="auto"/>
        </w:rPr>
        <w:t>ITEM 9 – CHANGES IN AND DISAGREEMENTS WITH ACCOUNTANTS ON ACCOUNTING AND FINANCIAL DISCLOSURE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Evaluation of Disclosure Controls and Procedures</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Management’s Report on Internal Control over Financial Reporting</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Our management’s report on internal control over financial reporting is included as the </w:t>
      </w:r>
      <w:r>
        <w:rPr>
          <w:rFonts w:ascii="Arial" w:cs="Arial" w:eastAsia="Arial" w:hAnsi="Arial"/>
          <w:sz w:val="18"/>
          <w:szCs w:val="18"/>
          <w:u w:val="single" w:color="auto"/>
          <w:color w:val="007DC6"/>
        </w:rPr>
        <w:t>Statement of Financial Responsibility and</w:t>
      </w:r>
      <w:r>
        <w:rPr>
          <w:rFonts w:ascii="Arial" w:cs="Arial" w:eastAsia="Arial" w:hAnsi="Arial"/>
          <w:sz w:val="18"/>
          <w:szCs w:val="18"/>
          <w:color w:val="auto"/>
        </w:rPr>
        <w:t xml:space="preserve"> </w:t>
      </w:r>
      <w:r>
        <w:rPr>
          <w:rFonts w:ascii="Arial" w:cs="Arial" w:eastAsia="Arial" w:hAnsi="Arial"/>
          <w:sz w:val="18"/>
          <w:szCs w:val="18"/>
          <w:u w:val="single" w:color="auto"/>
          <w:color w:val="007DC6"/>
        </w:rPr>
        <w:t>Management’s Report on Internal Controls over Financial Reporting</w:t>
      </w:r>
      <w:r>
        <w:rPr>
          <w:rFonts w:ascii="Arial" w:cs="Arial" w:eastAsia="Arial" w:hAnsi="Arial"/>
          <w:sz w:val="18"/>
          <w:szCs w:val="18"/>
          <w:color w:val="007DC6"/>
        </w:rPr>
        <w:t xml:space="preserve"> </w:t>
      </w:r>
      <w:r>
        <w:rPr>
          <w:rFonts w:ascii="Arial" w:cs="Arial" w:eastAsia="Arial" w:hAnsi="Arial"/>
          <w:sz w:val="18"/>
          <w:szCs w:val="18"/>
          <w:color w:val="000000"/>
        </w:rPr>
        <w:t>in</w:t>
      </w:r>
      <w:r>
        <w:rPr>
          <w:rFonts w:ascii="Arial" w:cs="Arial" w:eastAsia="Arial" w:hAnsi="Arial"/>
          <w:sz w:val="18"/>
          <w:szCs w:val="18"/>
          <w:color w:val="007DC6"/>
        </w:rPr>
        <w:t xml:space="preserve"> </w:t>
      </w:r>
      <w:r>
        <w:rPr>
          <w:rFonts w:ascii="Arial" w:cs="Arial" w:eastAsia="Arial" w:hAnsi="Arial"/>
          <w:sz w:val="18"/>
          <w:szCs w:val="18"/>
          <w:u w:val="single" w:color="auto"/>
          <w:color w:val="007DC6"/>
        </w:rPr>
        <w:t>Item 8, Financial Statements and Supplemental Data</w:t>
      </w:r>
      <w:r>
        <w:rPr>
          <w:rFonts w:ascii="Arial" w:cs="Arial" w:eastAsia="Arial" w:hAnsi="Arial"/>
          <w:sz w:val="18"/>
          <w:szCs w:val="18"/>
          <w:color w:val="007DC6"/>
        </w:rPr>
        <w:t xml:space="preserve"> </w:t>
      </w:r>
      <w:r>
        <w:rPr>
          <w:rFonts w:ascii="Arial" w:cs="Arial" w:eastAsia="Arial" w:hAnsi="Arial"/>
          <w:sz w:val="18"/>
          <w:szCs w:val="18"/>
          <w:color w:val="000000"/>
        </w:rPr>
        <w:t xml:space="preserve">of this Form 10-K.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U.S. generally accepted accounting principles as of December 31, 2025. PricewaterhouseCoopers LLP, the independent registered public accounting firm that audited the Company’s consolidated financial statements contained herein, also audited the Company’s internal control over financial reporting as of December 31, 2025. The audit report is included in </w:t>
      </w:r>
      <w:r>
        <w:rPr>
          <w:rFonts w:ascii="Arial" w:cs="Arial" w:eastAsia="Arial" w:hAnsi="Arial"/>
          <w:sz w:val="18"/>
          <w:szCs w:val="18"/>
          <w:u w:val="single" w:color="auto"/>
          <w:color w:val="007DC6"/>
        </w:rPr>
        <w:t>Item 8, Financial Statements and</w:t>
      </w:r>
      <w:r>
        <w:rPr>
          <w:rFonts w:ascii="Arial" w:cs="Arial" w:eastAsia="Arial" w:hAnsi="Arial"/>
          <w:sz w:val="18"/>
          <w:szCs w:val="18"/>
          <w:color w:val="000000"/>
        </w:rPr>
        <w:t xml:space="preserve"> </w:t>
      </w:r>
      <w:r>
        <w:rPr>
          <w:rFonts w:ascii="Arial" w:cs="Arial" w:eastAsia="Arial" w:hAnsi="Arial"/>
          <w:sz w:val="18"/>
          <w:szCs w:val="18"/>
          <w:u w:val="single" w:color="auto"/>
          <w:color w:val="007DC6"/>
        </w:rPr>
        <w:t>Supplementary Data</w:t>
      </w:r>
      <w:r>
        <w:rPr>
          <w:rFonts w:ascii="Arial" w:cs="Arial" w:eastAsia="Arial" w:hAnsi="Arial"/>
          <w:sz w:val="18"/>
          <w:szCs w:val="18"/>
          <w:color w:val="007DC6"/>
        </w:rPr>
        <w:t xml:space="preserve"> </w:t>
      </w:r>
      <w:r>
        <w:rPr>
          <w:rFonts w:ascii="Arial" w:cs="Arial" w:eastAsia="Arial" w:hAnsi="Arial"/>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-927735</wp:posOffset>
            </wp:positionV>
            <wp:extent cx="225869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-798830</wp:posOffset>
            </wp:positionV>
            <wp:extent cx="62833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-156210</wp:posOffset>
            </wp:positionV>
            <wp:extent cx="179006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90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10414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Management has excluded the internal control over financial reporting of Premier Magnesia, LLC from its assessment of the Company’s internal control over financial reporting as of December 31, 2025, because this business was acquired by the Company in a purchase business combination during 2025 and has not been integrated into the Company’s existing systems and internal control over financial reporting. Those controls that were not integrated have been excluded from management’s assessment of the effectiveness of internal control over financial reporting as of December 31, 2025. The excluded elements represent controls for $114 million of consolidated assets and $107 million of consolidated revenues as of and for the year ended December 31, 2025.</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Changes in Internal Control over Financial Reporting</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during the most recently completed fiscal quarter ended December 31, 2025 that materially affected, or are reasonably likely to materially affect, the Company’s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Limitations on the Effectiveness of Controls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based in part upon certain assumptions about the likelihood of future events, and there can be no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51435</wp:posOffset>
            </wp:positionV>
            <wp:extent cx="325755" cy="1974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1" w:name="page112"/>
    <w:bookmarkEnd w:id="111"/>
    <w:p>
      <w:pPr>
        <w:ind w:left="7640"/>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9A – Controls and Procedures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CEO and CFO Certifications</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 OTHER INFORMATION</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December 31, 2025, no director or officer of the Company adopted or terminated a "Rule 10b5-1 trading arrangement" or adopted or terminated a "non-Rule 10b5-1 trading arrangement," as each term is defined in Item 408(a) of Regulation S-K.</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25"/>
          <w:szCs w:val="25"/>
          <w:b w:val="1"/>
          <w:bCs w:val="1"/>
          <w:color w:val="auto"/>
        </w:rPr>
        <w:t>ITEM 9C – DISCLOSURE REGARDING FOREIGN JURISDICTIONS THAT PREVENT INSPECTIONS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69215</wp:posOffset>
            </wp:positionV>
            <wp:extent cx="325755" cy="1968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2" w:name="page113"/>
    <w:bookmarkEnd w:id="112"/>
    <w:p>
      <w:pPr>
        <w:ind w:left="5100"/>
        <w:spacing w:after="0"/>
        <w:rPr>
          <w:sz w:val="20"/>
          <w:szCs w:val="20"/>
          <w:color w:val="auto"/>
        </w:rPr>
      </w:pPr>
      <w:r>
        <w:rPr>
          <w:rFonts w:ascii="Arial" w:cs="Arial" w:eastAsia="Arial" w:hAnsi="Arial"/>
          <w:sz w:val="18"/>
          <w:szCs w:val="18"/>
          <w:color w:val="auto"/>
        </w:rPr>
        <w:t xml:space="preserve">Part III </w:t>
      </w:r>
      <w:r>
        <w:rPr>
          <w:rFonts w:ascii="Arial" w:cs="Arial" w:eastAsia="Arial" w:hAnsi="Arial"/>
          <w:sz w:val="23"/>
          <w:szCs w:val="23"/>
          <w:color w:val="0070C0"/>
        </w:rPr>
        <w:t>♦</w:t>
      </w:r>
      <w:r>
        <w:rPr>
          <w:rFonts w:ascii="Arial" w:cs="Arial" w:eastAsia="Arial" w:hAnsi="Arial"/>
          <w:sz w:val="18"/>
          <w:szCs w:val="18"/>
          <w:color w:val="auto"/>
        </w:rPr>
        <w:t xml:space="preserve"> Item 10 – Directors, Executive Officers and Corporate Governance</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36"/>
          <w:szCs w:val="36"/>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 DIRECTORS, EXECUTIVE OFFICERS AND CORPORATE GOVERNANCE</w:t>
      </w:r>
    </w:p>
    <w:p>
      <w:pPr>
        <w:spacing w:after="0" w:line="69"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 xml:space="preserve">The information concerning directors of the Company, the Audit Committee of the Board of Directors, and the Audit Committee financial expert serving on the Audit Committee, all as required in response to this Item 10, is included under the captions "The Board of Directors," "Proposal 1: Election of Directors" and “Corporate Governance Matters” in the Company’s definitive proxy statement to be filed with the SEC pursuant to Regulation 14A within 120 days after the close of the Company’s fiscal year ended December 31, 2025 (the “2026 Proxy Statement”), and that information is hereby incorporated by reference in this Form 10-K. Information concerning Section 16(a) reporting compliance is incorporated by reference to the information appearing under the caption “Section 16(a) Reports” in the 2026 Proxy Statement. Information concerning executive officers of the Company required in response to this Item 10 is included in Part I, under the heading </w:t>
      </w:r>
      <w:r>
        <w:rPr>
          <w:rFonts w:ascii="Arial" w:cs="Arial" w:eastAsia="Arial" w:hAnsi="Arial"/>
          <w:sz w:val="18"/>
          <w:szCs w:val="18"/>
          <w:u w:val="single" w:color="auto"/>
          <w:color w:val="007DC6"/>
        </w:rPr>
        <w:t>Information about our Executive Officers</w:t>
      </w:r>
      <w:r>
        <w:rPr>
          <w:rFonts w:ascii="Arial" w:cs="Arial" w:eastAsia="Arial" w:hAnsi="Arial"/>
          <w:sz w:val="18"/>
          <w:szCs w:val="18"/>
          <w:color w:val="007DC6"/>
        </w:rPr>
        <w:t xml:space="preserve"> </w:t>
      </w:r>
      <w:r>
        <w:rPr>
          <w:rFonts w:ascii="Arial" w:cs="Arial" w:eastAsia="Arial" w:hAnsi="Arial"/>
          <w:sz w:val="18"/>
          <w:szCs w:val="18"/>
          <w:color w:val="000000"/>
        </w:rPr>
        <w:t>of this Form 10-K. The information concerning the Company’s code of ethics required in response to</w:t>
      </w:r>
      <w:r>
        <w:rPr>
          <w:rFonts w:ascii="Arial" w:cs="Arial" w:eastAsia="Arial" w:hAnsi="Arial"/>
          <w:sz w:val="18"/>
          <w:szCs w:val="18"/>
          <w:color w:val="007DC6"/>
        </w:rPr>
        <w:t xml:space="preserve"> </w:t>
      </w:r>
      <w:r>
        <w:rPr>
          <w:rFonts w:ascii="Arial" w:cs="Arial" w:eastAsia="Arial" w:hAnsi="Arial"/>
          <w:sz w:val="18"/>
          <w:szCs w:val="18"/>
          <w:color w:val="000000"/>
        </w:rPr>
        <w:t xml:space="preserve">this Item 10 is included in Part I, under the heading </w:t>
      </w:r>
      <w:r>
        <w:rPr>
          <w:rFonts w:ascii="Arial" w:cs="Arial" w:eastAsia="Arial" w:hAnsi="Arial"/>
          <w:sz w:val="18"/>
          <w:szCs w:val="18"/>
          <w:u w:val="single" w:color="auto"/>
          <w:color w:val="007DC6"/>
        </w:rPr>
        <w:t>Available Information</w:t>
      </w:r>
      <w:r>
        <w:rPr>
          <w:rFonts w:ascii="Arial" w:cs="Arial" w:eastAsia="Arial" w:hAnsi="Arial"/>
          <w:sz w:val="18"/>
          <w:szCs w:val="18"/>
          <w:color w:val="000000"/>
        </w:rPr>
        <w:t xml:space="preserve"> of this Form 10</w:t>
      </w:r>
      <w:r>
        <w:rPr>
          <w:rFonts w:ascii="MS PGothic" w:cs="MS PGothic" w:eastAsia="MS PGothic" w:hAnsi="MS PGothic"/>
          <w:sz w:val="18"/>
          <w:szCs w:val="18"/>
          <w:color w:val="000000"/>
        </w:rPr>
        <w:t>‑</w:t>
      </w:r>
      <w:r>
        <w:rPr>
          <w:rFonts w:ascii="Arial" w:cs="Arial" w:eastAsia="Arial" w:hAnsi="Arial"/>
          <w:sz w:val="18"/>
          <w:szCs w:val="18"/>
          <w:color w:val="000000"/>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03835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038350" cy="889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-40005</wp:posOffset>
            </wp:positionV>
            <wp:extent cx="10668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jc w:val="both"/>
        <w:spacing w:after="0" w:line="242" w:lineRule="auto"/>
        <w:rPr>
          <w:rFonts w:ascii="Arial" w:cs="Arial" w:eastAsia="Arial" w:hAnsi="Arial"/>
          <w:sz w:val="18"/>
          <w:szCs w:val="18"/>
          <w:color w:val="auto"/>
        </w:rPr>
      </w:pPr>
      <w:r>
        <w:rPr>
          <w:rFonts w:ascii="Arial" w:cs="Arial" w:eastAsia="Arial" w:hAnsi="Arial"/>
          <w:sz w:val="18"/>
          <w:szCs w:val="18"/>
          <w:color w:val="auto"/>
        </w:rPr>
        <w:t xml:space="preserve">The Company has adopted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The Company’s insider trading policy is filed as </w:t>
      </w:r>
      <w:hyperlink r:id="rId743">
        <w:r>
          <w:rPr>
            <w:rFonts w:ascii="Arial" w:cs="Arial" w:eastAsia="Arial" w:hAnsi="Arial"/>
            <w:sz w:val="18"/>
            <w:szCs w:val="18"/>
            <w:u w:val="single" w:color="auto"/>
            <w:color w:val="007DC6"/>
          </w:rPr>
          <w:t>Exhibit 19.01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-28575</wp:posOffset>
            </wp:positionV>
            <wp:extent cx="66040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 EXECUTIVE COMPENSATION</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required in response to this Item 11 is included under the captions “Executive Compensation,” “Compensation Discussion and Analysis,” “Required Pay Disclosures,” “Corporate Governance Matters,” “Management Development and Compensation Committee Report,” and “Compensation Committee Interlocks and Insider Participation” in the Company’s 2026 Proxy Statement, and that information is hereby incorporated by reference in this Form 10-K.</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25"/>
          <w:szCs w:val="25"/>
          <w:b w:val="1"/>
          <w:bCs w:val="1"/>
          <w:color w:val="auto"/>
        </w:rPr>
        <w:t>ITEM 12 – SECURITY OWNERSHIP OF CERTAIN BENEFICIAL OWNERS AND MANAGEMENT AND RELATED STOCKHOLDER MATTERS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2026 Proxy Statement, and that information is hereby incorporated by reference in this Form 10-K.</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25"/>
          <w:szCs w:val="25"/>
          <w:b w:val="1"/>
          <w:bCs w:val="1"/>
          <w:color w:val="auto"/>
        </w:rPr>
        <w:t>ITEM 13 – CERTAIN RELATIONSHIPS AND RELATED TRANSACTIONS, AND DIRECTOR INDEPENDENCE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in response to this Item 13 is included under the captions “Compensation Committee Interlocks and Insider Participation in Compensation Decisions” and “Corporate Governance Matters” in the Company’s 2026 Proxy Statement, and that information is hereby incorporated by reference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 PRINCIPAL ACCOUNTANT FEES AND SERVICES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in response to this Item 14 is included under the caption “Independent Auditors” in the Company’s 2026 Proxy Statement, and that information is hereby incorporated by reference in this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3" w:name="page114"/>
    <w:bookmarkEnd w:id="113"/>
    <w:p>
      <w:pPr>
        <w:ind w:left="606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 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 (1) List of financial statements filed as part of this Form 10-K</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consolidated financial statements of Martin Marietta and consolidated subsidiaries, and related notes, appear in </w:t>
      </w:r>
      <w:r>
        <w:rPr>
          <w:rFonts w:ascii="Arial" w:cs="Arial" w:eastAsia="Arial" w:hAnsi="Arial"/>
          <w:sz w:val="18"/>
          <w:szCs w:val="18"/>
          <w:u w:val="single" w:color="auto"/>
          <w:color w:val="0563C1"/>
        </w:rPr>
        <w:t>Item 8, Financial</w:t>
      </w:r>
      <w:r>
        <w:rPr>
          <w:rFonts w:ascii="Arial" w:cs="Arial" w:eastAsia="Arial" w:hAnsi="Arial"/>
          <w:sz w:val="18"/>
          <w:szCs w:val="18"/>
          <w:color w:val="auto"/>
        </w:rPr>
        <w:t xml:space="preserve"> </w:t>
      </w:r>
      <w:r>
        <w:rPr>
          <w:rFonts w:ascii="Arial" w:cs="Arial" w:eastAsia="Arial" w:hAnsi="Arial"/>
          <w:sz w:val="18"/>
          <w:szCs w:val="18"/>
          <w:u w:val="single" w:color="auto"/>
          <w:color w:val="0563C1"/>
        </w:rPr>
        <w:t>Statements and Supplemental Data</w:t>
      </w:r>
      <w:r>
        <w:rPr>
          <w:rFonts w:ascii="Arial" w:cs="Arial" w:eastAsia="Arial" w:hAnsi="Arial"/>
          <w:sz w:val="18"/>
          <w:szCs w:val="18"/>
          <w:color w:val="0563C1"/>
        </w:rPr>
        <w:t xml:space="preserve"> </w:t>
      </w:r>
      <w:r>
        <w:rPr>
          <w:rFonts w:ascii="Arial" w:cs="Arial" w:eastAsia="Arial" w:hAnsi="Arial"/>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-172720</wp:posOffset>
            </wp:positionV>
            <wp:extent cx="88963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89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180340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180340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 (2) List of financial statement schedules filed as part of this Form 10-K</w:t>
      </w:r>
    </w:p>
    <w:p>
      <w:pPr>
        <w:spacing w:after="0" w:line="69" w:lineRule="exact"/>
        <w:rPr>
          <w:sz w:val="20"/>
          <w:szCs w:val="20"/>
          <w:color w:val="auto"/>
        </w:rPr>
      </w:pPr>
    </w:p>
    <w:p>
      <w:pPr>
        <w:ind w:right="560"/>
        <w:spacing w:after="0" w:line="360" w:lineRule="auto"/>
        <w:rPr>
          <w:sz w:val="20"/>
          <w:szCs w:val="20"/>
          <w:color w:val="auto"/>
        </w:rPr>
      </w:pPr>
      <w:r>
        <w:rPr>
          <w:rFonts w:ascii="Arial" w:cs="Arial" w:eastAsia="Arial" w:hAnsi="Arial"/>
          <w:sz w:val="18"/>
          <w:szCs w:val="18"/>
          <w:color w:val="auto"/>
        </w:rPr>
        <w:t>The following financial statement schedule of Martin Marietta and consolidated subsidiaries is included in Item 15(c) of this Form 10-K. Schedule II - Valuation and Qualifying Accounts</w:t>
      </w:r>
    </w:p>
    <w:p>
      <w:pPr>
        <w:jc w:val="both"/>
        <w:spacing w:after="0" w:line="271" w:lineRule="auto"/>
        <w:rPr>
          <w:sz w:val="20"/>
          <w:szCs w:val="20"/>
          <w:color w:val="auto"/>
        </w:rPr>
      </w:pPr>
      <w:r>
        <w:rPr>
          <w:rFonts w:ascii="Arial" w:cs="Arial" w:eastAsia="Arial" w:hAnsi="Arial"/>
          <w:sz w:val="18"/>
          <w:szCs w:val="18"/>
          <w:color w:val="auto"/>
        </w:rPr>
        <w:t>All other schedules have been omitted because they are not applicable, not required, or the information has been otherwise supplied in the financial statements or notes to the financial statements.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report of the Company’s independent registered public accounting firm with respect to the above-referenced financial statements is included in </w:t>
      </w:r>
      <w:r>
        <w:rPr>
          <w:rFonts w:ascii="Arial" w:cs="Arial" w:eastAsia="Arial" w:hAnsi="Arial"/>
          <w:sz w:val="18"/>
          <w:szCs w:val="18"/>
          <w:u w:val="single" w:color="auto"/>
          <w:color w:val="0563C1"/>
        </w:rPr>
        <w:t>Item 8, Financial Statements and Supplemental Data</w:t>
      </w:r>
      <w:r>
        <w:rPr>
          <w:rFonts w:ascii="Arial" w:cs="Arial" w:eastAsia="Arial" w:hAnsi="Arial"/>
          <w:sz w:val="18"/>
          <w:szCs w:val="18"/>
          <w:color w:val="auto"/>
        </w:rPr>
        <w:t xml:space="preserve"> of this Form 10-K. The consent of the Company’s independent registered public accounting firm is attached as </w:t>
      </w:r>
      <w:r>
        <w:rPr>
          <w:rFonts w:ascii="Arial" w:cs="Arial" w:eastAsia="Arial" w:hAnsi="Arial"/>
          <w:sz w:val="18"/>
          <w:szCs w:val="18"/>
          <w:u w:val="single" w:color="auto"/>
          <w:color w:val="0563C1"/>
        </w:rPr>
        <w:t>Exhibit 23.01</w:t>
      </w:r>
      <w:r>
        <w:rPr>
          <w:rFonts w:ascii="Arial" w:cs="Arial" w:eastAsia="Arial" w:hAnsi="Arial"/>
          <w:sz w:val="18"/>
          <w:szCs w:val="18"/>
          <w:color w:val="auto"/>
        </w:rPr>
        <w:t xml:space="preserve">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-163195</wp:posOffset>
            </wp:positionV>
            <wp:extent cx="272542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2725420" cy="8255"/>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-34290</wp:posOffset>
            </wp:positionV>
            <wp:extent cx="66040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 (3) Exhibits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(b) Index of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447"/>
        </w:trPr>
        <w:tc>
          <w:tcPr>
            <w:tcW w:w="200" w:type="dxa"/>
            <w:vAlign w:val="bottom"/>
            <w:tcBorders>
              <w:right w:val="single" w:sz="8" w:color="91BBD3"/>
            </w:tcBorders>
          </w:tcPr>
          <w:p>
            <w:pPr>
              <w:spacing w:after="0"/>
              <w:rPr>
                <w:sz w:val="24"/>
                <w:szCs w:val="24"/>
                <w:color w:val="auto"/>
              </w:rPr>
            </w:pPr>
          </w:p>
        </w:tc>
        <w:tc>
          <w:tcPr>
            <w:tcW w:w="1660" w:type="dxa"/>
            <w:vAlign w:val="bottom"/>
            <w:tcBorders>
              <w:top w:val="single" w:sz="8" w:color="91BBD3"/>
              <w:bottom w:val="single" w:sz="8" w:color="91BBD3"/>
              <w:right w:val="single" w:sz="8" w:color="91BBD3"/>
            </w:tcBorders>
            <w:shd w:val="clear" w:color="auto" w:fill="007DC6"/>
          </w:tcPr>
          <w:p>
            <w:pPr>
              <w:jc w:val="right"/>
              <w:ind w:right="291"/>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top w:val="single" w:sz="8" w:color="007DC6"/>
              <w:bottom w:val="single" w:sz="8" w:color="91BBD3"/>
            </w:tcBorders>
            <w:shd w:val="clear" w:color="auto" w:fill="007DC6"/>
          </w:tcPr>
          <w:p>
            <w:pPr>
              <w:spacing w:after="0"/>
              <w:rPr>
                <w:sz w:val="24"/>
                <w:szCs w:val="24"/>
                <w:color w:val="auto"/>
              </w:rPr>
            </w:pPr>
          </w:p>
        </w:tc>
        <w:tc>
          <w:tcPr>
            <w:tcW w:w="560" w:type="dxa"/>
            <w:vAlign w:val="bottom"/>
            <w:tcBorders>
              <w:top w:val="single" w:sz="8" w:color="007DC6"/>
              <w:bottom w:val="single" w:sz="8" w:color="91BBD3"/>
            </w:tcBorders>
            <w:shd w:val="clear" w:color="auto" w:fill="007DC6"/>
          </w:tcPr>
          <w:p>
            <w:pPr>
              <w:spacing w:after="0"/>
              <w:rPr>
                <w:sz w:val="24"/>
                <w:szCs w:val="24"/>
                <w:color w:val="auto"/>
              </w:rPr>
            </w:pPr>
          </w:p>
        </w:tc>
        <w:tc>
          <w:tcPr>
            <w:tcW w:w="3760" w:type="dxa"/>
            <w:vAlign w:val="bottom"/>
            <w:tcBorders>
              <w:top w:val="single" w:sz="8" w:color="007DC6"/>
              <w:bottom w:val="single" w:sz="8" w:color="91BBD3"/>
            </w:tcBorders>
            <w:shd w:val="clear" w:color="auto" w:fill="007DC6"/>
          </w:tcPr>
          <w:p>
            <w:pPr>
              <w:spacing w:after="0"/>
              <w:rPr>
                <w:sz w:val="24"/>
                <w:szCs w:val="24"/>
                <w:color w:val="auto"/>
              </w:rPr>
            </w:pPr>
          </w:p>
        </w:tc>
        <w:tc>
          <w:tcPr>
            <w:tcW w:w="880" w:type="dxa"/>
            <w:vAlign w:val="bottom"/>
            <w:tcBorders>
              <w:top w:val="single" w:sz="8" w:color="007DC6"/>
              <w:bottom w:val="single" w:sz="8" w:color="91BBD3"/>
            </w:tcBorders>
            <w:shd w:val="clear" w:color="auto" w:fill="007DC6"/>
          </w:tcPr>
          <w:p>
            <w:pPr>
              <w:spacing w:after="0"/>
              <w:rPr>
                <w:sz w:val="24"/>
                <w:szCs w:val="24"/>
                <w:color w:val="auto"/>
              </w:rPr>
            </w:pPr>
          </w:p>
        </w:tc>
        <w:tc>
          <w:tcPr>
            <w:tcW w:w="980" w:type="dxa"/>
            <w:vAlign w:val="bottom"/>
            <w:tcBorders>
              <w:top w:val="single" w:sz="8" w:color="007DC6"/>
              <w:bottom w:val="single" w:sz="8" w:color="91BBD3"/>
            </w:tcBorders>
            <w:shd w:val="clear" w:color="auto" w:fill="007DC6"/>
          </w:tcPr>
          <w:p>
            <w:pPr>
              <w:spacing w:after="0"/>
              <w:rPr>
                <w:sz w:val="24"/>
                <w:szCs w:val="24"/>
                <w:color w:val="auto"/>
              </w:rPr>
            </w:pPr>
          </w:p>
        </w:tc>
        <w:tc>
          <w:tcPr>
            <w:tcW w:w="960" w:type="dxa"/>
            <w:vAlign w:val="bottom"/>
            <w:tcBorders>
              <w:top w:val="single" w:sz="8" w:color="007DC6"/>
              <w:bottom w:val="single" w:sz="8" w:color="91BBD3"/>
            </w:tcBorders>
            <w:shd w:val="clear" w:color="auto" w:fill="007DC6"/>
          </w:tcPr>
          <w:p>
            <w:pPr>
              <w:spacing w:after="0"/>
              <w:rPr>
                <w:sz w:val="24"/>
                <w:szCs w:val="24"/>
                <w:color w:val="auto"/>
              </w:rPr>
            </w:pPr>
          </w:p>
        </w:tc>
        <w:tc>
          <w:tcPr>
            <w:tcW w:w="1180" w:type="dxa"/>
            <w:vAlign w:val="bottom"/>
            <w:tcBorders>
              <w:top w:val="single" w:sz="8" w:color="007DC6"/>
              <w:bottom w:val="single" w:sz="8" w:color="91BBD3"/>
            </w:tcBorders>
            <w:shd w:val="clear" w:color="auto" w:fill="007DC6"/>
          </w:tcPr>
          <w:p>
            <w:pPr>
              <w:spacing w:after="0"/>
              <w:rPr>
                <w:sz w:val="24"/>
                <w:szCs w:val="24"/>
                <w:color w:val="auto"/>
              </w:rPr>
            </w:pPr>
          </w:p>
        </w:tc>
        <w:tc>
          <w:tcPr>
            <w:tcW w:w="66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20" w:type="dxa"/>
            <w:vAlign w:val="bottom"/>
            <w:tcBorders>
              <w:top w:val="single" w:sz="8" w:color="007DC6"/>
              <w:bottom w:val="single" w:sz="8" w:color="91BBD3"/>
            </w:tcBorders>
            <w:shd w:val="clear" w:color="auto" w:fill="007DC6"/>
          </w:tcPr>
          <w:p>
            <w:pPr>
              <w:spacing w:after="0"/>
              <w:rPr>
                <w:sz w:val="24"/>
                <w:szCs w:val="24"/>
                <w:color w:val="auto"/>
              </w:rPr>
            </w:pPr>
          </w:p>
        </w:tc>
        <w:tc>
          <w:tcPr>
            <w:tcW w:w="0" w:type="dxa"/>
            <w:vAlign w:val="bottom"/>
            <w:tcBorders>
              <w:top w:val="single" w:sz="8" w:color="007DC6"/>
              <w:bottom w:val="single" w:sz="8" w:color="91BBD3"/>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shd w:val="clear" w:color="auto" w:fill="DAE8F0"/>
          </w:tcPr>
          <w:p>
            <w:pPr>
              <w:jc w:val="right"/>
              <w:ind w:right="1131"/>
              <w:spacing w:after="0" w:line="149" w:lineRule="exact"/>
              <w:rPr>
                <w:sz w:val="20"/>
                <w:szCs w:val="20"/>
                <w:color w:val="auto"/>
              </w:rPr>
            </w:pPr>
            <w:r>
              <w:rPr>
                <w:rFonts w:ascii="Arial" w:cs="Arial" w:eastAsia="Arial" w:hAnsi="Arial"/>
                <w:sz w:val="17"/>
                <w:szCs w:val="17"/>
                <w:b w:val="1"/>
                <w:bCs w:val="1"/>
                <w:color w:val="auto"/>
              </w:rPr>
              <w:t>2.01</w:t>
            </w:r>
          </w:p>
        </w:tc>
        <w:tc>
          <w:tcPr>
            <w:tcW w:w="100" w:type="dxa"/>
            <w:vAlign w:val="bottom"/>
            <w:tcBorders>
              <w:top w:val="single" w:sz="8" w:color="DAE8F0"/>
            </w:tcBorders>
            <w:shd w:val="clear" w:color="auto" w:fill="DAE8F0"/>
          </w:tcPr>
          <w:p>
            <w:pPr>
              <w:spacing w:after="0"/>
              <w:rPr>
                <w:sz w:val="12"/>
                <w:szCs w:val="12"/>
                <w:color w:val="auto"/>
              </w:rPr>
            </w:pPr>
          </w:p>
        </w:tc>
        <w:tc>
          <w:tcPr>
            <w:tcW w:w="9120" w:type="dxa"/>
            <w:vAlign w:val="bottom"/>
            <w:tcBorders>
              <w:top w:val="single" w:sz="8" w:color="DAE8F0"/>
              <w:right w:val="single" w:sz="8" w:color="91BBD3"/>
            </w:tcBorders>
            <w:gridSpan w:val="15"/>
            <w:shd w:val="clear" w:color="auto" w:fill="DAE8F0"/>
          </w:tcPr>
          <w:p>
            <w:pPr>
              <w:spacing w:after="0" w:line="149" w:lineRule="exact"/>
              <w:rPr>
                <w:rFonts w:ascii="Arial" w:cs="Arial" w:eastAsia="Arial" w:hAnsi="Arial"/>
                <w:sz w:val="17"/>
                <w:szCs w:val="17"/>
                <w:color w:val="0563C1"/>
              </w:rPr>
            </w:pPr>
            <w:hyperlink r:id="rId751">
              <w:r>
                <w:rPr>
                  <w:rFonts w:ascii="Arial" w:cs="Arial" w:eastAsia="Arial" w:hAnsi="Arial"/>
                  <w:sz w:val="17"/>
                  <w:szCs w:val="17"/>
                  <w:color w:val="0563C1"/>
                </w:rPr>
                <w:t>Equity and Asset Purchase Agreement, dated as of November 20, 2023, among Martin Marietta Materials, Inc.,</w:t>
              </w:r>
            </w:hyperlink>
          </w:p>
        </w:tc>
        <w:tc>
          <w:tcPr>
            <w:tcW w:w="160" w:type="dxa"/>
            <w:vAlign w:val="bottom"/>
          </w:tcPr>
          <w:p>
            <w:pPr>
              <w:spacing w:after="0"/>
              <w:rPr>
                <w:sz w:val="12"/>
                <w:szCs w:val="12"/>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60" w:type="dxa"/>
            <w:vAlign w:val="bottom"/>
            <w:tcBorders>
              <w:top w:val="single" w:sz="8" w:color="0563C1"/>
              <w:bottom w:val="single" w:sz="8" w:color="0563C1"/>
            </w:tcBorders>
            <w:gridSpan w:val="11"/>
            <w:shd w:val="clear" w:color="auto" w:fill="DAE8F0"/>
          </w:tcPr>
          <w:p>
            <w:pPr>
              <w:spacing w:after="0" w:line="182" w:lineRule="exact"/>
              <w:rPr>
                <w:rFonts w:ascii="Arial" w:cs="Arial" w:eastAsia="Arial" w:hAnsi="Arial"/>
                <w:sz w:val="18"/>
                <w:szCs w:val="18"/>
                <w:color w:val="0563C1"/>
              </w:rPr>
            </w:pPr>
            <w:hyperlink r:id="rId751">
              <w:r>
                <w:rPr>
                  <w:rFonts w:ascii="Arial" w:cs="Arial" w:eastAsia="Arial" w:hAnsi="Arial"/>
                  <w:sz w:val="18"/>
                  <w:szCs w:val="18"/>
                  <w:color w:val="0563C1"/>
                </w:rPr>
                <w:t>CRH Americas Materials, Inc. and CRH plc (incorporated by reference to Exhibit 2.1 to the Martin Marietta</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60" w:type="dxa"/>
            <w:vAlign w:val="bottom"/>
          </w:tcPr>
          <w:p>
            <w:pPr>
              <w:spacing w:after="0"/>
              <w:rPr>
                <w:sz w:val="15"/>
                <w:szCs w:val="15"/>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8320" w:type="dxa"/>
            <w:vAlign w:val="bottom"/>
            <w:tcBorders>
              <w:bottom w:val="single" w:sz="8" w:color="0563C1"/>
            </w:tcBorders>
            <w:gridSpan w:val="6"/>
            <w:shd w:val="clear" w:color="auto" w:fill="DAE8F0"/>
          </w:tcPr>
          <w:p>
            <w:pPr>
              <w:spacing w:after="0" w:line="182" w:lineRule="exact"/>
              <w:rPr>
                <w:rFonts w:ascii="Arial" w:cs="Arial" w:eastAsia="Arial" w:hAnsi="Arial"/>
                <w:sz w:val="18"/>
                <w:szCs w:val="18"/>
                <w:color w:val="0563C1"/>
                <w:w w:val="99"/>
              </w:rPr>
            </w:pPr>
            <w:hyperlink r:id="rId751">
              <w:r>
                <w:rPr>
                  <w:rFonts w:ascii="Arial" w:cs="Arial" w:eastAsia="Arial" w:hAnsi="Arial"/>
                  <w:sz w:val="18"/>
                  <w:szCs w:val="18"/>
                  <w:color w:val="0563C1"/>
                  <w:w w:val="99"/>
                </w:rPr>
                <w:t>Materials, Inc., Current Report on Form 8-K filed on November 24, 2023) (Commission File No. 1-12744)</w:t>
              </w:r>
            </w:hyperlink>
          </w:p>
        </w:tc>
        <w:tc>
          <w:tcPr>
            <w:tcW w:w="780" w:type="dxa"/>
            <w:vAlign w:val="bottom"/>
            <w:tcBorders>
              <w:bottom w:val="single" w:sz="8" w:color="91BBD3"/>
            </w:tcBorders>
            <w:gridSpan w:val="7"/>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0" w:type="dxa"/>
            <w:vAlign w:val="bottom"/>
            <w:tcBorders>
              <w:bottom w:val="single" w:sz="8" w:color="91BBD3"/>
              <w:right w:val="single" w:sz="8" w:color="91BBD3"/>
            </w:tcBorders>
            <w:shd w:val="clear" w:color="auto" w:fill="DAE8F0"/>
          </w:tcPr>
          <w:p>
            <w:pPr>
              <w:spacing w:after="0"/>
              <w:rPr>
                <w:sz w:val="19"/>
                <w:szCs w:val="19"/>
                <w:color w:val="auto"/>
              </w:rPr>
            </w:pPr>
          </w:p>
        </w:tc>
        <w:tc>
          <w:tcPr>
            <w:tcW w:w="160" w:type="dxa"/>
            <w:vAlign w:val="bottom"/>
          </w:tcPr>
          <w:p>
            <w:pPr>
              <w:spacing w:after="0"/>
              <w:rPr>
                <w:sz w:val="19"/>
                <w:szCs w:val="19"/>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131"/>
              <w:spacing w:after="0" w:line="156" w:lineRule="exact"/>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13"/>
                <w:szCs w:val="13"/>
                <w:color w:val="auto"/>
              </w:rPr>
            </w:pPr>
          </w:p>
        </w:tc>
        <w:tc>
          <w:tcPr>
            <w:tcW w:w="9120" w:type="dxa"/>
            <w:vAlign w:val="bottom"/>
            <w:tcBorders>
              <w:right w:val="single" w:sz="8" w:color="91BBD3"/>
            </w:tcBorders>
            <w:gridSpan w:val="15"/>
          </w:tcPr>
          <w:p>
            <w:pPr>
              <w:spacing w:after="0" w:line="156" w:lineRule="exact"/>
              <w:rPr>
                <w:rFonts w:ascii="Arial" w:cs="Arial" w:eastAsia="Arial" w:hAnsi="Arial"/>
                <w:sz w:val="18"/>
                <w:szCs w:val="18"/>
                <w:color w:val="0563C1"/>
              </w:rPr>
            </w:pPr>
            <w:hyperlink r:id="rId752">
              <w:r>
                <w:rPr>
                  <w:rFonts w:ascii="Arial" w:cs="Arial" w:eastAsia="Arial" w:hAnsi="Arial"/>
                  <w:sz w:val="18"/>
                  <w:szCs w:val="18"/>
                  <w:color w:val="0563C1"/>
                </w:rPr>
                <w:t>Equity and Asset Exchange Agreement, dated as of August 3, 2025, between Martin Marietta Materials, Inc. and</w:t>
              </w:r>
            </w:hyperlink>
          </w:p>
        </w:tc>
        <w:tc>
          <w:tcPr>
            <w:tcW w:w="160" w:type="dxa"/>
            <w:vAlign w:val="bottom"/>
          </w:tcPr>
          <w:p>
            <w:pPr>
              <w:spacing w:after="0"/>
              <w:rPr>
                <w:sz w:val="13"/>
                <w:szCs w:val="13"/>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Borders>
              <w:top w:val="single" w:sz="8" w:color="0563C1"/>
            </w:tcBorders>
            <w:gridSpan w:val="14"/>
          </w:tcPr>
          <w:p>
            <w:pPr>
              <w:spacing w:after="0" w:line="182" w:lineRule="exact"/>
              <w:rPr>
                <w:rFonts w:ascii="Arial" w:cs="Arial" w:eastAsia="Arial" w:hAnsi="Arial"/>
                <w:sz w:val="18"/>
                <w:szCs w:val="18"/>
                <w:color w:val="0563C1"/>
              </w:rPr>
            </w:pPr>
            <w:hyperlink r:id="rId752">
              <w:r>
                <w:rPr>
                  <w:rFonts w:ascii="Arial" w:cs="Arial" w:eastAsia="Arial" w:hAnsi="Arial"/>
                  <w:sz w:val="18"/>
                  <w:szCs w:val="18"/>
                  <w:color w:val="0563C1"/>
                </w:rPr>
                <w:t>Quikrete Holdings, Inc. (incorporated by reference to Exhibit 2.1 to the Martin Marietta Materials, Inc. Current</w:t>
              </w:r>
            </w:hyperlink>
          </w:p>
        </w:tc>
        <w:tc>
          <w:tcPr>
            <w:tcW w:w="0" w:type="dxa"/>
            <w:vAlign w:val="bottom"/>
            <w:tcBorders>
              <w:right w:val="single" w:sz="8" w:color="91BBD3"/>
            </w:tcBorders>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20" w:type="dxa"/>
            <w:vAlign w:val="bottom"/>
            <w:tcBorders>
              <w:top w:val="single" w:sz="8" w:color="0563C1"/>
            </w:tcBorders>
            <w:gridSpan w:val="9"/>
          </w:tcPr>
          <w:p>
            <w:pPr>
              <w:spacing w:after="0" w:line="182" w:lineRule="exact"/>
              <w:rPr>
                <w:rFonts w:ascii="Arial" w:cs="Arial" w:eastAsia="Arial" w:hAnsi="Arial"/>
                <w:sz w:val="18"/>
                <w:szCs w:val="18"/>
                <w:color w:val="0563C1"/>
              </w:rPr>
            </w:pPr>
            <w:hyperlink r:id="rId752">
              <w:r>
                <w:rPr>
                  <w:rFonts w:ascii="Arial" w:cs="Arial" w:eastAsia="Arial" w:hAnsi="Arial"/>
                  <w:sz w:val="18"/>
                  <w:szCs w:val="18"/>
                  <w:color w:val="0563C1"/>
                </w:rPr>
                <w:t>Report on Form 8-K filed on August 7, 20205) (Commission File No. 1-12744)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Borders>
              <w:right w:val="single" w:sz="8" w:color="91BBD3"/>
            </w:tcBorders>
            <w:gridSpan w:val="3"/>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3760" w:type="dxa"/>
            <w:vAlign w:val="bottom"/>
            <w:tcBorders>
              <w:top w:val="single" w:sz="8" w:color="0563C1"/>
              <w:bottom w:val="single" w:sz="8" w:color="91BBD3"/>
            </w:tcBorders>
          </w:tcPr>
          <w:p>
            <w:pPr>
              <w:spacing w:after="0" w:line="20" w:lineRule="exact"/>
              <w:rPr>
                <w:sz w:val="1"/>
                <w:szCs w:val="1"/>
                <w:color w:val="auto"/>
              </w:rPr>
            </w:pPr>
          </w:p>
        </w:tc>
        <w:tc>
          <w:tcPr>
            <w:tcW w:w="880" w:type="dxa"/>
            <w:vAlign w:val="bottom"/>
            <w:tcBorders>
              <w:top w:val="single" w:sz="8" w:color="0563C1"/>
              <w:bottom w:val="single" w:sz="8" w:color="91BBD3"/>
            </w:tcBorders>
          </w:tcPr>
          <w:p>
            <w:pPr>
              <w:spacing w:after="0" w:line="20" w:lineRule="exact"/>
              <w:rPr>
                <w:sz w:val="1"/>
                <w:szCs w:val="1"/>
                <w:color w:val="auto"/>
              </w:rPr>
            </w:pPr>
          </w:p>
        </w:tc>
        <w:tc>
          <w:tcPr>
            <w:tcW w:w="98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1180" w:type="dxa"/>
            <w:vAlign w:val="bottom"/>
            <w:tcBorders>
              <w:bottom w:val="single" w:sz="8" w:color="91BBD3"/>
            </w:tcBorders>
          </w:tcPr>
          <w:p>
            <w:pPr>
              <w:spacing w:after="0" w:line="20" w:lineRule="exact"/>
              <w:rPr>
                <w:sz w:val="1"/>
                <w:szCs w:val="1"/>
                <w:color w:val="auto"/>
              </w:rPr>
            </w:pPr>
          </w:p>
        </w:tc>
        <w:tc>
          <w:tcPr>
            <w:tcW w:w="6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131"/>
              <w:spacing w:after="0" w:line="156" w:lineRule="exact"/>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5"/>
            <w:shd w:val="clear" w:color="auto" w:fill="DAE8F0"/>
          </w:tcPr>
          <w:p>
            <w:pPr>
              <w:spacing w:after="0" w:line="156" w:lineRule="exact"/>
              <w:rPr>
                <w:rFonts w:ascii="Arial" w:cs="Arial" w:eastAsia="Arial" w:hAnsi="Arial"/>
                <w:sz w:val="18"/>
                <w:szCs w:val="18"/>
                <w:color w:val="0563C1"/>
              </w:rPr>
            </w:pPr>
            <w:hyperlink r:id="rId753">
              <w:r>
                <w:rPr>
                  <w:rFonts w:ascii="Arial" w:cs="Arial" w:eastAsia="Arial" w:hAnsi="Arial"/>
                  <w:sz w:val="18"/>
                  <w:szCs w:val="18"/>
                  <w:color w:val="0563C1"/>
                </w:rPr>
                <w:t>Restated Articles of Incorporation of the Company, as amended (incorporated by reference to Exhibit 3.01 to the</w:t>
              </w:r>
            </w:hyperlink>
          </w:p>
        </w:tc>
        <w:tc>
          <w:tcPr>
            <w:tcW w:w="160" w:type="dxa"/>
            <w:vAlign w:val="bottom"/>
          </w:tcPr>
          <w:p>
            <w:pPr>
              <w:spacing w:after="0"/>
              <w:rPr>
                <w:sz w:val="13"/>
                <w:szCs w:val="13"/>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00" w:type="dxa"/>
            <w:vAlign w:val="bottom"/>
            <w:tcBorders>
              <w:top w:val="single" w:sz="8" w:color="0563C1"/>
              <w:bottom w:val="single" w:sz="8" w:color="0563C1"/>
            </w:tcBorders>
            <w:gridSpan w:val="8"/>
            <w:shd w:val="clear" w:color="auto" w:fill="DAE8F0"/>
          </w:tcPr>
          <w:p>
            <w:pPr>
              <w:spacing w:after="0" w:line="182" w:lineRule="exact"/>
              <w:rPr>
                <w:rFonts w:ascii="Arial" w:cs="Arial" w:eastAsia="Arial" w:hAnsi="Arial"/>
                <w:sz w:val="18"/>
                <w:szCs w:val="18"/>
                <w:color w:val="0563C1"/>
              </w:rPr>
            </w:pPr>
            <w:hyperlink r:id="rId753">
              <w:r>
                <w:rPr>
                  <w:rFonts w:ascii="Arial" w:cs="Arial" w:eastAsia="Arial" w:hAnsi="Arial"/>
                  <w:sz w:val="18"/>
                  <w:szCs w:val="18"/>
                  <w:color w:val="0563C1"/>
                </w:rPr>
                <w:t>Martin Marietta Materials, Inc. Annual Report on Form 10-K for the fiscal year ended December 31, 2016, filed</w:t>
              </w:r>
            </w:hyperlink>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40" w:type="dxa"/>
            <w:vAlign w:val="bottom"/>
            <w:tcBorders>
              <w:top w:val="single" w:sz="8" w:color="DAE8F0"/>
              <w:bottom w:val="single" w:sz="8" w:color="DAE8F0"/>
              <w:right w:val="single" w:sz="8" w:color="91BBD3"/>
            </w:tcBorders>
            <w:gridSpan w:val="3"/>
            <w:shd w:val="clear" w:color="auto" w:fill="DAE8F0"/>
          </w:tcPr>
          <w:p>
            <w:pPr>
              <w:spacing w:after="0"/>
              <w:rPr>
                <w:sz w:val="15"/>
                <w:szCs w:val="15"/>
                <w:color w:val="auto"/>
              </w:rPr>
            </w:pPr>
          </w:p>
        </w:tc>
        <w:tc>
          <w:tcPr>
            <w:tcW w:w="160" w:type="dxa"/>
            <w:vAlign w:val="bottom"/>
          </w:tcPr>
          <w:p>
            <w:pPr>
              <w:spacing w:after="0"/>
              <w:rPr>
                <w:sz w:val="15"/>
                <w:szCs w:val="15"/>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4320" w:type="dxa"/>
            <w:vAlign w:val="bottom"/>
            <w:tcBorders>
              <w:bottom w:val="single" w:sz="8" w:color="0563C1"/>
            </w:tcBorders>
            <w:gridSpan w:val="2"/>
            <w:shd w:val="clear" w:color="auto" w:fill="DAE8F0"/>
          </w:tcPr>
          <w:p>
            <w:pPr>
              <w:spacing w:after="0" w:line="182" w:lineRule="exact"/>
              <w:rPr>
                <w:rFonts w:ascii="Arial" w:cs="Arial" w:eastAsia="Arial" w:hAnsi="Arial"/>
                <w:sz w:val="18"/>
                <w:szCs w:val="18"/>
                <w:color w:val="0563C1"/>
                <w:w w:val="99"/>
              </w:rPr>
            </w:pPr>
            <w:hyperlink r:id="rId753">
              <w:r>
                <w:rPr>
                  <w:rFonts w:ascii="Arial" w:cs="Arial" w:eastAsia="Arial" w:hAnsi="Arial"/>
                  <w:sz w:val="18"/>
                  <w:szCs w:val="18"/>
                  <w:color w:val="0563C1"/>
                  <w:w w:val="99"/>
                </w:rPr>
                <w:t>on February 24, 2017) (Commission File No. 1-12744)</w:t>
              </w:r>
            </w:hyperlink>
          </w:p>
        </w:tc>
        <w:tc>
          <w:tcPr>
            <w:tcW w:w="4760" w:type="dxa"/>
            <w:vAlign w:val="bottom"/>
            <w:tcBorders>
              <w:bottom w:val="single" w:sz="8" w:color="91BBD3"/>
            </w:tcBorders>
            <w:gridSpan w:val="10"/>
            <w:shd w:val="clear" w:color="auto" w:fill="DAE8F0"/>
          </w:tcPr>
          <w:p>
            <w:pPr>
              <w:spacing w:after="0"/>
              <w:rPr>
                <w:sz w:val="19"/>
                <w:szCs w:val="19"/>
                <w:color w:val="auto"/>
              </w:rPr>
            </w:pPr>
          </w:p>
        </w:tc>
        <w:tc>
          <w:tcPr>
            <w:tcW w:w="40" w:type="dxa"/>
            <w:vAlign w:val="bottom"/>
            <w:tcBorders>
              <w:bottom w:val="single" w:sz="8" w:color="91BBD3"/>
              <w:right w:val="single" w:sz="8" w:color="91BBD3"/>
            </w:tcBorders>
            <w:gridSpan w:val="3"/>
            <w:shd w:val="clear" w:color="auto" w:fill="DAE8F0"/>
          </w:tcPr>
          <w:p>
            <w:pPr>
              <w:spacing w:after="0"/>
              <w:rPr>
                <w:sz w:val="19"/>
                <w:szCs w:val="19"/>
                <w:color w:val="auto"/>
              </w:rPr>
            </w:pPr>
          </w:p>
        </w:tc>
        <w:tc>
          <w:tcPr>
            <w:tcW w:w="160" w:type="dxa"/>
            <w:vAlign w:val="bottom"/>
          </w:tcPr>
          <w:p>
            <w:pPr>
              <w:spacing w:after="0"/>
              <w:rPr>
                <w:sz w:val="19"/>
                <w:szCs w:val="19"/>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131"/>
              <w:spacing w:after="0" w:line="156" w:lineRule="exact"/>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3"/>
                <w:szCs w:val="13"/>
                <w:color w:val="auto"/>
              </w:rPr>
            </w:pPr>
          </w:p>
        </w:tc>
        <w:tc>
          <w:tcPr>
            <w:tcW w:w="9120" w:type="dxa"/>
            <w:vAlign w:val="bottom"/>
            <w:tcBorders>
              <w:right w:val="single" w:sz="8" w:color="91BBD3"/>
            </w:tcBorders>
            <w:gridSpan w:val="15"/>
          </w:tcPr>
          <w:p>
            <w:pPr>
              <w:spacing w:after="0" w:line="156" w:lineRule="exact"/>
              <w:rPr>
                <w:rFonts w:ascii="Arial" w:cs="Arial" w:eastAsia="Arial" w:hAnsi="Arial"/>
                <w:sz w:val="18"/>
                <w:szCs w:val="18"/>
                <w:color w:val="0563C1"/>
              </w:rPr>
            </w:pPr>
            <w:hyperlink r:id="rId754">
              <w:r>
                <w:rPr>
                  <w:rFonts w:ascii="Arial" w:cs="Arial" w:eastAsia="Arial" w:hAnsi="Arial"/>
                  <w:sz w:val="18"/>
                  <w:szCs w:val="18"/>
                  <w:color w:val="0563C1"/>
                </w:rPr>
                <w:t>Restated Bylaws of the Company (incorporated by reference to Exhibit 3.1 to the Martin Marietta Materials, Inc.</w:t>
              </w:r>
            </w:hyperlink>
          </w:p>
        </w:tc>
        <w:tc>
          <w:tcPr>
            <w:tcW w:w="160" w:type="dxa"/>
            <w:vAlign w:val="bottom"/>
          </w:tcPr>
          <w:p>
            <w:pPr>
              <w:spacing w:after="0"/>
              <w:rPr>
                <w:sz w:val="13"/>
                <w:szCs w:val="13"/>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40" w:type="dxa"/>
            <w:vAlign w:val="bottom"/>
            <w:tcBorders>
              <w:top w:val="single" w:sz="8" w:color="0563C1"/>
            </w:tcBorders>
            <w:gridSpan w:val="10"/>
          </w:tcPr>
          <w:p>
            <w:pPr>
              <w:spacing w:after="0" w:line="182" w:lineRule="exact"/>
              <w:rPr>
                <w:rFonts w:ascii="Arial" w:cs="Arial" w:eastAsia="Arial" w:hAnsi="Arial"/>
                <w:sz w:val="18"/>
                <w:szCs w:val="18"/>
                <w:color w:val="0563C1"/>
              </w:rPr>
            </w:pPr>
            <w:hyperlink r:id="rId754">
              <w:r>
                <w:rPr>
                  <w:rFonts w:ascii="Arial" w:cs="Arial" w:eastAsia="Arial" w:hAnsi="Arial"/>
                  <w:sz w:val="18"/>
                  <w:szCs w:val="18"/>
                  <w:color w:val="0563C1"/>
                </w:rPr>
                <w:t>Current Report on Form 8-K, filed on November 14, 2022) (Commission File No. 1-12744)</w:t>
              </w:r>
            </w:hyperlink>
          </w:p>
        </w:tc>
        <w:tc>
          <w:tcPr>
            <w:tcW w:w="80" w:type="dxa"/>
            <w:vAlign w:val="bottom"/>
            <w:tcBorders>
              <w:right w:val="single" w:sz="8" w:color="91BBD3"/>
            </w:tcBorders>
            <w:gridSpan w:val="5"/>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3760" w:type="dxa"/>
            <w:vAlign w:val="bottom"/>
            <w:tcBorders>
              <w:top w:val="single" w:sz="8" w:color="0563C1"/>
              <w:bottom w:val="single" w:sz="8" w:color="91BBD3"/>
            </w:tcBorders>
          </w:tcPr>
          <w:p>
            <w:pPr>
              <w:spacing w:after="0" w:line="20" w:lineRule="exact"/>
              <w:rPr>
                <w:sz w:val="1"/>
                <w:szCs w:val="1"/>
                <w:color w:val="auto"/>
              </w:rPr>
            </w:pPr>
          </w:p>
        </w:tc>
        <w:tc>
          <w:tcPr>
            <w:tcW w:w="880" w:type="dxa"/>
            <w:vAlign w:val="bottom"/>
            <w:tcBorders>
              <w:top w:val="single" w:sz="8" w:color="0563C1"/>
              <w:bottom w:val="single" w:sz="8" w:color="91BBD3"/>
            </w:tcBorders>
          </w:tcPr>
          <w:p>
            <w:pPr>
              <w:spacing w:after="0" w:line="20" w:lineRule="exact"/>
              <w:rPr>
                <w:sz w:val="1"/>
                <w:szCs w:val="1"/>
                <w:color w:val="auto"/>
              </w:rPr>
            </w:pPr>
          </w:p>
        </w:tc>
        <w:tc>
          <w:tcPr>
            <w:tcW w:w="98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bottom w:val="single" w:sz="8" w:color="91BBD3"/>
            </w:tcBorders>
          </w:tcPr>
          <w:p>
            <w:pPr>
              <w:spacing w:after="0" w:line="20" w:lineRule="exact"/>
              <w:rPr>
                <w:sz w:val="1"/>
                <w:szCs w:val="1"/>
                <w:color w:val="auto"/>
              </w:rPr>
            </w:pPr>
          </w:p>
        </w:tc>
        <w:tc>
          <w:tcPr>
            <w:tcW w:w="6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131"/>
              <w:spacing w:after="0" w:line="164" w:lineRule="exact"/>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5"/>
            <w:shd w:val="clear" w:color="auto" w:fill="DAE8F0"/>
          </w:tcPr>
          <w:p>
            <w:pPr>
              <w:spacing w:after="0" w:line="164" w:lineRule="exact"/>
              <w:rPr>
                <w:sz w:val="20"/>
                <w:szCs w:val="20"/>
                <w:color w:val="auto"/>
              </w:rPr>
            </w:pPr>
            <w:r>
              <w:rPr>
                <w:rFonts w:ascii="Arial" w:cs="Arial" w:eastAsia="Arial" w:hAnsi="Arial"/>
                <w:sz w:val="18"/>
                <w:szCs w:val="18"/>
                <w:color w:val="auto"/>
              </w:rPr>
              <w:t>Specimen Common Stock Certificate (incorporated by reference to Exhibit 4.01 to the Martin Marietta Materials,</w:t>
            </w:r>
          </w:p>
        </w:tc>
        <w:tc>
          <w:tcPr>
            <w:tcW w:w="160" w:type="dxa"/>
            <w:vAlign w:val="bottom"/>
          </w:tcPr>
          <w:p>
            <w:pPr>
              <w:spacing w:after="0"/>
              <w:rPr>
                <w:sz w:val="14"/>
                <w:szCs w:val="14"/>
                <w:color w:val="auto"/>
              </w:rPr>
            </w:pPr>
          </w:p>
        </w:tc>
      </w:tr>
      <w:tr>
        <w:trPr>
          <w:trHeight w:val="221"/>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9120" w:type="dxa"/>
            <w:vAlign w:val="bottom"/>
            <w:tcBorders>
              <w:bottom w:val="single" w:sz="8" w:color="91BBD3"/>
              <w:right w:val="single" w:sz="8" w:color="91BBD3"/>
            </w:tcBorders>
            <w:gridSpan w:val="15"/>
            <w:shd w:val="clear" w:color="auto" w:fill="DAE8F0"/>
          </w:tcPr>
          <w:p>
            <w:pPr>
              <w:spacing w:after="0"/>
              <w:rPr>
                <w:sz w:val="20"/>
                <w:szCs w:val="20"/>
                <w:color w:val="auto"/>
              </w:rPr>
            </w:pPr>
            <w:r>
              <w:rPr>
                <w:rFonts w:ascii="Arial" w:cs="Arial" w:eastAsia="Arial" w:hAnsi="Arial"/>
                <w:sz w:val="18"/>
                <w:szCs w:val="18"/>
                <w:color w:val="auto"/>
              </w:rPr>
              <w:t>Inc. registration statement on Form S-1, filed on December 8, 1993 (SEC Registration No. 33-72648) (P)</w:t>
            </w:r>
          </w:p>
        </w:tc>
        <w:tc>
          <w:tcPr>
            <w:tcW w:w="160" w:type="dxa"/>
            <w:vAlign w:val="bottom"/>
          </w:tcPr>
          <w:p>
            <w:pPr>
              <w:spacing w:after="0"/>
              <w:rPr>
                <w:sz w:val="19"/>
                <w:szCs w:val="19"/>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jc w:val="right"/>
              <w:ind w:right="1131"/>
              <w:spacing w:after="0" w:line="169" w:lineRule="exact"/>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rFonts w:ascii="Arial" w:cs="Arial" w:eastAsia="Arial" w:hAnsi="Arial"/>
                <w:sz w:val="18"/>
                <w:szCs w:val="18"/>
                <w:color w:val="0563C1"/>
              </w:rPr>
            </w:pPr>
            <w:hyperlink r:id="rId753">
              <w:r>
                <w:rPr>
                  <w:rFonts w:ascii="Arial" w:cs="Arial" w:eastAsia="Arial" w:hAnsi="Arial"/>
                  <w:sz w:val="18"/>
                  <w:szCs w:val="18"/>
                  <w:color w:val="0563C1"/>
                </w:rPr>
                <w:t>Article 5 of the Company’s Restated Articles of Incorporation, as amended (incorporated by reference to Exhibit</w:t>
              </w:r>
            </w:hyperlink>
          </w:p>
        </w:tc>
        <w:tc>
          <w:tcPr>
            <w:tcW w:w="160" w:type="dxa"/>
            <w:vAlign w:val="bottom"/>
          </w:tcPr>
          <w:p>
            <w:pPr>
              <w:spacing w:after="0"/>
              <w:rPr>
                <w:sz w:val="14"/>
                <w:szCs w:val="14"/>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Borders>
              <w:top w:val="single" w:sz="8" w:color="0563C1"/>
              <w:right w:val="single" w:sz="8" w:color="91BBD3"/>
            </w:tcBorders>
            <w:gridSpan w:val="15"/>
          </w:tcPr>
          <w:p>
            <w:pPr>
              <w:spacing w:after="0" w:line="182" w:lineRule="exact"/>
              <w:rPr>
                <w:rFonts w:ascii="Arial" w:cs="Arial" w:eastAsia="Arial" w:hAnsi="Arial"/>
                <w:sz w:val="18"/>
                <w:szCs w:val="18"/>
                <w:color w:val="0563C1"/>
              </w:rPr>
            </w:pPr>
            <w:hyperlink r:id="rId753">
              <w:r>
                <w:rPr>
                  <w:rFonts w:ascii="Arial" w:cs="Arial" w:eastAsia="Arial" w:hAnsi="Arial"/>
                  <w:sz w:val="18"/>
                  <w:szCs w:val="18"/>
                  <w:color w:val="0563C1"/>
                </w:rPr>
                <w:t>3.01 to the Martin Marietta Materials, Inc. Annual Report on Form 10-K for the fiscal year ended December 31,</w:t>
              </w:r>
            </w:hyperlink>
          </w:p>
        </w:tc>
        <w:tc>
          <w:tcPr>
            <w:tcW w:w="160" w:type="dxa"/>
            <w:vAlign w:val="bottom"/>
          </w:tcPr>
          <w:p>
            <w:pPr>
              <w:spacing w:after="0"/>
              <w:rPr>
                <w:sz w:val="15"/>
                <w:szCs w:val="15"/>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8980" w:type="dxa"/>
            <w:vAlign w:val="bottom"/>
            <w:tcBorders>
              <w:top w:val="single" w:sz="8" w:color="0563C1"/>
            </w:tcBorders>
            <w:gridSpan w:val="7"/>
          </w:tcPr>
          <w:p>
            <w:pPr>
              <w:spacing w:after="0" w:line="182" w:lineRule="exact"/>
              <w:rPr>
                <w:rFonts w:ascii="Arial" w:cs="Arial" w:eastAsia="Arial" w:hAnsi="Arial"/>
                <w:sz w:val="18"/>
                <w:szCs w:val="18"/>
                <w:color w:val="0563C1"/>
              </w:rPr>
            </w:pPr>
            <w:hyperlink r:id="rId753">
              <w:r>
                <w:rPr>
                  <w:rFonts w:ascii="Arial" w:cs="Arial" w:eastAsia="Arial" w:hAnsi="Arial"/>
                  <w:sz w:val="18"/>
                  <w:szCs w:val="18"/>
                  <w:color w:val="0563C1"/>
                </w:rPr>
                <w:t>2016, filed on February 24, 2017) (Commission File No. 1-12744)</w:t>
              </w:r>
            </w:hyperlink>
          </w:p>
        </w:tc>
        <w:tc>
          <w:tcPr>
            <w:tcW w:w="140" w:type="dxa"/>
            <w:vAlign w:val="bottom"/>
            <w:tcBorders>
              <w:right w:val="single" w:sz="8" w:color="91BBD3"/>
            </w:tcBorders>
            <w:gridSpan w:val="8"/>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3760" w:type="dxa"/>
            <w:vAlign w:val="bottom"/>
            <w:tcBorders>
              <w:top w:val="single" w:sz="8" w:color="0563C1"/>
              <w:bottom w:val="single" w:sz="8" w:color="91BBD3"/>
            </w:tcBorders>
          </w:tcPr>
          <w:p>
            <w:pPr>
              <w:spacing w:after="0" w:line="20" w:lineRule="exact"/>
              <w:rPr>
                <w:sz w:val="1"/>
                <w:szCs w:val="1"/>
                <w:color w:val="auto"/>
              </w:rPr>
            </w:pPr>
          </w:p>
        </w:tc>
        <w:tc>
          <w:tcPr>
            <w:tcW w:w="880" w:type="dxa"/>
            <w:vAlign w:val="bottom"/>
            <w:tcBorders>
              <w:top w:val="single" w:sz="8" w:color="0563C1"/>
              <w:bottom w:val="single" w:sz="8" w:color="91BBD3"/>
            </w:tcBorders>
          </w:tcPr>
          <w:p>
            <w:pPr>
              <w:spacing w:after="0" w:line="20" w:lineRule="exact"/>
              <w:rPr>
                <w:sz w:val="1"/>
                <w:szCs w:val="1"/>
                <w:color w:val="auto"/>
              </w:rPr>
            </w:pPr>
          </w:p>
        </w:tc>
        <w:tc>
          <w:tcPr>
            <w:tcW w:w="98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1180" w:type="dxa"/>
            <w:vAlign w:val="bottom"/>
            <w:tcBorders>
              <w:bottom w:val="single" w:sz="8" w:color="91BBD3"/>
            </w:tcBorders>
          </w:tcPr>
          <w:p>
            <w:pPr>
              <w:spacing w:after="0" w:line="20" w:lineRule="exact"/>
              <w:rPr>
                <w:sz w:val="1"/>
                <w:szCs w:val="1"/>
                <w:color w:val="auto"/>
              </w:rPr>
            </w:pPr>
          </w:p>
        </w:tc>
        <w:tc>
          <w:tcPr>
            <w:tcW w:w="6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131"/>
              <w:spacing w:after="0" w:line="156" w:lineRule="exact"/>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5"/>
            <w:shd w:val="clear" w:color="auto" w:fill="DAE8F0"/>
          </w:tcPr>
          <w:p>
            <w:pPr>
              <w:spacing w:after="0" w:line="156" w:lineRule="exact"/>
              <w:rPr>
                <w:rFonts w:ascii="Arial" w:cs="Arial" w:eastAsia="Arial" w:hAnsi="Arial"/>
                <w:sz w:val="18"/>
                <w:szCs w:val="18"/>
                <w:color w:val="0563C1"/>
              </w:rPr>
            </w:pPr>
            <w:hyperlink r:id="rId754">
              <w:r>
                <w:rPr>
                  <w:rFonts w:ascii="Arial" w:cs="Arial" w:eastAsia="Arial" w:hAnsi="Arial"/>
                  <w:sz w:val="18"/>
                  <w:szCs w:val="18"/>
                  <w:color w:val="0563C1"/>
                </w:rPr>
                <w:t>Article 1 of the Company’s Restated Bylaws, as amended (incorporated by reference to Exhibit 3.1 to the Martin</w:t>
              </w:r>
            </w:hyperlink>
          </w:p>
        </w:tc>
        <w:tc>
          <w:tcPr>
            <w:tcW w:w="160" w:type="dxa"/>
            <w:vAlign w:val="bottom"/>
          </w:tcPr>
          <w:p>
            <w:pPr>
              <w:spacing w:after="0"/>
              <w:rPr>
                <w:sz w:val="13"/>
                <w:szCs w:val="13"/>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00" w:type="dxa"/>
            <w:vAlign w:val="bottom"/>
            <w:tcBorders>
              <w:top w:val="single" w:sz="8" w:color="0563C1"/>
              <w:bottom w:val="single" w:sz="8" w:color="0563C1"/>
            </w:tcBorders>
            <w:gridSpan w:val="8"/>
            <w:shd w:val="clear" w:color="auto" w:fill="DAE8F0"/>
          </w:tcPr>
          <w:p>
            <w:pPr>
              <w:spacing w:after="0" w:line="182" w:lineRule="exact"/>
              <w:rPr>
                <w:rFonts w:ascii="Arial" w:cs="Arial" w:eastAsia="Arial" w:hAnsi="Arial"/>
                <w:sz w:val="18"/>
                <w:szCs w:val="18"/>
                <w:color w:val="0563C1"/>
              </w:rPr>
            </w:pPr>
            <w:hyperlink r:id="rId754">
              <w:r>
                <w:rPr>
                  <w:rFonts w:ascii="Arial" w:cs="Arial" w:eastAsia="Arial" w:hAnsi="Arial"/>
                  <w:sz w:val="18"/>
                  <w:szCs w:val="18"/>
                  <w:color w:val="0563C1"/>
                </w:rPr>
                <w:t>Marietta Materials, Inc. Current Report on Form 8-K, filed on November 14, 2022) (Commission File No. 1-</w:t>
              </w:r>
            </w:hyperlink>
          </w:p>
        </w:tc>
        <w:tc>
          <w:tcPr>
            <w:tcW w:w="120" w:type="dxa"/>
            <w:vAlign w:val="bottom"/>
            <w:tcBorders>
              <w:top w:val="single" w:sz="8" w:color="DAE8F0"/>
              <w:bottom w:val="single" w:sz="8" w:color="0563C1"/>
              <w:right w:val="single" w:sz="8" w:color="91BBD3"/>
            </w:tcBorders>
            <w:gridSpan w:val="7"/>
            <w:shd w:val="clear" w:color="auto" w:fill="DAE8F0"/>
          </w:tcPr>
          <w:p>
            <w:pPr>
              <w:spacing w:after="0"/>
              <w:rPr>
                <w:sz w:val="15"/>
                <w:szCs w:val="15"/>
                <w:color w:val="auto"/>
              </w:rPr>
            </w:pPr>
          </w:p>
        </w:tc>
        <w:tc>
          <w:tcPr>
            <w:tcW w:w="160" w:type="dxa"/>
            <w:vAlign w:val="bottom"/>
          </w:tcPr>
          <w:p>
            <w:pPr>
              <w:spacing w:after="0"/>
              <w:rPr>
                <w:sz w:val="15"/>
                <w:szCs w:val="15"/>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560" w:type="dxa"/>
            <w:vAlign w:val="bottom"/>
            <w:tcBorders>
              <w:bottom w:val="single" w:sz="8" w:color="0563C1"/>
            </w:tcBorders>
            <w:shd w:val="clear" w:color="auto" w:fill="DAE8F0"/>
          </w:tcPr>
          <w:p>
            <w:pPr>
              <w:spacing w:after="0" w:line="182" w:lineRule="exact"/>
              <w:rPr>
                <w:rFonts w:ascii="Arial" w:cs="Arial" w:eastAsia="Arial" w:hAnsi="Arial"/>
                <w:sz w:val="18"/>
                <w:szCs w:val="18"/>
                <w:color w:val="0563C1"/>
                <w:w w:val="96"/>
              </w:rPr>
            </w:pPr>
            <w:hyperlink r:id="rId754">
              <w:r>
                <w:rPr>
                  <w:rFonts w:ascii="Arial" w:cs="Arial" w:eastAsia="Arial" w:hAnsi="Arial"/>
                  <w:sz w:val="18"/>
                  <w:szCs w:val="18"/>
                  <w:color w:val="0563C1"/>
                  <w:w w:val="96"/>
                </w:rPr>
                <w:t>12744)</w:t>
              </w:r>
            </w:hyperlink>
          </w:p>
        </w:tc>
        <w:tc>
          <w:tcPr>
            <w:tcW w:w="3760" w:type="dxa"/>
            <w:vAlign w:val="bottom"/>
            <w:tcBorders>
              <w:bottom w:val="single" w:sz="8" w:color="91BBD3"/>
            </w:tcBorders>
            <w:shd w:val="clear" w:color="auto" w:fill="DAE8F0"/>
          </w:tcPr>
          <w:p>
            <w:pPr>
              <w:spacing w:after="0"/>
              <w:rPr>
                <w:sz w:val="19"/>
                <w:szCs w:val="19"/>
                <w:color w:val="auto"/>
              </w:rPr>
            </w:pPr>
          </w:p>
        </w:tc>
        <w:tc>
          <w:tcPr>
            <w:tcW w:w="880" w:type="dxa"/>
            <w:vAlign w:val="bottom"/>
            <w:tcBorders>
              <w:bottom w:val="single" w:sz="8" w:color="91BBD3"/>
            </w:tcBorders>
            <w:shd w:val="clear" w:color="auto" w:fill="DAE8F0"/>
          </w:tcPr>
          <w:p>
            <w:pPr>
              <w:spacing w:after="0"/>
              <w:rPr>
                <w:sz w:val="19"/>
                <w:szCs w:val="19"/>
                <w:color w:val="auto"/>
              </w:rPr>
            </w:pPr>
          </w:p>
        </w:tc>
        <w:tc>
          <w:tcPr>
            <w:tcW w:w="980" w:type="dxa"/>
            <w:vAlign w:val="bottom"/>
            <w:tcBorders>
              <w:bottom w:val="single" w:sz="8" w:color="91BBD3"/>
            </w:tcBorders>
            <w:shd w:val="clear" w:color="auto" w:fill="DAE8F0"/>
          </w:tcPr>
          <w:p>
            <w:pPr>
              <w:spacing w:after="0"/>
              <w:rPr>
                <w:sz w:val="19"/>
                <w:szCs w:val="19"/>
                <w:color w:val="auto"/>
              </w:rPr>
            </w:pPr>
          </w:p>
        </w:tc>
        <w:tc>
          <w:tcPr>
            <w:tcW w:w="960" w:type="dxa"/>
            <w:vAlign w:val="bottom"/>
            <w:tcBorders>
              <w:bottom w:val="single" w:sz="8" w:color="91BBD3"/>
            </w:tcBorders>
            <w:shd w:val="clear" w:color="auto" w:fill="DAE8F0"/>
          </w:tcPr>
          <w:p>
            <w:pPr>
              <w:spacing w:after="0"/>
              <w:rPr>
                <w:sz w:val="19"/>
                <w:szCs w:val="19"/>
                <w:color w:val="auto"/>
              </w:rPr>
            </w:pPr>
          </w:p>
        </w:tc>
        <w:tc>
          <w:tcPr>
            <w:tcW w:w="1180" w:type="dxa"/>
            <w:vAlign w:val="bottom"/>
            <w:tcBorders>
              <w:bottom w:val="single" w:sz="8" w:color="91BBD3"/>
            </w:tcBorders>
            <w:shd w:val="clear" w:color="auto" w:fill="DAE8F0"/>
          </w:tcPr>
          <w:p>
            <w:pPr>
              <w:spacing w:after="0"/>
              <w:rPr>
                <w:sz w:val="19"/>
                <w:szCs w:val="19"/>
                <w:color w:val="auto"/>
              </w:rPr>
            </w:pPr>
          </w:p>
        </w:tc>
        <w:tc>
          <w:tcPr>
            <w:tcW w:w="66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0" w:type="dxa"/>
            <w:vAlign w:val="bottom"/>
            <w:tcBorders>
              <w:bottom w:val="single" w:sz="8" w:color="91BBD3"/>
              <w:right w:val="single" w:sz="8" w:color="91BBD3"/>
            </w:tcBorders>
            <w:shd w:val="clear" w:color="auto" w:fill="DAE8F0"/>
          </w:tcPr>
          <w:p>
            <w:pPr>
              <w:spacing w:after="0"/>
              <w:rPr>
                <w:sz w:val="19"/>
                <w:szCs w:val="19"/>
                <w:color w:val="auto"/>
              </w:rPr>
            </w:pPr>
          </w:p>
        </w:tc>
        <w:tc>
          <w:tcPr>
            <w:tcW w:w="160" w:type="dxa"/>
            <w:vAlign w:val="bottom"/>
          </w:tcPr>
          <w:p>
            <w:pPr>
              <w:spacing w:after="0"/>
              <w:rPr>
                <w:sz w:val="19"/>
                <w:szCs w:val="19"/>
                <w:color w:val="auto"/>
              </w:rPr>
            </w:pPr>
          </w:p>
        </w:tc>
      </w:tr>
      <w:tr>
        <w:trPr>
          <w:trHeight w:val="379"/>
        </w:trPr>
        <w:tc>
          <w:tcPr>
            <w:tcW w:w="1860" w:type="dxa"/>
            <w:vAlign w:val="bottom"/>
            <w:gridSpan w:val="2"/>
          </w:tcPr>
          <w:p>
            <w:pPr>
              <w:jc w:val="right"/>
              <w:ind w:right="291"/>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64"/>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68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27"/>
          </w:tcPr>
          <w:p>
            <w:pPr>
              <w:ind w:left="14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1700" w:type="dxa"/>
            <w:vAlign w:val="bottom"/>
            <w:tcBorders>
              <w:bottom w:val="single" w:sz="8" w:color="007DC6"/>
            </w:tcBorders>
          </w:tcPr>
          <w:p>
            <w:pPr>
              <w:spacing w:after="0"/>
              <w:rPr>
                <w:sz w:val="14"/>
                <w:szCs w:val="14"/>
                <w:color w:val="auto"/>
              </w:rPr>
            </w:pPr>
          </w:p>
        </w:tc>
        <w:tc>
          <w:tcPr>
            <w:tcW w:w="1080" w:type="dxa"/>
            <w:vAlign w:val="bottom"/>
            <w:tcBorders>
              <w:bottom w:val="single" w:sz="8" w:color="007DC6"/>
            </w:tcBorders>
          </w:tcPr>
          <w:p>
            <w:pPr>
              <w:spacing w:after="0"/>
              <w:rPr>
                <w:sz w:val="14"/>
                <w:szCs w:val="14"/>
                <w:color w:val="auto"/>
              </w:rPr>
            </w:pPr>
          </w:p>
        </w:tc>
        <w:tc>
          <w:tcPr>
            <w:tcW w:w="36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960" w:type="dxa"/>
            <w:vAlign w:val="bottom"/>
            <w:tcBorders>
              <w:bottom w:val="single" w:sz="8" w:color="007DC6"/>
            </w:tcBorders>
          </w:tcPr>
          <w:p>
            <w:pPr>
              <w:spacing w:after="0"/>
              <w:rPr>
                <w:sz w:val="14"/>
                <w:szCs w:val="14"/>
                <w:color w:val="auto"/>
              </w:rPr>
            </w:pPr>
          </w:p>
        </w:tc>
        <w:tc>
          <w:tcPr>
            <w:tcW w:w="260" w:type="dxa"/>
            <w:vAlign w:val="bottom"/>
            <w:tcBorders>
              <w:bottom w:val="single" w:sz="8" w:color="007DC6"/>
            </w:tcBorders>
          </w:tcPr>
          <w:p>
            <w:pPr>
              <w:spacing w:after="0"/>
              <w:rPr>
                <w:sz w:val="14"/>
                <w:szCs w:val="14"/>
                <w:color w:val="auto"/>
              </w:rPr>
            </w:pPr>
          </w:p>
        </w:tc>
        <w:tc>
          <w:tcPr>
            <w:tcW w:w="120" w:type="dxa"/>
            <w:vAlign w:val="bottom"/>
            <w:tcBorders>
              <w:bottom w:val="single" w:sz="8" w:color="007DC6"/>
            </w:tcBorders>
          </w:tcPr>
          <w:p>
            <w:pPr>
              <w:spacing w:after="0"/>
              <w:rPr>
                <w:sz w:val="14"/>
                <w:szCs w:val="14"/>
                <w:color w:val="auto"/>
              </w:rPr>
            </w:pPr>
          </w:p>
        </w:tc>
        <w:tc>
          <w:tcPr>
            <w:tcW w:w="1840" w:type="dxa"/>
            <w:vAlign w:val="bottom"/>
            <w:tcBorders>
              <w:bottom w:val="single" w:sz="8" w:color="007DC6"/>
            </w:tcBorders>
          </w:tcPr>
          <w:p>
            <w:pPr>
              <w:spacing w:after="0"/>
              <w:rPr>
                <w:sz w:val="14"/>
                <w:szCs w:val="14"/>
                <w:color w:val="auto"/>
              </w:rPr>
            </w:pPr>
          </w:p>
        </w:tc>
        <w:tc>
          <w:tcPr>
            <w:tcW w:w="68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14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197"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91BBD3"/>
              <w:right w:val="single" w:sz="8" w:color="91BBD3"/>
            </w:tcBorders>
            <w:shd w:val="clear" w:color="auto" w:fill="007DC6"/>
          </w:tcPr>
          <w:p>
            <w:pPr>
              <w:jc w:val="right"/>
              <w:ind w:right="290"/>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bottom w:val="single" w:sz="8" w:color="91BBD3"/>
            </w:tcBorders>
            <w:shd w:val="clear" w:color="auto" w:fill="007DC6"/>
          </w:tcPr>
          <w:p>
            <w:pPr>
              <w:spacing w:after="0"/>
              <w:rPr>
                <w:sz w:val="24"/>
                <w:szCs w:val="24"/>
                <w:color w:val="auto"/>
              </w:rPr>
            </w:pPr>
          </w:p>
        </w:tc>
        <w:tc>
          <w:tcPr>
            <w:tcW w:w="620" w:type="dxa"/>
            <w:vAlign w:val="bottom"/>
            <w:tcBorders>
              <w:bottom w:val="single" w:sz="8" w:color="91BBD3"/>
            </w:tcBorders>
            <w:shd w:val="clear" w:color="auto" w:fill="007DC6"/>
          </w:tcPr>
          <w:p>
            <w:pPr>
              <w:spacing w:after="0"/>
              <w:rPr>
                <w:sz w:val="24"/>
                <w:szCs w:val="24"/>
                <w:color w:val="auto"/>
              </w:rPr>
            </w:pPr>
          </w:p>
        </w:tc>
        <w:tc>
          <w:tcPr>
            <w:tcW w:w="160" w:type="dxa"/>
            <w:vAlign w:val="bottom"/>
            <w:tcBorders>
              <w:bottom w:val="single" w:sz="8" w:color="91BBD3"/>
            </w:tcBorders>
            <w:shd w:val="clear" w:color="auto" w:fill="007DC6"/>
          </w:tcPr>
          <w:p>
            <w:pPr>
              <w:spacing w:after="0"/>
              <w:rPr>
                <w:sz w:val="24"/>
                <w:szCs w:val="24"/>
                <w:color w:val="auto"/>
              </w:rPr>
            </w:pPr>
          </w:p>
        </w:tc>
        <w:tc>
          <w:tcPr>
            <w:tcW w:w="1700" w:type="dxa"/>
            <w:vAlign w:val="bottom"/>
            <w:tcBorders>
              <w:bottom w:val="single" w:sz="8" w:color="91BBD3"/>
            </w:tcBorders>
            <w:shd w:val="clear" w:color="auto" w:fill="007DC6"/>
          </w:tcPr>
          <w:p>
            <w:pPr>
              <w:spacing w:after="0"/>
              <w:rPr>
                <w:sz w:val="24"/>
                <w:szCs w:val="24"/>
                <w:color w:val="auto"/>
              </w:rPr>
            </w:pPr>
          </w:p>
        </w:tc>
        <w:tc>
          <w:tcPr>
            <w:tcW w:w="1080" w:type="dxa"/>
            <w:vAlign w:val="bottom"/>
            <w:tcBorders>
              <w:bottom w:val="single" w:sz="8" w:color="91BBD3"/>
            </w:tcBorders>
            <w:shd w:val="clear" w:color="auto" w:fill="007DC6"/>
          </w:tcPr>
          <w:p>
            <w:pPr>
              <w:spacing w:after="0"/>
              <w:rPr>
                <w:sz w:val="24"/>
                <w:szCs w:val="24"/>
                <w:color w:val="auto"/>
              </w:rPr>
            </w:pPr>
          </w:p>
        </w:tc>
        <w:tc>
          <w:tcPr>
            <w:tcW w:w="360" w:type="dxa"/>
            <w:vAlign w:val="bottom"/>
            <w:tcBorders>
              <w:bottom w:val="single" w:sz="8" w:color="91BBD3"/>
            </w:tcBorders>
            <w:shd w:val="clear" w:color="auto" w:fill="007DC6"/>
          </w:tcPr>
          <w:p>
            <w:pPr>
              <w:spacing w:after="0"/>
              <w:rPr>
                <w:sz w:val="24"/>
                <w:szCs w:val="24"/>
                <w:color w:val="auto"/>
              </w:rPr>
            </w:pPr>
          </w:p>
        </w:tc>
        <w:tc>
          <w:tcPr>
            <w:tcW w:w="40" w:type="dxa"/>
            <w:vAlign w:val="bottom"/>
            <w:tcBorders>
              <w:bottom w:val="single" w:sz="8" w:color="91BBD3"/>
            </w:tcBorders>
            <w:shd w:val="clear" w:color="auto" w:fill="007DC6"/>
          </w:tcPr>
          <w:p>
            <w:pPr>
              <w:spacing w:after="0"/>
              <w:rPr>
                <w:sz w:val="24"/>
                <w:szCs w:val="24"/>
                <w:color w:val="auto"/>
              </w:rPr>
            </w:pPr>
          </w:p>
        </w:tc>
        <w:tc>
          <w:tcPr>
            <w:tcW w:w="960" w:type="dxa"/>
            <w:vAlign w:val="bottom"/>
            <w:tcBorders>
              <w:bottom w:val="single" w:sz="8" w:color="91BBD3"/>
            </w:tcBorders>
            <w:shd w:val="clear" w:color="auto" w:fill="007DC6"/>
          </w:tcPr>
          <w:p>
            <w:pPr>
              <w:spacing w:after="0"/>
              <w:rPr>
                <w:sz w:val="24"/>
                <w:szCs w:val="24"/>
                <w:color w:val="auto"/>
              </w:rPr>
            </w:pPr>
          </w:p>
        </w:tc>
        <w:tc>
          <w:tcPr>
            <w:tcW w:w="260" w:type="dxa"/>
            <w:vAlign w:val="bottom"/>
            <w:tcBorders>
              <w:bottom w:val="single" w:sz="8" w:color="91BBD3"/>
            </w:tcBorders>
            <w:shd w:val="clear" w:color="auto" w:fill="007DC6"/>
          </w:tcPr>
          <w:p>
            <w:pPr>
              <w:spacing w:after="0"/>
              <w:rPr>
                <w:sz w:val="24"/>
                <w:szCs w:val="24"/>
                <w:color w:val="auto"/>
              </w:rPr>
            </w:pPr>
          </w:p>
        </w:tc>
        <w:tc>
          <w:tcPr>
            <w:tcW w:w="120" w:type="dxa"/>
            <w:vAlign w:val="bottom"/>
            <w:tcBorders>
              <w:bottom w:val="single" w:sz="8" w:color="91BBD3"/>
            </w:tcBorders>
            <w:shd w:val="clear" w:color="auto" w:fill="007DC6"/>
          </w:tcPr>
          <w:p>
            <w:pPr>
              <w:spacing w:after="0"/>
              <w:rPr>
                <w:sz w:val="24"/>
                <w:szCs w:val="24"/>
                <w:color w:val="auto"/>
              </w:rPr>
            </w:pPr>
          </w:p>
        </w:tc>
        <w:tc>
          <w:tcPr>
            <w:tcW w:w="1840" w:type="dxa"/>
            <w:vAlign w:val="bottom"/>
            <w:tcBorders>
              <w:bottom w:val="single" w:sz="8" w:color="91BBD3"/>
            </w:tcBorders>
            <w:shd w:val="clear" w:color="auto" w:fill="007DC6"/>
          </w:tcPr>
          <w:p>
            <w:pPr>
              <w:spacing w:after="0"/>
              <w:rPr>
                <w:sz w:val="24"/>
                <w:szCs w:val="24"/>
                <w:color w:val="auto"/>
              </w:rPr>
            </w:pPr>
          </w:p>
        </w:tc>
        <w:tc>
          <w:tcPr>
            <w:tcW w:w="68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114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294967197"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0" w:type="dxa"/>
            <w:vAlign w:val="bottom"/>
            <w:tcBorders>
              <w:bottom w:val="single" w:sz="8" w:color="91BBD3"/>
              <w:right w:val="single" w:sz="8" w:color="007DC6"/>
            </w:tcBorders>
            <w:shd w:val="clear" w:color="auto" w:fill="007DC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right w:val="single" w:sz="8" w:color="91BBD3"/>
            </w:tcBorders>
          </w:tcPr>
          <w:p>
            <w:pPr>
              <w:ind w:left="100"/>
              <w:spacing w:after="0" w:line="149" w:lineRule="exact"/>
              <w:rPr>
                <w:sz w:val="20"/>
                <w:szCs w:val="20"/>
                <w:color w:val="auto"/>
              </w:rPr>
            </w:pPr>
            <w:r>
              <w:rPr>
                <w:rFonts w:ascii="Arial" w:cs="Arial" w:eastAsia="Arial" w:hAnsi="Arial"/>
                <w:sz w:val="17"/>
                <w:szCs w:val="17"/>
                <w:b w:val="1"/>
                <w:bCs w:val="1"/>
                <w:color w:val="auto"/>
              </w:rPr>
              <w:t>4.04</w:t>
            </w:r>
          </w:p>
        </w:tc>
        <w:tc>
          <w:tcPr>
            <w:tcW w:w="100" w:type="dxa"/>
            <w:vAlign w:val="bottom"/>
          </w:tcPr>
          <w:p>
            <w:pPr>
              <w:spacing w:after="0"/>
              <w:rPr>
                <w:sz w:val="12"/>
                <w:szCs w:val="12"/>
                <w:color w:val="auto"/>
              </w:rPr>
            </w:pPr>
          </w:p>
        </w:tc>
        <w:tc>
          <w:tcPr>
            <w:tcW w:w="9280" w:type="dxa"/>
            <w:vAlign w:val="bottom"/>
            <w:tcBorders>
              <w:right w:val="single" w:sz="8" w:color="91BBD3"/>
            </w:tcBorders>
            <w:gridSpan w:val="33"/>
          </w:tcPr>
          <w:p>
            <w:pPr>
              <w:spacing w:after="0" w:line="149" w:lineRule="exact"/>
              <w:rPr>
                <w:rFonts w:ascii="Arial" w:cs="Arial" w:eastAsia="Arial" w:hAnsi="Arial"/>
                <w:sz w:val="17"/>
                <w:szCs w:val="17"/>
                <w:color w:val="0563C1"/>
              </w:rPr>
            </w:pPr>
            <w:hyperlink r:id="rId758">
              <w:r>
                <w:rPr>
                  <w:rFonts w:ascii="Arial" w:cs="Arial" w:eastAsia="Arial" w:hAnsi="Arial"/>
                  <w:sz w:val="17"/>
                  <w:szCs w:val="17"/>
                  <w:color w:val="0563C1"/>
                </w:rPr>
                <w:t>Indenture dated as of April 30, 2007 between Martin Marietta Materials, Inc. and Truist Bank (as successor by</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8980" w:type="dxa"/>
            <w:vAlign w:val="bottom"/>
            <w:tcBorders>
              <w:top w:val="single" w:sz="8" w:color="0563C1"/>
              <w:bottom w:val="single" w:sz="8" w:color="0563C1"/>
            </w:tcBorders>
            <w:gridSpan w:val="19"/>
          </w:tcPr>
          <w:p>
            <w:pPr>
              <w:spacing w:after="0" w:line="182" w:lineRule="exact"/>
              <w:rPr>
                <w:rFonts w:ascii="Arial" w:cs="Arial" w:eastAsia="Arial" w:hAnsi="Arial"/>
                <w:sz w:val="18"/>
                <w:szCs w:val="18"/>
                <w:color w:val="0563C1"/>
              </w:rPr>
            </w:pPr>
            <w:hyperlink r:id="rId758">
              <w:r>
                <w:rPr>
                  <w:rFonts w:ascii="Arial" w:cs="Arial" w:eastAsia="Arial" w:hAnsi="Arial"/>
                  <w:sz w:val="18"/>
                  <w:szCs w:val="18"/>
                  <w:color w:val="0563C1"/>
                </w:rPr>
                <w:t>merger to SunTrust Bank and formerly known as Branch Banking and Trust Company, Inc.), as trustee</w:t>
              </w:r>
            </w:hyperlink>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40" w:type="dxa"/>
            <w:vAlign w:val="bottom"/>
            <w:gridSpan w:val="27"/>
          </w:tcPr>
          <w:p>
            <w:pPr>
              <w:spacing w:after="0" w:line="182" w:lineRule="exact"/>
              <w:rPr>
                <w:rFonts w:ascii="Arial" w:cs="Arial" w:eastAsia="Arial" w:hAnsi="Arial"/>
                <w:sz w:val="18"/>
                <w:szCs w:val="18"/>
                <w:color w:val="0563C1"/>
              </w:rPr>
            </w:pPr>
            <w:hyperlink r:id="rId758">
              <w:r>
                <w:rPr>
                  <w:rFonts w:ascii="Arial" w:cs="Arial" w:eastAsia="Arial" w:hAnsi="Arial"/>
                  <w:sz w:val="18"/>
                  <w:szCs w:val="18"/>
                  <w:color w:val="0563C1"/>
                </w:rPr>
                <w:t>(incorporated by reference to Exhibit 4.1 to the Martin Marietta Materials, Inc. Current Report on Form 8-K,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40" w:type="dxa"/>
            <w:vAlign w:val="bottom"/>
            <w:tcBorders>
              <w:top w:val="single" w:sz="8" w:color="0563C1"/>
            </w:tcBorders>
            <w:gridSpan w:val="16"/>
          </w:tcPr>
          <w:p>
            <w:pPr>
              <w:spacing w:after="0" w:line="182" w:lineRule="exact"/>
              <w:rPr>
                <w:rFonts w:ascii="Arial" w:cs="Arial" w:eastAsia="Arial" w:hAnsi="Arial"/>
                <w:sz w:val="18"/>
                <w:szCs w:val="18"/>
                <w:color w:val="0563C1"/>
              </w:rPr>
            </w:pPr>
            <w:hyperlink r:id="rId758">
              <w:r>
                <w:rPr>
                  <w:rFonts w:ascii="Arial" w:cs="Arial" w:eastAsia="Arial" w:hAnsi="Arial"/>
                  <w:sz w:val="18"/>
                  <w:szCs w:val="18"/>
                  <w:color w:val="0563C1"/>
                </w:rPr>
                <w:t>on April 30, 2007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ind w:left="100"/>
              <w:spacing w:after="0" w:line="156" w:lineRule="exact"/>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rFonts w:ascii="Arial" w:cs="Arial" w:eastAsia="Arial" w:hAnsi="Arial"/>
                <w:sz w:val="18"/>
                <w:szCs w:val="18"/>
                <w:color w:val="0563C1"/>
              </w:rPr>
            </w:pPr>
            <w:hyperlink r:id="rId759">
              <w:r>
                <w:rPr>
                  <w:rFonts w:ascii="Arial" w:cs="Arial" w:eastAsia="Arial" w:hAnsi="Arial"/>
                  <w:sz w:val="18"/>
                  <w:szCs w:val="18"/>
                  <w:color w:val="0563C1"/>
                </w:rPr>
                <w:t>Second Supplemental Indenture, dated as of April 30, 2007, between Martin Marietta Materials, Inc. and Truist</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00" w:type="dxa"/>
            <w:vAlign w:val="bottom"/>
            <w:tcBorders>
              <w:top w:val="single" w:sz="8" w:color="0563C1"/>
              <w:bottom w:val="single" w:sz="8" w:color="0563C1"/>
            </w:tcBorders>
            <w:gridSpan w:val="14"/>
            <w:shd w:val="clear" w:color="auto" w:fill="DAE8F0"/>
          </w:tcPr>
          <w:p>
            <w:pPr>
              <w:spacing w:after="0" w:line="182" w:lineRule="exact"/>
              <w:rPr>
                <w:rFonts w:ascii="Arial" w:cs="Arial" w:eastAsia="Arial" w:hAnsi="Arial"/>
                <w:sz w:val="18"/>
                <w:szCs w:val="18"/>
                <w:color w:val="0563C1"/>
              </w:rPr>
            </w:pPr>
            <w:hyperlink r:id="rId759">
              <w:r>
                <w:rPr>
                  <w:rFonts w:ascii="Arial" w:cs="Arial" w:eastAsia="Arial" w:hAnsi="Arial"/>
                  <w:sz w:val="18"/>
                  <w:szCs w:val="18"/>
                  <w:color w:val="0563C1"/>
                </w:rPr>
                <w:t>Bank, as trustee, to that certain Indenture dated as of April 30, 2007 between Martin Marietta Materials, Inc. and</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294967197"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000EE"/>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0" w:type="dxa"/>
            <w:vAlign w:val="bottom"/>
            <w:tcBorders>
              <w:top w:val="single" w:sz="8" w:color="DAE8F0"/>
              <w:bottom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bottom w:val="single" w:sz="8" w:color="DAE8F0"/>
              <w:right w:val="single" w:sz="8" w:color="91BBD3"/>
            </w:tcBorders>
            <w:shd w:val="clear" w:color="auto" w:fill="DAE8F0"/>
          </w:tcPr>
          <w:p>
            <w:pPr>
              <w:spacing w:after="0"/>
              <w:rPr>
                <w:sz w:val="15"/>
                <w:szCs w:val="15"/>
                <w:color w:val="auto"/>
              </w:rPr>
            </w:pPr>
          </w:p>
        </w:tc>
        <w:tc>
          <w:tcPr>
            <w:tcW w:w="100" w:type="dxa"/>
            <w:vAlign w:val="bottom"/>
            <w:tcBorders>
              <w:bottom w:val="single" w:sz="8" w:color="DAE8F0"/>
            </w:tcBorders>
            <w:shd w:val="clear" w:color="auto" w:fill="DAE8F0"/>
          </w:tcPr>
          <w:p>
            <w:pPr>
              <w:spacing w:after="0"/>
              <w:rPr>
                <w:sz w:val="15"/>
                <w:szCs w:val="15"/>
                <w:color w:val="auto"/>
              </w:rPr>
            </w:pPr>
          </w:p>
        </w:tc>
        <w:tc>
          <w:tcPr>
            <w:tcW w:w="9100" w:type="dxa"/>
            <w:vAlign w:val="bottom"/>
            <w:tcBorders>
              <w:bottom w:val="single" w:sz="8" w:color="0563C1"/>
            </w:tcBorders>
            <w:gridSpan w:val="25"/>
            <w:shd w:val="clear" w:color="auto" w:fill="DAE8F0"/>
          </w:tcPr>
          <w:p>
            <w:pPr>
              <w:spacing w:after="0" w:line="182" w:lineRule="exact"/>
              <w:rPr>
                <w:rFonts w:ascii="Arial" w:cs="Arial" w:eastAsia="Arial" w:hAnsi="Arial"/>
                <w:sz w:val="18"/>
                <w:szCs w:val="18"/>
                <w:color w:val="0563C1"/>
              </w:rPr>
            </w:pPr>
            <w:hyperlink r:id="rId759">
              <w:r>
                <w:rPr>
                  <w:rFonts w:ascii="Arial" w:cs="Arial" w:eastAsia="Arial" w:hAnsi="Arial"/>
                  <w:sz w:val="18"/>
                  <w:szCs w:val="18"/>
                  <w:color w:val="0563C1"/>
                </w:rPr>
                <w:t xml:space="preserve">Truist Bank, as trustee, pursuant to which were issued </w:t>
              </w:r>
              <w:r>
                <w:rPr>
                  <w:rFonts w:ascii="Arial" w:cs="Arial" w:eastAsia="Arial" w:hAnsi="Arial"/>
                  <w:sz w:val="18"/>
                  <w:szCs w:val="18"/>
                  <w:u w:val="single" w:color="auto"/>
                  <w:color w:val="0563C1"/>
                </w:rPr>
                <w:t>$</w:t>
              </w:r>
              <w:r>
                <w:rPr>
                  <w:rFonts w:ascii="Arial" w:cs="Arial" w:eastAsia="Arial" w:hAnsi="Arial"/>
                  <w:sz w:val="18"/>
                  <w:szCs w:val="18"/>
                  <w:color w:val="0563C1"/>
                </w:rPr>
                <w:t>250,000,000 aggregate principal amount of 6</w:t>
              </w:r>
              <w:r>
                <w:rPr>
                  <w:rFonts w:ascii="Arial" w:cs="Arial" w:eastAsia="Arial" w:hAnsi="Arial"/>
                  <w:sz w:val="18"/>
                  <w:szCs w:val="18"/>
                  <w:i w:val="1"/>
                  <w:iCs w:val="1"/>
                  <w:color w:val="0563C1"/>
                </w:rPr>
                <w:t>¼%</w:t>
              </w:r>
              <w:r>
                <w:rPr>
                  <w:rFonts w:ascii="Arial" w:cs="Arial" w:eastAsia="Arial" w:hAnsi="Arial"/>
                  <w:sz w:val="18"/>
                  <w:szCs w:val="18"/>
                  <w:color w:val="0563C1"/>
                </w:rPr>
                <w:t xml:space="preserve"> Senior</w:t>
              </w:r>
            </w:hyperlink>
          </w:p>
        </w:tc>
        <w:tc>
          <w:tcPr>
            <w:tcW w:w="20" w:type="dxa"/>
            <w:vAlign w:val="bottom"/>
            <w:tcBorders>
              <w:bottom w:val="single" w:sz="8" w:color="0563C1"/>
            </w:tcBorders>
            <w:shd w:val="clear" w:color="auto" w:fill="DAE8F0"/>
          </w:tcPr>
          <w:p>
            <w:pPr>
              <w:spacing w:after="0"/>
              <w:rPr>
                <w:sz w:val="15"/>
                <w:szCs w:val="15"/>
                <w:color w:val="auto"/>
              </w:rPr>
            </w:pPr>
          </w:p>
        </w:tc>
        <w:tc>
          <w:tcPr>
            <w:tcW w:w="40" w:type="dxa"/>
            <w:vAlign w:val="bottom"/>
            <w:tcBorders>
              <w:bottom w:val="single" w:sz="8" w:color="0563C1"/>
            </w:tcBorders>
            <w:gridSpan w:val="2"/>
            <w:shd w:val="clear" w:color="auto" w:fill="DAE8F0"/>
          </w:tcPr>
          <w:p>
            <w:pPr>
              <w:spacing w:after="0"/>
              <w:rPr>
                <w:sz w:val="15"/>
                <w:szCs w:val="15"/>
                <w:color w:val="auto"/>
              </w:rPr>
            </w:pPr>
          </w:p>
        </w:tc>
        <w:tc>
          <w:tcPr>
            <w:tcW w:w="20" w:type="dxa"/>
            <w:vAlign w:val="bottom"/>
            <w:tcBorders>
              <w:bottom w:val="single" w:sz="8" w:color="0563C1"/>
            </w:tcBorders>
            <w:shd w:val="clear" w:color="auto" w:fill="DAE8F0"/>
          </w:tcPr>
          <w:p>
            <w:pPr>
              <w:spacing w:after="0"/>
              <w:rPr>
                <w:sz w:val="15"/>
                <w:szCs w:val="15"/>
                <w:color w:val="auto"/>
              </w:rPr>
            </w:pPr>
          </w:p>
        </w:tc>
        <w:tc>
          <w:tcPr>
            <w:tcW w:w="20" w:type="dxa"/>
            <w:vAlign w:val="bottom"/>
            <w:tcBorders>
              <w:bottom w:val="single" w:sz="8" w:color="0563C1"/>
            </w:tcBorders>
            <w:shd w:val="clear" w:color="auto" w:fill="DAE8F0"/>
          </w:tcPr>
          <w:p>
            <w:pPr>
              <w:spacing w:after="0"/>
              <w:rPr>
                <w:sz w:val="15"/>
                <w:szCs w:val="15"/>
                <w:color w:val="auto"/>
              </w:rPr>
            </w:pPr>
          </w:p>
        </w:tc>
        <w:tc>
          <w:tcPr>
            <w:tcW w:w="20" w:type="dxa"/>
            <w:vAlign w:val="bottom"/>
            <w:tcBorders>
              <w:bottom w:val="single" w:sz="8" w:color="0563C1"/>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40" w:type="dxa"/>
            <w:vAlign w:val="bottom"/>
            <w:tcBorders>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220" w:type="dxa"/>
            <w:vAlign w:val="bottom"/>
            <w:gridSpan w:val="31"/>
            <w:shd w:val="clear" w:color="auto" w:fill="DAE8F0"/>
          </w:tcPr>
          <w:p>
            <w:pPr>
              <w:spacing w:after="0" w:line="182" w:lineRule="exact"/>
              <w:rPr>
                <w:rFonts w:ascii="Arial" w:cs="Arial" w:eastAsia="Arial" w:hAnsi="Arial"/>
                <w:sz w:val="18"/>
                <w:szCs w:val="18"/>
                <w:color w:val="0563C1"/>
              </w:rPr>
            </w:pPr>
            <w:hyperlink r:id="rId759">
              <w:r>
                <w:rPr>
                  <w:rFonts w:ascii="Arial" w:cs="Arial" w:eastAsia="Arial" w:hAnsi="Arial"/>
                  <w:sz w:val="18"/>
                  <w:szCs w:val="18"/>
                  <w:color w:val="0563C1"/>
                </w:rPr>
                <w:t>Notes due 2037 of Martin Marietta Materials, Inc. (incorporated by reference to Exhibit 4.3 to the Martin Marietta</w:t>
              </w:r>
            </w:hyperlink>
          </w:p>
        </w:tc>
        <w:tc>
          <w:tcPr>
            <w:tcW w:w="20" w:type="dxa"/>
            <w:vAlign w:val="bottom"/>
            <w:shd w:val="clear" w:color="auto" w:fill="DAE8F0"/>
          </w:tcPr>
          <w:p>
            <w:pPr>
              <w:spacing w:after="0"/>
              <w:rPr>
                <w:sz w:val="15"/>
                <w:szCs w:val="15"/>
                <w:color w:val="auto"/>
              </w:rPr>
            </w:pPr>
          </w:p>
        </w:tc>
        <w:tc>
          <w:tcPr>
            <w:tcW w:w="40" w:type="dxa"/>
            <w:vAlign w:val="bottom"/>
            <w:tcBorders>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200" w:type="dxa"/>
            <w:vAlign w:val="bottom"/>
            <w:tcBorders>
              <w:top w:val="single" w:sz="8" w:color="0563C1"/>
            </w:tcBorders>
            <w:gridSpan w:val="30"/>
            <w:shd w:val="clear" w:color="auto" w:fill="DAE8F0"/>
          </w:tcPr>
          <w:p>
            <w:pPr>
              <w:spacing w:after="0" w:line="182" w:lineRule="exact"/>
              <w:rPr>
                <w:rFonts w:ascii="Arial" w:cs="Arial" w:eastAsia="Arial" w:hAnsi="Arial"/>
                <w:sz w:val="18"/>
                <w:szCs w:val="18"/>
                <w:color w:val="0563C1"/>
              </w:rPr>
            </w:pPr>
            <w:hyperlink r:id="rId759">
              <w:r>
                <w:rPr>
                  <w:rFonts w:ascii="Arial" w:cs="Arial" w:eastAsia="Arial" w:hAnsi="Arial"/>
                  <w:sz w:val="18"/>
                  <w:szCs w:val="18"/>
                  <w:color w:val="0563C1"/>
                </w:rPr>
                <w:t>Materials, Inc. Current Report on Form 8-K, filed on April 30, 2007 (Commission File No. 1-12744))</w:t>
              </w:r>
            </w:hyperlink>
          </w:p>
        </w:tc>
        <w:tc>
          <w:tcPr>
            <w:tcW w:w="40" w:type="dxa"/>
            <w:vAlign w:val="bottom"/>
            <w:tcBorders>
              <w:top w:val="single" w:sz="8" w:color="DAE8F0"/>
            </w:tcBorders>
            <w:gridSpan w:val="2"/>
            <w:shd w:val="clear" w:color="auto" w:fill="DAE8F0"/>
          </w:tcPr>
          <w:p>
            <w:pPr>
              <w:spacing w:after="0"/>
              <w:rPr>
                <w:sz w:val="17"/>
                <w:szCs w:val="17"/>
                <w:color w:val="auto"/>
              </w:rPr>
            </w:pPr>
          </w:p>
        </w:tc>
        <w:tc>
          <w:tcPr>
            <w:tcW w:w="40" w:type="dxa"/>
            <w:vAlign w:val="bottom"/>
            <w:tcBorders>
              <w:top w:val="single" w:sz="8" w:color="DAE8F0"/>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1700" w:type="dxa"/>
            <w:vAlign w:val="bottom"/>
            <w:tcBorders>
              <w:top w:val="single" w:sz="8" w:color="0563C1"/>
            </w:tcBorders>
            <w:shd w:val="clear" w:color="auto" w:fill="91BBD3"/>
          </w:tcPr>
          <w:p>
            <w:pPr>
              <w:spacing w:after="0" w:line="20" w:lineRule="exact"/>
              <w:rPr>
                <w:sz w:val="1"/>
                <w:szCs w:val="1"/>
                <w:color w:val="auto"/>
              </w:rPr>
            </w:pPr>
          </w:p>
        </w:tc>
        <w:tc>
          <w:tcPr>
            <w:tcW w:w="10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120" w:type="dxa"/>
            <w:vAlign w:val="bottom"/>
            <w:tcBorders>
              <w:top w:val="single" w:sz="8" w:color="0563C1"/>
            </w:tcBorders>
            <w:shd w:val="clear" w:color="auto" w:fill="91BBD3"/>
          </w:tcPr>
          <w:p>
            <w:pPr>
              <w:spacing w:after="0" w:line="20" w:lineRule="exact"/>
              <w:rPr>
                <w:sz w:val="1"/>
                <w:szCs w:val="1"/>
                <w:color w:val="auto"/>
              </w:rPr>
            </w:pPr>
          </w:p>
        </w:tc>
        <w:tc>
          <w:tcPr>
            <w:tcW w:w="1840" w:type="dxa"/>
            <w:vAlign w:val="bottom"/>
            <w:tcBorders>
              <w:top w:val="single" w:sz="8" w:color="0563C1"/>
            </w:tcBorders>
            <w:shd w:val="clear" w:color="auto" w:fill="91BBD3"/>
          </w:tcPr>
          <w:p>
            <w:pPr>
              <w:spacing w:after="0" w:line="20" w:lineRule="exact"/>
              <w:rPr>
                <w:sz w:val="1"/>
                <w:szCs w:val="1"/>
                <w:color w:val="auto"/>
              </w:rPr>
            </w:pPr>
          </w:p>
        </w:tc>
        <w:tc>
          <w:tcPr>
            <w:tcW w:w="68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ind w:left="100"/>
              <w:spacing w:after="0" w:line="156" w:lineRule="exact"/>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3"/>
                <w:szCs w:val="13"/>
                <w:color w:val="auto"/>
              </w:rPr>
            </w:pPr>
          </w:p>
        </w:tc>
        <w:tc>
          <w:tcPr>
            <w:tcW w:w="9280" w:type="dxa"/>
            <w:vAlign w:val="bottom"/>
            <w:tcBorders>
              <w:right w:val="single" w:sz="8" w:color="91BBD3"/>
            </w:tcBorders>
            <w:gridSpan w:val="33"/>
          </w:tcPr>
          <w:p>
            <w:pPr>
              <w:spacing w:after="0" w:line="156" w:lineRule="exact"/>
              <w:rPr>
                <w:rFonts w:ascii="Arial" w:cs="Arial" w:eastAsia="Arial" w:hAnsi="Arial"/>
                <w:sz w:val="18"/>
                <w:szCs w:val="18"/>
                <w:color w:val="0563C1"/>
              </w:rPr>
            </w:pPr>
            <w:hyperlink r:id="rId760">
              <w:r>
                <w:rPr>
                  <w:rFonts w:ascii="Arial" w:cs="Arial" w:eastAsia="Arial" w:hAnsi="Arial"/>
                  <w:sz w:val="18"/>
                  <w:szCs w:val="18"/>
                  <w:color w:val="0563C1"/>
                </w:rPr>
                <w:t>Indenture, dated as of May 22, 2017, between Martin Marietta Materials, Inc. and Regions Bank, as trustee</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00" w:type="dxa"/>
            <w:vAlign w:val="bottom"/>
            <w:tcBorders>
              <w:top w:val="single" w:sz="8" w:color="0563C1"/>
              <w:bottom w:val="single" w:sz="8" w:color="0563C1"/>
            </w:tcBorders>
            <w:gridSpan w:val="14"/>
          </w:tcPr>
          <w:p>
            <w:pPr>
              <w:spacing w:after="0" w:line="182" w:lineRule="exact"/>
              <w:rPr>
                <w:rFonts w:ascii="Arial" w:cs="Arial" w:eastAsia="Arial" w:hAnsi="Arial"/>
                <w:sz w:val="18"/>
                <w:szCs w:val="18"/>
                <w:color w:val="0563C1"/>
              </w:rPr>
            </w:pPr>
            <w:hyperlink r:id="rId760">
              <w:r>
                <w:rPr>
                  <w:rFonts w:ascii="Arial" w:cs="Arial" w:eastAsia="Arial" w:hAnsi="Arial"/>
                  <w:sz w:val="18"/>
                  <w:szCs w:val="18"/>
                  <w:color w:val="0563C1"/>
                </w:rPr>
                <w:t>(incorporated by reference to Exhibit 4.1 of the Company’s Current Report on Form 8-K, filed on May 22, 2017)</w:t>
              </w:r>
            </w:hyperlink>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294967197"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60" w:type="dxa"/>
            <w:vAlign w:val="bottom"/>
            <w:tcBorders>
              <w:bottom w:val="single" w:sz="8" w:color="0563C1"/>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gridSpan w:val="26"/>
          </w:tcPr>
          <w:p>
            <w:pPr>
              <w:spacing w:after="0" w:line="182" w:lineRule="exact"/>
              <w:rPr>
                <w:rFonts w:ascii="Arial" w:cs="Arial" w:eastAsia="Arial" w:hAnsi="Arial"/>
                <w:sz w:val="18"/>
                <w:szCs w:val="18"/>
                <w:color w:val="0563C1"/>
              </w:rPr>
            </w:pPr>
            <w:hyperlink r:id="rId760">
              <w:r>
                <w:rPr>
                  <w:rFonts w:ascii="Arial" w:cs="Arial" w:eastAsia="Arial" w:hAnsi="Arial"/>
                  <w:sz w:val="18"/>
                  <w:szCs w:val="18"/>
                  <w:color w:val="0563C1"/>
                </w:rPr>
                <w:t>(Commission File No. 1-12744)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ind w:left="100"/>
              <w:spacing w:after="0" w:line="156" w:lineRule="exact"/>
              <w:rPr>
                <w:sz w:val="20"/>
                <w:szCs w:val="20"/>
                <w:color w:val="auto"/>
              </w:rPr>
            </w:pPr>
            <w:r>
              <w:rPr>
                <w:rFonts w:ascii="Arial" w:cs="Arial" w:eastAsia="Arial" w:hAnsi="Arial"/>
                <w:sz w:val="18"/>
                <w:szCs w:val="18"/>
                <w:b w:val="1"/>
                <w:bCs w:val="1"/>
                <w:color w:val="auto"/>
              </w:rPr>
              <w:t>4.07</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rFonts w:ascii="Arial" w:cs="Arial" w:eastAsia="Arial" w:hAnsi="Arial"/>
                <w:sz w:val="18"/>
                <w:szCs w:val="18"/>
                <w:color w:val="0563C1"/>
              </w:rPr>
            </w:pPr>
            <w:hyperlink r:id="rId761">
              <w:r>
                <w:rPr>
                  <w:rFonts w:ascii="Arial" w:cs="Arial" w:eastAsia="Arial" w:hAnsi="Arial"/>
                  <w:sz w:val="18"/>
                  <w:szCs w:val="18"/>
                  <w:color w:val="0563C1"/>
                </w:rPr>
                <w:t>First Supplemental Indenture, dated as of May 22, 2017, between Martin Marietta Materials, Inc. and Regions</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180" w:type="dxa"/>
            <w:vAlign w:val="bottom"/>
            <w:tcBorders>
              <w:top w:val="single" w:sz="8" w:color="0563C1"/>
            </w:tcBorders>
            <w:gridSpan w:val="29"/>
            <w:shd w:val="clear" w:color="auto" w:fill="DAE8F0"/>
          </w:tcPr>
          <w:p>
            <w:pPr>
              <w:spacing w:after="0" w:line="182" w:lineRule="exact"/>
              <w:rPr>
                <w:rFonts w:ascii="Arial" w:cs="Arial" w:eastAsia="Arial" w:hAnsi="Arial"/>
                <w:sz w:val="18"/>
                <w:szCs w:val="18"/>
                <w:color w:val="0563C1"/>
              </w:rPr>
            </w:pPr>
            <w:hyperlink r:id="rId761">
              <w:r>
                <w:rPr>
                  <w:rFonts w:ascii="Arial" w:cs="Arial" w:eastAsia="Arial" w:hAnsi="Arial"/>
                  <w:sz w:val="18"/>
                  <w:szCs w:val="18"/>
                  <w:color w:val="0563C1"/>
                </w:rPr>
                <w:t xml:space="preserve">Bank, as trustee, governing the Senior Notes issued by the Company on May 22, 2017, in the form of the </w:t>
              </w:r>
              <w:r>
                <w:rPr>
                  <w:rFonts w:ascii="Arial" w:cs="Arial" w:eastAsia="Arial" w:hAnsi="Arial"/>
                  <w:sz w:val="18"/>
                  <w:szCs w:val="18"/>
                  <w:u w:val="single" w:color="auto"/>
                  <w:color w:val="0563C1"/>
                </w:rPr>
                <w:t>$</w:t>
              </w:r>
              <w:r>
                <w:rPr>
                  <w:rFonts w:ascii="Arial" w:cs="Arial" w:eastAsia="Arial" w:hAnsi="Arial"/>
                  <w:sz w:val="18"/>
                  <w:szCs w:val="18"/>
                  <w:color w:val="0563C1"/>
                </w:rPr>
                <w:t>300</w:t>
              </w:r>
            </w:hyperlink>
          </w:p>
        </w:tc>
        <w:tc>
          <w:tcPr>
            <w:tcW w:w="60" w:type="dxa"/>
            <w:vAlign w:val="bottom"/>
            <w:tcBorders>
              <w:top w:val="single" w:sz="8" w:color="DAE8F0"/>
            </w:tcBorders>
            <w:gridSpan w:val="3"/>
            <w:shd w:val="clear" w:color="auto" w:fill="DAE8F0"/>
          </w:tcPr>
          <w:p>
            <w:pPr>
              <w:spacing w:after="0"/>
              <w:rPr>
                <w:sz w:val="15"/>
                <w:szCs w:val="15"/>
                <w:color w:val="auto"/>
              </w:rPr>
            </w:pPr>
          </w:p>
        </w:tc>
        <w:tc>
          <w:tcPr>
            <w:tcW w:w="40"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8980" w:type="dxa"/>
            <w:vAlign w:val="bottom"/>
            <w:tcBorders>
              <w:top w:val="single" w:sz="8" w:color="0563C1"/>
            </w:tcBorders>
            <w:gridSpan w:val="19"/>
            <w:shd w:val="clear" w:color="auto" w:fill="DAE8F0"/>
          </w:tcPr>
          <w:p>
            <w:pPr>
              <w:spacing w:after="0" w:line="182" w:lineRule="exact"/>
              <w:rPr>
                <w:rFonts w:ascii="Arial" w:cs="Arial" w:eastAsia="Arial" w:hAnsi="Arial"/>
                <w:sz w:val="18"/>
                <w:szCs w:val="18"/>
                <w:color w:val="0563C1"/>
              </w:rPr>
            </w:pPr>
            <w:hyperlink r:id="rId761">
              <w:r>
                <w:rPr>
                  <w:rFonts w:ascii="Arial" w:cs="Arial" w:eastAsia="Arial" w:hAnsi="Arial"/>
                  <w:sz w:val="18"/>
                  <w:szCs w:val="18"/>
                  <w:color w:val="0563C1"/>
                </w:rPr>
                <w:t xml:space="preserve">million aggregate principal amount of Floating Rate Senior Notes due 2020 and </w:t>
              </w:r>
              <w:r>
                <w:rPr>
                  <w:rFonts w:ascii="Arial" w:cs="Arial" w:eastAsia="Arial" w:hAnsi="Arial"/>
                  <w:sz w:val="18"/>
                  <w:szCs w:val="18"/>
                  <w:u w:val="single" w:color="auto"/>
                  <w:color w:val="0563C1"/>
                </w:rPr>
                <w:t>$</w:t>
              </w:r>
              <w:r>
                <w:rPr>
                  <w:rFonts w:ascii="Arial" w:cs="Arial" w:eastAsia="Arial" w:hAnsi="Arial"/>
                  <w:sz w:val="18"/>
                  <w:szCs w:val="18"/>
                  <w:color w:val="0563C1"/>
                </w:rPr>
                <w:t>300 million aggregate principal</w:t>
              </w:r>
            </w:hyperlink>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100" w:type="dxa"/>
            <w:vAlign w:val="bottom"/>
            <w:tcBorders>
              <w:top w:val="single" w:sz="8" w:color="DAE8F0"/>
            </w:tcBorders>
            <w:gridSpan w:val="5"/>
            <w:shd w:val="clear" w:color="auto" w:fill="DAE8F0"/>
          </w:tcPr>
          <w:p>
            <w:pPr>
              <w:spacing w:after="0"/>
              <w:rPr>
                <w:sz w:val="15"/>
                <w:szCs w:val="15"/>
                <w:color w:val="auto"/>
              </w:rPr>
            </w:pPr>
          </w:p>
        </w:tc>
        <w:tc>
          <w:tcPr>
            <w:tcW w:w="80" w:type="dxa"/>
            <w:vAlign w:val="bottom"/>
            <w:tcBorders>
              <w:top w:val="single" w:sz="8" w:color="DAE8F0"/>
            </w:tcBorders>
            <w:gridSpan w:val="4"/>
            <w:shd w:val="clear" w:color="auto" w:fill="DAE8F0"/>
          </w:tcPr>
          <w:p>
            <w:pPr>
              <w:spacing w:after="0"/>
              <w:rPr>
                <w:sz w:val="15"/>
                <w:szCs w:val="15"/>
                <w:color w:val="auto"/>
              </w:rPr>
            </w:pPr>
          </w:p>
        </w:tc>
        <w:tc>
          <w:tcPr>
            <w:tcW w:w="40"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8980" w:type="dxa"/>
            <w:vAlign w:val="bottom"/>
            <w:tcBorders>
              <w:top w:val="single" w:sz="8" w:color="0563C1"/>
              <w:bottom w:val="single" w:sz="8" w:color="0563C1"/>
            </w:tcBorders>
            <w:gridSpan w:val="13"/>
            <w:shd w:val="clear" w:color="auto" w:fill="DAE8F0"/>
          </w:tcPr>
          <w:p>
            <w:pPr>
              <w:spacing w:after="0" w:line="182" w:lineRule="exact"/>
              <w:rPr>
                <w:rFonts w:ascii="Arial" w:cs="Arial" w:eastAsia="Arial" w:hAnsi="Arial"/>
                <w:sz w:val="18"/>
                <w:szCs w:val="18"/>
                <w:color w:val="0563C1"/>
              </w:rPr>
            </w:pPr>
            <w:hyperlink r:id="rId761">
              <w:r>
                <w:rPr>
                  <w:rFonts w:ascii="Arial" w:cs="Arial" w:eastAsia="Arial" w:hAnsi="Arial"/>
                  <w:sz w:val="18"/>
                  <w:szCs w:val="18"/>
                  <w:color w:val="0563C1"/>
                </w:rPr>
                <w:t>amount of 3.450% Senior Notes due 2027 (incorporated by reference to Exhibit 4.2 to the Martin Marietta</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294967197"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100" w:type="dxa"/>
            <w:vAlign w:val="bottom"/>
            <w:tcBorders>
              <w:top w:val="single" w:sz="8" w:color="DAE8F0"/>
              <w:bottom w:val="single" w:sz="8" w:color="0563C1"/>
            </w:tcBorders>
            <w:gridSpan w:val="5"/>
            <w:shd w:val="clear" w:color="auto" w:fill="DAE8F0"/>
          </w:tcPr>
          <w:p>
            <w:pPr>
              <w:spacing w:after="0"/>
              <w:rPr>
                <w:sz w:val="15"/>
                <w:szCs w:val="15"/>
                <w:color w:val="auto"/>
              </w:rPr>
            </w:pPr>
          </w:p>
        </w:tc>
        <w:tc>
          <w:tcPr>
            <w:tcW w:w="80" w:type="dxa"/>
            <w:vAlign w:val="bottom"/>
            <w:tcBorders>
              <w:top w:val="single" w:sz="8" w:color="DAE8F0"/>
              <w:bottom w:val="single" w:sz="8" w:color="0563C1"/>
            </w:tcBorders>
            <w:gridSpan w:val="4"/>
            <w:shd w:val="clear" w:color="auto" w:fill="DAE8F0"/>
          </w:tcPr>
          <w:p>
            <w:pPr>
              <w:spacing w:after="0"/>
              <w:rPr>
                <w:sz w:val="15"/>
                <w:szCs w:val="15"/>
                <w:color w:val="auto"/>
              </w:rPr>
            </w:pPr>
          </w:p>
        </w:tc>
        <w:tc>
          <w:tcPr>
            <w:tcW w:w="40" w:type="dxa"/>
            <w:vAlign w:val="bottom"/>
            <w:tcBorders>
              <w:top w:val="single" w:sz="8" w:color="DAE8F0"/>
              <w:bottom w:val="single" w:sz="8" w:color="0563C1"/>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right w:val="single" w:sz="8" w:color="91BBD3"/>
            </w:tcBorders>
            <w:shd w:val="clear" w:color="auto" w:fill="DAE8F0"/>
          </w:tcPr>
          <w:p>
            <w:pPr>
              <w:spacing w:after="0"/>
              <w:rPr>
                <w:sz w:val="19"/>
                <w:szCs w:val="19"/>
                <w:color w:val="auto"/>
              </w:rPr>
            </w:pPr>
          </w:p>
        </w:tc>
        <w:tc>
          <w:tcPr>
            <w:tcW w:w="100" w:type="dxa"/>
            <w:vAlign w:val="bottom"/>
            <w:shd w:val="clear" w:color="auto" w:fill="DAE8F0"/>
          </w:tcPr>
          <w:p>
            <w:pPr>
              <w:spacing w:after="0"/>
              <w:rPr>
                <w:sz w:val="19"/>
                <w:szCs w:val="19"/>
                <w:color w:val="auto"/>
              </w:rPr>
            </w:pPr>
          </w:p>
        </w:tc>
        <w:tc>
          <w:tcPr>
            <w:tcW w:w="9280" w:type="dxa"/>
            <w:vAlign w:val="bottom"/>
            <w:tcBorders>
              <w:right w:val="single" w:sz="8" w:color="91BBD3"/>
            </w:tcBorders>
            <w:gridSpan w:val="33"/>
            <w:shd w:val="clear" w:color="auto" w:fill="DAE8F0"/>
          </w:tcPr>
          <w:p>
            <w:pPr>
              <w:spacing w:after="0" w:line="182" w:lineRule="exact"/>
              <w:rPr>
                <w:rFonts w:ascii="Arial" w:cs="Arial" w:eastAsia="Arial" w:hAnsi="Arial"/>
                <w:sz w:val="18"/>
                <w:szCs w:val="18"/>
                <w:color w:val="0563C1"/>
              </w:rPr>
            </w:pPr>
            <w:hyperlink r:id="rId761">
              <w:r>
                <w:rPr>
                  <w:rFonts w:ascii="Arial" w:cs="Arial" w:eastAsia="Arial" w:hAnsi="Arial"/>
                  <w:sz w:val="18"/>
                  <w:szCs w:val="18"/>
                  <w:color w:val="0563C1"/>
                </w:rPr>
                <w:t>Materials, Inc. Current Report on Form 8-K, filed on May 22, 2017 (Commission File No. 1-12744))</w:t>
              </w:r>
            </w:hyperlink>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top w:val="single" w:sz="8" w:color="91BBD3"/>
              <w:right w:val="single" w:sz="8" w:color="91BBD3"/>
            </w:tcBorders>
          </w:tcPr>
          <w:p>
            <w:pPr>
              <w:ind w:left="100"/>
              <w:spacing w:after="0" w:line="156" w:lineRule="exact"/>
              <w:rPr>
                <w:sz w:val="20"/>
                <w:szCs w:val="20"/>
                <w:color w:val="auto"/>
              </w:rPr>
            </w:pPr>
            <w:r>
              <w:rPr>
                <w:rFonts w:ascii="Arial" w:cs="Arial" w:eastAsia="Arial" w:hAnsi="Arial"/>
                <w:sz w:val="18"/>
                <w:szCs w:val="18"/>
                <w:b w:val="1"/>
                <w:bCs w:val="1"/>
                <w:color w:val="auto"/>
              </w:rPr>
              <w:t>4.08</w:t>
            </w:r>
          </w:p>
        </w:tc>
        <w:tc>
          <w:tcPr>
            <w:tcW w:w="100" w:type="dxa"/>
            <w:vAlign w:val="bottom"/>
            <w:tcBorders>
              <w:top w:val="single" w:sz="8" w:color="91BBD3"/>
            </w:tcBorders>
          </w:tcPr>
          <w:p>
            <w:pPr>
              <w:spacing w:after="0"/>
              <w:rPr>
                <w:sz w:val="13"/>
                <w:szCs w:val="13"/>
                <w:color w:val="auto"/>
              </w:rPr>
            </w:pPr>
          </w:p>
        </w:tc>
        <w:tc>
          <w:tcPr>
            <w:tcW w:w="7820" w:type="dxa"/>
            <w:vAlign w:val="bottom"/>
            <w:tcBorders>
              <w:top w:val="single" w:sz="8" w:color="0563C1"/>
            </w:tcBorders>
            <w:gridSpan w:val="11"/>
          </w:tcPr>
          <w:p>
            <w:pPr>
              <w:spacing w:after="0" w:line="156" w:lineRule="exact"/>
              <w:rPr>
                <w:rFonts w:ascii="Arial" w:cs="Arial" w:eastAsia="Arial" w:hAnsi="Arial"/>
                <w:sz w:val="18"/>
                <w:szCs w:val="18"/>
                <w:color w:val="0563C1"/>
              </w:rPr>
            </w:pPr>
            <w:hyperlink r:id="rId761">
              <w:r>
                <w:rPr>
                  <w:rFonts w:ascii="Arial" w:cs="Arial" w:eastAsia="Arial" w:hAnsi="Arial"/>
                  <w:sz w:val="18"/>
                  <w:szCs w:val="18"/>
                  <w:color w:val="0563C1"/>
                </w:rPr>
                <w:t>Form of 3.450% Senior Notes due 2027 (included in Exhibit 4.11)</w:t>
              </w:r>
            </w:hyperlink>
          </w:p>
        </w:tc>
        <w:tc>
          <w:tcPr>
            <w:tcW w:w="1460" w:type="dxa"/>
            <w:vAlign w:val="bottom"/>
            <w:tcBorders>
              <w:top w:val="single" w:sz="8" w:color="91BBD3"/>
              <w:right w:val="single" w:sz="8" w:color="91BBD3"/>
            </w:tcBorders>
            <w:gridSpan w:val="2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ind w:left="100"/>
              <w:spacing w:after="0" w:line="169" w:lineRule="exact"/>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DAE8F0"/>
          </w:tcPr>
          <w:p>
            <w:pPr>
              <w:spacing w:after="0"/>
              <w:rPr>
                <w:sz w:val="14"/>
                <w:szCs w:val="14"/>
                <w:color w:val="auto"/>
              </w:rPr>
            </w:pPr>
          </w:p>
        </w:tc>
        <w:tc>
          <w:tcPr>
            <w:tcW w:w="9280" w:type="dxa"/>
            <w:vAlign w:val="bottom"/>
            <w:tcBorders>
              <w:right w:val="single" w:sz="8" w:color="91BBD3"/>
            </w:tcBorders>
            <w:gridSpan w:val="33"/>
            <w:shd w:val="clear" w:color="auto" w:fill="DAE8F0"/>
          </w:tcPr>
          <w:p>
            <w:pPr>
              <w:spacing w:after="0" w:line="169" w:lineRule="exact"/>
              <w:rPr>
                <w:rFonts w:ascii="Arial" w:cs="Arial" w:eastAsia="Arial" w:hAnsi="Arial"/>
                <w:sz w:val="18"/>
                <w:szCs w:val="18"/>
                <w:color w:val="0563C1"/>
              </w:rPr>
            </w:pPr>
            <w:hyperlink r:id="rId762">
              <w:r>
                <w:rPr>
                  <w:rFonts w:ascii="Arial" w:cs="Arial" w:eastAsia="Arial" w:hAnsi="Arial"/>
                  <w:sz w:val="18"/>
                  <w:szCs w:val="18"/>
                  <w:color w:val="0563C1"/>
                </w:rPr>
                <w:t>Second Supplemental Indenture, dated as of December 20, 2017, between Martin Marietta Materials, Inc. and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180" w:type="dxa"/>
            <w:vAlign w:val="bottom"/>
            <w:tcBorders>
              <w:top w:val="single" w:sz="8" w:color="0563C1"/>
            </w:tcBorders>
            <w:gridSpan w:val="29"/>
            <w:shd w:val="clear" w:color="auto" w:fill="DAE8F0"/>
          </w:tcPr>
          <w:p>
            <w:pPr>
              <w:spacing w:after="0" w:line="182" w:lineRule="exact"/>
              <w:rPr>
                <w:rFonts w:ascii="Arial" w:cs="Arial" w:eastAsia="Arial" w:hAnsi="Arial"/>
                <w:sz w:val="18"/>
                <w:szCs w:val="18"/>
                <w:color w:val="0563C1"/>
              </w:rPr>
            </w:pPr>
            <w:hyperlink r:id="rId762">
              <w:r>
                <w:rPr>
                  <w:rFonts w:ascii="Arial" w:cs="Arial" w:eastAsia="Arial" w:hAnsi="Arial"/>
                  <w:sz w:val="18"/>
                  <w:szCs w:val="18"/>
                  <w:color w:val="0563C1"/>
                </w:rPr>
                <w:t>Regions Bank, as trustee, governing the Senior Notes issued by the Company on December 20, 2017, in the</w:t>
              </w:r>
            </w:hyperlink>
          </w:p>
        </w:tc>
        <w:tc>
          <w:tcPr>
            <w:tcW w:w="60" w:type="dxa"/>
            <w:vAlign w:val="bottom"/>
            <w:tcBorders>
              <w:top w:val="single" w:sz="8" w:color="DAE8F0"/>
            </w:tcBorders>
            <w:gridSpan w:val="3"/>
            <w:shd w:val="clear" w:color="auto" w:fill="DAE8F0"/>
          </w:tcPr>
          <w:p>
            <w:pPr>
              <w:spacing w:after="0"/>
              <w:rPr>
                <w:sz w:val="15"/>
                <w:szCs w:val="15"/>
                <w:color w:val="auto"/>
              </w:rPr>
            </w:pPr>
          </w:p>
        </w:tc>
        <w:tc>
          <w:tcPr>
            <w:tcW w:w="40"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00" w:type="dxa"/>
            <w:vAlign w:val="bottom"/>
            <w:tcBorders>
              <w:top w:val="single" w:sz="8" w:color="0563C1"/>
              <w:bottom w:val="single" w:sz="8" w:color="0563C1"/>
            </w:tcBorders>
            <w:gridSpan w:val="20"/>
            <w:shd w:val="clear" w:color="auto" w:fill="DAE8F0"/>
          </w:tcPr>
          <w:p>
            <w:pPr>
              <w:spacing w:after="0" w:line="182" w:lineRule="exact"/>
              <w:rPr>
                <w:rFonts w:ascii="Arial" w:cs="Arial" w:eastAsia="Arial" w:hAnsi="Arial"/>
                <w:sz w:val="18"/>
                <w:szCs w:val="18"/>
                <w:color w:val="0563C1"/>
              </w:rPr>
            </w:pPr>
            <w:hyperlink r:id="rId762">
              <w:r>
                <w:rPr>
                  <w:rFonts w:ascii="Arial" w:cs="Arial" w:eastAsia="Arial" w:hAnsi="Arial"/>
                  <w:sz w:val="18"/>
                  <w:szCs w:val="18"/>
                  <w:color w:val="0563C1"/>
                </w:rPr>
                <w:t xml:space="preserve">form of the </w:t>
              </w:r>
              <w:r>
                <w:rPr>
                  <w:rFonts w:ascii="Arial" w:cs="Arial" w:eastAsia="Arial" w:hAnsi="Arial"/>
                  <w:sz w:val="18"/>
                  <w:szCs w:val="18"/>
                  <w:u w:val="single" w:color="auto"/>
                  <w:color w:val="0563C1"/>
                </w:rPr>
                <w:t>$</w:t>
              </w:r>
              <w:r>
                <w:rPr>
                  <w:rFonts w:ascii="Arial" w:cs="Arial" w:eastAsia="Arial" w:hAnsi="Arial"/>
                  <w:sz w:val="18"/>
                  <w:szCs w:val="18"/>
                  <w:color w:val="0563C1"/>
                </w:rPr>
                <w:t xml:space="preserve">300 million aggregate principal amount of Floating Rate Senior Notes due 2019, </w:t>
              </w:r>
              <w:r>
                <w:rPr>
                  <w:rFonts w:ascii="Arial" w:cs="Arial" w:eastAsia="Arial" w:hAnsi="Arial"/>
                  <w:sz w:val="18"/>
                  <w:szCs w:val="18"/>
                  <w:u w:val="single" w:color="auto"/>
                  <w:color w:val="0563C1"/>
                </w:rPr>
                <w:t>$</w:t>
              </w:r>
              <w:r>
                <w:rPr>
                  <w:rFonts w:ascii="Arial" w:cs="Arial" w:eastAsia="Arial" w:hAnsi="Arial"/>
                  <w:sz w:val="18"/>
                  <w:szCs w:val="18"/>
                  <w:color w:val="0563C1"/>
                </w:rPr>
                <w:t>500 million</w:t>
              </w:r>
            </w:hyperlink>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gridSpan w:val="5"/>
            <w:shd w:val="clear" w:color="auto" w:fill="DAE8F0"/>
          </w:tcPr>
          <w:p>
            <w:pPr>
              <w:spacing w:after="0"/>
              <w:rPr>
                <w:sz w:val="15"/>
                <w:szCs w:val="15"/>
                <w:color w:val="auto"/>
              </w:rPr>
            </w:pPr>
          </w:p>
        </w:tc>
        <w:tc>
          <w:tcPr>
            <w:tcW w:w="80" w:type="dxa"/>
            <w:vAlign w:val="bottom"/>
            <w:tcBorders>
              <w:top w:val="single" w:sz="8" w:color="DAE8F0"/>
              <w:bottom w:val="single" w:sz="8" w:color="DAE8F0"/>
            </w:tcBorders>
            <w:gridSpan w:val="4"/>
            <w:shd w:val="clear" w:color="auto" w:fill="DAE8F0"/>
          </w:tcPr>
          <w:p>
            <w:pPr>
              <w:spacing w:after="0"/>
              <w:rPr>
                <w:sz w:val="15"/>
                <w:szCs w:val="15"/>
                <w:color w:val="auto"/>
              </w:rPr>
            </w:pPr>
          </w:p>
        </w:tc>
        <w:tc>
          <w:tcPr>
            <w:tcW w:w="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000" w:type="dxa"/>
            <w:vAlign w:val="bottom"/>
            <w:gridSpan w:val="20"/>
            <w:shd w:val="clear" w:color="auto" w:fill="DAE8F0"/>
          </w:tcPr>
          <w:p>
            <w:pPr>
              <w:spacing w:after="0" w:line="182" w:lineRule="exact"/>
              <w:rPr>
                <w:rFonts w:ascii="Arial" w:cs="Arial" w:eastAsia="Arial" w:hAnsi="Arial"/>
                <w:sz w:val="18"/>
                <w:szCs w:val="18"/>
                <w:color w:val="0563C1"/>
              </w:rPr>
            </w:pPr>
            <w:hyperlink r:id="rId762">
              <w:r>
                <w:rPr>
                  <w:rFonts w:ascii="Arial" w:cs="Arial" w:eastAsia="Arial" w:hAnsi="Arial"/>
                  <w:sz w:val="18"/>
                  <w:szCs w:val="18"/>
                  <w:color w:val="0563C1"/>
                </w:rPr>
                <w:t xml:space="preserve">aggregate principal amount of 3.500% Senior Notes due 2027, and </w:t>
              </w:r>
              <w:r>
                <w:rPr>
                  <w:rFonts w:ascii="Arial" w:cs="Arial" w:eastAsia="Arial" w:hAnsi="Arial"/>
                  <w:sz w:val="18"/>
                  <w:szCs w:val="18"/>
                  <w:u w:val="single" w:color="auto"/>
                  <w:color w:val="0563C1"/>
                </w:rPr>
                <w:t>$</w:t>
              </w:r>
              <w:r>
                <w:rPr>
                  <w:rFonts w:ascii="Arial" w:cs="Arial" w:eastAsia="Arial" w:hAnsi="Arial"/>
                  <w:sz w:val="18"/>
                  <w:szCs w:val="18"/>
                  <w:color w:val="0563C1"/>
                </w:rPr>
                <w:t>600 million aggregate principal amount of</w:t>
              </w:r>
            </w:hyperlink>
          </w:p>
        </w:tc>
        <w:tc>
          <w:tcPr>
            <w:tcW w:w="20" w:type="dxa"/>
            <w:vAlign w:val="bottom"/>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100" w:type="dxa"/>
            <w:vAlign w:val="bottom"/>
            <w:gridSpan w:val="5"/>
            <w:shd w:val="clear" w:color="auto" w:fill="DAE8F0"/>
          </w:tcPr>
          <w:p>
            <w:pPr>
              <w:spacing w:after="0"/>
              <w:rPr>
                <w:sz w:val="15"/>
                <w:szCs w:val="15"/>
                <w:color w:val="auto"/>
              </w:rPr>
            </w:pPr>
          </w:p>
        </w:tc>
        <w:tc>
          <w:tcPr>
            <w:tcW w:w="80" w:type="dxa"/>
            <w:vAlign w:val="bottom"/>
            <w:gridSpan w:val="4"/>
            <w:shd w:val="clear" w:color="auto" w:fill="DAE8F0"/>
          </w:tcPr>
          <w:p>
            <w:pPr>
              <w:spacing w:after="0"/>
              <w:rPr>
                <w:sz w:val="15"/>
                <w:szCs w:val="15"/>
                <w:color w:val="auto"/>
              </w:rPr>
            </w:pPr>
          </w:p>
        </w:tc>
        <w:tc>
          <w:tcPr>
            <w:tcW w:w="40" w:type="dxa"/>
            <w:vAlign w:val="bottom"/>
            <w:tcBorders>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20" w:type="dxa"/>
            <w:vAlign w:val="bottom"/>
            <w:tcBorders>
              <w:top w:val="single" w:sz="8" w:color="0563C1"/>
              <w:bottom w:val="single" w:sz="8" w:color="0563C1"/>
            </w:tcBorders>
            <w:gridSpan w:val="15"/>
            <w:shd w:val="clear" w:color="auto" w:fill="DAE8F0"/>
          </w:tcPr>
          <w:p>
            <w:pPr>
              <w:spacing w:after="0" w:line="182" w:lineRule="exact"/>
              <w:rPr>
                <w:rFonts w:ascii="Arial" w:cs="Arial" w:eastAsia="Arial" w:hAnsi="Arial"/>
                <w:sz w:val="18"/>
                <w:szCs w:val="18"/>
                <w:color w:val="0563C1"/>
              </w:rPr>
            </w:pPr>
            <w:hyperlink r:id="rId762">
              <w:r>
                <w:rPr>
                  <w:rFonts w:ascii="Arial" w:cs="Arial" w:eastAsia="Arial" w:hAnsi="Arial"/>
                  <w:sz w:val="18"/>
                  <w:szCs w:val="18"/>
                  <w:color w:val="0563C1"/>
                </w:rPr>
                <w:t>4.250% Senior Notes due 2047 (incorporated by reference to Exhibit 4.2 to the Martin Marietta Materials, Inc.</w:t>
              </w:r>
            </w:hyperlink>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294967197"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gridSpan w:val="5"/>
            <w:shd w:val="clear" w:color="auto" w:fill="DAE8F0"/>
          </w:tcPr>
          <w:p>
            <w:pPr>
              <w:spacing w:after="0"/>
              <w:rPr>
                <w:sz w:val="15"/>
                <w:szCs w:val="15"/>
                <w:color w:val="auto"/>
              </w:rPr>
            </w:pPr>
          </w:p>
        </w:tc>
        <w:tc>
          <w:tcPr>
            <w:tcW w:w="80" w:type="dxa"/>
            <w:vAlign w:val="bottom"/>
            <w:tcBorders>
              <w:top w:val="single" w:sz="8" w:color="DAE8F0"/>
              <w:bottom w:val="single" w:sz="8" w:color="DAE8F0"/>
            </w:tcBorders>
            <w:gridSpan w:val="4"/>
            <w:shd w:val="clear" w:color="auto" w:fill="DAE8F0"/>
          </w:tcPr>
          <w:p>
            <w:pPr>
              <w:spacing w:after="0"/>
              <w:rPr>
                <w:sz w:val="15"/>
                <w:szCs w:val="15"/>
                <w:color w:val="auto"/>
              </w:rPr>
            </w:pPr>
          </w:p>
        </w:tc>
        <w:tc>
          <w:tcPr>
            <w:tcW w:w="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right w:val="single" w:sz="8" w:color="91BBD3"/>
            </w:tcBorders>
            <w:shd w:val="clear" w:color="auto" w:fill="DAE8F0"/>
          </w:tcPr>
          <w:p>
            <w:pPr>
              <w:spacing w:after="0"/>
              <w:rPr>
                <w:sz w:val="19"/>
                <w:szCs w:val="19"/>
                <w:color w:val="auto"/>
              </w:rPr>
            </w:pPr>
          </w:p>
        </w:tc>
        <w:tc>
          <w:tcPr>
            <w:tcW w:w="100" w:type="dxa"/>
            <w:vAlign w:val="bottom"/>
            <w:shd w:val="clear" w:color="auto" w:fill="DAE8F0"/>
          </w:tcPr>
          <w:p>
            <w:pPr>
              <w:spacing w:after="0"/>
              <w:rPr>
                <w:sz w:val="19"/>
                <w:szCs w:val="19"/>
                <w:color w:val="auto"/>
              </w:rPr>
            </w:pPr>
          </w:p>
        </w:tc>
        <w:tc>
          <w:tcPr>
            <w:tcW w:w="9040" w:type="dxa"/>
            <w:vAlign w:val="bottom"/>
            <w:gridSpan w:val="22"/>
            <w:shd w:val="clear" w:color="auto" w:fill="DAE8F0"/>
          </w:tcPr>
          <w:p>
            <w:pPr>
              <w:spacing w:after="0" w:line="182" w:lineRule="exact"/>
              <w:rPr>
                <w:rFonts w:ascii="Arial" w:cs="Arial" w:eastAsia="Arial" w:hAnsi="Arial"/>
                <w:sz w:val="18"/>
                <w:szCs w:val="18"/>
                <w:color w:val="0563C1"/>
              </w:rPr>
            </w:pPr>
            <w:hyperlink r:id="rId762">
              <w:r>
                <w:rPr>
                  <w:rFonts w:ascii="Arial" w:cs="Arial" w:eastAsia="Arial" w:hAnsi="Arial"/>
                  <w:sz w:val="18"/>
                  <w:szCs w:val="18"/>
                  <w:color w:val="0563C1"/>
                </w:rPr>
                <w:t>Current Report on Form 8-K, filed on December 20, 2017 (Commission File No. 1-12744))</w:t>
              </w:r>
            </w:hyperlink>
          </w:p>
        </w:tc>
        <w:tc>
          <w:tcPr>
            <w:tcW w:w="20" w:type="dxa"/>
            <w:vAlign w:val="bottom"/>
            <w:shd w:val="clear" w:color="auto" w:fill="DAE8F0"/>
          </w:tcPr>
          <w:p>
            <w:pPr>
              <w:spacing w:after="0"/>
              <w:rPr>
                <w:sz w:val="19"/>
                <w:szCs w:val="19"/>
                <w:color w:val="auto"/>
              </w:rPr>
            </w:pPr>
          </w:p>
        </w:tc>
        <w:tc>
          <w:tcPr>
            <w:tcW w:w="100" w:type="dxa"/>
            <w:vAlign w:val="bottom"/>
            <w:gridSpan w:val="5"/>
            <w:shd w:val="clear" w:color="auto" w:fill="DAE8F0"/>
          </w:tcPr>
          <w:p>
            <w:pPr>
              <w:spacing w:after="0"/>
              <w:rPr>
                <w:sz w:val="19"/>
                <w:szCs w:val="19"/>
                <w:color w:val="auto"/>
              </w:rPr>
            </w:pPr>
          </w:p>
        </w:tc>
        <w:tc>
          <w:tcPr>
            <w:tcW w:w="80" w:type="dxa"/>
            <w:vAlign w:val="bottom"/>
            <w:gridSpan w:val="4"/>
            <w:shd w:val="clear" w:color="auto" w:fill="DAE8F0"/>
          </w:tcPr>
          <w:p>
            <w:pPr>
              <w:spacing w:after="0"/>
              <w:rPr>
                <w:sz w:val="19"/>
                <w:szCs w:val="19"/>
                <w:color w:val="auto"/>
              </w:rPr>
            </w:pPr>
          </w:p>
        </w:tc>
        <w:tc>
          <w:tcPr>
            <w:tcW w:w="40" w:type="dxa"/>
            <w:vAlign w:val="bottom"/>
            <w:tcBorders>
              <w:right w:val="single" w:sz="8" w:color="91BBD3"/>
            </w:tcBorders>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top w:val="single" w:sz="8" w:color="91BBD3"/>
              <w:right w:val="single" w:sz="8" w:color="91BBD3"/>
            </w:tcBorders>
          </w:tcPr>
          <w:p>
            <w:pPr>
              <w:ind w:left="100"/>
              <w:spacing w:after="0" w:line="156" w:lineRule="exact"/>
              <w:rPr>
                <w:sz w:val="20"/>
                <w:szCs w:val="20"/>
                <w:color w:val="auto"/>
              </w:rPr>
            </w:pPr>
            <w:r>
              <w:rPr>
                <w:rFonts w:ascii="Arial" w:cs="Arial" w:eastAsia="Arial" w:hAnsi="Arial"/>
                <w:sz w:val="18"/>
                <w:szCs w:val="18"/>
                <w:b w:val="1"/>
                <w:bCs w:val="1"/>
                <w:color w:val="auto"/>
              </w:rPr>
              <w:t>4.10</w:t>
            </w:r>
          </w:p>
        </w:tc>
        <w:tc>
          <w:tcPr>
            <w:tcW w:w="100" w:type="dxa"/>
            <w:vAlign w:val="bottom"/>
            <w:tcBorders>
              <w:top w:val="single" w:sz="8" w:color="91BBD3"/>
            </w:tcBorders>
          </w:tcPr>
          <w:p>
            <w:pPr>
              <w:spacing w:after="0"/>
              <w:rPr>
                <w:sz w:val="13"/>
                <w:szCs w:val="13"/>
                <w:color w:val="auto"/>
              </w:rPr>
            </w:pPr>
          </w:p>
        </w:tc>
        <w:tc>
          <w:tcPr>
            <w:tcW w:w="7140" w:type="dxa"/>
            <w:vAlign w:val="bottom"/>
            <w:tcBorders>
              <w:top w:val="single" w:sz="8" w:color="0563C1"/>
            </w:tcBorders>
            <w:gridSpan w:val="10"/>
          </w:tcPr>
          <w:p>
            <w:pPr>
              <w:spacing w:after="0" w:line="156" w:lineRule="exact"/>
              <w:rPr>
                <w:rFonts w:ascii="Arial" w:cs="Arial" w:eastAsia="Arial" w:hAnsi="Arial"/>
                <w:sz w:val="18"/>
                <w:szCs w:val="18"/>
                <w:color w:val="0563C1"/>
              </w:rPr>
            </w:pPr>
            <w:hyperlink r:id="rId762">
              <w:r>
                <w:rPr>
                  <w:rFonts w:ascii="Arial" w:cs="Arial" w:eastAsia="Arial" w:hAnsi="Arial"/>
                  <w:sz w:val="18"/>
                  <w:szCs w:val="18"/>
                  <w:color w:val="0563C1"/>
                </w:rPr>
                <w:t>Form of 3.500% Senior Notes due 2027 (included in Exhibit 4.13)</w:t>
              </w:r>
            </w:hyperlink>
          </w:p>
        </w:tc>
        <w:tc>
          <w:tcPr>
            <w:tcW w:w="2140" w:type="dxa"/>
            <w:vAlign w:val="bottom"/>
            <w:tcBorders>
              <w:top w:val="single" w:sz="8" w:color="91BBD3"/>
              <w:right w:val="single" w:sz="8" w:color="91BBD3"/>
            </w:tcBorders>
            <w:gridSpan w:val="2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91BBD3"/>
            </w:tcBorders>
          </w:tcPr>
          <w:p>
            <w:pPr>
              <w:spacing w:after="0"/>
              <w:rPr>
                <w:sz w:val="16"/>
                <w:szCs w:val="16"/>
                <w:color w:val="auto"/>
              </w:rPr>
            </w:pPr>
          </w:p>
        </w:tc>
        <w:tc>
          <w:tcPr>
            <w:tcW w:w="1660" w:type="dxa"/>
            <w:vAlign w:val="bottom"/>
            <w:tcBorders>
              <w:right w:val="single" w:sz="8" w:color="91BBD3"/>
            </w:tcBorders>
            <w:shd w:val="clear" w:color="auto" w:fill="DAE8F0"/>
          </w:tcPr>
          <w:p>
            <w:pPr>
              <w:ind w:left="100"/>
              <w:spacing w:after="0" w:line="169" w:lineRule="exact"/>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DAE8F0"/>
          </w:tcPr>
          <w:p>
            <w:pPr>
              <w:spacing w:after="0"/>
              <w:rPr>
                <w:sz w:val="16"/>
                <w:szCs w:val="16"/>
                <w:color w:val="auto"/>
              </w:rPr>
            </w:pPr>
          </w:p>
        </w:tc>
        <w:tc>
          <w:tcPr>
            <w:tcW w:w="9280" w:type="dxa"/>
            <w:vAlign w:val="bottom"/>
            <w:tcBorders>
              <w:right w:val="single" w:sz="8" w:color="91BBD3"/>
            </w:tcBorders>
            <w:gridSpan w:val="33"/>
            <w:shd w:val="clear" w:color="auto" w:fill="DAE8F0"/>
          </w:tcPr>
          <w:p>
            <w:pPr>
              <w:spacing w:after="0" w:line="169" w:lineRule="exact"/>
              <w:rPr>
                <w:rFonts w:ascii="Arial" w:cs="Arial" w:eastAsia="Arial" w:hAnsi="Arial"/>
                <w:sz w:val="18"/>
                <w:szCs w:val="18"/>
                <w:color w:val="0563C1"/>
              </w:rPr>
            </w:pPr>
            <w:hyperlink r:id="rId762">
              <w:r>
                <w:rPr>
                  <w:rFonts w:ascii="Arial" w:cs="Arial" w:eastAsia="Arial" w:hAnsi="Arial"/>
                  <w:sz w:val="18"/>
                  <w:szCs w:val="18"/>
                  <w:color w:val="0563C1"/>
                </w:rPr>
                <w:t>Form of 4.250% Senior Notes due 2047 (included in Exhibit 4.13)</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1700" w:type="dxa"/>
            <w:vAlign w:val="bottom"/>
            <w:tcBorders>
              <w:top w:val="single" w:sz="8" w:color="0563C1"/>
            </w:tcBorders>
            <w:shd w:val="clear" w:color="auto" w:fill="91BBD3"/>
          </w:tcPr>
          <w:p>
            <w:pPr>
              <w:spacing w:after="0" w:line="20" w:lineRule="exact"/>
              <w:rPr>
                <w:sz w:val="1"/>
                <w:szCs w:val="1"/>
                <w:color w:val="auto"/>
              </w:rPr>
            </w:pPr>
          </w:p>
        </w:tc>
        <w:tc>
          <w:tcPr>
            <w:tcW w:w="10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84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Arial" w:cs="Arial" w:eastAsia="Arial" w:hAnsi="Arial"/>
                <w:sz w:val="18"/>
                <w:szCs w:val="18"/>
                <w:b w:val="1"/>
                <w:bCs w:val="1"/>
                <w:color w:val="auto"/>
              </w:rPr>
              <w:t>4.12</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rFonts w:ascii="Arial" w:cs="Arial" w:eastAsia="Arial" w:hAnsi="Arial"/>
                <w:sz w:val="18"/>
                <w:szCs w:val="18"/>
                <w:color w:val="0563C1"/>
              </w:rPr>
            </w:pPr>
            <w:hyperlink r:id="rId763">
              <w:r>
                <w:rPr>
                  <w:rFonts w:ascii="Arial" w:cs="Arial" w:eastAsia="Arial" w:hAnsi="Arial"/>
                  <w:sz w:val="18"/>
                  <w:szCs w:val="18"/>
                  <w:color w:val="0563C1"/>
                </w:rPr>
                <w:t>Third Supplemental Indenture, dated as of March 16, 2020, between Martin Marietta Materials, Inc. and Regions</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tcBorders>
              <w:top w:val="single" w:sz="8" w:color="0563C1"/>
              <w:bottom w:val="single" w:sz="8" w:color="0563C1"/>
            </w:tcBorders>
            <w:gridSpan w:val="18"/>
          </w:tcPr>
          <w:p>
            <w:pPr>
              <w:spacing w:after="0" w:line="182" w:lineRule="exact"/>
              <w:rPr>
                <w:rFonts w:ascii="Arial" w:cs="Arial" w:eastAsia="Arial" w:hAnsi="Arial"/>
                <w:sz w:val="18"/>
                <w:szCs w:val="18"/>
                <w:color w:val="0563C1"/>
              </w:rPr>
            </w:pPr>
            <w:hyperlink r:id="rId763">
              <w:r>
                <w:rPr>
                  <w:rFonts w:ascii="Arial" w:cs="Arial" w:eastAsia="Arial" w:hAnsi="Arial"/>
                  <w:sz w:val="18"/>
                  <w:szCs w:val="18"/>
                  <w:color w:val="0563C1"/>
                </w:rPr>
                <w:t xml:space="preserve">Bank, as trustee, governing the Senior Notes issued by the Company on March 16, 2020, in the form of </w:t>
              </w:r>
              <w:r>
                <w:rPr>
                  <w:rFonts w:ascii="Arial" w:cs="Arial" w:eastAsia="Arial" w:hAnsi="Arial"/>
                  <w:sz w:val="18"/>
                  <w:szCs w:val="18"/>
                  <w:u w:val="single" w:color="auto"/>
                  <w:color w:val="0563C1"/>
                </w:rPr>
                <w:t>$</w:t>
              </w:r>
              <w:r>
                <w:rPr>
                  <w:rFonts w:ascii="Arial" w:cs="Arial" w:eastAsia="Arial" w:hAnsi="Arial"/>
                  <w:sz w:val="18"/>
                  <w:szCs w:val="18"/>
                  <w:color w:val="0563C1"/>
                </w:rPr>
                <w:t>500</w:t>
              </w:r>
            </w:hyperlink>
          </w:p>
        </w:tc>
        <w:tc>
          <w:tcPr>
            <w:tcW w:w="4294967197"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100" w:type="dxa"/>
            <w:vAlign w:val="bottom"/>
            <w:tcBorders>
              <w:bottom w:val="single" w:sz="8" w:color="0563C1"/>
            </w:tcBorders>
            <w:gridSpan w:val="5"/>
          </w:tcPr>
          <w:p>
            <w:pPr>
              <w:spacing w:after="0"/>
              <w:rPr>
                <w:sz w:val="15"/>
                <w:szCs w:val="15"/>
                <w:color w:val="auto"/>
              </w:rPr>
            </w:pPr>
          </w:p>
        </w:tc>
        <w:tc>
          <w:tcPr>
            <w:tcW w:w="80" w:type="dxa"/>
            <w:vAlign w:val="bottom"/>
            <w:tcBorders>
              <w:bottom w:val="single" w:sz="8" w:color="0563C1"/>
            </w:tcBorders>
            <w:gridSpan w:val="4"/>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40" w:type="dxa"/>
            <w:vAlign w:val="bottom"/>
            <w:gridSpan w:val="32"/>
          </w:tcPr>
          <w:p>
            <w:pPr>
              <w:spacing w:after="0" w:line="182" w:lineRule="exact"/>
              <w:rPr>
                <w:rFonts w:ascii="Arial" w:cs="Arial" w:eastAsia="Arial" w:hAnsi="Arial"/>
                <w:sz w:val="18"/>
                <w:szCs w:val="18"/>
                <w:color w:val="0563C1"/>
              </w:rPr>
            </w:pPr>
            <w:hyperlink r:id="rId763">
              <w:r>
                <w:rPr>
                  <w:rFonts w:ascii="Arial" w:cs="Arial" w:eastAsia="Arial" w:hAnsi="Arial"/>
                  <w:sz w:val="18"/>
                  <w:szCs w:val="18"/>
                  <w:color w:val="0563C1"/>
                </w:rPr>
                <w:t>million aggregate principal amount of 2.500% Senior Notes due 2030 (incorporated by reference to Exhibit 4.2 to</w:t>
              </w:r>
            </w:hyperlink>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tcBorders>
              <w:top w:val="single" w:sz="8" w:color="0563C1"/>
            </w:tcBorders>
            <w:gridSpan w:val="24"/>
          </w:tcPr>
          <w:p>
            <w:pPr>
              <w:spacing w:after="0" w:line="182" w:lineRule="exact"/>
              <w:rPr>
                <w:rFonts w:ascii="Arial" w:cs="Arial" w:eastAsia="Arial" w:hAnsi="Arial"/>
                <w:sz w:val="18"/>
                <w:szCs w:val="18"/>
                <w:color w:val="0563C1"/>
              </w:rPr>
            </w:pPr>
            <w:hyperlink r:id="rId763">
              <w:r>
                <w:rPr>
                  <w:rFonts w:ascii="Arial" w:cs="Arial" w:eastAsia="Arial" w:hAnsi="Arial"/>
                  <w:sz w:val="18"/>
                  <w:szCs w:val="18"/>
                  <w:color w:val="0563C1"/>
                </w:rPr>
                <w:t>the Martin Marietta Materials, Inc. Current Report on Form 8-K, filed on March 16, 2020 (Commission File No. 1-</w:t>
              </w:r>
            </w:hyperlink>
          </w:p>
        </w:tc>
        <w:tc>
          <w:tcPr>
            <w:tcW w:w="80" w:type="dxa"/>
            <w:vAlign w:val="bottom"/>
            <w:gridSpan w:val="4"/>
          </w:tcPr>
          <w:p>
            <w:pPr>
              <w:spacing w:after="0"/>
              <w:rPr>
                <w:sz w:val="15"/>
                <w:szCs w:val="15"/>
                <w:color w:val="auto"/>
              </w:rPr>
            </w:pPr>
          </w:p>
        </w:tc>
        <w:tc>
          <w:tcPr>
            <w:tcW w:w="120" w:type="dxa"/>
            <w:vAlign w:val="bottom"/>
            <w:tcBorders>
              <w:right w:val="single" w:sz="8" w:color="91BBD3"/>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0563C1"/>
            </w:tcBorders>
            <w:gridSpan w:val="2"/>
          </w:tcPr>
          <w:p>
            <w:pPr>
              <w:spacing w:after="0" w:line="182" w:lineRule="exact"/>
              <w:rPr>
                <w:rFonts w:ascii="Arial" w:cs="Arial" w:eastAsia="Arial" w:hAnsi="Arial"/>
                <w:sz w:val="18"/>
                <w:szCs w:val="18"/>
                <w:color w:val="0563C1"/>
              </w:rPr>
            </w:pPr>
            <w:hyperlink r:id="rId763">
              <w:r>
                <w:rPr>
                  <w:rFonts w:ascii="Arial" w:cs="Arial" w:eastAsia="Arial" w:hAnsi="Arial"/>
                  <w:sz w:val="18"/>
                  <w:szCs w:val="18"/>
                  <w:color w:val="0563C1"/>
                </w:rPr>
                <w:t>12744))</w:t>
              </w:r>
            </w:hyperlink>
          </w:p>
        </w:tc>
        <w:tc>
          <w:tcPr>
            <w:tcW w:w="1700" w:type="dxa"/>
            <w:vAlign w:val="bottom"/>
            <w:tcBorders>
              <w:top w:val="single" w:sz="8" w:color="0563C1"/>
            </w:tcBorders>
          </w:tcPr>
          <w:p>
            <w:pPr>
              <w:spacing w:after="0"/>
              <w:rPr>
                <w:sz w:val="15"/>
                <w:szCs w:val="15"/>
                <w:color w:val="auto"/>
              </w:rPr>
            </w:pPr>
          </w:p>
        </w:tc>
        <w:tc>
          <w:tcPr>
            <w:tcW w:w="1080" w:type="dxa"/>
            <w:vAlign w:val="bottom"/>
            <w:tcBorders>
              <w:top w:val="single" w:sz="8" w:color="0563C1"/>
            </w:tcBorders>
          </w:tcPr>
          <w:p>
            <w:pPr>
              <w:spacing w:after="0"/>
              <w:rPr>
                <w:sz w:val="15"/>
                <w:szCs w:val="15"/>
                <w:color w:val="auto"/>
              </w:rPr>
            </w:pPr>
          </w:p>
        </w:tc>
        <w:tc>
          <w:tcPr>
            <w:tcW w:w="360" w:type="dxa"/>
            <w:vAlign w:val="bottom"/>
            <w:tcBorders>
              <w:top w:val="single" w:sz="8" w:color="0563C1"/>
            </w:tcBorders>
          </w:tcPr>
          <w:p>
            <w:pPr>
              <w:spacing w:after="0"/>
              <w:rPr>
                <w:sz w:val="15"/>
                <w:szCs w:val="15"/>
                <w:color w:val="auto"/>
              </w:rPr>
            </w:pPr>
          </w:p>
        </w:tc>
        <w:tc>
          <w:tcPr>
            <w:tcW w:w="40" w:type="dxa"/>
            <w:vAlign w:val="bottom"/>
            <w:tcBorders>
              <w:top w:val="single" w:sz="8" w:color="0563C1"/>
            </w:tcBorders>
          </w:tcPr>
          <w:p>
            <w:pPr>
              <w:spacing w:after="0"/>
              <w:rPr>
                <w:sz w:val="15"/>
                <w:szCs w:val="15"/>
                <w:color w:val="auto"/>
              </w:rPr>
            </w:pPr>
          </w:p>
        </w:tc>
        <w:tc>
          <w:tcPr>
            <w:tcW w:w="960" w:type="dxa"/>
            <w:vAlign w:val="bottom"/>
            <w:tcBorders>
              <w:top w:val="single" w:sz="8" w:color="0563C1"/>
            </w:tcBorders>
          </w:tcPr>
          <w:p>
            <w:pPr>
              <w:spacing w:after="0"/>
              <w:rPr>
                <w:sz w:val="15"/>
                <w:szCs w:val="15"/>
                <w:color w:val="auto"/>
              </w:rPr>
            </w:pPr>
          </w:p>
        </w:tc>
        <w:tc>
          <w:tcPr>
            <w:tcW w:w="260" w:type="dxa"/>
            <w:vAlign w:val="bottom"/>
            <w:tcBorders>
              <w:top w:val="single" w:sz="8" w:color="0563C1"/>
            </w:tcBorders>
          </w:tcPr>
          <w:p>
            <w:pPr>
              <w:spacing w:after="0"/>
              <w:rPr>
                <w:sz w:val="15"/>
                <w:szCs w:val="15"/>
                <w:color w:val="auto"/>
              </w:rPr>
            </w:pPr>
          </w:p>
        </w:tc>
        <w:tc>
          <w:tcPr>
            <w:tcW w:w="120" w:type="dxa"/>
            <w:vAlign w:val="bottom"/>
            <w:tcBorders>
              <w:top w:val="single" w:sz="8" w:color="0563C1"/>
            </w:tcBorders>
          </w:tcPr>
          <w:p>
            <w:pPr>
              <w:spacing w:after="0"/>
              <w:rPr>
                <w:sz w:val="15"/>
                <w:szCs w:val="15"/>
                <w:color w:val="auto"/>
              </w:rPr>
            </w:pPr>
          </w:p>
        </w:tc>
        <w:tc>
          <w:tcPr>
            <w:tcW w:w="1840" w:type="dxa"/>
            <w:vAlign w:val="bottom"/>
            <w:tcBorders>
              <w:top w:val="single" w:sz="8" w:color="0563C1"/>
            </w:tcBorders>
          </w:tcPr>
          <w:p>
            <w:pPr>
              <w:spacing w:after="0"/>
              <w:rPr>
                <w:sz w:val="15"/>
                <w:szCs w:val="15"/>
                <w:color w:val="auto"/>
              </w:rPr>
            </w:pPr>
          </w:p>
        </w:tc>
        <w:tc>
          <w:tcPr>
            <w:tcW w:w="68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114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1700" w:type="dxa"/>
            <w:vAlign w:val="bottom"/>
            <w:tcBorders>
              <w:bottom w:val="single" w:sz="8" w:color="91BBD3"/>
            </w:tcBorders>
          </w:tcPr>
          <w:p>
            <w:pPr>
              <w:spacing w:after="0" w:line="20" w:lineRule="exact"/>
              <w:rPr>
                <w:sz w:val="1"/>
                <w:szCs w:val="1"/>
                <w:color w:val="auto"/>
              </w:rPr>
            </w:pPr>
          </w:p>
        </w:tc>
        <w:tc>
          <w:tcPr>
            <w:tcW w:w="10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91BBD3"/>
              <w:right w:val="single" w:sz="8" w:color="91BBD3"/>
            </w:tcBorders>
            <w:shd w:val="clear" w:color="auto" w:fill="DAE8F0"/>
          </w:tcPr>
          <w:p>
            <w:pPr>
              <w:ind w:left="100"/>
              <w:spacing w:after="0" w:line="156" w:lineRule="exact"/>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91BBD3"/>
            </w:tcBorders>
            <w:shd w:val="clear" w:color="auto" w:fill="DAE8F0"/>
          </w:tcPr>
          <w:p>
            <w:pPr>
              <w:spacing w:after="0"/>
              <w:rPr>
                <w:sz w:val="17"/>
                <w:szCs w:val="17"/>
                <w:color w:val="auto"/>
              </w:rPr>
            </w:pPr>
          </w:p>
        </w:tc>
        <w:tc>
          <w:tcPr>
            <w:tcW w:w="5300" w:type="dxa"/>
            <w:vAlign w:val="bottom"/>
            <w:tcBorders>
              <w:bottom w:val="single" w:sz="8" w:color="0563C1"/>
            </w:tcBorders>
            <w:gridSpan w:val="9"/>
            <w:shd w:val="clear" w:color="auto" w:fill="DAE8F0"/>
          </w:tcPr>
          <w:p>
            <w:pPr>
              <w:spacing w:after="0" w:line="156" w:lineRule="exact"/>
              <w:rPr>
                <w:rFonts w:ascii="Arial" w:cs="Arial" w:eastAsia="Arial" w:hAnsi="Arial"/>
                <w:sz w:val="18"/>
                <w:szCs w:val="18"/>
                <w:color w:val="0563C1"/>
                <w:w w:val="99"/>
              </w:rPr>
            </w:pPr>
            <w:hyperlink r:id="rId763">
              <w:r>
                <w:rPr>
                  <w:rFonts w:ascii="Arial" w:cs="Arial" w:eastAsia="Arial" w:hAnsi="Arial"/>
                  <w:sz w:val="18"/>
                  <w:szCs w:val="18"/>
                  <w:color w:val="0563C1"/>
                  <w:w w:val="99"/>
                </w:rPr>
                <w:t>Form of 2.500% Senior Notes due 2030 (contained in Exhibit 4.16)</w:t>
              </w:r>
            </w:hyperlink>
          </w:p>
        </w:tc>
        <w:tc>
          <w:tcPr>
            <w:tcW w:w="3980" w:type="dxa"/>
            <w:vAlign w:val="bottom"/>
            <w:tcBorders>
              <w:bottom w:val="single" w:sz="8" w:color="91BBD3"/>
              <w:right w:val="single" w:sz="8" w:color="91BBD3"/>
            </w:tcBorders>
            <w:gridSpan w:val="24"/>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rFonts w:ascii="Arial" w:cs="Arial" w:eastAsia="Arial" w:hAnsi="Arial"/>
                <w:sz w:val="18"/>
                <w:szCs w:val="18"/>
                <w:color w:val="0563C1"/>
              </w:rPr>
            </w:pPr>
            <w:hyperlink r:id="rId764">
              <w:r>
                <w:rPr>
                  <w:rFonts w:ascii="Arial" w:cs="Arial" w:eastAsia="Arial" w:hAnsi="Arial"/>
                  <w:sz w:val="18"/>
                  <w:szCs w:val="18"/>
                  <w:color w:val="0563C1"/>
                </w:rPr>
                <w:t>Fourth Supplemental Indenture, dated as of July 2, 2021, between Martin Marietta Materials, Inc. and Regions</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20" w:type="dxa"/>
            <w:vAlign w:val="bottom"/>
            <w:tcBorders>
              <w:top w:val="single" w:sz="8" w:color="0563C1"/>
              <w:bottom w:val="single" w:sz="8" w:color="0563C1"/>
            </w:tcBorders>
            <w:gridSpan w:val="21"/>
          </w:tcPr>
          <w:p>
            <w:pPr>
              <w:spacing w:after="0" w:line="182" w:lineRule="exact"/>
              <w:rPr>
                <w:rFonts w:ascii="Arial" w:cs="Arial" w:eastAsia="Arial" w:hAnsi="Arial"/>
                <w:sz w:val="18"/>
                <w:szCs w:val="18"/>
                <w:color w:val="0563C1"/>
              </w:rPr>
            </w:pPr>
            <w:hyperlink r:id="rId764">
              <w:r>
                <w:rPr>
                  <w:rFonts w:ascii="Arial" w:cs="Arial" w:eastAsia="Arial" w:hAnsi="Arial"/>
                  <w:sz w:val="18"/>
                  <w:szCs w:val="18"/>
                  <w:color w:val="0563C1"/>
                </w:rPr>
                <w:t>Bank, as trustee (incorporated by reference to Exhibit 4.2 of the Company’s Current Report on Form 8-K, filed on</w:t>
              </w:r>
            </w:hyperlink>
          </w:p>
        </w:tc>
        <w:tc>
          <w:tcPr>
            <w:tcW w:w="40" w:type="dxa"/>
            <w:vAlign w:val="bottom"/>
            <w:tcBorders>
              <w:bottom w:val="single" w:sz="8" w:color="0563C1"/>
            </w:tcBorders>
            <w:gridSpan w:val="2"/>
          </w:tcPr>
          <w:p>
            <w:pPr>
              <w:spacing w:after="0"/>
              <w:rPr>
                <w:sz w:val="15"/>
                <w:szCs w:val="15"/>
                <w:color w:val="auto"/>
              </w:rPr>
            </w:pPr>
          </w:p>
        </w:tc>
        <w:tc>
          <w:tcPr>
            <w:tcW w:w="100" w:type="dxa"/>
            <w:vAlign w:val="bottom"/>
            <w:tcBorders>
              <w:bottom w:val="single" w:sz="8" w:color="0563C1"/>
            </w:tcBorders>
            <w:gridSpan w:val="5"/>
          </w:tcPr>
          <w:p>
            <w:pPr>
              <w:spacing w:after="0"/>
              <w:rPr>
                <w:sz w:val="15"/>
                <w:szCs w:val="15"/>
                <w:color w:val="auto"/>
              </w:rPr>
            </w:pPr>
          </w:p>
        </w:tc>
        <w:tc>
          <w:tcPr>
            <w:tcW w:w="120" w:type="dxa"/>
            <w:vAlign w:val="bottom"/>
            <w:tcBorders>
              <w:right w:val="single" w:sz="8" w:color="91BBD3"/>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60" w:type="dxa"/>
            <w:vAlign w:val="bottom"/>
            <w:gridSpan w:val="28"/>
          </w:tcPr>
          <w:p>
            <w:pPr>
              <w:spacing w:after="0" w:line="182" w:lineRule="exact"/>
              <w:rPr>
                <w:rFonts w:ascii="Arial" w:cs="Arial" w:eastAsia="Arial" w:hAnsi="Arial"/>
                <w:sz w:val="18"/>
                <w:szCs w:val="18"/>
                <w:color w:val="0563C1"/>
              </w:rPr>
            </w:pPr>
            <w:hyperlink r:id="rId764">
              <w:r>
                <w:rPr>
                  <w:rFonts w:ascii="Arial" w:cs="Arial" w:eastAsia="Arial" w:hAnsi="Arial"/>
                  <w:sz w:val="18"/>
                  <w:szCs w:val="18"/>
                  <w:color w:val="0563C1"/>
                </w:rPr>
                <w:t>July 2, 2021) (Commission File No. 1-12744)</w:t>
              </w:r>
            </w:hyperlink>
          </w:p>
        </w:tc>
        <w:tc>
          <w:tcPr>
            <w:tcW w:w="120" w:type="dxa"/>
            <w:vAlign w:val="bottom"/>
            <w:tcBorders>
              <w:right w:val="single" w:sz="8" w:color="91BBD3"/>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91BBD3"/>
              <w:right w:val="single" w:sz="8" w:color="91BBD3"/>
            </w:tcBorders>
            <w:shd w:val="clear" w:color="auto" w:fill="DAE8F0"/>
          </w:tcPr>
          <w:p>
            <w:pPr>
              <w:ind w:left="100"/>
              <w:spacing w:after="0" w:line="156" w:lineRule="exact"/>
              <w:rPr>
                <w:sz w:val="20"/>
                <w:szCs w:val="20"/>
                <w:color w:val="auto"/>
              </w:rPr>
            </w:pPr>
            <w:r>
              <w:rPr>
                <w:rFonts w:ascii="Arial" w:cs="Arial" w:eastAsia="Arial" w:hAnsi="Arial"/>
                <w:sz w:val="18"/>
                <w:szCs w:val="18"/>
                <w:b w:val="1"/>
                <w:bCs w:val="1"/>
                <w:color w:val="auto"/>
              </w:rPr>
              <w:t>4.15</w:t>
            </w:r>
          </w:p>
        </w:tc>
        <w:tc>
          <w:tcPr>
            <w:tcW w:w="100" w:type="dxa"/>
            <w:vAlign w:val="bottom"/>
            <w:tcBorders>
              <w:bottom w:val="single" w:sz="8" w:color="91BBD3"/>
            </w:tcBorders>
            <w:shd w:val="clear" w:color="auto" w:fill="DAE8F0"/>
          </w:tcPr>
          <w:p>
            <w:pPr>
              <w:spacing w:after="0"/>
              <w:rPr>
                <w:sz w:val="17"/>
                <w:szCs w:val="17"/>
                <w:color w:val="auto"/>
              </w:rPr>
            </w:pPr>
          </w:p>
        </w:tc>
        <w:tc>
          <w:tcPr>
            <w:tcW w:w="5300" w:type="dxa"/>
            <w:vAlign w:val="bottom"/>
            <w:tcBorders>
              <w:bottom w:val="single" w:sz="8" w:color="0563C1"/>
            </w:tcBorders>
            <w:gridSpan w:val="9"/>
            <w:shd w:val="clear" w:color="auto" w:fill="DAE8F0"/>
          </w:tcPr>
          <w:p>
            <w:pPr>
              <w:spacing w:after="0" w:line="156" w:lineRule="exact"/>
              <w:rPr>
                <w:rFonts w:ascii="Arial" w:cs="Arial" w:eastAsia="Arial" w:hAnsi="Arial"/>
                <w:sz w:val="18"/>
                <w:szCs w:val="18"/>
                <w:color w:val="0563C1"/>
                <w:w w:val="99"/>
              </w:rPr>
            </w:pPr>
            <w:hyperlink r:id="rId764">
              <w:r>
                <w:rPr>
                  <w:rFonts w:ascii="Arial" w:cs="Arial" w:eastAsia="Arial" w:hAnsi="Arial"/>
                  <w:sz w:val="18"/>
                  <w:szCs w:val="18"/>
                  <w:color w:val="0563C1"/>
                  <w:w w:val="99"/>
                </w:rPr>
                <w:t>Form of 2.400% Senior Notes due 2031 (contained in Exhibit 4.18)</w:t>
              </w:r>
            </w:hyperlink>
          </w:p>
        </w:tc>
        <w:tc>
          <w:tcPr>
            <w:tcW w:w="3980" w:type="dxa"/>
            <w:vAlign w:val="bottom"/>
            <w:tcBorders>
              <w:bottom w:val="single" w:sz="8" w:color="91BBD3"/>
              <w:right w:val="single" w:sz="8" w:color="91BBD3"/>
            </w:tcBorders>
            <w:gridSpan w:val="24"/>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Arial" w:cs="Arial" w:eastAsia="Arial" w:hAnsi="Arial"/>
                <w:sz w:val="18"/>
                <w:szCs w:val="18"/>
                <w:b w:val="1"/>
                <w:bCs w:val="1"/>
                <w:color w:val="auto"/>
              </w:rPr>
              <w:t>4.16</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rFonts w:ascii="Arial" w:cs="Arial" w:eastAsia="Arial" w:hAnsi="Arial"/>
                <w:sz w:val="18"/>
                <w:szCs w:val="18"/>
                <w:color w:val="0563C1"/>
              </w:rPr>
            </w:pPr>
            <w:hyperlink r:id="rId764">
              <w:r>
                <w:rPr>
                  <w:rFonts w:ascii="Arial" w:cs="Arial" w:eastAsia="Arial" w:hAnsi="Arial"/>
                  <w:sz w:val="18"/>
                  <w:szCs w:val="18"/>
                  <w:color w:val="0563C1"/>
                </w:rPr>
                <w:t>Form of 3.200% Senior Notes due 2051 (contained in Exhibit 4.18)</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0" w:type="dxa"/>
            <w:vAlign w:val="bottom"/>
            <w:tcBorders>
              <w:top w:val="single" w:sz="8" w:color="0563C1"/>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Arial" w:cs="Arial" w:eastAsia="Arial" w:hAnsi="Arial"/>
                <w:sz w:val="18"/>
                <w:szCs w:val="18"/>
                <w:b w:val="1"/>
                <w:bCs w:val="1"/>
                <w:color w:val="auto"/>
              </w:rPr>
              <w:t>4.17</w:t>
            </w:r>
          </w:p>
        </w:tc>
        <w:tc>
          <w:tcPr>
            <w:tcW w:w="10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tcBorders>
            <w:gridSpan w:val="16"/>
            <w:shd w:val="clear" w:color="auto" w:fill="DAE8F0"/>
          </w:tcPr>
          <w:p>
            <w:pPr>
              <w:spacing w:after="0" w:line="169" w:lineRule="exact"/>
              <w:rPr>
                <w:rFonts w:ascii="Arial" w:cs="Arial" w:eastAsia="Arial" w:hAnsi="Arial"/>
                <w:sz w:val="18"/>
                <w:szCs w:val="18"/>
                <w:color w:val="0563C1"/>
              </w:rPr>
            </w:pPr>
            <w:hyperlink r:id="rId765">
              <w:r>
                <w:rPr>
                  <w:rFonts w:ascii="Arial" w:cs="Arial" w:eastAsia="Arial" w:hAnsi="Arial"/>
                  <w:sz w:val="18"/>
                  <w:szCs w:val="18"/>
                  <w:color w:val="0563C1"/>
                </w:rPr>
                <w:t>Fifth Supplemental Indenture, dated as of November 4, 2024, between Martin Marietta Materials, Inc. and</w:t>
              </w:r>
            </w:hyperlink>
          </w:p>
        </w:tc>
        <w:tc>
          <w:tcPr>
            <w:tcW w:w="20" w:type="dxa"/>
            <w:vAlign w:val="bottom"/>
            <w:tcBorders>
              <w:bottom w:val="single" w:sz="8" w:color="0000EE"/>
            </w:tcBorders>
            <w:shd w:val="clear" w:color="auto" w:fill="DAE8F0"/>
          </w:tcPr>
          <w:p>
            <w:pPr>
              <w:spacing w:after="0"/>
              <w:rPr>
                <w:sz w:val="14"/>
                <w:szCs w:val="14"/>
                <w:color w:val="auto"/>
              </w:rPr>
            </w:pPr>
          </w:p>
        </w:tc>
        <w:tc>
          <w:tcPr>
            <w:tcW w:w="220" w:type="dxa"/>
            <w:vAlign w:val="bottom"/>
            <w:tcBorders>
              <w:bottom w:val="single" w:sz="8" w:color="DAE8F0"/>
              <w:right w:val="single" w:sz="8" w:color="91BBD3"/>
            </w:tcBorders>
            <w:gridSpan w:val="16"/>
            <w:shd w:val="clear" w:color="auto" w:fill="DAE8F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060" w:type="dxa"/>
            <w:vAlign w:val="bottom"/>
            <w:gridSpan w:val="17"/>
            <w:shd w:val="clear" w:color="auto" w:fill="DAE8F0"/>
          </w:tcPr>
          <w:p>
            <w:pPr>
              <w:spacing w:after="0" w:line="182" w:lineRule="exact"/>
              <w:rPr>
                <w:rFonts w:ascii="Arial" w:cs="Arial" w:eastAsia="Arial" w:hAnsi="Arial"/>
                <w:sz w:val="18"/>
                <w:szCs w:val="18"/>
                <w:color w:val="0563C1"/>
              </w:rPr>
            </w:pPr>
            <w:hyperlink r:id="rId765">
              <w:r>
                <w:rPr>
                  <w:rFonts w:ascii="Arial" w:cs="Arial" w:eastAsia="Arial" w:hAnsi="Arial"/>
                  <w:sz w:val="18"/>
                  <w:szCs w:val="18"/>
                  <w:color w:val="0563C1"/>
                </w:rPr>
                <w:t>Regions Bank, as trustee, (incorporated by reference to Exhibit 4.2 of the Company’s Current Report on Form 8-</w:t>
              </w:r>
            </w:hyperlink>
          </w:p>
        </w:tc>
        <w:tc>
          <w:tcPr>
            <w:tcW w:w="4294967217" w:type="dxa"/>
            <w:vAlign w:val="bottom"/>
            <w:gridSpan w:val="2"/>
            <w:shd w:val="clear" w:color="auto" w:fill="DAE8F0"/>
          </w:tcPr>
          <w:p>
            <w:pPr>
              <w:spacing w:after="0"/>
              <w:rPr>
                <w:sz w:val="15"/>
                <w:szCs w:val="15"/>
                <w:color w:val="auto"/>
              </w:rPr>
            </w:pPr>
          </w:p>
        </w:tc>
        <w:tc>
          <w:tcPr>
            <w:tcW w:w="80" w:type="dxa"/>
            <w:vAlign w:val="bottom"/>
            <w:gridSpan w:val="4"/>
            <w:shd w:val="clear" w:color="auto" w:fill="DAE8F0"/>
          </w:tcPr>
          <w:p>
            <w:pPr>
              <w:spacing w:after="0"/>
              <w:rPr>
                <w:sz w:val="15"/>
                <w:szCs w:val="15"/>
                <w:color w:val="auto"/>
              </w:rPr>
            </w:pPr>
          </w:p>
        </w:tc>
        <w:tc>
          <w:tcPr>
            <w:tcW w:w="220" w:type="dxa"/>
            <w:vAlign w:val="bottom"/>
            <w:tcBorders>
              <w:right w:val="single" w:sz="8" w:color="91BBD3"/>
            </w:tcBorders>
            <w:gridSpan w:val="10"/>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180" w:type="dxa"/>
            <w:vAlign w:val="bottom"/>
            <w:tcBorders>
              <w:top w:val="single" w:sz="8" w:color="0563C1"/>
            </w:tcBorders>
            <w:gridSpan w:val="29"/>
            <w:shd w:val="clear" w:color="auto" w:fill="DAE8F0"/>
          </w:tcPr>
          <w:p>
            <w:pPr>
              <w:spacing w:after="0" w:line="182" w:lineRule="exact"/>
              <w:rPr>
                <w:rFonts w:ascii="Arial" w:cs="Arial" w:eastAsia="Arial" w:hAnsi="Arial"/>
                <w:sz w:val="18"/>
                <w:szCs w:val="18"/>
                <w:color w:val="0563C1"/>
              </w:rPr>
            </w:pPr>
            <w:hyperlink r:id="rId765">
              <w:r>
                <w:rPr>
                  <w:rFonts w:ascii="Arial" w:cs="Arial" w:eastAsia="Arial" w:hAnsi="Arial"/>
                  <w:sz w:val="18"/>
                  <w:szCs w:val="18"/>
                  <w:color w:val="0563C1"/>
                </w:rPr>
                <w:t>K, filed on November 4, 2024) (Commission File No. 1-12744)</w:t>
              </w:r>
            </w:hyperlink>
          </w:p>
        </w:tc>
        <w:tc>
          <w:tcPr>
            <w:tcW w:w="100" w:type="dxa"/>
            <w:vAlign w:val="bottom"/>
            <w:tcBorders>
              <w:top w:val="single" w:sz="8" w:color="DAE8F0"/>
              <w:right w:val="single" w:sz="8" w:color="91BBD3"/>
            </w:tcBorders>
            <w:gridSpan w:val="4"/>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1700" w:type="dxa"/>
            <w:vAlign w:val="bottom"/>
            <w:tcBorders>
              <w:top w:val="single" w:sz="8" w:color="0563C1"/>
            </w:tcBorders>
            <w:shd w:val="clear" w:color="auto" w:fill="91BBD3"/>
          </w:tcPr>
          <w:p>
            <w:pPr>
              <w:spacing w:after="0" w:line="20" w:lineRule="exact"/>
              <w:rPr>
                <w:sz w:val="1"/>
                <w:szCs w:val="1"/>
                <w:color w:val="auto"/>
              </w:rPr>
            </w:pPr>
          </w:p>
        </w:tc>
        <w:tc>
          <w:tcPr>
            <w:tcW w:w="10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84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ind w:left="100"/>
              <w:spacing w:after="0" w:line="156" w:lineRule="exact"/>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3"/>
                <w:szCs w:val="13"/>
                <w:color w:val="auto"/>
              </w:rPr>
            </w:pPr>
          </w:p>
        </w:tc>
        <w:tc>
          <w:tcPr>
            <w:tcW w:w="9280" w:type="dxa"/>
            <w:vAlign w:val="bottom"/>
            <w:tcBorders>
              <w:right w:val="single" w:sz="8" w:color="91BBD3"/>
            </w:tcBorders>
            <w:gridSpan w:val="33"/>
          </w:tcPr>
          <w:p>
            <w:pPr>
              <w:spacing w:after="0" w:line="156" w:lineRule="exact"/>
              <w:rPr>
                <w:rFonts w:ascii="Arial" w:cs="Arial" w:eastAsia="Arial" w:hAnsi="Arial"/>
                <w:sz w:val="18"/>
                <w:szCs w:val="18"/>
                <w:color w:val="0563C1"/>
              </w:rPr>
            </w:pPr>
            <w:hyperlink r:id="rId765">
              <w:r>
                <w:rPr>
                  <w:rFonts w:ascii="Arial" w:cs="Arial" w:eastAsia="Arial" w:hAnsi="Arial"/>
                  <w:sz w:val="18"/>
                  <w:szCs w:val="18"/>
                  <w:color w:val="0563C1"/>
                </w:rPr>
                <w:t>Form of 5.150% Senior Notes due 2034 (contained in Exhibit 4.21)</w:t>
              </w:r>
            </w:hyperlink>
          </w:p>
        </w:tc>
        <w:tc>
          <w:tcPr>
            <w:tcW w:w="0" w:type="dxa"/>
            <w:vAlign w:val="bottom"/>
          </w:tcPr>
          <w:p>
            <w:pPr>
              <w:spacing w:after="0"/>
              <w:rPr>
                <w:sz w:val="1"/>
                <w:szCs w:val="1"/>
                <w:color w:val="auto"/>
              </w:rPr>
            </w:pPr>
          </w:p>
        </w:tc>
      </w:tr>
      <w:tr>
        <w:trPr>
          <w:trHeight w:val="21"/>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top w:val="single" w:sz="8" w:color="0563C1"/>
              <w:bottom w:val="single" w:sz="8" w:color="91BBD3"/>
            </w:tcBorders>
          </w:tcPr>
          <w:p>
            <w:pPr>
              <w:spacing w:after="0" w:line="20" w:lineRule="exact"/>
              <w:rPr>
                <w:sz w:val="1"/>
                <w:szCs w:val="1"/>
                <w:color w:val="auto"/>
              </w:rPr>
            </w:pPr>
          </w:p>
        </w:tc>
        <w:tc>
          <w:tcPr>
            <w:tcW w:w="10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0" w:type="dxa"/>
            <w:vAlign w:val="bottom"/>
            <w:tcBorders>
              <w:top w:val="single" w:sz="8" w:color="0563C1"/>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0" w:type="dxa"/>
            <w:vAlign w:val="bottom"/>
            <w:tcBorders>
              <w:right w:val="single" w:sz="8" w:color="91BBD3"/>
            </w:tcBorders>
          </w:tcPr>
          <w:p>
            <w:pPr>
              <w:spacing w:after="0"/>
              <w:rPr>
                <w:sz w:val="18"/>
                <w:szCs w:val="18"/>
                <w:color w:val="auto"/>
              </w:rPr>
            </w:pPr>
          </w:p>
        </w:tc>
        <w:tc>
          <w:tcPr>
            <w:tcW w:w="1660" w:type="dxa"/>
            <w:vAlign w:val="bottom"/>
            <w:tcBorders>
              <w:bottom w:val="single" w:sz="8" w:color="91BBD3"/>
              <w:right w:val="single" w:sz="8" w:color="91BBD3"/>
            </w:tcBorders>
            <w:shd w:val="clear" w:color="auto" w:fill="DAE8F0"/>
          </w:tcPr>
          <w:p>
            <w:pPr>
              <w:ind w:left="100"/>
              <w:spacing w:after="0" w:line="169" w:lineRule="exact"/>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91BBD3"/>
            </w:tcBorders>
            <w:shd w:val="clear" w:color="auto" w:fill="DAE8F0"/>
          </w:tcPr>
          <w:p>
            <w:pPr>
              <w:spacing w:after="0"/>
              <w:rPr>
                <w:sz w:val="18"/>
                <w:szCs w:val="18"/>
                <w:color w:val="auto"/>
              </w:rPr>
            </w:pPr>
          </w:p>
        </w:tc>
        <w:tc>
          <w:tcPr>
            <w:tcW w:w="5300" w:type="dxa"/>
            <w:vAlign w:val="bottom"/>
            <w:tcBorders>
              <w:bottom w:val="single" w:sz="8" w:color="0563C1"/>
            </w:tcBorders>
            <w:gridSpan w:val="9"/>
            <w:shd w:val="clear" w:color="auto" w:fill="DAE8F0"/>
          </w:tcPr>
          <w:p>
            <w:pPr>
              <w:spacing w:after="0" w:line="169" w:lineRule="exact"/>
              <w:rPr>
                <w:rFonts w:ascii="Arial" w:cs="Arial" w:eastAsia="Arial" w:hAnsi="Arial"/>
                <w:sz w:val="18"/>
                <w:szCs w:val="18"/>
                <w:color w:val="0563C1"/>
                <w:w w:val="99"/>
              </w:rPr>
            </w:pPr>
            <w:hyperlink r:id="rId765">
              <w:r>
                <w:rPr>
                  <w:rFonts w:ascii="Arial" w:cs="Arial" w:eastAsia="Arial" w:hAnsi="Arial"/>
                  <w:sz w:val="18"/>
                  <w:szCs w:val="18"/>
                  <w:color w:val="0563C1"/>
                  <w:w w:val="99"/>
                </w:rPr>
                <w:t>Form of 5.500% Senior Notes due 2054 (contained in Exhibit 4.21)</w:t>
              </w:r>
            </w:hyperlink>
          </w:p>
        </w:tc>
        <w:tc>
          <w:tcPr>
            <w:tcW w:w="3980" w:type="dxa"/>
            <w:vAlign w:val="bottom"/>
            <w:tcBorders>
              <w:bottom w:val="single" w:sz="8" w:color="91BBD3"/>
              <w:right w:val="single" w:sz="8" w:color="91BBD3"/>
            </w:tcBorders>
            <w:gridSpan w:val="24"/>
            <w:shd w:val="clear" w:color="auto" w:fill="DAE8F0"/>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rFonts w:ascii="Arial" w:cs="Arial" w:eastAsia="Arial" w:hAnsi="Arial"/>
                <w:sz w:val="18"/>
                <w:szCs w:val="18"/>
                <w:color w:val="0563C1"/>
              </w:rPr>
            </w:pPr>
            <w:hyperlink r:id="rId766">
              <w:r>
                <w:rPr>
                  <w:rFonts w:ascii="Arial" w:cs="Arial" w:eastAsia="Arial" w:hAnsi="Arial"/>
                  <w:sz w:val="18"/>
                  <w:szCs w:val="18"/>
                  <w:color w:val="0563C1"/>
                </w:rPr>
                <w:t>Description of the Company’s Capital Stock (incorporated by reference to Exhibit 4.17 to the Martin Marietta</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00" w:type="dxa"/>
            <w:vAlign w:val="bottom"/>
            <w:tcBorders>
              <w:top w:val="single" w:sz="8" w:color="0563C1"/>
            </w:tcBorders>
            <w:gridSpan w:val="20"/>
          </w:tcPr>
          <w:p>
            <w:pPr>
              <w:spacing w:after="0" w:line="182" w:lineRule="exact"/>
              <w:rPr>
                <w:rFonts w:ascii="Arial" w:cs="Arial" w:eastAsia="Arial" w:hAnsi="Arial"/>
                <w:sz w:val="18"/>
                <w:szCs w:val="18"/>
                <w:color w:val="0563C1"/>
              </w:rPr>
            </w:pPr>
            <w:hyperlink r:id="rId766">
              <w:r>
                <w:rPr>
                  <w:rFonts w:ascii="Arial" w:cs="Arial" w:eastAsia="Arial" w:hAnsi="Arial"/>
                  <w:sz w:val="18"/>
                  <w:szCs w:val="18"/>
                  <w:color w:val="0563C1"/>
                </w:rPr>
                <w:t>Materials, Inc. Current Report on Form 10-K for the fiscal year ended December 31, 2019 (Commission File No.</w:t>
              </w:r>
            </w:hyperlink>
          </w:p>
        </w:tc>
        <w:tc>
          <w:tcPr>
            <w:tcW w:w="60" w:type="dxa"/>
            <w:vAlign w:val="bottom"/>
            <w:gridSpan w:val="3"/>
          </w:tcPr>
          <w:p>
            <w:pPr>
              <w:spacing w:after="0"/>
              <w:rPr>
                <w:sz w:val="15"/>
                <w:szCs w:val="15"/>
                <w:color w:val="auto"/>
              </w:rPr>
            </w:pPr>
          </w:p>
        </w:tc>
        <w:tc>
          <w:tcPr>
            <w:tcW w:w="220" w:type="dxa"/>
            <w:vAlign w:val="bottom"/>
            <w:tcBorders>
              <w:right w:val="single" w:sz="8" w:color="91BBD3"/>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0563C1"/>
            </w:tcBorders>
            <w:gridSpan w:val="3"/>
          </w:tcPr>
          <w:p>
            <w:pPr>
              <w:spacing w:after="0" w:line="182" w:lineRule="exact"/>
              <w:rPr>
                <w:rFonts w:ascii="Arial" w:cs="Arial" w:eastAsia="Arial" w:hAnsi="Arial"/>
                <w:sz w:val="18"/>
                <w:szCs w:val="18"/>
                <w:color w:val="0563C1"/>
              </w:rPr>
            </w:pPr>
            <w:hyperlink r:id="rId766">
              <w:r>
                <w:rPr>
                  <w:rFonts w:ascii="Arial" w:cs="Arial" w:eastAsia="Arial" w:hAnsi="Arial"/>
                  <w:sz w:val="18"/>
                  <w:szCs w:val="18"/>
                  <w:color w:val="0563C1"/>
                </w:rPr>
                <w:t>1-12744))</w:t>
              </w:r>
            </w:hyperlink>
          </w:p>
        </w:tc>
        <w:tc>
          <w:tcPr>
            <w:tcW w:w="1080" w:type="dxa"/>
            <w:vAlign w:val="bottom"/>
            <w:tcBorders>
              <w:top w:val="single" w:sz="8" w:color="0563C1"/>
            </w:tcBorders>
          </w:tcPr>
          <w:p>
            <w:pPr>
              <w:spacing w:after="0"/>
              <w:rPr>
                <w:sz w:val="15"/>
                <w:szCs w:val="15"/>
                <w:color w:val="auto"/>
              </w:rPr>
            </w:pPr>
          </w:p>
        </w:tc>
        <w:tc>
          <w:tcPr>
            <w:tcW w:w="360" w:type="dxa"/>
            <w:vAlign w:val="bottom"/>
            <w:tcBorders>
              <w:top w:val="single" w:sz="8" w:color="0563C1"/>
            </w:tcBorders>
          </w:tcPr>
          <w:p>
            <w:pPr>
              <w:spacing w:after="0"/>
              <w:rPr>
                <w:sz w:val="15"/>
                <w:szCs w:val="15"/>
                <w:color w:val="auto"/>
              </w:rPr>
            </w:pPr>
          </w:p>
        </w:tc>
        <w:tc>
          <w:tcPr>
            <w:tcW w:w="40" w:type="dxa"/>
            <w:vAlign w:val="bottom"/>
            <w:tcBorders>
              <w:top w:val="single" w:sz="8" w:color="0563C1"/>
            </w:tcBorders>
          </w:tcPr>
          <w:p>
            <w:pPr>
              <w:spacing w:after="0"/>
              <w:rPr>
                <w:sz w:val="15"/>
                <w:szCs w:val="15"/>
                <w:color w:val="auto"/>
              </w:rPr>
            </w:pPr>
          </w:p>
        </w:tc>
        <w:tc>
          <w:tcPr>
            <w:tcW w:w="960" w:type="dxa"/>
            <w:vAlign w:val="bottom"/>
            <w:tcBorders>
              <w:top w:val="single" w:sz="8" w:color="0563C1"/>
            </w:tcBorders>
          </w:tcPr>
          <w:p>
            <w:pPr>
              <w:spacing w:after="0"/>
              <w:rPr>
                <w:sz w:val="15"/>
                <w:szCs w:val="15"/>
                <w:color w:val="auto"/>
              </w:rPr>
            </w:pPr>
          </w:p>
        </w:tc>
        <w:tc>
          <w:tcPr>
            <w:tcW w:w="260" w:type="dxa"/>
            <w:vAlign w:val="bottom"/>
            <w:tcBorders>
              <w:top w:val="single" w:sz="8" w:color="0563C1"/>
            </w:tcBorders>
          </w:tcPr>
          <w:p>
            <w:pPr>
              <w:spacing w:after="0"/>
              <w:rPr>
                <w:sz w:val="15"/>
                <w:szCs w:val="15"/>
                <w:color w:val="auto"/>
              </w:rPr>
            </w:pPr>
          </w:p>
        </w:tc>
        <w:tc>
          <w:tcPr>
            <w:tcW w:w="120" w:type="dxa"/>
            <w:vAlign w:val="bottom"/>
            <w:tcBorders>
              <w:top w:val="single" w:sz="8" w:color="0563C1"/>
            </w:tcBorders>
          </w:tcPr>
          <w:p>
            <w:pPr>
              <w:spacing w:after="0"/>
              <w:rPr>
                <w:sz w:val="15"/>
                <w:szCs w:val="15"/>
                <w:color w:val="auto"/>
              </w:rPr>
            </w:pPr>
          </w:p>
        </w:tc>
        <w:tc>
          <w:tcPr>
            <w:tcW w:w="1840" w:type="dxa"/>
            <w:vAlign w:val="bottom"/>
            <w:tcBorders>
              <w:top w:val="single" w:sz="8" w:color="0563C1"/>
            </w:tcBorders>
          </w:tcPr>
          <w:p>
            <w:pPr>
              <w:spacing w:after="0"/>
              <w:rPr>
                <w:sz w:val="15"/>
                <w:szCs w:val="15"/>
                <w:color w:val="auto"/>
              </w:rPr>
            </w:pPr>
          </w:p>
        </w:tc>
        <w:tc>
          <w:tcPr>
            <w:tcW w:w="68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114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1700" w:type="dxa"/>
            <w:vAlign w:val="bottom"/>
            <w:tcBorders>
              <w:bottom w:val="single" w:sz="8" w:color="91BBD3"/>
            </w:tcBorders>
          </w:tcPr>
          <w:p>
            <w:pPr>
              <w:spacing w:after="0" w:line="20" w:lineRule="exact"/>
              <w:rPr>
                <w:sz w:val="1"/>
                <w:szCs w:val="1"/>
                <w:color w:val="auto"/>
              </w:rPr>
            </w:pPr>
          </w:p>
        </w:tc>
        <w:tc>
          <w:tcPr>
            <w:tcW w:w="10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840" w:type="dxa"/>
            <w:vAlign w:val="bottom"/>
            <w:tcBorders>
              <w:bottom w:val="single" w:sz="8" w:color="91BBD3"/>
            </w:tcBorders>
          </w:tcPr>
          <w:p>
            <w:pPr>
              <w:spacing w:after="0" w:line="20" w:lineRule="exact"/>
              <w:rPr>
                <w:sz w:val="1"/>
                <w:szCs w:val="1"/>
                <w:color w:val="auto"/>
              </w:rPr>
            </w:pPr>
          </w:p>
        </w:tc>
        <w:tc>
          <w:tcPr>
            <w:tcW w:w="68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ind w:left="100"/>
              <w:spacing w:after="0" w:line="156" w:lineRule="exact"/>
              <w:rPr>
                <w:sz w:val="20"/>
                <w:szCs w:val="20"/>
                <w:color w:val="auto"/>
              </w:rPr>
            </w:pPr>
            <w:r>
              <w:rPr>
                <w:rFonts w:ascii="Arial" w:cs="Arial" w:eastAsia="Arial" w:hAnsi="Arial"/>
                <w:sz w:val="18"/>
                <w:szCs w:val="18"/>
                <w:b w:val="1"/>
                <w:bCs w:val="1"/>
                <w:color w:val="auto"/>
              </w:rPr>
              <w:t>10.01</w:t>
            </w:r>
          </w:p>
        </w:tc>
        <w:tc>
          <w:tcPr>
            <w:tcW w:w="100" w:type="dxa"/>
            <w:vAlign w:val="bottom"/>
            <w:tcBorders>
              <w:bottom w:val="single" w:sz="8" w:color="DAE8F0"/>
            </w:tcBorders>
            <w:shd w:val="clear" w:color="auto" w:fill="DAE8F0"/>
          </w:tcPr>
          <w:p>
            <w:pPr>
              <w:spacing w:after="0"/>
              <w:rPr>
                <w:sz w:val="13"/>
                <w:szCs w:val="13"/>
                <w:color w:val="auto"/>
              </w:rPr>
            </w:pPr>
          </w:p>
        </w:tc>
        <w:tc>
          <w:tcPr>
            <w:tcW w:w="9060" w:type="dxa"/>
            <w:vAlign w:val="bottom"/>
            <w:tcBorders>
              <w:bottom w:val="single" w:sz="8" w:color="0563C1"/>
            </w:tcBorders>
            <w:gridSpan w:val="23"/>
            <w:shd w:val="clear" w:color="auto" w:fill="DAE8F0"/>
          </w:tcPr>
          <w:p>
            <w:pPr>
              <w:spacing w:after="0" w:line="156" w:lineRule="exact"/>
              <w:rPr>
                <w:sz w:val="20"/>
                <w:szCs w:val="20"/>
                <w:color w:val="auto"/>
              </w:rPr>
            </w:pPr>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0563C1"/>
              </w:rPr>
              <w:t>800,000,000 Credit Agreement dated as of December 21, 2021 among Martin Marietta Materials, Inc., JPMorgan Chase</w:t>
            </w:r>
          </w:p>
        </w:tc>
        <w:tc>
          <w:tcPr>
            <w:tcW w:w="220" w:type="dxa"/>
            <w:vAlign w:val="bottom"/>
            <w:tcBorders>
              <w:bottom w:val="single" w:sz="8" w:color="DAE8F0"/>
              <w:right w:val="single" w:sz="8" w:color="91BBD3"/>
            </w:tcBorders>
            <w:gridSpan w:val="10"/>
            <w:shd w:val="clear" w:color="auto" w:fill="DAE8F0"/>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280" w:type="dxa"/>
            <w:vAlign w:val="bottom"/>
            <w:tcBorders>
              <w:right w:val="single" w:sz="8" w:color="91BBD3"/>
            </w:tcBorders>
            <w:gridSpan w:val="33"/>
            <w:shd w:val="clear" w:color="auto" w:fill="DAE8F0"/>
          </w:tcPr>
          <w:p>
            <w:pPr>
              <w:spacing w:after="0" w:line="196" w:lineRule="exact"/>
              <w:rPr>
                <w:sz w:val="20"/>
                <w:szCs w:val="20"/>
                <w:color w:val="auto"/>
              </w:rPr>
            </w:pPr>
            <w:r>
              <w:rPr>
                <w:rFonts w:ascii="Times New Roman" w:cs="Times New Roman" w:eastAsia="Times New Roman" w:hAnsi="Times New Roman"/>
                <w:sz w:val="18"/>
                <w:szCs w:val="18"/>
                <w:color w:val="0563C1"/>
              </w:rPr>
              <w:t>Bank, N.A., as Administrative Agent, and Deutsche Bank AG New York Branch, PNC Bank, National Association, Truist</w:t>
            </w:r>
          </w:p>
        </w:tc>
        <w:tc>
          <w:tcPr>
            <w:tcW w:w="0" w:type="dxa"/>
            <w:vAlign w:val="bottom"/>
          </w:tcPr>
          <w:p>
            <w:pPr>
              <w:spacing w:after="0"/>
              <w:rPr>
                <w:sz w:val="1"/>
                <w:szCs w:val="1"/>
                <w:color w:val="auto"/>
              </w:rPr>
            </w:pPr>
          </w:p>
        </w:tc>
      </w:tr>
      <w:tr>
        <w:trPr>
          <w:trHeight w:val="217"/>
        </w:trPr>
        <w:tc>
          <w:tcPr>
            <w:tcW w:w="200" w:type="dxa"/>
            <w:vAlign w:val="bottom"/>
            <w:tcBorders>
              <w:right w:val="single" w:sz="8" w:color="91BBD3"/>
            </w:tcBorders>
          </w:tcPr>
          <w:p>
            <w:pPr>
              <w:spacing w:after="0"/>
              <w:rPr>
                <w:sz w:val="18"/>
                <w:szCs w:val="18"/>
                <w:color w:val="auto"/>
              </w:rPr>
            </w:pPr>
          </w:p>
        </w:tc>
        <w:tc>
          <w:tcPr>
            <w:tcW w:w="1660" w:type="dxa"/>
            <w:vAlign w:val="bottom"/>
            <w:tcBorders>
              <w:top w:val="single" w:sz="8" w:color="DAE8F0"/>
              <w:right w:val="single" w:sz="8" w:color="91BBD3"/>
            </w:tcBorders>
            <w:shd w:val="clear" w:color="auto" w:fill="DAE8F0"/>
          </w:tcPr>
          <w:p>
            <w:pPr>
              <w:spacing w:after="0"/>
              <w:rPr>
                <w:sz w:val="18"/>
                <w:szCs w:val="18"/>
                <w:color w:val="auto"/>
              </w:rPr>
            </w:pPr>
          </w:p>
        </w:tc>
        <w:tc>
          <w:tcPr>
            <w:tcW w:w="100" w:type="dxa"/>
            <w:vAlign w:val="bottom"/>
            <w:tcBorders>
              <w:top w:val="single" w:sz="8" w:color="DAE8F0"/>
            </w:tcBorders>
            <w:shd w:val="clear" w:color="auto" w:fill="DAE8F0"/>
          </w:tcPr>
          <w:p>
            <w:pPr>
              <w:spacing w:after="0"/>
              <w:rPr>
                <w:sz w:val="18"/>
                <w:szCs w:val="18"/>
                <w:color w:val="auto"/>
              </w:rPr>
            </w:pPr>
          </w:p>
        </w:tc>
        <w:tc>
          <w:tcPr>
            <w:tcW w:w="8980" w:type="dxa"/>
            <w:vAlign w:val="bottom"/>
            <w:tcBorders>
              <w:top w:val="single" w:sz="8" w:color="0563C1"/>
            </w:tcBorders>
            <w:gridSpan w:val="19"/>
            <w:shd w:val="clear" w:color="auto" w:fill="DAE8F0"/>
          </w:tcPr>
          <w:p>
            <w:pPr>
              <w:spacing w:after="0" w:line="196" w:lineRule="exact"/>
              <w:rPr>
                <w:sz w:val="20"/>
                <w:szCs w:val="20"/>
                <w:color w:val="auto"/>
              </w:rPr>
            </w:pPr>
            <w:r>
              <w:rPr>
                <w:rFonts w:ascii="Times New Roman" w:cs="Times New Roman" w:eastAsia="Times New Roman" w:hAnsi="Times New Roman"/>
                <w:sz w:val="18"/>
                <w:szCs w:val="18"/>
                <w:color w:val="0563C1"/>
              </w:rPr>
              <w:t>Bank, and Wells Fargo Bank, National Association, as</w:t>
            </w:r>
          </w:p>
        </w:tc>
        <w:tc>
          <w:tcPr>
            <w:tcW w:w="300" w:type="dxa"/>
            <w:vAlign w:val="bottom"/>
            <w:tcBorders>
              <w:top w:val="single" w:sz="8" w:color="DAE8F0"/>
              <w:right w:val="single" w:sz="8" w:color="91BBD3"/>
            </w:tcBorders>
            <w:gridSpan w:val="14"/>
            <w:shd w:val="clear" w:color="auto" w:fill="DAE8F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1700" w:type="dxa"/>
            <w:vAlign w:val="bottom"/>
            <w:tcBorders>
              <w:top w:val="single" w:sz="8" w:color="0563C1"/>
            </w:tcBorders>
            <w:shd w:val="clear" w:color="auto" w:fill="91BBD3"/>
          </w:tcPr>
          <w:p>
            <w:pPr>
              <w:spacing w:after="0" w:line="20" w:lineRule="exact"/>
              <w:rPr>
                <w:sz w:val="1"/>
                <w:szCs w:val="1"/>
                <w:color w:val="auto"/>
              </w:rPr>
            </w:pPr>
          </w:p>
        </w:tc>
        <w:tc>
          <w:tcPr>
            <w:tcW w:w="10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84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86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9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68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20" w:type="dxa"/>
            <w:vAlign w:val="bottom"/>
            <w:gridSpan w:val="26"/>
          </w:tcPr>
          <w:p>
            <w:pPr>
              <w:ind w:left="14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660" w:type="dxa"/>
            <w:vAlign w:val="bottom"/>
            <w:tcBorders>
              <w:bottom w:val="single" w:sz="8" w:color="007DC6"/>
            </w:tcBorders>
          </w:tcPr>
          <w:p>
            <w:pPr>
              <w:spacing w:after="0"/>
              <w:rPr>
                <w:sz w:val="14"/>
                <w:szCs w:val="14"/>
                <w:color w:val="auto"/>
              </w:rPr>
            </w:pPr>
          </w:p>
        </w:tc>
        <w:tc>
          <w:tcPr>
            <w:tcW w:w="1820" w:type="dxa"/>
            <w:vAlign w:val="bottom"/>
            <w:tcBorders>
              <w:bottom w:val="single" w:sz="8" w:color="007DC6"/>
            </w:tcBorders>
          </w:tcPr>
          <w:p>
            <w:pPr>
              <w:spacing w:after="0"/>
              <w:rPr>
                <w:sz w:val="14"/>
                <w:szCs w:val="14"/>
                <w:color w:val="auto"/>
              </w:rPr>
            </w:pPr>
          </w:p>
        </w:tc>
        <w:tc>
          <w:tcPr>
            <w:tcW w:w="520" w:type="dxa"/>
            <w:vAlign w:val="bottom"/>
            <w:tcBorders>
              <w:bottom w:val="single" w:sz="8" w:color="007DC6"/>
            </w:tcBorders>
          </w:tcPr>
          <w:p>
            <w:pPr>
              <w:spacing w:after="0"/>
              <w:rPr>
                <w:sz w:val="14"/>
                <w:szCs w:val="14"/>
                <w:color w:val="auto"/>
              </w:rPr>
            </w:pPr>
          </w:p>
        </w:tc>
        <w:tc>
          <w:tcPr>
            <w:tcW w:w="960" w:type="dxa"/>
            <w:vAlign w:val="bottom"/>
            <w:tcBorders>
              <w:bottom w:val="single" w:sz="8" w:color="007DC6"/>
            </w:tcBorders>
          </w:tcPr>
          <w:p>
            <w:pPr>
              <w:spacing w:after="0"/>
              <w:rPr>
                <w:sz w:val="14"/>
                <w:szCs w:val="14"/>
                <w:color w:val="auto"/>
              </w:rPr>
            </w:pPr>
          </w:p>
        </w:tc>
        <w:tc>
          <w:tcPr>
            <w:tcW w:w="180" w:type="dxa"/>
            <w:vAlign w:val="bottom"/>
            <w:tcBorders>
              <w:bottom w:val="single" w:sz="8" w:color="007DC6"/>
            </w:tcBorders>
          </w:tcPr>
          <w:p>
            <w:pPr>
              <w:spacing w:after="0"/>
              <w:rPr>
                <w:sz w:val="14"/>
                <w:szCs w:val="14"/>
                <w:color w:val="auto"/>
              </w:rPr>
            </w:pPr>
          </w:p>
        </w:tc>
        <w:tc>
          <w:tcPr>
            <w:tcW w:w="340" w:type="dxa"/>
            <w:vAlign w:val="bottom"/>
            <w:tcBorders>
              <w:bottom w:val="single" w:sz="8" w:color="007DC6"/>
            </w:tcBorders>
          </w:tcPr>
          <w:p>
            <w:pPr>
              <w:spacing w:after="0"/>
              <w:rPr>
                <w:sz w:val="14"/>
                <w:szCs w:val="14"/>
                <w:color w:val="auto"/>
              </w:rPr>
            </w:pPr>
          </w:p>
        </w:tc>
        <w:tc>
          <w:tcPr>
            <w:tcW w:w="700" w:type="dxa"/>
            <w:vAlign w:val="bottom"/>
            <w:tcBorders>
              <w:bottom w:val="single" w:sz="8" w:color="007DC6"/>
            </w:tcBorders>
          </w:tcPr>
          <w:p>
            <w:pPr>
              <w:spacing w:after="0"/>
              <w:rPr>
                <w:sz w:val="14"/>
                <w:szCs w:val="14"/>
                <w:color w:val="auto"/>
              </w:rPr>
            </w:pPr>
          </w:p>
        </w:tc>
        <w:tc>
          <w:tcPr>
            <w:tcW w:w="3340" w:type="dxa"/>
            <w:vAlign w:val="bottom"/>
            <w:tcBorders>
              <w:bottom w:val="single" w:sz="8" w:color="007DC6"/>
            </w:tcBorders>
          </w:tcPr>
          <w:p>
            <w:pPr>
              <w:spacing w:after="0"/>
              <w:rPr>
                <w:sz w:val="14"/>
                <w:szCs w:val="14"/>
                <w:color w:val="auto"/>
              </w:rPr>
            </w:pPr>
          </w:p>
        </w:tc>
        <w:tc>
          <w:tcPr>
            <w:tcW w:w="46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197" w:type="dxa"/>
            <w:vAlign w:val="bottom"/>
            <w:tcBorders>
              <w:bottom w:val="single" w:sz="8" w:color="007DC6"/>
            </w:tcBorders>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91BBD3"/>
              <w:right w:val="single" w:sz="8" w:color="91BBD3"/>
            </w:tcBorders>
            <w:shd w:val="clear" w:color="auto" w:fill="007DC6"/>
          </w:tcPr>
          <w:p>
            <w:pPr>
              <w:jc w:val="right"/>
              <w:ind w:right="290"/>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bottom w:val="single" w:sz="8" w:color="91BBD3"/>
            </w:tcBorders>
            <w:shd w:val="clear" w:color="auto" w:fill="007DC6"/>
          </w:tcPr>
          <w:p>
            <w:pPr>
              <w:spacing w:after="0"/>
              <w:rPr>
                <w:sz w:val="24"/>
                <w:szCs w:val="24"/>
                <w:color w:val="auto"/>
              </w:rPr>
            </w:pPr>
          </w:p>
        </w:tc>
        <w:tc>
          <w:tcPr>
            <w:tcW w:w="660" w:type="dxa"/>
            <w:vAlign w:val="bottom"/>
            <w:tcBorders>
              <w:bottom w:val="single" w:sz="8" w:color="91BBD3"/>
            </w:tcBorders>
            <w:shd w:val="clear" w:color="auto" w:fill="007DC6"/>
          </w:tcPr>
          <w:p>
            <w:pPr>
              <w:spacing w:after="0"/>
              <w:rPr>
                <w:sz w:val="24"/>
                <w:szCs w:val="24"/>
                <w:color w:val="auto"/>
              </w:rPr>
            </w:pPr>
          </w:p>
        </w:tc>
        <w:tc>
          <w:tcPr>
            <w:tcW w:w="1820" w:type="dxa"/>
            <w:vAlign w:val="bottom"/>
            <w:tcBorders>
              <w:bottom w:val="single" w:sz="8" w:color="91BBD3"/>
            </w:tcBorders>
            <w:shd w:val="clear" w:color="auto" w:fill="007DC6"/>
          </w:tcPr>
          <w:p>
            <w:pPr>
              <w:spacing w:after="0"/>
              <w:rPr>
                <w:sz w:val="24"/>
                <w:szCs w:val="24"/>
                <w:color w:val="auto"/>
              </w:rPr>
            </w:pPr>
          </w:p>
        </w:tc>
        <w:tc>
          <w:tcPr>
            <w:tcW w:w="520" w:type="dxa"/>
            <w:vAlign w:val="bottom"/>
            <w:tcBorders>
              <w:bottom w:val="single" w:sz="8" w:color="91BBD3"/>
            </w:tcBorders>
            <w:shd w:val="clear" w:color="auto" w:fill="007DC6"/>
          </w:tcPr>
          <w:p>
            <w:pPr>
              <w:spacing w:after="0"/>
              <w:rPr>
                <w:sz w:val="24"/>
                <w:szCs w:val="24"/>
                <w:color w:val="auto"/>
              </w:rPr>
            </w:pPr>
          </w:p>
        </w:tc>
        <w:tc>
          <w:tcPr>
            <w:tcW w:w="960" w:type="dxa"/>
            <w:vAlign w:val="bottom"/>
            <w:tcBorders>
              <w:bottom w:val="single" w:sz="8" w:color="91BBD3"/>
            </w:tcBorders>
            <w:shd w:val="clear" w:color="auto" w:fill="007DC6"/>
          </w:tcPr>
          <w:p>
            <w:pPr>
              <w:spacing w:after="0"/>
              <w:rPr>
                <w:sz w:val="24"/>
                <w:szCs w:val="24"/>
                <w:color w:val="auto"/>
              </w:rPr>
            </w:pPr>
          </w:p>
        </w:tc>
        <w:tc>
          <w:tcPr>
            <w:tcW w:w="180" w:type="dxa"/>
            <w:vAlign w:val="bottom"/>
            <w:tcBorders>
              <w:bottom w:val="single" w:sz="8" w:color="91BBD3"/>
            </w:tcBorders>
            <w:shd w:val="clear" w:color="auto" w:fill="007DC6"/>
          </w:tcPr>
          <w:p>
            <w:pPr>
              <w:spacing w:after="0"/>
              <w:rPr>
                <w:sz w:val="24"/>
                <w:szCs w:val="24"/>
                <w:color w:val="auto"/>
              </w:rPr>
            </w:pPr>
          </w:p>
        </w:tc>
        <w:tc>
          <w:tcPr>
            <w:tcW w:w="340" w:type="dxa"/>
            <w:vAlign w:val="bottom"/>
            <w:tcBorders>
              <w:bottom w:val="single" w:sz="8" w:color="91BBD3"/>
            </w:tcBorders>
            <w:shd w:val="clear" w:color="auto" w:fill="007DC6"/>
          </w:tcPr>
          <w:p>
            <w:pPr>
              <w:spacing w:after="0"/>
              <w:rPr>
                <w:sz w:val="24"/>
                <w:szCs w:val="24"/>
                <w:color w:val="auto"/>
              </w:rPr>
            </w:pPr>
          </w:p>
        </w:tc>
        <w:tc>
          <w:tcPr>
            <w:tcW w:w="700" w:type="dxa"/>
            <w:vAlign w:val="bottom"/>
            <w:tcBorders>
              <w:bottom w:val="single" w:sz="8" w:color="91BBD3"/>
            </w:tcBorders>
            <w:shd w:val="clear" w:color="auto" w:fill="007DC6"/>
          </w:tcPr>
          <w:p>
            <w:pPr>
              <w:spacing w:after="0"/>
              <w:rPr>
                <w:sz w:val="24"/>
                <w:szCs w:val="24"/>
                <w:color w:val="auto"/>
              </w:rPr>
            </w:pPr>
          </w:p>
        </w:tc>
        <w:tc>
          <w:tcPr>
            <w:tcW w:w="3340" w:type="dxa"/>
            <w:vAlign w:val="bottom"/>
            <w:tcBorders>
              <w:bottom w:val="single" w:sz="8" w:color="91BBD3"/>
            </w:tcBorders>
            <w:shd w:val="clear" w:color="auto" w:fill="007DC6"/>
          </w:tcPr>
          <w:p>
            <w:pPr>
              <w:spacing w:after="0"/>
              <w:rPr>
                <w:sz w:val="24"/>
                <w:szCs w:val="24"/>
                <w:color w:val="auto"/>
              </w:rPr>
            </w:pPr>
          </w:p>
        </w:tc>
        <w:tc>
          <w:tcPr>
            <w:tcW w:w="46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294967197" w:type="dxa"/>
            <w:vAlign w:val="bottom"/>
            <w:tcBorders>
              <w:bottom w:val="single" w:sz="8" w:color="91BBD3"/>
              <w:right w:val="single" w:sz="8" w:color="007DC6"/>
            </w:tcBorders>
            <w:shd w:val="clear" w:color="auto" w:fill="007DC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shd w:val="clear" w:color="auto" w:fill="DAE8F0"/>
          </w:tcPr>
          <w:p>
            <w:pPr>
              <w:spacing w:after="0"/>
              <w:rPr>
                <w:sz w:val="12"/>
                <w:szCs w:val="12"/>
                <w:color w:val="auto"/>
              </w:rPr>
            </w:pPr>
          </w:p>
        </w:tc>
        <w:tc>
          <w:tcPr>
            <w:tcW w:w="100" w:type="dxa"/>
            <w:vAlign w:val="bottom"/>
            <w:tcBorders>
              <w:top w:val="single" w:sz="8" w:color="DAE8F0"/>
            </w:tcBorders>
            <w:shd w:val="clear" w:color="auto" w:fill="DAE8F0"/>
          </w:tcPr>
          <w:p>
            <w:pPr>
              <w:spacing w:after="0"/>
              <w:rPr>
                <w:sz w:val="12"/>
                <w:szCs w:val="12"/>
                <w:color w:val="auto"/>
              </w:rPr>
            </w:pPr>
          </w:p>
        </w:tc>
        <w:tc>
          <w:tcPr>
            <w:tcW w:w="9280" w:type="dxa"/>
            <w:vAlign w:val="bottom"/>
            <w:tcBorders>
              <w:top w:val="single" w:sz="8" w:color="DAE8F0"/>
              <w:right w:val="single" w:sz="8" w:color="91BBD3"/>
            </w:tcBorders>
            <w:gridSpan w:val="30"/>
            <w:shd w:val="clear" w:color="auto" w:fill="DAE8F0"/>
          </w:tcPr>
          <w:p>
            <w:pPr>
              <w:spacing w:after="0" w:line="149" w:lineRule="exact"/>
              <w:rPr>
                <w:sz w:val="20"/>
                <w:szCs w:val="20"/>
                <w:color w:val="auto"/>
              </w:rPr>
            </w:pPr>
            <w:r>
              <w:rPr>
                <w:rFonts w:ascii="Times New Roman" w:cs="Times New Roman" w:eastAsia="Times New Roman" w:hAnsi="Times New Roman"/>
                <w:sz w:val="17"/>
                <w:szCs w:val="17"/>
                <w:color w:val="0563C1"/>
              </w:rPr>
              <w:t>Co-Syndication Agents (incorporated by reference to Exhibit 10.01 to the Martin Marietta Materials, Inc., Current Report on</w:t>
            </w:r>
          </w:p>
        </w:tc>
        <w:tc>
          <w:tcPr>
            <w:tcW w:w="0" w:type="dxa"/>
            <w:vAlign w:val="bottom"/>
          </w:tcPr>
          <w:p>
            <w:pPr>
              <w:spacing w:after="0"/>
              <w:rPr>
                <w:sz w:val="1"/>
                <w:szCs w:val="1"/>
                <w:color w:val="auto"/>
              </w:rPr>
            </w:pPr>
          </w:p>
        </w:tc>
      </w:tr>
      <w:tr>
        <w:trPr>
          <w:trHeight w:val="217"/>
        </w:trPr>
        <w:tc>
          <w:tcPr>
            <w:tcW w:w="200" w:type="dxa"/>
            <w:vAlign w:val="bottom"/>
            <w:tcBorders>
              <w:right w:val="single" w:sz="8" w:color="91BBD3"/>
            </w:tcBorders>
          </w:tcPr>
          <w:p>
            <w:pPr>
              <w:spacing w:after="0"/>
              <w:rPr>
                <w:sz w:val="18"/>
                <w:szCs w:val="18"/>
                <w:color w:val="auto"/>
              </w:rPr>
            </w:pPr>
          </w:p>
        </w:tc>
        <w:tc>
          <w:tcPr>
            <w:tcW w:w="1660" w:type="dxa"/>
            <w:vAlign w:val="bottom"/>
            <w:tcBorders>
              <w:top w:val="single" w:sz="8" w:color="DAE8F0"/>
              <w:right w:val="single" w:sz="8" w:color="91BBD3"/>
            </w:tcBorders>
            <w:shd w:val="clear" w:color="auto" w:fill="DAE8F0"/>
          </w:tcPr>
          <w:p>
            <w:pPr>
              <w:spacing w:after="0"/>
              <w:rPr>
                <w:sz w:val="18"/>
                <w:szCs w:val="18"/>
                <w:color w:val="auto"/>
              </w:rPr>
            </w:pPr>
          </w:p>
        </w:tc>
        <w:tc>
          <w:tcPr>
            <w:tcW w:w="100" w:type="dxa"/>
            <w:vAlign w:val="bottom"/>
            <w:tcBorders>
              <w:top w:val="single" w:sz="8" w:color="DAE8F0"/>
            </w:tcBorders>
            <w:shd w:val="clear" w:color="auto" w:fill="DAE8F0"/>
          </w:tcPr>
          <w:p>
            <w:pPr>
              <w:spacing w:after="0"/>
              <w:rPr>
                <w:sz w:val="18"/>
                <w:szCs w:val="18"/>
                <w:color w:val="auto"/>
              </w:rPr>
            </w:pPr>
          </w:p>
        </w:tc>
        <w:tc>
          <w:tcPr>
            <w:tcW w:w="8980" w:type="dxa"/>
            <w:vAlign w:val="bottom"/>
            <w:tcBorders>
              <w:top w:val="single" w:sz="8" w:color="0563C1"/>
            </w:tcBorders>
            <w:gridSpan w:val="9"/>
            <w:shd w:val="clear" w:color="auto" w:fill="DAE8F0"/>
          </w:tcPr>
          <w:p>
            <w:pPr>
              <w:spacing w:after="0" w:line="196" w:lineRule="exact"/>
              <w:rPr>
                <w:sz w:val="20"/>
                <w:szCs w:val="20"/>
                <w:color w:val="auto"/>
              </w:rPr>
            </w:pPr>
            <w:r>
              <w:rPr>
                <w:rFonts w:ascii="Times New Roman" w:cs="Times New Roman" w:eastAsia="Times New Roman" w:hAnsi="Times New Roman"/>
                <w:sz w:val="18"/>
                <w:szCs w:val="18"/>
                <w:color w:val="0563C1"/>
              </w:rPr>
              <w:t>Form 8-K filed on December 27, 2021) (Commission File No. 1-12744)</w:t>
            </w:r>
          </w:p>
        </w:tc>
        <w:tc>
          <w:tcPr>
            <w:tcW w:w="300" w:type="dxa"/>
            <w:vAlign w:val="bottom"/>
            <w:tcBorders>
              <w:top w:val="single" w:sz="8" w:color="DAE8F0"/>
              <w:right w:val="single" w:sz="8" w:color="91BBD3"/>
            </w:tcBorders>
            <w:gridSpan w:val="21"/>
            <w:shd w:val="clear" w:color="auto" w:fill="DAE8F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182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34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30"/>
              <w:spacing w:after="0" w:line="169" w:lineRule="exact"/>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14"/>
                <w:szCs w:val="14"/>
                <w:color w:val="auto"/>
              </w:rPr>
            </w:pPr>
          </w:p>
        </w:tc>
        <w:tc>
          <w:tcPr>
            <w:tcW w:w="9280" w:type="dxa"/>
            <w:vAlign w:val="bottom"/>
            <w:tcBorders>
              <w:right w:val="single" w:sz="8" w:color="91BBD3"/>
            </w:tcBorders>
            <w:gridSpan w:val="30"/>
          </w:tcPr>
          <w:p>
            <w:pPr>
              <w:spacing w:after="0" w:line="169" w:lineRule="exact"/>
              <w:rPr>
                <w:rFonts w:ascii="Arial" w:cs="Arial" w:eastAsia="Arial" w:hAnsi="Arial"/>
                <w:sz w:val="18"/>
                <w:szCs w:val="18"/>
                <w:color w:val="0563C1"/>
              </w:rPr>
            </w:pPr>
            <w:hyperlink r:id="rId770">
              <w:r>
                <w:rPr>
                  <w:rFonts w:ascii="Arial" w:cs="Arial" w:eastAsia="Arial" w:hAnsi="Arial"/>
                  <w:sz w:val="18"/>
                  <w:szCs w:val="18"/>
                  <w:color w:val="0563C1"/>
                </w:rPr>
                <w:t>Loan Modification No. 1 and Extension Agreement dated as of December 22, 2022, among Martin Marietta</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tcBorders>
              <w:top w:val="single" w:sz="8" w:color="0563C1"/>
            </w:tcBorders>
            <w:gridSpan w:val="21"/>
          </w:tcPr>
          <w:p>
            <w:pPr>
              <w:spacing w:after="0" w:line="182" w:lineRule="exact"/>
              <w:rPr>
                <w:rFonts w:ascii="Arial" w:cs="Arial" w:eastAsia="Arial" w:hAnsi="Arial"/>
                <w:sz w:val="18"/>
                <w:szCs w:val="18"/>
                <w:color w:val="0563C1"/>
              </w:rPr>
            </w:pPr>
            <w:hyperlink r:id="rId770">
              <w:r>
                <w:rPr>
                  <w:rFonts w:ascii="Arial" w:cs="Arial" w:eastAsia="Arial" w:hAnsi="Arial"/>
                  <w:sz w:val="18"/>
                  <w:szCs w:val="18"/>
                  <w:color w:val="0563C1"/>
                </w:rPr>
                <w:t>Materials,  Inc.,  the  Lenders  party  thereto  and  JPMorgan  Chase  Bank,  N.A.,  as  Administrative  Agent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8980" w:type="dxa"/>
            <w:vAlign w:val="bottom"/>
            <w:tcBorders>
              <w:top w:val="single" w:sz="8" w:color="0563C1"/>
              <w:bottom w:val="single" w:sz="8" w:color="0563C1"/>
            </w:tcBorders>
            <w:gridSpan w:val="9"/>
          </w:tcPr>
          <w:p>
            <w:pPr>
              <w:spacing w:after="0" w:line="182" w:lineRule="exact"/>
              <w:rPr>
                <w:rFonts w:ascii="Arial" w:cs="Arial" w:eastAsia="Arial" w:hAnsi="Arial"/>
                <w:sz w:val="18"/>
                <w:szCs w:val="18"/>
                <w:color w:val="0563C1"/>
              </w:rPr>
            </w:pPr>
            <w:hyperlink r:id="rId770">
              <w:r>
                <w:rPr>
                  <w:rFonts w:ascii="Arial" w:cs="Arial" w:eastAsia="Arial" w:hAnsi="Arial"/>
                  <w:sz w:val="18"/>
                  <w:szCs w:val="18"/>
                  <w:color w:val="0563C1"/>
                </w:rPr>
                <w:t>(incorporated by reference to Exhibit 10.1 to the Martin Marietta Materials, Inc., Current Report on Form 8-K filed</w:t>
              </w:r>
            </w:hyperlink>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gridSpan w:val="21"/>
          </w:tcPr>
          <w:p>
            <w:pPr>
              <w:spacing w:after="0" w:line="182" w:lineRule="exact"/>
              <w:rPr>
                <w:rFonts w:ascii="Arial" w:cs="Arial" w:eastAsia="Arial" w:hAnsi="Arial"/>
                <w:sz w:val="18"/>
                <w:szCs w:val="18"/>
                <w:color w:val="0563C1"/>
              </w:rPr>
            </w:pPr>
            <w:hyperlink r:id="rId770">
              <w:r>
                <w:rPr>
                  <w:rFonts w:ascii="Arial" w:cs="Arial" w:eastAsia="Arial" w:hAnsi="Arial"/>
                  <w:sz w:val="18"/>
                  <w:szCs w:val="18"/>
                  <w:color w:val="0563C1"/>
                </w:rPr>
                <w:t>on December 22, 2022)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60" w:type="dxa"/>
            <w:vAlign w:val="bottom"/>
            <w:tcBorders>
              <w:top w:val="single" w:sz="8" w:color="0000EE"/>
              <w:bottom w:val="single" w:sz="8" w:color="91BBD3"/>
            </w:tcBorders>
          </w:tcPr>
          <w:p>
            <w:pPr>
              <w:spacing w:after="0" w:line="20" w:lineRule="exact"/>
              <w:rPr>
                <w:sz w:val="1"/>
                <w:szCs w:val="1"/>
                <w:color w:val="auto"/>
              </w:rPr>
            </w:pPr>
          </w:p>
        </w:tc>
        <w:tc>
          <w:tcPr>
            <w:tcW w:w="1820" w:type="dxa"/>
            <w:vAlign w:val="bottom"/>
            <w:tcBorders>
              <w:top w:val="single" w:sz="8" w:color="0000EE"/>
              <w:bottom w:val="single" w:sz="8" w:color="91BBD3"/>
            </w:tcBorders>
          </w:tcPr>
          <w:p>
            <w:pPr>
              <w:spacing w:after="0" w:line="20" w:lineRule="exact"/>
              <w:rPr>
                <w:sz w:val="1"/>
                <w:szCs w:val="1"/>
                <w:color w:val="auto"/>
              </w:rPr>
            </w:pPr>
          </w:p>
        </w:tc>
        <w:tc>
          <w:tcPr>
            <w:tcW w:w="520" w:type="dxa"/>
            <w:vAlign w:val="bottom"/>
            <w:tcBorders>
              <w:top w:val="single" w:sz="8" w:color="0000EE"/>
              <w:bottom w:val="single" w:sz="8" w:color="91BBD3"/>
            </w:tcBorders>
          </w:tcPr>
          <w:p>
            <w:pPr>
              <w:spacing w:after="0" w:line="20" w:lineRule="exact"/>
              <w:rPr>
                <w:sz w:val="1"/>
                <w:szCs w:val="1"/>
                <w:color w:val="auto"/>
              </w:rPr>
            </w:pPr>
          </w:p>
        </w:tc>
        <w:tc>
          <w:tcPr>
            <w:tcW w:w="9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34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30"/>
              <w:spacing w:after="0" w:line="169" w:lineRule="exact"/>
              <w:rPr>
                <w:sz w:val="20"/>
                <w:szCs w:val="20"/>
                <w:color w:val="auto"/>
              </w:rPr>
            </w:pPr>
            <w:r>
              <w:rPr>
                <w:rFonts w:ascii="Arial" w:cs="Arial" w:eastAsia="Arial" w:hAnsi="Arial"/>
                <w:sz w:val="18"/>
                <w:szCs w:val="18"/>
                <w:b w:val="1"/>
                <w:bCs w:val="1"/>
                <w:color w:val="auto"/>
              </w:rPr>
              <w:t>10.03</w:t>
            </w:r>
          </w:p>
        </w:tc>
        <w:tc>
          <w:tcPr>
            <w:tcW w:w="100" w:type="dxa"/>
            <w:vAlign w:val="bottom"/>
            <w:shd w:val="clear" w:color="auto" w:fill="DAE8F0"/>
          </w:tcPr>
          <w:p>
            <w:pPr>
              <w:spacing w:after="0"/>
              <w:rPr>
                <w:sz w:val="14"/>
                <w:szCs w:val="14"/>
                <w:color w:val="auto"/>
              </w:rPr>
            </w:pPr>
          </w:p>
        </w:tc>
        <w:tc>
          <w:tcPr>
            <w:tcW w:w="9280" w:type="dxa"/>
            <w:vAlign w:val="bottom"/>
            <w:tcBorders>
              <w:right w:val="single" w:sz="8" w:color="91BBD3"/>
            </w:tcBorders>
            <w:gridSpan w:val="30"/>
            <w:shd w:val="clear" w:color="auto" w:fill="DAE8F0"/>
          </w:tcPr>
          <w:p>
            <w:pPr>
              <w:spacing w:after="0" w:line="169" w:lineRule="exact"/>
              <w:rPr>
                <w:rFonts w:ascii="Arial" w:cs="Arial" w:eastAsia="Arial" w:hAnsi="Arial"/>
                <w:sz w:val="18"/>
                <w:szCs w:val="18"/>
                <w:color w:val="0563C1"/>
              </w:rPr>
            </w:pPr>
            <w:hyperlink r:id="rId771">
              <w:r>
                <w:rPr>
                  <w:rFonts w:ascii="Arial" w:cs="Arial" w:eastAsia="Arial" w:hAnsi="Arial"/>
                  <w:sz w:val="18"/>
                  <w:szCs w:val="18"/>
                  <w:color w:val="0563C1"/>
                </w:rPr>
                <w:t>Loan Modification No. 2 and Extension Agreement dated as of December 21, 2023 among the Corporation, the</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320" w:type="dxa"/>
            <w:vAlign w:val="bottom"/>
            <w:tcBorders>
              <w:top w:val="single" w:sz="8" w:color="0563C1"/>
            </w:tcBorders>
            <w:gridSpan w:val="26"/>
            <w:shd w:val="clear" w:color="auto" w:fill="DAE8F0"/>
          </w:tcPr>
          <w:p>
            <w:pPr>
              <w:spacing w:after="0" w:line="182" w:lineRule="exact"/>
              <w:rPr>
                <w:rFonts w:ascii="Arial" w:cs="Arial" w:eastAsia="Arial" w:hAnsi="Arial"/>
                <w:sz w:val="18"/>
                <w:szCs w:val="18"/>
                <w:color w:val="0563C1"/>
              </w:rPr>
            </w:pPr>
            <w:hyperlink r:id="rId771">
              <w:r>
                <w:rPr>
                  <w:rFonts w:ascii="Arial" w:cs="Arial" w:eastAsia="Arial" w:hAnsi="Arial"/>
                  <w:sz w:val="18"/>
                  <w:szCs w:val="18"/>
                  <w:color w:val="0563C1"/>
                </w:rPr>
                <w:t>Lenders party thereto and JPMorgan Chase Bank, N.A., as Administrative Agent (incorporated by reference to</w:t>
              </w:r>
            </w:hyperlink>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29496719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100" w:type="dxa"/>
            <w:vAlign w:val="bottom"/>
            <w:tcBorders>
              <w:top w:val="single" w:sz="8" w:color="0563C1"/>
              <w:bottom w:val="single" w:sz="8" w:color="0563C1"/>
            </w:tcBorders>
            <w:gridSpan w:val="15"/>
            <w:shd w:val="clear" w:color="auto" w:fill="DAE8F0"/>
          </w:tcPr>
          <w:p>
            <w:pPr>
              <w:spacing w:after="0" w:line="182" w:lineRule="exact"/>
              <w:rPr>
                <w:rFonts w:ascii="Arial" w:cs="Arial" w:eastAsia="Arial" w:hAnsi="Arial"/>
                <w:sz w:val="18"/>
                <w:szCs w:val="18"/>
                <w:color w:val="0563C1"/>
              </w:rPr>
            </w:pPr>
            <w:hyperlink r:id="rId771">
              <w:r>
                <w:rPr>
                  <w:rFonts w:ascii="Arial" w:cs="Arial" w:eastAsia="Arial" w:hAnsi="Arial"/>
                  <w:sz w:val="18"/>
                  <w:szCs w:val="18"/>
                  <w:color w:val="0563C1"/>
                </w:rPr>
                <w:t>Exhibit 10.1 to the Martin Marietta Materials, Inc., Current Report on Form 8-K filed on December 21, 2023)</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29496719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200" w:type="dxa"/>
            <w:vAlign w:val="bottom"/>
            <w:gridSpan w:val="20"/>
            <w:shd w:val="clear" w:color="auto" w:fill="DAE8F0"/>
          </w:tcPr>
          <w:p>
            <w:pPr>
              <w:spacing w:after="0" w:line="182" w:lineRule="exact"/>
              <w:rPr>
                <w:rFonts w:ascii="Arial" w:cs="Arial" w:eastAsia="Arial" w:hAnsi="Arial"/>
                <w:sz w:val="18"/>
                <w:szCs w:val="18"/>
                <w:color w:val="0563C1"/>
              </w:rPr>
            </w:pPr>
            <w:hyperlink r:id="rId771">
              <w:r>
                <w:rPr>
                  <w:rFonts w:ascii="Arial" w:cs="Arial" w:eastAsia="Arial" w:hAnsi="Arial"/>
                  <w:sz w:val="18"/>
                  <w:szCs w:val="18"/>
                  <w:color w:val="0563C1"/>
                </w:rPr>
                <w:t>(Commission File No. 1-12744)</w:t>
              </w:r>
            </w:hyperlink>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4294967197" w:type="dxa"/>
            <w:vAlign w:val="bottom"/>
            <w:tcBorders>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182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DAE8F0"/>
            </w:tcBorders>
            <w:shd w:val="clear" w:color="auto" w:fill="91BBD3"/>
          </w:tcPr>
          <w:p>
            <w:pPr>
              <w:spacing w:after="0" w:line="20" w:lineRule="exact"/>
              <w:rPr>
                <w:sz w:val="1"/>
                <w:szCs w:val="1"/>
                <w:color w:val="auto"/>
              </w:rPr>
            </w:pPr>
          </w:p>
        </w:tc>
        <w:tc>
          <w:tcPr>
            <w:tcW w:w="700" w:type="dxa"/>
            <w:vAlign w:val="bottom"/>
            <w:tcBorders>
              <w:top w:val="single" w:sz="8" w:color="DAE8F0"/>
            </w:tcBorders>
            <w:shd w:val="clear" w:color="auto" w:fill="91BBD3"/>
          </w:tcPr>
          <w:p>
            <w:pPr>
              <w:spacing w:after="0" w:line="20" w:lineRule="exact"/>
              <w:rPr>
                <w:sz w:val="1"/>
                <w:szCs w:val="1"/>
                <w:color w:val="auto"/>
              </w:rPr>
            </w:pPr>
          </w:p>
        </w:tc>
        <w:tc>
          <w:tcPr>
            <w:tcW w:w="334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10.04</w:t>
            </w:r>
          </w:p>
        </w:tc>
        <w:tc>
          <w:tcPr>
            <w:tcW w:w="100" w:type="dxa"/>
            <w:vAlign w:val="bottom"/>
          </w:tcPr>
          <w:p>
            <w:pPr>
              <w:spacing w:after="0"/>
              <w:rPr>
                <w:sz w:val="13"/>
                <w:szCs w:val="13"/>
                <w:color w:val="auto"/>
              </w:rPr>
            </w:pPr>
          </w:p>
        </w:tc>
        <w:tc>
          <w:tcPr>
            <w:tcW w:w="9280" w:type="dxa"/>
            <w:vAlign w:val="bottom"/>
            <w:tcBorders>
              <w:right w:val="single" w:sz="8" w:color="91BBD3"/>
            </w:tcBorders>
            <w:gridSpan w:val="30"/>
          </w:tcPr>
          <w:p>
            <w:pPr>
              <w:spacing w:after="0" w:line="156" w:lineRule="exact"/>
              <w:rPr>
                <w:sz w:val="20"/>
                <w:szCs w:val="20"/>
                <w:color w:val="auto"/>
              </w:rPr>
            </w:pPr>
            <w:r>
              <w:rPr>
                <w:rFonts w:ascii="Arial" w:cs="Arial" w:eastAsia="Arial" w:hAnsi="Arial"/>
                <w:sz w:val="18"/>
                <w:szCs w:val="18"/>
                <w:color w:val="0563C1"/>
              </w:rPr>
              <w:t>Loan Modification No. 3 and Extension Agreement dated as of December 20, 2024 among the Corporation, the</w:t>
            </w: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20" w:type="dxa"/>
            <w:vAlign w:val="bottom"/>
            <w:tcBorders>
              <w:top w:val="single" w:sz="8" w:color="0563C1"/>
            </w:tcBorders>
            <w:gridSpan w:val="26"/>
          </w:tcPr>
          <w:p>
            <w:pPr>
              <w:spacing w:after="0" w:line="182" w:lineRule="exact"/>
              <w:rPr>
                <w:sz w:val="20"/>
                <w:szCs w:val="20"/>
                <w:color w:val="auto"/>
              </w:rPr>
            </w:pPr>
            <w:r>
              <w:rPr>
                <w:rFonts w:ascii="Arial" w:cs="Arial" w:eastAsia="Arial" w:hAnsi="Arial"/>
                <w:sz w:val="18"/>
                <w:szCs w:val="18"/>
                <w:color w:val="0563C1"/>
              </w:rPr>
              <w:t>Lenders party thereto and JPMorgan Chase Bank, N.A., as Administrative Agent (incorporated by reference to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0563C1"/>
              <w:bottom w:val="single" w:sz="8" w:color="0563C1"/>
            </w:tcBorders>
            <w:gridSpan w:val="15"/>
          </w:tcPr>
          <w:p>
            <w:pPr>
              <w:spacing w:after="0" w:line="182" w:lineRule="exact"/>
              <w:rPr>
                <w:sz w:val="20"/>
                <w:szCs w:val="20"/>
                <w:color w:val="auto"/>
              </w:rPr>
            </w:pPr>
            <w:r>
              <w:rPr>
                <w:rFonts w:ascii="Arial" w:cs="Arial" w:eastAsia="Arial" w:hAnsi="Arial"/>
                <w:sz w:val="18"/>
                <w:szCs w:val="18"/>
                <w:color w:val="0563C1"/>
              </w:rPr>
              <w:t>Exhibit 10.1 to the Martin Marietta Materials, Inc., Current Report on Form 8-K filed on December 20, 2024)</w:t>
            </w: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gridSpan w:val="20"/>
          </w:tcPr>
          <w:p>
            <w:pPr>
              <w:spacing w:after="0" w:line="182" w:lineRule="exact"/>
              <w:rPr>
                <w:sz w:val="20"/>
                <w:szCs w:val="20"/>
                <w:color w:val="auto"/>
              </w:rPr>
            </w:pPr>
            <w:r>
              <w:rPr>
                <w:rFonts w:ascii="Arial" w:cs="Arial" w:eastAsia="Arial" w:hAnsi="Arial"/>
                <w:sz w:val="18"/>
                <w:szCs w:val="18"/>
                <w:color w:val="0563C1"/>
              </w:rPr>
              <w:t>(Commission File No. 1-12744)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60" w:type="dxa"/>
            <w:vAlign w:val="bottom"/>
            <w:tcBorders>
              <w:top w:val="single" w:sz="8" w:color="0563C1"/>
              <w:bottom w:val="single" w:sz="8" w:color="91BBD3"/>
            </w:tcBorders>
          </w:tcPr>
          <w:p>
            <w:pPr>
              <w:spacing w:after="0" w:line="20" w:lineRule="exact"/>
              <w:rPr>
                <w:sz w:val="1"/>
                <w:szCs w:val="1"/>
                <w:color w:val="auto"/>
              </w:rPr>
            </w:pPr>
          </w:p>
        </w:tc>
        <w:tc>
          <w:tcPr>
            <w:tcW w:w="182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4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34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10.05</w:t>
            </w:r>
          </w:p>
        </w:tc>
        <w:tc>
          <w:tcPr>
            <w:tcW w:w="100" w:type="dxa"/>
            <w:vAlign w:val="bottom"/>
            <w:tcBorders>
              <w:bottom w:val="single" w:sz="8" w:color="DAE8F0"/>
            </w:tcBorders>
            <w:shd w:val="clear" w:color="auto" w:fill="DAE8F0"/>
          </w:tcPr>
          <w:p>
            <w:pPr>
              <w:spacing w:after="0"/>
              <w:rPr>
                <w:sz w:val="13"/>
                <w:szCs w:val="13"/>
                <w:color w:val="auto"/>
              </w:rPr>
            </w:pPr>
          </w:p>
        </w:tc>
        <w:tc>
          <w:tcPr>
            <w:tcW w:w="9240" w:type="dxa"/>
            <w:vAlign w:val="bottom"/>
            <w:tcBorders>
              <w:bottom w:val="single" w:sz="8" w:color="0563C1"/>
            </w:tcBorders>
            <w:gridSpan w:val="22"/>
            <w:shd w:val="clear" w:color="auto" w:fill="DAE8F0"/>
          </w:tcPr>
          <w:p>
            <w:pPr>
              <w:spacing w:after="0" w:line="156" w:lineRule="exact"/>
              <w:rPr>
                <w:rFonts w:ascii="Times New Roman" w:cs="Times New Roman" w:eastAsia="Times New Roman" w:hAnsi="Times New Roman"/>
                <w:sz w:val="18"/>
                <w:szCs w:val="18"/>
                <w:color w:val="0563C1"/>
              </w:rPr>
            </w:pPr>
            <w:hyperlink r:id="rId772">
              <w:r>
                <w:rPr>
                  <w:rFonts w:ascii="Times New Roman" w:cs="Times New Roman" w:eastAsia="Times New Roman" w:hAnsi="Times New Roman"/>
                  <w:sz w:val="18"/>
                  <w:szCs w:val="18"/>
                  <w:color w:val="0563C1"/>
                </w:rPr>
                <w:t>Loan Modification No. 4 and Extension Agreement dated as of December 19, 2025 among the Corporation, the Lenders (as</w:t>
              </w:r>
            </w:hyperlink>
          </w:p>
        </w:tc>
        <w:tc>
          <w:tcPr>
            <w:tcW w:w="40" w:type="dxa"/>
            <w:vAlign w:val="bottom"/>
            <w:tcBorders>
              <w:bottom w:val="single" w:sz="8" w:color="DAE8F0"/>
              <w:right w:val="single" w:sz="8" w:color="91BBD3"/>
            </w:tcBorders>
            <w:gridSpan w:val="8"/>
            <w:shd w:val="clear" w:color="auto" w:fill="DAE8F0"/>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320" w:type="dxa"/>
            <w:vAlign w:val="bottom"/>
            <w:tcBorders>
              <w:bottom w:val="single" w:sz="8" w:color="0563C1"/>
            </w:tcBorders>
            <w:gridSpan w:val="26"/>
            <w:shd w:val="clear" w:color="auto" w:fill="DAE8F0"/>
          </w:tcPr>
          <w:p>
            <w:pPr>
              <w:spacing w:after="0" w:line="196" w:lineRule="exact"/>
              <w:rPr>
                <w:rFonts w:ascii="Times New Roman" w:cs="Times New Roman" w:eastAsia="Times New Roman" w:hAnsi="Times New Roman"/>
                <w:sz w:val="18"/>
                <w:szCs w:val="18"/>
                <w:color w:val="0563C1"/>
              </w:rPr>
            </w:pPr>
            <w:hyperlink r:id="rId772">
              <w:r>
                <w:rPr>
                  <w:rFonts w:ascii="Times New Roman" w:cs="Times New Roman" w:eastAsia="Times New Roman" w:hAnsi="Times New Roman"/>
                  <w:sz w:val="18"/>
                  <w:szCs w:val="18"/>
                  <w:color w:val="0563C1"/>
                </w:rPr>
                <w:t>defined in the Amendment) and JPMorgan Chase Bank, N.A., as Administrative Agent (incorporated by reference to Exhibit</w:t>
              </w:r>
            </w:hyperlink>
          </w:p>
        </w:tc>
        <w:tc>
          <w:tcPr>
            <w:tcW w:w="20" w:type="dxa"/>
            <w:vAlign w:val="bottom"/>
            <w:tcBorders>
              <w:bottom w:val="single" w:sz="8" w:color="0000EE"/>
            </w:tcBorders>
            <w:shd w:val="clear" w:color="auto" w:fill="DAE8F0"/>
          </w:tcPr>
          <w:p>
            <w:pPr>
              <w:spacing w:after="0"/>
              <w:rPr>
                <w:sz w:val="17"/>
                <w:szCs w:val="17"/>
                <w:color w:val="auto"/>
              </w:rPr>
            </w:pPr>
          </w:p>
        </w:tc>
        <w:tc>
          <w:tcPr>
            <w:tcW w:w="4294967237" w:type="dxa"/>
            <w:vAlign w:val="bottom"/>
            <w:tcBorders>
              <w:bottom w:val="single" w:sz="8" w:color="DAE8F0"/>
              <w:right w:val="single" w:sz="8" w:color="91BBD3"/>
            </w:tcBorders>
            <w:gridSpan w:val="3"/>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280" w:type="dxa"/>
            <w:vAlign w:val="bottom"/>
            <w:tcBorders>
              <w:bottom w:val="single" w:sz="8" w:color="0563C1"/>
              <w:right w:val="single" w:sz="8" w:color="91BBD3"/>
            </w:tcBorders>
            <w:gridSpan w:val="30"/>
            <w:shd w:val="clear" w:color="auto" w:fill="DAE8F0"/>
          </w:tcPr>
          <w:p>
            <w:pPr>
              <w:spacing w:after="0" w:line="196" w:lineRule="exact"/>
              <w:rPr>
                <w:rFonts w:ascii="Times New Roman" w:cs="Times New Roman" w:eastAsia="Times New Roman" w:hAnsi="Times New Roman"/>
                <w:sz w:val="18"/>
                <w:szCs w:val="18"/>
                <w:color w:val="0563C1"/>
              </w:rPr>
            </w:pPr>
            <w:hyperlink r:id="rId772">
              <w:r>
                <w:rPr>
                  <w:rFonts w:ascii="Times New Roman" w:cs="Times New Roman" w:eastAsia="Times New Roman" w:hAnsi="Times New Roman"/>
                  <w:sz w:val="18"/>
                  <w:szCs w:val="18"/>
                  <w:color w:val="0563C1"/>
                </w:rPr>
                <w:t>10.1 to the Martin Marietta Materials, Inc. Current Report on Form 8-K filed on December 19, 2025 (Commission File No.</w:t>
              </w:r>
            </w:hyperlink>
          </w:p>
        </w:tc>
        <w:tc>
          <w:tcPr>
            <w:tcW w:w="0" w:type="dxa"/>
            <w:vAlign w:val="bottom"/>
          </w:tcPr>
          <w:p>
            <w:pPr>
              <w:spacing w:after="0"/>
              <w:rPr>
                <w:sz w:val="1"/>
                <w:szCs w:val="1"/>
                <w:color w:val="auto"/>
              </w:rPr>
            </w:pPr>
          </w:p>
        </w:tc>
      </w:tr>
      <w:tr>
        <w:trPr>
          <w:trHeight w:val="217"/>
        </w:trPr>
        <w:tc>
          <w:tcPr>
            <w:tcW w:w="200" w:type="dxa"/>
            <w:vAlign w:val="bottom"/>
            <w:tcBorders>
              <w:right w:val="single" w:sz="8" w:color="91BBD3"/>
            </w:tcBorders>
          </w:tcPr>
          <w:p>
            <w:pPr>
              <w:spacing w:after="0"/>
              <w:rPr>
                <w:sz w:val="18"/>
                <w:szCs w:val="18"/>
                <w:color w:val="auto"/>
              </w:rPr>
            </w:pPr>
          </w:p>
        </w:tc>
        <w:tc>
          <w:tcPr>
            <w:tcW w:w="1660" w:type="dxa"/>
            <w:vAlign w:val="bottom"/>
            <w:tcBorders>
              <w:right w:val="single" w:sz="8" w:color="91BBD3"/>
            </w:tcBorders>
            <w:shd w:val="clear" w:color="auto" w:fill="DAE8F0"/>
          </w:tcPr>
          <w:p>
            <w:pPr>
              <w:spacing w:after="0"/>
              <w:rPr>
                <w:sz w:val="18"/>
                <w:szCs w:val="18"/>
                <w:color w:val="auto"/>
              </w:rPr>
            </w:pPr>
          </w:p>
        </w:tc>
        <w:tc>
          <w:tcPr>
            <w:tcW w:w="2580" w:type="dxa"/>
            <w:vAlign w:val="bottom"/>
            <w:gridSpan w:val="3"/>
            <w:shd w:val="clear" w:color="auto" w:fill="DAE8F0"/>
          </w:tcPr>
          <w:p>
            <w:pPr>
              <w:ind w:left="100"/>
              <w:spacing w:after="0" w:line="196" w:lineRule="exact"/>
              <w:rPr>
                <w:rFonts w:ascii="Times New Roman" w:cs="Times New Roman" w:eastAsia="Times New Roman" w:hAnsi="Times New Roman"/>
                <w:sz w:val="18"/>
                <w:szCs w:val="18"/>
                <w:color w:val="0563C1"/>
              </w:rPr>
            </w:pPr>
            <w:hyperlink r:id="rId772">
              <w:r>
                <w:rPr>
                  <w:rFonts w:ascii="Times New Roman" w:cs="Times New Roman" w:eastAsia="Times New Roman" w:hAnsi="Times New Roman"/>
                  <w:sz w:val="18"/>
                  <w:szCs w:val="18"/>
                  <w:color w:val="0563C1"/>
                </w:rPr>
                <w:t>1-27444)</w:t>
              </w:r>
            </w:hyperlink>
          </w:p>
        </w:tc>
        <w:tc>
          <w:tcPr>
            <w:tcW w:w="520" w:type="dxa"/>
            <w:vAlign w:val="bottom"/>
            <w:shd w:val="clear" w:color="auto" w:fill="DAE8F0"/>
          </w:tcPr>
          <w:p>
            <w:pPr>
              <w:spacing w:after="0"/>
              <w:rPr>
                <w:sz w:val="18"/>
                <w:szCs w:val="18"/>
                <w:color w:val="auto"/>
              </w:rPr>
            </w:pPr>
          </w:p>
        </w:tc>
        <w:tc>
          <w:tcPr>
            <w:tcW w:w="960" w:type="dxa"/>
            <w:vAlign w:val="bottom"/>
            <w:shd w:val="clear" w:color="auto" w:fill="DAE8F0"/>
          </w:tcPr>
          <w:p>
            <w:pPr>
              <w:spacing w:after="0"/>
              <w:rPr>
                <w:sz w:val="18"/>
                <w:szCs w:val="18"/>
                <w:color w:val="auto"/>
              </w:rPr>
            </w:pPr>
          </w:p>
        </w:tc>
        <w:tc>
          <w:tcPr>
            <w:tcW w:w="180" w:type="dxa"/>
            <w:vAlign w:val="bottom"/>
            <w:shd w:val="clear" w:color="auto" w:fill="DAE8F0"/>
          </w:tcPr>
          <w:p>
            <w:pPr>
              <w:spacing w:after="0"/>
              <w:rPr>
                <w:sz w:val="18"/>
                <w:szCs w:val="18"/>
                <w:color w:val="auto"/>
              </w:rPr>
            </w:pPr>
          </w:p>
        </w:tc>
        <w:tc>
          <w:tcPr>
            <w:tcW w:w="340" w:type="dxa"/>
            <w:vAlign w:val="bottom"/>
            <w:shd w:val="clear" w:color="auto" w:fill="DAE8F0"/>
          </w:tcPr>
          <w:p>
            <w:pPr>
              <w:spacing w:after="0"/>
              <w:rPr>
                <w:sz w:val="18"/>
                <w:szCs w:val="18"/>
                <w:color w:val="auto"/>
              </w:rPr>
            </w:pPr>
          </w:p>
        </w:tc>
        <w:tc>
          <w:tcPr>
            <w:tcW w:w="700" w:type="dxa"/>
            <w:vAlign w:val="bottom"/>
            <w:shd w:val="clear" w:color="auto" w:fill="DAE8F0"/>
          </w:tcPr>
          <w:p>
            <w:pPr>
              <w:spacing w:after="0"/>
              <w:rPr>
                <w:sz w:val="18"/>
                <w:szCs w:val="18"/>
                <w:color w:val="auto"/>
              </w:rPr>
            </w:pPr>
          </w:p>
        </w:tc>
        <w:tc>
          <w:tcPr>
            <w:tcW w:w="3340" w:type="dxa"/>
            <w:vAlign w:val="bottom"/>
            <w:shd w:val="clear" w:color="auto" w:fill="DAE8F0"/>
          </w:tcPr>
          <w:p>
            <w:pPr>
              <w:spacing w:after="0"/>
              <w:rPr>
                <w:sz w:val="18"/>
                <w:szCs w:val="18"/>
                <w:color w:val="auto"/>
              </w:rPr>
            </w:pPr>
          </w:p>
        </w:tc>
        <w:tc>
          <w:tcPr>
            <w:tcW w:w="46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20" w:type="dxa"/>
            <w:vAlign w:val="bottom"/>
            <w:shd w:val="clear" w:color="auto" w:fill="DAE8F0"/>
          </w:tcPr>
          <w:p>
            <w:pPr>
              <w:spacing w:after="0"/>
              <w:rPr>
                <w:sz w:val="18"/>
                <w:szCs w:val="18"/>
                <w:color w:val="auto"/>
              </w:rPr>
            </w:pPr>
          </w:p>
        </w:tc>
        <w:tc>
          <w:tcPr>
            <w:tcW w:w="4294967197" w:type="dxa"/>
            <w:vAlign w:val="bottom"/>
            <w:tcBorders>
              <w:right w:val="single" w:sz="8" w:color="91BBD3"/>
            </w:tcBorders>
            <w:shd w:val="clear" w:color="auto" w:fill="DAE8F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18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DAE8F0"/>
            </w:tcBorders>
            <w:shd w:val="clear" w:color="auto" w:fill="91BBD3"/>
          </w:tcPr>
          <w:p>
            <w:pPr>
              <w:spacing w:after="0" w:line="20" w:lineRule="exact"/>
              <w:rPr>
                <w:sz w:val="1"/>
                <w:szCs w:val="1"/>
                <w:color w:val="auto"/>
              </w:rPr>
            </w:pPr>
          </w:p>
        </w:tc>
        <w:tc>
          <w:tcPr>
            <w:tcW w:w="700" w:type="dxa"/>
            <w:vAlign w:val="bottom"/>
            <w:tcBorders>
              <w:top w:val="single" w:sz="8" w:color="DAE8F0"/>
            </w:tcBorders>
            <w:shd w:val="clear" w:color="auto" w:fill="91BBD3"/>
          </w:tcPr>
          <w:p>
            <w:pPr>
              <w:spacing w:after="0" w:line="20" w:lineRule="exact"/>
              <w:rPr>
                <w:sz w:val="1"/>
                <w:szCs w:val="1"/>
                <w:color w:val="auto"/>
              </w:rPr>
            </w:pPr>
          </w:p>
        </w:tc>
        <w:tc>
          <w:tcPr>
            <w:tcW w:w="334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30"/>
              <w:spacing w:after="0" w:line="169" w:lineRule="exact"/>
              <w:rPr>
                <w:sz w:val="20"/>
                <w:szCs w:val="20"/>
                <w:color w:val="auto"/>
              </w:rPr>
            </w:pPr>
            <w:r>
              <w:rPr>
                <w:rFonts w:ascii="Arial" w:cs="Arial" w:eastAsia="Arial" w:hAnsi="Arial"/>
                <w:sz w:val="18"/>
                <w:szCs w:val="18"/>
                <w:b w:val="1"/>
                <w:bCs w:val="1"/>
                <w:color w:val="auto"/>
              </w:rPr>
              <w:t>10.06</w:t>
            </w:r>
          </w:p>
        </w:tc>
        <w:tc>
          <w:tcPr>
            <w:tcW w:w="100" w:type="dxa"/>
            <w:vAlign w:val="bottom"/>
          </w:tcPr>
          <w:p>
            <w:pPr>
              <w:spacing w:after="0"/>
              <w:rPr>
                <w:sz w:val="14"/>
                <w:szCs w:val="14"/>
                <w:color w:val="auto"/>
              </w:rPr>
            </w:pPr>
          </w:p>
        </w:tc>
        <w:tc>
          <w:tcPr>
            <w:tcW w:w="9280" w:type="dxa"/>
            <w:vAlign w:val="bottom"/>
            <w:tcBorders>
              <w:right w:val="single" w:sz="8" w:color="91BBD3"/>
            </w:tcBorders>
            <w:gridSpan w:val="30"/>
          </w:tcPr>
          <w:p>
            <w:pPr>
              <w:spacing w:after="0" w:line="169" w:lineRule="exact"/>
              <w:rPr>
                <w:rFonts w:ascii="Arial" w:cs="Arial" w:eastAsia="Arial" w:hAnsi="Arial"/>
                <w:sz w:val="18"/>
                <w:szCs w:val="18"/>
                <w:color w:val="0563C1"/>
              </w:rPr>
            </w:pPr>
            <w:hyperlink r:id="rId773">
              <w:r>
                <w:rPr>
                  <w:rFonts w:ascii="Arial" w:cs="Arial" w:eastAsia="Arial" w:hAnsi="Arial"/>
                  <w:sz w:val="18"/>
                  <w:szCs w:val="18"/>
                  <w:color w:val="0563C1"/>
                </w:rPr>
                <w:t>Credit and Security Agreement dated as of April 19, 2013, among Martin Marietta Funding LLC, as borrower,</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80" w:type="dxa"/>
            <w:vAlign w:val="bottom"/>
            <w:tcBorders>
              <w:top w:val="single" w:sz="8" w:color="0563C1"/>
            </w:tcBorders>
            <w:gridSpan w:val="19"/>
          </w:tcPr>
          <w:p>
            <w:pPr>
              <w:spacing w:after="0" w:line="182" w:lineRule="exact"/>
              <w:rPr>
                <w:rFonts w:ascii="Arial" w:cs="Arial" w:eastAsia="Arial" w:hAnsi="Arial"/>
                <w:sz w:val="18"/>
                <w:szCs w:val="18"/>
                <w:color w:val="0563C1"/>
              </w:rPr>
            </w:pPr>
            <w:hyperlink r:id="rId773">
              <w:r>
                <w:rPr>
                  <w:rFonts w:ascii="Arial" w:cs="Arial" w:eastAsia="Arial" w:hAnsi="Arial"/>
                  <w:sz w:val="18"/>
                  <w:szCs w:val="18"/>
                  <w:color w:val="0563C1"/>
                </w:rPr>
                <w:t>Martin Marietta Materials, Inc., as servicer, and Truist Bank, as lender, together with the other lenders from time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60" w:type="dxa"/>
            <w:vAlign w:val="bottom"/>
            <w:tcBorders>
              <w:top w:val="single" w:sz="8" w:color="0563C1"/>
              <w:bottom w:val="single" w:sz="8" w:color="0563C1"/>
            </w:tcBorders>
            <w:gridSpan w:val="18"/>
          </w:tcPr>
          <w:p>
            <w:pPr>
              <w:spacing w:after="0" w:line="182" w:lineRule="exact"/>
              <w:rPr>
                <w:rFonts w:ascii="Arial" w:cs="Arial" w:eastAsia="Arial" w:hAnsi="Arial"/>
                <w:sz w:val="18"/>
                <w:szCs w:val="18"/>
                <w:color w:val="0563C1"/>
              </w:rPr>
            </w:pPr>
            <w:hyperlink r:id="rId773">
              <w:r>
                <w:rPr>
                  <w:rFonts w:ascii="Arial" w:cs="Arial" w:eastAsia="Arial" w:hAnsi="Arial"/>
                  <w:sz w:val="18"/>
                  <w:szCs w:val="18"/>
                  <w:color w:val="0563C1"/>
                </w:rPr>
                <w:t>to time party thereto, and Truist Bank, as administrative agent for the lenders (incorporated by reference to</w:t>
              </w:r>
            </w:hyperlink>
          </w:p>
        </w:tc>
        <w:tc>
          <w:tcPr>
            <w:tcW w:w="60" w:type="dxa"/>
            <w:vAlign w:val="bottom"/>
            <w:tcBorders>
              <w:bottom w:val="single" w:sz="8" w:color="0563C1"/>
            </w:tcBorders>
            <w:gridSpan w:val="3"/>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00" w:type="dxa"/>
            <w:vAlign w:val="bottom"/>
            <w:gridSpan w:val="25"/>
          </w:tcPr>
          <w:p>
            <w:pPr>
              <w:spacing w:after="0" w:line="182" w:lineRule="exact"/>
              <w:rPr>
                <w:rFonts w:ascii="Arial" w:cs="Arial" w:eastAsia="Arial" w:hAnsi="Arial"/>
                <w:sz w:val="18"/>
                <w:szCs w:val="18"/>
                <w:color w:val="0563C1"/>
              </w:rPr>
            </w:pPr>
            <w:hyperlink r:id="rId773">
              <w:r>
                <w:rPr>
                  <w:rFonts w:ascii="Arial" w:cs="Arial" w:eastAsia="Arial" w:hAnsi="Arial"/>
                  <w:sz w:val="18"/>
                  <w:szCs w:val="18"/>
                  <w:color w:val="0563C1"/>
                </w:rPr>
                <w:t>Exhibit 10.01 to the Martin Marietta Materials, Inc. Current Report on Form 8-K filed on April 24,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40" w:type="dxa"/>
            <w:vAlign w:val="bottom"/>
            <w:tcBorders>
              <w:top w:val="single" w:sz="8" w:color="0563C1"/>
            </w:tcBorders>
            <w:gridSpan w:val="17"/>
          </w:tcPr>
          <w:p>
            <w:pPr>
              <w:spacing w:after="0" w:line="182" w:lineRule="exact"/>
              <w:rPr>
                <w:rFonts w:ascii="Arial" w:cs="Arial" w:eastAsia="Arial" w:hAnsi="Arial"/>
                <w:sz w:val="18"/>
                <w:szCs w:val="18"/>
                <w:color w:val="0563C1"/>
              </w:rPr>
            </w:pPr>
            <w:hyperlink r:id="rId773">
              <w:r>
                <w:rPr>
                  <w:rFonts w:ascii="Arial" w:cs="Arial" w:eastAsia="Arial" w:hAnsi="Arial"/>
                  <w:sz w:val="18"/>
                  <w:szCs w:val="18"/>
                  <w:color w:val="0563C1"/>
                </w:rPr>
                <w:t>(Commission File No. 1-12744)</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60" w:type="dxa"/>
            <w:vAlign w:val="bottom"/>
            <w:tcBorders>
              <w:top w:val="single" w:sz="8" w:color="0563C1"/>
              <w:bottom w:val="single" w:sz="8" w:color="91BBD3"/>
            </w:tcBorders>
          </w:tcPr>
          <w:p>
            <w:pPr>
              <w:spacing w:after="0" w:line="20" w:lineRule="exact"/>
              <w:rPr>
                <w:sz w:val="1"/>
                <w:szCs w:val="1"/>
                <w:color w:val="auto"/>
              </w:rPr>
            </w:pPr>
          </w:p>
        </w:tc>
        <w:tc>
          <w:tcPr>
            <w:tcW w:w="182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9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4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34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10.07</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0"/>
            <w:shd w:val="clear" w:color="auto" w:fill="DAE8F0"/>
          </w:tcPr>
          <w:p>
            <w:pPr>
              <w:spacing w:after="0" w:line="156" w:lineRule="exact"/>
              <w:rPr>
                <w:rFonts w:ascii="Arial" w:cs="Arial" w:eastAsia="Arial" w:hAnsi="Arial"/>
                <w:sz w:val="18"/>
                <w:szCs w:val="18"/>
                <w:color w:val="0563C1"/>
              </w:rPr>
            </w:pPr>
            <w:hyperlink r:id="rId774">
              <w:r>
                <w:rPr>
                  <w:rFonts w:ascii="Arial" w:cs="Arial" w:eastAsia="Arial" w:hAnsi="Arial"/>
                  <w:sz w:val="18"/>
                  <w:szCs w:val="18"/>
                  <w:color w:val="0563C1"/>
                </w:rPr>
                <w:t>Commitment Letter dated as of June 20, 2014 to the Credit and Security Agreement, dated as of April 19, 2013</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80" w:type="dxa"/>
            <w:vAlign w:val="bottom"/>
            <w:tcBorders>
              <w:top w:val="single" w:sz="8" w:color="0563C1"/>
            </w:tcBorders>
            <w:gridSpan w:val="24"/>
            <w:shd w:val="clear" w:color="auto" w:fill="DAE8F0"/>
          </w:tcPr>
          <w:p>
            <w:pPr>
              <w:spacing w:after="0" w:line="182" w:lineRule="exact"/>
              <w:rPr>
                <w:rFonts w:ascii="Arial" w:cs="Arial" w:eastAsia="Arial" w:hAnsi="Arial"/>
                <w:sz w:val="18"/>
                <w:szCs w:val="18"/>
                <w:color w:val="0563C1"/>
              </w:rPr>
            </w:pPr>
            <w:hyperlink r:id="rId774">
              <w:r>
                <w:rPr>
                  <w:rFonts w:ascii="Arial" w:cs="Arial" w:eastAsia="Arial" w:hAnsi="Arial"/>
                  <w:sz w:val="18"/>
                  <w:szCs w:val="18"/>
                  <w:color w:val="0563C1"/>
                </w:rPr>
                <w:t>(as last amended April 18, 2014), among Martin Marietta Funding LLC, as borrower, Martin Marietta Materials,</w:t>
              </w:r>
            </w:hyperlink>
          </w:p>
        </w:tc>
        <w:tc>
          <w:tcPr>
            <w:tcW w:w="40" w:type="dxa"/>
            <w:vAlign w:val="bottom"/>
            <w:tcBorders>
              <w:top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29496719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060" w:type="dxa"/>
            <w:vAlign w:val="bottom"/>
            <w:tcBorders>
              <w:top w:val="single" w:sz="8" w:color="0563C1"/>
            </w:tcBorders>
            <w:gridSpan w:val="13"/>
            <w:shd w:val="clear" w:color="auto" w:fill="DAE8F0"/>
          </w:tcPr>
          <w:p>
            <w:pPr>
              <w:spacing w:after="0" w:line="182" w:lineRule="exact"/>
              <w:rPr>
                <w:rFonts w:ascii="Arial" w:cs="Arial" w:eastAsia="Arial" w:hAnsi="Arial"/>
                <w:sz w:val="18"/>
                <w:szCs w:val="18"/>
                <w:color w:val="0563C1"/>
              </w:rPr>
            </w:pPr>
            <w:hyperlink r:id="rId774">
              <w:r>
                <w:rPr>
                  <w:rFonts w:ascii="Arial" w:cs="Arial" w:eastAsia="Arial" w:hAnsi="Arial"/>
                  <w:sz w:val="18"/>
                  <w:szCs w:val="18"/>
                  <w:color w:val="0563C1"/>
                </w:rPr>
                <w:t>Inc., as servicer, and Truist Bank, as lender, together with the other lenders from time to time party thereto, and</w:t>
              </w:r>
            </w:hyperlink>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100" w:type="dxa"/>
            <w:vAlign w:val="bottom"/>
            <w:tcBorders>
              <w:top w:val="single" w:sz="8" w:color="DAE8F0"/>
            </w:tcBorders>
            <w:gridSpan w:val="5"/>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60" w:type="dxa"/>
            <w:vAlign w:val="bottom"/>
            <w:tcBorders>
              <w:top w:val="single" w:sz="8" w:color="DAE8F0"/>
            </w:tcBorders>
            <w:gridSpan w:val="3"/>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29496719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040" w:type="dxa"/>
            <w:vAlign w:val="bottom"/>
            <w:tcBorders>
              <w:top w:val="single" w:sz="8" w:color="0563C1"/>
            </w:tcBorders>
            <w:gridSpan w:val="12"/>
            <w:shd w:val="clear" w:color="auto" w:fill="DAE8F0"/>
          </w:tcPr>
          <w:p>
            <w:pPr>
              <w:spacing w:after="0" w:line="182" w:lineRule="exact"/>
              <w:rPr>
                <w:rFonts w:ascii="Arial" w:cs="Arial" w:eastAsia="Arial" w:hAnsi="Arial"/>
                <w:sz w:val="18"/>
                <w:szCs w:val="18"/>
                <w:color w:val="0563C1"/>
              </w:rPr>
            </w:pPr>
            <w:hyperlink r:id="rId774">
              <w:r>
                <w:rPr>
                  <w:rFonts w:ascii="Arial" w:cs="Arial" w:eastAsia="Arial" w:hAnsi="Arial"/>
                  <w:sz w:val="18"/>
                  <w:szCs w:val="18"/>
                  <w:color w:val="0563C1"/>
                </w:rPr>
                <w:t>Truist Bank, as administrative agent for the lenders (incorporated by reference to Exhibit 10.01 to the Martin</w:t>
              </w:r>
            </w:hyperlink>
          </w:p>
        </w:tc>
        <w:tc>
          <w:tcPr>
            <w:tcW w:w="40" w:type="dxa"/>
            <w:vAlign w:val="bottom"/>
            <w:tcBorders>
              <w:top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100" w:type="dxa"/>
            <w:vAlign w:val="bottom"/>
            <w:tcBorders>
              <w:top w:val="single" w:sz="8" w:color="DAE8F0"/>
            </w:tcBorders>
            <w:gridSpan w:val="5"/>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60" w:type="dxa"/>
            <w:vAlign w:val="bottom"/>
            <w:tcBorders>
              <w:top w:val="single" w:sz="8" w:color="DAE8F0"/>
            </w:tcBorders>
            <w:gridSpan w:val="3"/>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29496719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200" w:type="dxa"/>
            <w:vAlign w:val="bottom"/>
            <w:tcBorders>
              <w:top w:val="single" w:sz="8" w:color="0563C1"/>
            </w:tcBorders>
            <w:gridSpan w:val="20"/>
            <w:shd w:val="clear" w:color="auto" w:fill="DAE8F0"/>
          </w:tcPr>
          <w:p>
            <w:pPr>
              <w:spacing w:after="0" w:line="182" w:lineRule="exact"/>
              <w:rPr>
                <w:rFonts w:ascii="Arial" w:cs="Arial" w:eastAsia="Arial" w:hAnsi="Arial"/>
                <w:sz w:val="18"/>
                <w:szCs w:val="18"/>
                <w:color w:val="0563C1"/>
              </w:rPr>
            </w:pPr>
            <w:hyperlink r:id="rId774">
              <w:r>
                <w:rPr>
                  <w:rFonts w:ascii="Arial" w:cs="Arial" w:eastAsia="Arial" w:hAnsi="Arial"/>
                  <w:sz w:val="18"/>
                  <w:szCs w:val="18"/>
                  <w:color w:val="0563C1"/>
                </w:rPr>
                <w:t>Marietta Materials, Inc. Current Report on Form 8-K filed on June 25, 2014) (Commission File No. 1-12744)</w:t>
              </w:r>
            </w:hyperlink>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60" w:type="dxa"/>
            <w:vAlign w:val="bottom"/>
            <w:tcBorders>
              <w:top w:val="single" w:sz="8" w:color="DAE8F0"/>
            </w:tcBorders>
            <w:gridSpan w:val="3"/>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294967197" w:type="dxa"/>
            <w:vAlign w:val="bottom"/>
            <w:tcBorders>
              <w:top w:val="single" w:sz="8" w:color="DAE8F0"/>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182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34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10.08</w:t>
            </w:r>
          </w:p>
        </w:tc>
        <w:tc>
          <w:tcPr>
            <w:tcW w:w="100" w:type="dxa"/>
            <w:vAlign w:val="bottom"/>
          </w:tcPr>
          <w:p>
            <w:pPr>
              <w:spacing w:after="0"/>
              <w:rPr>
                <w:sz w:val="13"/>
                <w:szCs w:val="13"/>
                <w:color w:val="auto"/>
              </w:rPr>
            </w:pPr>
          </w:p>
        </w:tc>
        <w:tc>
          <w:tcPr>
            <w:tcW w:w="9280" w:type="dxa"/>
            <w:vAlign w:val="bottom"/>
            <w:tcBorders>
              <w:right w:val="single" w:sz="8" w:color="91BBD3"/>
            </w:tcBorders>
            <w:gridSpan w:val="30"/>
          </w:tcPr>
          <w:p>
            <w:pPr>
              <w:spacing w:after="0" w:line="156" w:lineRule="exact"/>
              <w:rPr>
                <w:rFonts w:ascii="Arial" w:cs="Arial" w:eastAsia="Arial" w:hAnsi="Arial"/>
                <w:sz w:val="18"/>
                <w:szCs w:val="18"/>
                <w:color w:val="0563C1"/>
              </w:rPr>
            </w:pPr>
            <w:hyperlink r:id="rId775">
              <w:r>
                <w:rPr>
                  <w:rFonts w:ascii="Arial" w:cs="Arial" w:eastAsia="Arial" w:hAnsi="Arial"/>
                  <w:sz w:val="18"/>
                  <w:szCs w:val="18"/>
                  <w:color w:val="0563C1"/>
                </w:rPr>
                <w:t>Second Amendment to Credit and Security Agreement, dated as of April 18, 2014, among Martin Marietta</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tcBorders>
              <w:top w:val="single" w:sz="8" w:color="0563C1"/>
              <w:bottom w:val="single" w:sz="8" w:color="0563C1"/>
            </w:tcBorders>
            <w:gridSpan w:val="27"/>
          </w:tcPr>
          <w:p>
            <w:pPr>
              <w:spacing w:after="0" w:line="182" w:lineRule="exact"/>
              <w:rPr>
                <w:rFonts w:ascii="Arial" w:cs="Arial" w:eastAsia="Arial" w:hAnsi="Arial"/>
                <w:sz w:val="18"/>
                <w:szCs w:val="18"/>
                <w:color w:val="0563C1"/>
              </w:rPr>
            </w:pPr>
            <w:hyperlink r:id="rId775">
              <w:r>
                <w:rPr>
                  <w:rFonts w:ascii="Arial" w:cs="Arial" w:eastAsia="Arial" w:hAnsi="Arial"/>
                  <w:sz w:val="18"/>
                  <w:szCs w:val="18"/>
                  <w:color w:val="0563C1"/>
                </w:rPr>
                <w:t>Funding LLC, as borrower, Martin Marietta Materials, Inc., as servicer, and Truist Bank, as lender, together with</w:t>
              </w:r>
            </w:hyperlink>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60" w:type="dxa"/>
            <w:vAlign w:val="bottom"/>
            <w:tcBorders>
              <w:bottom w:val="single" w:sz="8" w:color="0563C1"/>
            </w:tcBorders>
            <w:gridSpan w:val="28"/>
          </w:tcPr>
          <w:p>
            <w:pPr>
              <w:spacing w:after="0" w:line="182" w:lineRule="exact"/>
              <w:rPr>
                <w:rFonts w:ascii="Arial" w:cs="Arial" w:eastAsia="Arial" w:hAnsi="Arial"/>
                <w:sz w:val="18"/>
                <w:szCs w:val="18"/>
                <w:color w:val="0563C1"/>
              </w:rPr>
            </w:pPr>
            <w:hyperlink r:id="rId775">
              <w:r>
                <w:rPr>
                  <w:rFonts w:ascii="Arial" w:cs="Arial" w:eastAsia="Arial" w:hAnsi="Arial"/>
                  <w:sz w:val="18"/>
                  <w:szCs w:val="18"/>
                  <w:color w:val="0563C1"/>
                </w:rPr>
                <w:t>the other lenders from time to time party thereto, and Truist Bank, as administrative agent for the lenders</w:t>
              </w:r>
            </w:hyperlink>
          </w:p>
        </w:tc>
        <w:tc>
          <w:tcPr>
            <w:tcW w:w="20" w:type="dxa"/>
            <w:vAlign w:val="bottom"/>
            <w:tcBorders>
              <w:bottom w:val="single" w:sz="8" w:color="0563C1"/>
            </w:tcBorders>
          </w:tcPr>
          <w:p>
            <w:pPr>
              <w:spacing w:after="0"/>
              <w:rPr>
                <w:sz w:val="15"/>
                <w:szCs w:val="15"/>
                <w:color w:val="auto"/>
              </w:rPr>
            </w:pPr>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gridSpan w:val="29"/>
          </w:tcPr>
          <w:p>
            <w:pPr>
              <w:spacing w:after="0" w:line="182" w:lineRule="exact"/>
              <w:rPr>
                <w:rFonts w:ascii="Arial" w:cs="Arial" w:eastAsia="Arial" w:hAnsi="Arial"/>
                <w:sz w:val="18"/>
                <w:szCs w:val="18"/>
                <w:color w:val="0563C1"/>
              </w:rPr>
            </w:pPr>
            <w:hyperlink r:id="rId775">
              <w:r>
                <w:rPr>
                  <w:rFonts w:ascii="Arial" w:cs="Arial" w:eastAsia="Arial" w:hAnsi="Arial"/>
                  <w:sz w:val="18"/>
                  <w:szCs w:val="18"/>
                  <w:color w:val="0563C1"/>
                </w:rPr>
                <w:t>(incorporated by reference to Exhibit 10.01 to the Martin Marietta Materials, Inc. Current Report on Form 8-K filed</w:t>
              </w:r>
            </w:hyperlink>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tcBorders>
              <w:top w:val="single" w:sz="8" w:color="0563C1"/>
            </w:tcBorders>
            <w:gridSpan w:val="14"/>
          </w:tcPr>
          <w:p>
            <w:pPr>
              <w:spacing w:after="0" w:line="182" w:lineRule="exact"/>
              <w:rPr>
                <w:rFonts w:ascii="Arial" w:cs="Arial" w:eastAsia="Arial" w:hAnsi="Arial"/>
                <w:sz w:val="18"/>
                <w:szCs w:val="18"/>
                <w:color w:val="0563C1"/>
              </w:rPr>
            </w:pPr>
            <w:hyperlink r:id="rId775">
              <w:r>
                <w:rPr>
                  <w:rFonts w:ascii="Arial" w:cs="Arial" w:eastAsia="Arial" w:hAnsi="Arial"/>
                  <w:sz w:val="18"/>
                  <w:szCs w:val="18"/>
                  <w:color w:val="0563C1"/>
                </w:rPr>
                <w:t>on April 24, 2014)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right w:val="single" w:sz="8" w:color="91BBD3"/>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60" w:type="dxa"/>
            <w:vAlign w:val="bottom"/>
            <w:tcBorders>
              <w:top w:val="single" w:sz="8" w:color="0563C1"/>
              <w:bottom w:val="single" w:sz="8" w:color="91BBD3"/>
            </w:tcBorders>
          </w:tcPr>
          <w:p>
            <w:pPr>
              <w:spacing w:after="0" w:line="20" w:lineRule="exact"/>
              <w:rPr>
                <w:sz w:val="1"/>
                <w:szCs w:val="1"/>
                <w:color w:val="auto"/>
              </w:rPr>
            </w:pPr>
          </w:p>
        </w:tc>
        <w:tc>
          <w:tcPr>
            <w:tcW w:w="182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4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34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10.09</w:t>
            </w:r>
          </w:p>
        </w:tc>
        <w:tc>
          <w:tcPr>
            <w:tcW w:w="100" w:type="dxa"/>
            <w:vAlign w:val="bottom"/>
            <w:tcBorders>
              <w:bottom w:val="single" w:sz="8" w:color="DAE8F0"/>
            </w:tcBorders>
            <w:shd w:val="clear" w:color="auto" w:fill="DAE8F0"/>
          </w:tcPr>
          <w:p>
            <w:pPr>
              <w:spacing w:after="0"/>
              <w:rPr>
                <w:sz w:val="13"/>
                <w:szCs w:val="13"/>
                <w:color w:val="auto"/>
              </w:rPr>
            </w:pPr>
          </w:p>
        </w:tc>
        <w:tc>
          <w:tcPr>
            <w:tcW w:w="9000" w:type="dxa"/>
            <w:vAlign w:val="bottom"/>
            <w:tcBorders>
              <w:bottom w:val="single" w:sz="8" w:color="0563C1"/>
            </w:tcBorders>
            <w:gridSpan w:val="10"/>
            <w:shd w:val="clear" w:color="auto" w:fill="DAE8F0"/>
          </w:tcPr>
          <w:p>
            <w:pPr>
              <w:spacing w:after="0" w:line="156" w:lineRule="exact"/>
              <w:rPr>
                <w:rFonts w:ascii="Arial" w:cs="Arial" w:eastAsia="Arial" w:hAnsi="Arial"/>
                <w:sz w:val="18"/>
                <w:szCs w:val="18"/>
                <w:color w:val="0563C1"/>
              </w:rPr>
            </w:pPr>
            <w:hyperlink r:id="rId776">
              <w:r>
                <w:rPr>
                  <w:rFonts w:ascii="Arial" w:cs="Arial" w:eastAsia="Arial" w:hAnsi="Arial"/>
                  <w:sz w:val="18"/>
                  <w:szCs w:val="18"/>
                  <w:color w:val="0563C1"/>
                </w:rPr>
                <w:t>Fifth Amendment to Credit and Security Agreement, dated as of September 30, 2014, among Martin Marietta</w:t>
              </w:r>
            </w:hyperlink>
          </w:p>
        </w:tc>
        <w:tc>
          <w:tcPr>
            <w:tcW w:w="20" w:type="dxa"/>
            <w:vAlign w:val="bottom"/>
            <w:tcBorders>
              <w:bottom w:val="single" w:sz="8" w:color="0000EE"/>
            </w:tcBorders>
            <w:shd w:val="clear" w:color="auto" w:fill="DAE8F0"/>
          </w:tcPr>
          <w:p>
            <w:pPr>
              <w:spacing w:after="0"/>
              <w:rPr>
                <w:sz w:val="13"/>
                <w:szCs w:val="13"/>
                <w:color w:val="auto"/>
              </w:rPr>
            </w:pPr>
          </w:p>
        </w:tc>
        <w:tc>
          <w:tcPr>
            <w:tcW w:w="260" w:type="dxa"/>
            <w:vAlign w:val="bottom"/>
            <w:tcBorders>
              <w:bottom w:val="single" w:sz="8" w:color="DAE8F0"/>
              <w:right w:val="single" w:sz="8" w:color="91BBD3"/>
            </w:tcBorders>
            <w:gridSpan w:val="19"/>
            <w:shd w:val="clear" w:color="auto" w:fill="DAE8F0"/>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020" w:type="dxa"/>
            <w:vAlign w:val="bottom"/>
            <w:gridSpan w:val="11"/>
            <w:shd w:val="clear" w:color="auto" w:fill="DAE8F0"/>
          </w:tcPr>
          <w:p>
            <w:pPr>
              <w:spacing w:after="0" w:line="182" w:lineRule="exact"/>
              <w:rPr>
                <w:rFonts w:ascii="Arial" w:cs="Arial" w:eastAsia="Arial" w:hAnsi="Arial"/>
                <w:sz w:val="18"/>
                <w:szCs w:val="18"/>
                <w:color w:val="0563C1"/>
              </w:rPr>
            </w:pPr>
            <w:hyperlink r:id="rId776">
              <w:r>
                <w:rPr>
                  <w:rFonts w:ascii="Arial" w:cs="Arial" w:eastAsia="Arial" w:hAnsi="Arial"/>
                  <w:sz w:val="18"/>
                  <w:szCs w:val="18"/>
                  <w:color w:val="0563C1"/>
                </w:rPr>
                <w:t>Funding LLC, as borrower, Martin Marietta Materials, Inc., as servicer, and Truist Bank, as lender, together with</w:t>
              </w:r>
            </w:hyperlink>
          </w:p>
        </w:tc>
        <w:tc>
          <w:tcPr>
            <w:tcW w:w="80" w:type="dxa"/>
            <w:vAlign w:val="bottom"/>
            <w:gridSpan w:val="4"/>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100" w:type="dxa"/>
            <w:vAlign w:val="bottom"/>
            <w:gridSpan w:val="5"/>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20" w:type="dxa"/>
            <w:vAlign w:val="bottom"/>
            <w:tcBorders>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360" w:type="dxa"/>
            <w:vAlign w:val="bottom"/>
            <w:tcBorders>
              <w:top w:val="single" w:sz="8" w:color="0563C1"/>
            </w:tcBorders>
            <w:gridSpan w:val="28"/>
            <w:shd w:val="clear" w:color="auto" w:fill="DAE8F0"/>
          </w:tcPr>
          <w:p>
            <w:pPr>
              <w:spacing w:after="0" w:line="182" w:lineRule="exact"/>
              <w:rPr>
                <w:rFonts w:ascii="Arial" w:cs="Arial" w:eastAsia="Arial" w:hAnsi="Arial"/>
                <w:sz w:val="18"/>
                <w:szCs w:val="18"/>
                <w:color w:val="0563C1"/>
              </w:rPr>
            </w:pPr>
            <w:hyperlink r:id="rId776">
              <w:r>
                <w:rPr>
                  <w:rFonts w:ascii="Arial" w:cs="Arial" w:eastAsia="Arial" w:hAnsi="Arial"/>
                  <w:sz w:val="18"/>
                  <w:szCs w:val="18"/>
                  <w:color w:val="0563C1"/>
                </w:rPr>
                <w:t>the other lenders from time to time party thereto, and Truist Bank, as administrative agent for the lenders</w:t>
              </w:r>
            </w:hyperlink>
          </w:p>
        </w:tc>
        <w:tc>
          <w:tcPr>
            <w:tcW w:w="4294967217" w:type="dxa"/>
            <w:vAlign w:val="bottom"/>
            <w:tcBorders>
              <w:top w:val="single" w:sz="8" w:color="DAE8F0"/>
              <w:right w:val="single" w:sz="8" w:color="91BBD3"/>
            </w:tcBorders>
            <w:gridSpan w:val="2"/>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380" w:type="dxa"/>
            <w:vAlign w:val="bottom"/>
            <w:tcBorders>
              <w:top w:val="single" w:sz="8" w:color="0563C1"/>
            </w:tcBorders>
            <w:gridSpan w:val="29"/>
            <w:shd w:val="clear" w:color="auto" w:fill="DAE8F0"/>
          </w:tcPr>
          <w:p>
            <w:pPr>
              <w:spacing w:after="0" w:line="182" w:lineRule="exact"/>
              <w:rPr>
                <w:rFonts w:ascii="Arial" w:cs="Arial" w:eastAsia="Arial" w:hAnsi="Arial"/>
                <w:sz w:val="18"/>
                <w:szCs w:val="18"/>
                <w:color w:val="0563C1"/>
              </w:rPr>
            </w:pPr>
            <w:hyperlink r:id="rId776">
              <w:r>
                <w:rPr>
                  <w:rFonts w:ascii="Arial" w:cs="Arial" w:eastAsia="Arial" w:hAnsi="Arial"/>
                  <w:sz w:val="18"/>
                  <w:szCs w:val="18"/>
                  <w:color w:val="0563C1"/>
                </w:rPr>
                <w:t>(incorporated by reference to Exhibit 10.01 to the Martin Marietta Materials, Inc. Current Report on Form 8-K filed</w:t>
              </w:r>
            </w:hyperlink>
          </w:p>
        </w:tc>
        <w:tc>
          <w:tcPr>
            <w:tcW w:w="429496719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4140" w:type="dxa"/>
            <w:vAlign w:val="bottom"/>
            <w:tcBorders>
              <w:top w:val="single" w:sz="8" w:color="0563C1"/>
              <w:bottom w:val="single" w:sz="8" w:color="0563C1"/>
            </w:tcBorders>
            <w:gridSpan w:val="5"/>
            <w:shd w:val="clear" w:color="auto" w:fill="DAE8F0"/>
          </w:tcPr>
          <w:p>
            <w:pPr>
              <w:spacing w:after="0" w:line="182" w:lineRule="exact"/>
              <w:rPr>
                <w:rFonts w:ascii="Arial" w:cs="Arial" w:eastAsia="Arial" w:hAnsi="Arial"/>
                <w:sz w:val="18"/>
                <w:szCs w:val="18"/>
                <w:color w:val="0563C1"/>
                <w:w w:val="99"/>
              </w:rPr>
            </w:pPr>
            <w:hyperlink r:id="rId776">
              <w:r>
                <w:rPr>
                  <w:rFonts w:ascii="Arial" w:cs="Arial" w:eastAsia="Arial" w:hAnsi="Arial"/>
                  <w:sz w:val="18"/>
                  <w:szCs w:val="18"/>
                  <w:color w:val="0563C1"/>
                  <w:w w:val="99"/>
                </w:rPr>
                <w:t>on October 3, 2014) (Commission File No. 1-12744)</w:t>
              </w:r>
            </w:hyperlink>
          </w:p>
        </w:tc>
        <w:tc>
          <w:tcPr>
            <w:tcW w:w="4940" w:type="dxa"/>
            <w:vAlign w:val="bottom"/>
            <w:tcBorders>
              <w:top w:val="single" w:sz="8" w:color="0563C1"/>
              <w:bottom w:val="single" w:sz="8" w:color="91BBD3"/>
            </w:tcBorders>
            <w:gridSpan w:val="9"/>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gridSpan w:val="5"/>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right w:val="single" w:sz="8" w:color="91BBD3"/>
            </w:tcBorders>
            <w:gridSpan w:val="7"/>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13"/>
                <w:szCs w:val="13"/>
                <w:color w:val="auto"/>
              </w:rPr>
            </w:pPr>
          </w:p>
        </w:tc>
        <w:tc>
          <w:tcPr>
            <w:tcW w:w="9280" w:type="dxa"/>
            <w:vAlign w:val="bottom"/>
            <w:tcBorders>
              <w:right w:val="single" w:sz="8" w:color="91BBD3"/>
            </w:tcBorders>
            <w:gridSpan w:val="30"/>
          </w:tcPr>
          <w:p>
            <w:pPr>
              <w:spacing w:after="0" w:line="156" w:lineRule="exact"/>
              <w:rPr>
                <w:rFonts w:ascii="Arial" w:cs="Arial" w:eastAsia="Arial" w:hAnsi="Arial"/>
                <w:sz w:val="18"/>
                <w:szCs w:val="18"/>
                <w:color w:val="0563C1"/>
              </w:rPr>
            </w:pPr>
            <w:hyperlink r:id="rId777">
              <w:r>
                <w:rPr>
                  <w:rFonts w:ascii="Arial" w:cs="Arial" w:eastAsia="Arial" w:hAnsi="Arial"/>
                  <w:sz w:val="18"/>
                  <w:szCs w:val="18"/>
                  <w:color w:val="0563C1"/>
                </w:rPr>
                <w:t>Seventh Amendment to Credit and Security Agreement, dated as of September 28, 2016, among Martin Marietta</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00" w:type="dxa"/>
            <w:vAlign w:val="bottom"/>
            <w:tcBorders>
              <w:top w:val="single" w:sz="8" w:color="0563C1"/>
            </w:tcBorders>
            <w:gridSpan w:val="10"/>
          </w:tcPr>
          <w:p>
            <w:pPr>
              <w:spacing w:after="0" w:line="182" w:lineRule="exact"/>
              <w:rPr>
                <w:rFonts w:ascii="Arial" w:cs="Arial" w:eastAsia="Arial" w:hAnsi="Arial"/>
                <w:sz w:val="18"/>
                <w:szCs w:val="18"/>
                <w:color w:val="0563C1"/>
              </w:rPr>
            </w:pPr>
            <w:hyperlink r:id="rId777">
              <w:r>
                <w:rPr>
                  <w:rFonts w:ascii="Arial" w:cs="Arial" w:eastAsia="Arial" w:hAnsi="Arial"/>
                  <w:sz w:val="18"/>
                  <w:szCs w:val="18"/>
                  <w:color w:val="0563C1"/>
                </w:rPr>
                <w:t>Funding LLC, as borrower, Martin Marietta Materials, Inc., as servicer, and Truist Bank, as lender, together with</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right w:val="single" w:sz="8" w:color="91BBD3"/>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60" w:type="dxa"/>
            <w:vAlign w:val="bottom"/>
            <w:tcBorders>
              <w:top w:val="single" w:sz="8" w:color="0563C1"/>
            </w:tcBorders>
            <w:gridSpan w:val="28"/>
          </w:tcPr>
          <w:p>
            <w:pPr>
              <w:spacing w:after="0" w:line="182" w:lineRule="exact"/>
              <w:rPr>
                <w:rFonts w:ascii="Arial" w:cs="Arial" w:eastAsia="Arial" w:hAnsi="Arial"/>
                <w:sz w:val="18"/>
                <w:szCs w:val="18"/>
                <w:color w:val="0563C1"/>
              </w:rPr>
            </w:pPr>
            <w:hyperlink r:id="rId777">
              <w:r>
                <w:rPr>
                  <w:rFonts w:ascii="Arial" w:cs="Arial" w:eastAsia="Arial" w:hAnsi="Arial"/>
                  <w:sz w:val="18"/>
                  <w:szCs w:val="18"/>
                  <w:color w:val="0563C1"/>
                </w:rPr>
                <w:t>the other lenders from time to time party thereto, and Truist Bank, as administrative agent for the lenders</w:t>
              </w:r>
            </w:hyperlink>
          </w:p>
        </w:tc>
        <w:tc>
          <w:tcPr>
            <w:tcW w:w="4294967217" w:type="dxa"/>
            <w:vAlign w:val="bottom"/>
            <w:tcBorders>
              <w:right w:val="single" w:sz="8" w:color="91BBD3"/>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top w:val="single" w:sz="8" w:color="0563C1"/>
            </w:tcBorders>
            <w:gridSpan w:val="29"/>
          </w:tcPr>
          <w:p>
            <w:pPr>
              <w:spacing w:after="0" w:line="182" w:lineRule="exact"/>
              <w:rPr>
                <w:rFonts w:ascii="Arial" w:cs="Arial" w:eastAsia="Arial" w:hAnsi="Arial"/>
                <w:sz w:val="18"/>
                <w:szCs w:val="18"/>
                <w:color w:val="0563C1"/>
              </w:rPr>
            </w:pPr>
            <w:hyperlink r:id="rId777">
              <w:r>
                <w:rPr>
                  <w:rFonts w:ascii="Arial" w:cs="Arial" w:eastAsia="Arial" w:hAnsi="Arial"/>
                  <w:sz w:val="18"/>
                  <w:szCs w:val="18"/>
                  <w:color w:val="0563C1"/>
                </w:rPr>
                <w:t>(incorporated by reference to Exhibit 10.01 to the Martin Marietta Materials, Inc. Current Report on Form 8-K filed</w:t>
              </w:r>
            </w:hyperlink>
          </w:p>
        </w:tc>
        <w:tc>
          <w:tcPr>
            <w:tcW w:w="429496719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tcBorders>
              <w:top w:val="single" w:sz="8" w:color="0563C1"/>
            </w:tcBorders>
            <w:gridSpan w:val="14"/>
          </w:tcPr>
          <w:p>
            <w:pPr>
              <w:spacing w:after="0" w:line="182" w:lineRule="exact"/>
              <w:rPr>
                <w:rFonts w:ascii="Arial" w:cs="Arial" w:eastAsia="Arial" w:hAnsi="Arial"/>
                <w:sz w:val="18"/>
                <w:szCs w:val="18"/>
                <w:color w:val="0563C1"/>
              </w:rPr>
            </w:pPr>
            <w:hyperlink r:id="rId777">
              <w:r>
                <w:rPr>
                  <w:rFonts w:ascii="Arial" w:cs="Arial" w:eastAsia="Arial" w:hAnsi="Arial"/>
                  <w:sz w:val="18"/>
                  <w:szCs w:val="18"/>
                  <w:color w:val="0563C1"/>
                </w:rPr>
                <w:t>on September 30, 2016)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right w:val="single" w:sz="8" w:color="91BBD3"/>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660" w:type="dxa"/>
            <w:vAlign w:val="bottom"/>
            <w:tcBorders>
              <w:top w:val="single" w:sz="8" w:color="0563C1"/>
              <w:bottom w:val="single" w:sz="8" w:color="91BBD3"/>
            </w:tcBorders>
          </w:tcPr>
          <w:p>
            <w:pPr>
              <w:spacing w:after="0" w:line="20" w:lineRule="exact"/>
              <w:rPr>
                <w:sz w:val="1"/>
                <w:szCs w:val="1"/>
                <w:color w:val="auto"/>
              </w:rPr>
            </w:pPr>
          </w:p>
        </w:tc>
        <w:tc>
          <w:tcPr>
            <w:tcW w:w="182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9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top w:val="single" w:sz="8" w:color="0563C1"/>
              <w:bottom w:val="single" w:sz="8" w:color="91BBD3"/>
            </w:tcBorders>
          </w:tcPr>
          <w:p>
            <w:pPr>
              <w:spacing w:after="0" w:line="20" w:lineRule="exact"/>
              <w:rPr>
                <w:sz w:val="1"/>
                <w:szCs w:val="1"/>
                <w:color w:val="auto"/>
              </w:rPr>
            </w:pPr>
          </w:p>
        </w:tc>
        <w:tc>
          <w:tcPr>
            <w:tcW w:w="340" w:type="dxa"/>
            <w:vAlign w:val="bottom"/>
            <w:tcBorders>
              <w:top w:val="single" w:sz="8" w:color="0563C1"/>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34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10.11</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0"/>
            <w:shd w:val="clear" w:color="auto" w:fill="DAE8F0"/>
          </w:tcPr>
          <w:p>
            <w:pPr>
              <w:spacing w:after="0" w:line="156" w:lineRule="exact"/>
              <w:rPr>
                <w:rFonts w:ascii="Arial" w:cs="Arial" w:eastAsia="Arial" w:hAnsi="Arial"/>
                <w:sz w:val="18"/>
                <w:szCs w:val="18"/>
                <w:color w:val="0563C1"/>
              </w:rPr>
            </w:pPr>
            <w:hyperlink r:id="rId778">
              <w:r>
                <w:rPr>
                  <w:rFonts w:ascii="Arial" w:cs="Arial" w:eastAsia="Arial" w:hAnsi="Arial"/>
                  <w:sz w:val="18"/>
                  <w:szCs w:val="18"/>
                  <w:color w:val="0563C1"/>
                </w:rPr>
                <w:t>Ninth Amendment to Credit and Security Agreement, dated as of April 17, 2018, among Martin Marietta Funding</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60" w:type="dxa"/>
            <w:vAlign w:val="bottom"/>
            <w:tcBorders>
              <w:top w:val="single" w:sz="8" w:color="0563C1"/>
            </w:tcBorders>
            <w:gridSpan w:val="23"/>
            <w:shd w:val="clear" w:color="auto" w:fill="DAE8F0"/>
          </w:tcPr>
          <w:p>
            <w:pPr>
              <w:spacing w:after="0" w:line="182" w:lineRule="exact"/>
              <w:rPr>
                <w:rFonts w:ascii="Arial" w:cs="Arial" w:eastAsia="Arial" w:hAnsi="Arial"/>
                <w:sz w:val="18"/>
                <w:szCs w:val="18"/>
                <w:color w:val="0563C1"/>
              </w:rPr>
            </w:pPr>
            <w:hyperlink r:id="rId778">
              <w:r>
                <w:rPr>
                  <w:rFonts w:ascii="Arial" w:cs="Arial" w:eastAsia="Arial" w:hAnsi="Arial"/>
                  <w:sz w:val="18"/>
                  <w:szCs w:val="18"/>
                  <w:color w:val="0563C1"/>
                </w:rPr>
                <w:t>LLC, as borrower, Martin Marietta Materials, Inc., as servicer, and Truist Bank, as lender, together with the other</w:t>
              </w:r>
            </w:hyperlink>
          </w:p>
        </w:tc>
        <w:tc>
          <w:tcPr>
            <w:tcW w:w="20" w:type="dxa"/>
            <w:vAlign w:val="bottom"/>
            <w:tcBorders>
              <w:top w:val="single" w:sz="8" w:color="DAE8F0"/>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120" w:type="dxa"/>
            <w:vAlign w:val="bottom"/>
            <w:tcBorders>
              <w:top w:val="single" w:sz="8" w:color="0563C1"/>
              <w:bottom w:val="single" w:sz="8" w:color="0563C1"/>
            </w:tcBorders>
            <w:gridSpan w:val="16"/>
            <w:shd w:val="clear" w:color="auto" w:fill="DAE8F0"/>
          </w:tcPr>
          <w:p>
            <w:pPr>
              <w:spacing w:after="0" w:line="182" w:lineRule="exact"/>
              <w:rPr>
                <w:rFonts w:ascii="Arial" w:cs="Arial" w:eastAsia="Arial" w:hAnsi="Arial"/>
                <w:sz w:val="18"/>
                <w:szCs w:val="18"/>
                <w:color w:val="0563C1"/>
              </w:rPr>
            </w:pPr>
            <w:hyperlink r:id="rId778">
              <w:r>
                <w:rPr>
                  <w:rFonts w:ascii="Arial" w:cs="Arial" w:eastAsia="Arial" w:hAnsi="Arial"/>
                  <w:sz w:val="18"/>
                  <w:szCs w:val="18"/>
                  <w:color w:val="0563C1"/>
                </w:rPr>
                <w:t>lenders from time to time party thereto, and Truist Bank, as administrative agent for the lenders (incorporated by</w:t>
              </w:r>
            </w:hyperlink>
          </w:p>
        </w:tc>
        <w:tc>
          <w:tcPr>
            <w:tcW w:w="100" w:type="dxa"/>
            <w:vAlign w:val="bottom"/>
            <w:tcBorders>
              <w:top w:val="single" w:sz="8" w:color="DAE8F0"/>
              <w:bottom w:val="single" w:sz="8" w:color="0563C1"/>
            </w:tcBorders>
            <w:gridSpan w:val="5"/>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0" w:type="dxa"/>
            <w:vAlign w:val="bottom"/>
            <w:tcBorders>
              <w:top w:val="single" w:sz="8" w:color="DAE8F0"/>
              <w:bottom w:val="single" w:sz="8" w:color="DAE8F0"/>
              <w:right w:val="single" w:sz="8" w:color="91BBD3"/>
            </w:tcBorders>
            <w:gridSpan w:val="8"/>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240" w:type="dxa"/>
            <w:vAlign w:val="bottom"/>
            <w:gridSpan w:val="22"/>
            <w:shd w:val="clear" w:color="auto" w:fill="DAE8F0"/>
          </w:tcPr>
          <w:p>
            <w:pPr>
              <w:spacing w:after="0" w:line="182" w:lineRule="exact"/>
              <w:rPr>
                <w:rFonts w:ascii="Arial" w:cs="Arial" w:eastAsia="Arial" w:hAnsi="Arial"/>
                <w:sz w:val="18"/>
                <w:szCs w:val="18"/>
                <w:color w:val="0563C1"/>
              </w:rPr>
            </w:pPr>
            <w:hyperlink r:id="rId778">
              <w:r>
                <w:rPr>
                  <w:rFonts w:ascii="Arial" w:cs="Arial" w:eastAsia="Arial" w:hAnsi="Arial"/>
                  <w:sz w:val="18"/>
                  <w:szCs w:val="18"/>
                  <w:color w:val="0563C1"/>
                </w:rPr>
                <w:t>reference to Exhibit 10.1 to the Martin Marietta Materials, Inc. Current Report on Form 8-K filed on April 17,</w:t>
              </w:r>
            </w:hyperlink>
          </w:p>
        </w:tc>
        <w:tc>
          <w:tcPr>
            <w:tcW w:w="40" w:type="dxa"/>
            <w:vAlign w:val="bottom"/>
            <w:tcBorders>
              <w:right w:val="single" w:sz="8" w:color="91BBD3"/>
            </w:tcBorders>
            <w:gridSpan w:val="8"/>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3000" w:type="dxa"/>
            <w:vAlign w:val="bottom"/>
            <w:tcBorders>
              <w:top w:val="single" w:sz="8" w:color="0563C1"/>
              <w:bottom w:val="single" w:sz="8" w:color="0563C1"/>
            </w:tcBorders>
            <w:gridSpan w:val="3"/>
            <w:shd w:val="clear" w:color="auto" w:fill="DAE8F0"/>
          </w:tcPr>
          <w:p>
            <w:pPr>
              <w:spacing w:after="0" w:line="182" w:lineRule="exact"/>
              <w:rPr>
                <w:rFonts w:ascii="Arial" w:cs="Arial" w:eastAsia="Arial" w:hAnsi="Arial"/>
                <w:sz w:val="18"/>
                <w:szCs w:val="18"/>
                <w:color w:val="0563C1"/>
                <w:w w:val="99"/>
              </w:rPr>
            </w:pPr>
            <w:hyperlink r:id="rId778">
              <w:r>
                <w:rPr>
                  <w:rFonts w:ascii="Arial" w:cs="Arial" w:eastAsia="Arial" w:hAnsi="Arial"/>
                  <w:sz w:val="18"/>
                  <w:szCs w:val="18"/>
                  <w:color w:val="0563C1"/>
                  <w:w w:val="99"/>
                </w:rPr>
                <w:t>2018) (Commission File No. 1-12744)</w:t>
              </w:r>
            </w:hyperlink>
          </w:p>
        </w:tc>
        <w:tc>
          <w:tcPr>
            <w:tcW w:w="6280" w:type="dxa"/>
            <w:vAlign w:val="bottom"/>
            <w:tcBorders>
              <w:top w:val="single" w:sz="8" w:color="0563C1"/>
              <w:bottom w:val="single" w:sz="8" w:color="91BBD3"/>
              <w:right w:val="single" w:sz="8" w:color="91BBD3"/>
            </w:tcBorders>
            <w:gridSpan w:val="27"/>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86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5"/>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97"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68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308"/>
        </w:trPr>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20" w:type="dxa"/>
            <w:vAlign w:val="bottom"/>
            <w:gridSpan w:val="26"/>
          </w:tcPr>
          <w:p>
            <w:pPr>
              <w:ind w:left="24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64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2480" w:type="dxa"/>
            <w:vAlign w:val="bottom"/>
            <w:tcBorders>
              <w:bottom w:val="single" w:sz="8" w:color="007DC6"/>
            </w:tcBorders>
          </w:tcPr>
          <w:p>
            <w:pPr>
              <w:spacing w:after="0"/>
              <w:rPr>
                <w:sz w:val="14"/>
                <w:szCs w:val="14"/>
                <w:color w:val="auto"/>
              </w:rPr>
            </w:pPr>
          </w:p>
        </w:tc>
        <w:tc>
          <w:tcPr>
            <w:tcW w:w="138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700" w:type="dxa"/>
            <w:vAlign w:val="bottom"/>
            <w:tcBorders>
              <w:bottom w:val="single" w:sz="8" w:color="007DC6"/>
            </w:tcBorders>
          </w:tcPr>
          <w:p>
            <w:pPr>
              <w:spacing w:after="0"/>
              <w:rPr>
                <w:sz w:val="14"/>
                <w:szCs w:val="14"/>
                <w:color w:val="auto"/>
              </w:rPr>
            </w:pPr>
          </w:p>
        </w:tc>
        <w:tc>
          <w:tcPr>
            <w:tcW w:w="318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197"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277" w:type="dxa"/>
            <w:vAlign w:val="bottom"/>
            <w:tcBorders>
              <w:bottom w:val="single" w:sz="8" w:color="007DC6"/>
            </w:tcBorders>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20" w:type="dxa"/>
            <w:vAlign w:val="bottom"/>
            <w:tcBorders>
              <w:right w:val="single" w:sz="8" w:color="91BBD3"/>
            </w:tcBorders>
          </w:tcPr>
          <w:p>
            <w:pPr>
              <w:spacing w:after="0"/>
              <w:rPr>
                <w:sz w:val="24"/>
                <w:szCs w:val="24"/>
                <w:color w:val="auto"/>
              </w:rPr>
            </w:pPr>
          </w:p>
        </w:tc>
        <w:tc>
          <w:tcPr>
            <w:tcW w:w="1640" w:type="dxa"/>
            <w:vAlign w:val="bottom"/>
            <w:tcBorders>
              <w:bottom w:val="single" w:sz="8" w:color="91BBD3"/>
              <w:right w:val="single" w:sz="8" w:color="91BBD3"/>
            </w:tcBorders>
            <w:shd w:val="clear" w:color="auto" w:fill="007DC6"/>
          </w:tcPr>
          <w:p>
            <w:pPr>
              <w:jc w:val="right"/>
              <w:ind w:right="291"/>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bottom w:val="single" w:sz="8" w:color="91BBD3"/>
            </w:tcBorders>
            <w:shd w:val="clear" w:color="auto" w:fill="007DC6"/>
          </w:tcPr>
          <w:p>
            <w:pPr>
              <w:spacing w:after="0"/>
              <w:rPr>
                <w:sz w:val="24"/>
                <w:szCs w:val="24"/>
                <w:color w:val="auto"/>
              </w:rPr>
            </w:pPr>
          </w:p>
        </w:tc>
        <w:tc>
          <w:tcPr>
            <w:tcW w:w="2480" w:type="dxa"/>
            <w:vAlign w:val="bottom"/>
            <w:tcBorders>
              <w:bottom w:val="single" w:sz="8" w:color="91BBD3"/>
            </w:tcBorders>
            <w:shd w:val="clear" w:color="auto" w:fill="007DC6"/>
          </w:tcPr>
          <w:p>
            <w:pPr>
              <w:spacing w:after="0"/>
              <w:rPr>
                <w:sz w:val="24"/>
                <w:szCs w:val="24"/>
                <w:color w:val="auto"/>
              </w:rPr>
            </w:pPr>
          </w:p>
        </w:tc>
        <w:tc>
          <w:tcPr>
            <w:tcW w:w="1380" w:type="dxa"/>
            <w:vAlign w:val="bottom"/>
            <w:tcBorders>
              <w:bottom w:val="single" w:sz="8" w:color="91BBD3"/>
            </w:tcBorders>
            <w:shd w:val="clear" w:color="auto" w:fill="007DC6"/>
          </w:tcPr>
          <w:p>
            <w:pPr>
              <w:spacing w:after="0"/>
              <w:rPr>
                <w:sz w:val="24"/>
                <w:szCs w:val="24"/>
                <w:color w:val="auto"/>
              </w:rPr>
            </w:pPr>
          </w:p>
        </w:tc>
        <w:tc>
          <w:tcPr>
            <w:tcW w:w="620" w:type="dxa"/>
            <w:vAlign w:val="bottom"/>
            <w:tcBorders>
              <w:bottom w:val="single" w:sz="8" w:color="91BBD3"/>
            </w:tcBorders>
            <w:shd w:val="clear" w:color="auto" w:fill="007DC6"/>
          </w:tcPr>
          <w:p>
            <w:pPr>
              <w:spacing w:after="0"/>
              <w:rPr>
                <w:sz w:val="24"/>
                <w:szCs w:val="24"/>
                <w:color w:val="auto"/>
              </w:rPr>
            </w:pPr>
          </w:p>
        </w:tc>
        <w:tc>
          <w:tcPr>
            <w:tcW w:w="700" w:type="dxa"/>
            <w:vAlign w:val="bottom"/>
            <w:tcBorders>
              <w:bottom w:val="single" w:sz="8" w:color="91BBD3"/>
            </w:tcBorders>
            <w:shd w:val="clear" w:color="auto" w:fill="007DC6"/>
          </w:tcPr>
          <w:p>
            <w:pPr>
              <w:spacing w:after="0"/>
              <w:rPr>
                <w:sz w:val="24"/>
                <w:szCs w:val="24"/>
                <w:color w:val="auto"/>
              </w:rPr>
            </w:pPr>
          </w:p>
        </w:tc>
        <w:tc>
          <w:tcPr>
            <w:tcW w:w="3180" w:type="dxa"/>
            <w:vAlign w:val="bottom"/>
            <w:tcBorders>
              <w:bottom w:val="single" w:sz="8" w:color="91BBD3"/>
            </w:tcBorders>
            <w:shd w:val="clear" w:color="auto" w:fill="007DC6"/>
          </w:tcPr>
          <w:p>
            <w:pPr>
              <w:spacing w:after="0"/>
              <w:rPr>
                <w:sz w:val="24"/>
                <w:szCs w:val="24"/>
                <w:color w:val="auto"/>
              </w:rPr>
            </w:pPr>
          </w:p>
        </w:tc>
        <w:tc>
          <w:tcPr>
            <w:tcW w:w="6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294967197" w:type="dxa"/>
            <w:vAlign w:val="bottom"/>
            <w:tcBorders>
              <w:bottom w:val="single" w:sz="8" w:color="91BBD3"/>
            </w:tcBorders>
            <w:shd w:val="clear" w:color="auto" w:fill="007DC6"/>
          </w:tcPr>
          <w:p>
            <w:pPr>
              <w:spacing w:after="0"/>
              <w:rPr>
                <w:sz w:val="24"/>
                <w:szCs w:val="24"/>
                <w:color w:val="auto"/>
              </w:rPr>
            </w:pPr>
          </w:p>
        </w:tc>
        <w:tc>
          <w:tcPr>
            <w:tcW w:w="40" w:type="dxa"/>
            <w:vAlign w:val="bottom"/>
            <w:tcBorders>
              <w:left w:val="single" w:sz="8" w:color="007DC6"/>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294967277" w:type="dxa"/>
            <w:vAlign w:val="bottom"/>
            <w:tcBorders>
              <w:bottom w:val="single" w:sz="8" w:color="91BBD3"/>
              <w:right w:val="single" w:sz="8" w:color="007DC6"/>
            </w:tcBorders>
            <w:shd w:val="clear" w:color="auto" w:fill="007DC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Borders>
              <w:right w:val="single" w:sz="8" w:color="91BBD3"/>
            </w:tcBorders>
          </w:tcPr>
          <w:p>
            <w:pPr>
              <w:spacing w:after="0"/>
              <w:rPr>
                <w:sz w:val="12"/>
                <w:szCs w:val="12"/>
                <w:color w:val="auto"/>
              </w:rPr>
            </w:pPr>
          </w:p>
        </w:tc>
        <w:tc>
          <w:tcPr>
            <w:tcW w:w="1640" w:type="dxa"/>
            <w:vAlign w:val="bottom"/>
            <w:tcBorders>
              <w:right w:val="single" w:sz="8" w:color="91BBD3"/>
            </w:tcBorders>
          </w:tcPr>
          <w:p>
            <w:pPr>
              <w:jc w:val="right"/>
              <w:ind w:right="1031"/>
              <w:spacing w:after="0" w:line="149" w:lineRule="exact"/>
              <w:rPr>
                <w:sz w:val="20"/>
                <w:szCs w:val="20"/>
                <w:color w:val="auto"/>
              </w:rPr>
            </w:pPr>
            <w:r>
              <w:rPr>
                <w:rFonts w:ascii="Arial" w:cs="Arial" w:eastAsia="Arial" w:hAnsi="Arial"/>
                <w:sz w:val="17"/>
                <w:szCs w:val="17"/>
                <w:b w:val="1"/>
                <w:bCs w:val="1"/>
                <w:color w:val="auto"/>
              </w:rPr>
              <w:t>10.12</w:t>
            </w:r>
          </w:p>
        </w:tc>
        <w:tc>
          <w:tcPr>
            <w:tcW w:w="100" w:type="dxa"/>
            <w:vAlign w:val="bottom"/>
          </w:tcPr>
          <w:p>
            <w:pPr>
              <w:spacing w:after="0"/>
              <w:rPr>
                <w:sz w:val="12"/>
                <w:szCs w:val="12"/>
                <w:color w:val="auto"/>
              </w:rPr>
            </w:pPr>
          </w:p>
        </w:tc>
        <w:tc>
          <w:tcPr>
            <w:tcW w:w="9280" w:type="dxa"/>
            <w:vAlign w:val="bottom"/>
            <w:tcBorders>
              <w:right w:val="single" w:sz="8" w:color="91BBD3"/>
            </w:tcBorders>
            <w:gridSpan w:val="28"/>
          </w:tcPr>
          <w:p>
            <w:pPr>
              <w:spacing w:after="0" w:line="149" w:lineRule="exact"/>
              <w:rPr>
                <w:rFonts w:ascii="Arial" w:cs="Arial" w:eastAsia="Arial" w:hAnsi="Arial"/>
                <w:sz w:val="17"/>
                <w:szCs w:val="17"/>
                <w:color w:val="0563C1"/>
              </w:rPr>
            </w:pPr>
            <w:hyperlink r:id="rId782">
              <w:r>
                <w:rPr>
                  <w:rFonts w:ascii="Arial" w:cs="Arial" w:eastAsia="Arial" w:hAnsi="Arial"/>
                  <w:sz w:val="17"/>
                  <w:szCs w:val="17"/>
                  <w:color w:val="0563C1"/>
                </w:rPr>
                <w:t>Tenth Amendment to Credit and Security Agreement, dated as of September 28, 2018, among Martin Marietta</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tcBorders>
              <w:top w:val="single" w:sz="8" w:color="0563C1"/>
              <w:bottom w:val="single" w:sz="8" w:color="0563C1"/>
            </w:tcBorders>
            <w:gridSpan w:val="11"/>
          </w:tcPr>
          <w:p>
            <w:pPr>
              <w:spacing w:after="0" w:line="182" w:lineRule="exact"/>
              <w:rPr>
                <w:rFonts w:ascii="Arial" w:cs="Arial" w:eastAsia="Arial" w:hAnsi="Arial"/>
                <w:sz w:val="18"/>
                <w:szCs w:val="18"/>
                <w:color w:val="0563C1"/>
              </w:rPr>
            </w:pPr>
            <w:hyperlink r:id="rId782">
              <w:r>
                <w:rPr>
                  <w:rFonts w:ascii="Arial" w:cs="Arial" w:eastAsia="Arial" w:hAnsi="Arial"/>
                  <w:sz w:val="18"/>
                  <w:szCs w:val="18"/>
                  <w:color w:val="0563C1"/>
                </w:rPr>
                <w:t>Funding LLC, as borrower, Martin Marietta Materials, Inc., as servicer, and Truist Bank, as lender, together with</w:t>
              </w:r>
            </w:hyperlink>
          </w:p>
        </w:tc>
        <w:tc>
          <w:tcPr>
            <w:tcW w:w="4294967197"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60" w:type="dxa"/>
            <w:vAlign w:val="bottom"/>
            <w:tcBorders>
              <w:bottom w:val="single" w:sz="8" w:color="0563C1"/>
            </w:tcBorders>
            <w:gridSpan w:val="25"/>
          </w:tcPr>
          <w:p>
            <w:pPr>
              <w:spacing w:after="0" w:line="182" w:lineRule="exact"/>
              <w:rPr>
                <w:rFonts w:ascii="Arial" w:cs="Arial" w:eastAsia="Arial" w:hAnsi="Arial"/>
                <w:sz w:val="18"/>
                <w:szCs w:val="18"/>
                <w:color w:val="0563C1"/>
              </w:rPr>
            </w:pPr>
            <w:hyperlink r:id="rId782">
              <w:r>
                <w:rPr>
                  <w:rFonts w:ascii="Arial" w:cs="Arial" w:eastAsia="Arial" w:hAnsi="Arial"/>
                  <w:sz w:val="18"/>
                  <w:szCs w:val="18"/>
                  <w:color w:val="0563C1"/>
                </w:rPr>
                <w:t>the other lenders from time to time party thereto, and Truist Bank, as administrative agent for the lenders</w:t>
              </w:r>
            </w:hyperlink>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gridSpan w:val="26"/>
          </w:tcPr>
          <w:p>
            <w:pPr>
              <w:spacing w:after="0" w:line="182" w:lineRule="exact"/>
              <w:rPr>
                <w:rFonts w:ascii="Arial" w:cs="Arial" w:eastAsia="Arial" w:hAnsi="Arial"/>
                <w:sz w:val="18"/>
                <w:szCs w:val="18"/>
                <w:color w:val="0563C1"/>
              </w:rPr>
            </w:pPr>
            <w:hyperlink r:id="rId782">
              <w:r>
                <w:rPr>
                  <w:rFonts w:ascii="Arial" w:cs="Arial" w:eastAsia="Arial" w:hAnsi="Arial"/>
                  <w:sz w:val="18"/>
                  <w:szCs w:val="18"/>
                  <w:color w:val="0563C1"/>
                </w:rPr>
                <w:t>(incorporated by reference to Exhibit 10.1 to the Martin Marietta Materials, Inc. Current Report on Form 8-K filed</w:t>
              </w:r>
            </w:hyperlink>
          </w:p>
        </w:tc>
        <w:tc>
          <w:tcPr>
            <w:tcW w:w="20" w:type="dxa"/>
            <w:vAlign w:val="bottom"/>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tcBorders>
              <w:top w:val="single" w:sz="8" w:color="0563C1"/>
            </w:tcBorders>
            <w:gridSpan w:val="23"/>
          </w:tcPr>
          <w:p>
            <w:pPr>
              <w:spacing w:after="0" w:line="182" w:lineRule="exact"/>
              <w:rPr>
                <w:rFonts w:ascii="Arial" w:cs="Arial" w:eastAsia="Arial" w:hAnsi="Arial"/>
                <w:sz w:val="18"/>
                <w:szCs w:val="18"/>
                <w:color w:val="0563C1"/>
              </w:rPr>
            </w:pPr>
            <w:hyperlink r:id="rId782">
              <w:r>
                <w:rPr>
                  <w:rFonts w:ascii="Arial" w:cs="Arial" w:eastAsia="Arial" w:hAnsi="Arial"/>
                  <w:sz w:val="18"/>
                  <w:szCs w:val="18"/>
                  <w:color w:val="0563C1"/>
                </w:rPr>
                <w:t>on September 25, 2018) (Commission File No. 1-12744)</w:t>
              </w:r>
            </w:hyperlink>
          </w:p>
        </w:tc>
        <w:tc>
          <w:tcPr>
            <w:tcW w:w="80" w:type="dxa"/>
            <w:vAlign w:val="bottom"/>
            <w:gridSpan w:val="4"/>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2480" w:type="dxa"/>
            <w:vAlign w:val="bottom"/>
            <w:tcBorders>
              <w:top w:val="single" w:sz="8" w:color="0563C1"/>
              <w:bottom w:val="single" w:sz="8" w:color="91BBD3"/>
            </w:tcBorders>
          </w:tcPr>
          <w:p>
            <w:pPr>
              <w:spacing w:after="0" w:line="20" w:lineRule="exact"/>
              <w:rPr>
                <w:sz w:val="1"/>
                <w:szCs w:val="1"/>
                <w:color w:val="auto"/>
              </w:rPr>
            </w:pPr>
          </w:p>
        </w:tc>
        <w:tc>
          <w:tcPr>
            <w:tcW w:w="138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18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27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shd w:val="clear" w:color="auto" w:fill="DAE8F0"/>
          </w:tcPr>
          <w:p>
            <w:pPr>
              <w:jc w:val="right"/>
              <w:ind w:right="1031"/>
              <w:spacing w:after="0" w:line="156" w:lineRule="exact"/>
              <w:rPr>
                <w:sz w:val="20"/>
                <w:szCs w:val="20"/>
                <w:color w:val="auto"/>
              </w:rPr>
            </w:pPr>
            <w:r>
              <w:rPr>
                <w:rFonts w:ascii="Arial" w:cs="Arial" w:eastAsia="Arial" w:hAnsi="Arial"/>
                <w:sz w:val="18"/>
                <w:szCs w:val="18"/>
                <w:b w:val="1"/>
                <w:bCs w:val="1"/>
                <w:color w:val="auto"/>
              </w:rPr>
              <w:t>10.13</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28"/>
            <w:shd w:val="clear" w:color="auto" w:fill="DAE8F0"/>
          </w:tcPr>
          <w:p>
            <w:pPr>
              <w:spacing w:after="0" w:line="156" w:lineRule="exact"/>
              <w:rPr>
                <w:rFonts w:ascii="Arial" w:cs="Arial" w:eastAsia="Arial" w:hAnsi="Arial"/>
                <w:sz w:val="18"/>
                <w:szCs w:val="18"/>
                <w:color w:val="0563C1"/>
              </w:rPr>
            </w:pPr>
            <w:hyperlink r:id="rId783">
              <w:r>
                <w:rPr>
                  <w:rFonts w:ascii="Arial" w:cs="Arial" w:eastAsia="Arial" w:hAnsi="Arial"/>
                  <w:sz w:val="18"/>
                  <w:szCs w:val="18"/>
                  <w:color w:val="0563C1"/>
                </w:rPr>
                <w:t>Eleventh Amendment to Credit and Security Agreement, dated as of September 24, 2019, among Martin</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40" w:type="dxa"/>
            <w:vAlign w:val="bottom"/>
            <w:tcBorders>
              <w:top w:val="single" w:sz="8" w:color="0563C1"/>
              <w:bottom w:val="single" w:sz="8" w:color="0563C1"/>
            </w:tcBorders>
            <w:gridSpan w:val="9"/>
            <w:shd w:val="clear" w:color="auto" w:fill="DAE8F0"/>
          </w:tcPr>
          <w:p>
            <w:pPr>
              <w:spacing w:after="0" w:line="182" w:lineRule="exact"/>
              <w:rPr>
                <w:rFonts w:ascii="Arial" w:cs="Arial" w:eastAsia="Arial" w:hAnsi="Arial"/>
                <w:sz w:val="18"/>
                <w:szCs w:val="18"/>
                <w:color w:val="0563C1"/>
              </w:rPr>
            </w:pPr>
            <w:hyperlink r:id="rId783">
              <w:r>
                <w:rPr>
                  <w:rFonts w:ascii="Arial" w:cs="Arial" w:eastAsia="Arial" w:hAnsi="Arial"/>
                  <w:sz w:val="18"/>
                  <w:szCs w:val="18"/>
                  <w:color w:val="0563C1"/>
                </w:rPr>
                <w:t>Marietta Funding LLC, as borrower, Martin Marietta Materials, Inc., as servicer, and Truist Bank, as lender,</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4294967217"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40" w:type="dxa"/>
            <w:vAlign w:val="bottom"/>
            <w:tcBorders>
              <w:top w:val="single" w:sz="8" w:color="DAE8F0"/>
              <w:left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gridSpan w:val="5"/>
            <w:shd w:val="clear" w:color="auto" w:fill="DAE8F0"/>
          </w:tcPr>
          <w:p>
            <w:pPr>
              <w:spacing w:after="0"/>
              <w:rPr>
                <w:sz w:val="15"/>
                <w:szCs w:val="15"/>
                <w:color w:val="auto"/>
              </w:rPr>
            </w:pPr>
          </w:p>
        </w:tc>
        <w:tc>
          <w:tcPr>
            <w:tcW w:w="429496727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140" w:type="dxa"/>
            <w:vAlign w:val="bottom"/>
            <w:gridSpan w:val="19"/>
            <w:shd w:val="clear" w:color="auto" w:fill="DAE8F0"/>
          </w:tcPr>
          <w:p>
            <w:pPr>
              <w:spacing w:after="0" w:line="182" w:lineRule="exact"/>
              <w:rPr>
                <w:rFonts w:ascii="Arial" w:cs="Arial" w:eastAsia="Arial" w:hAnsi="Arial"/>
                <w:sz w:val="18"/>
                <w:szCs w:val="18"/>
                <w:color w:val="0563C1"/>
              </w:rPr>
            </w:pPr>
            <w:hyperlink r:id="rId783">
              <w:r>
                <w:rPr>
                  <w:rFonts w:ascii="Arial" w:cs="Arial" w:eastAsia="Arial" w:hAnsi="Arial"/>
                  <w:sz w:val="18"/>
                  <w:szCs w:val="18"/>
                  <w:color w:val="0563C1"/>
                </w:rPr>
                <w:t>together with the other lenders from time to time party thereto, and Truist Bank, as administrative agent for the</w:t>
              </w:r>
            </w:hyperlink>
          </w:p>
        </w:tc>
        <w:tc>
          <w:tcPr>
            <w:tcW w:w="20" w:type="dxa"/>
            <w:vAlign w:val="bottom"/>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20" w:type="dxa"/>
            <w:vAlign w:val="bottom"/>
            <w:shd w:val="clear" w:color="auto" w:fill="DAE8F0"/>
          </w:tcPr>
          <w:p>
            <w:pPr>
              <w:spacing w:after="0"/>
              <w:rPr>
                <w:sz w:val="15"/>
                <w:szCs w:val="15"/>
                <w:color w:val="auto"/>
              </w:rPr>
            </w:pPr>
          </w:p>
        </w:tc>
        <w:tc>
          <w:tcPr>
            <w:tcW w:w="100" w:type="dxa"/>
            <w:vAlign w:val="bottom"/>
            <w:gridSpan w:val="5"/>
            <w:shd w:val="clear" w:color="auto" w:fill="DAE8F0"/>
          </w:tcPr>
          <w:p>
            <w:pPr>
              <w:spacing w:after="0"/>
              <w:rPr>
                <w:sz w:val="15"/>
                <w:szCs w:val="15"/>
                <w:color w:val="auto"/>
              </w:rPr>
            </w:pPr>
          </w:p>
        </w:tc>
        <w:tc>
          <w:tcPr>
            <w:tcW w:w="4294967277" w:type="dxa"/>
            <w:vAlign w:val="bottom"/>
            <w:tcBorders>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40" w:type="dxa"/>
            <w:vAlign w:val="bottom"/>
            <w:tcBorders>
              <w:top w:val="single" w:sz="8" w:color="0563C1"/>
              <w:bottom w:val="single" w:sz="8" w:color="0563C1"/>
            </w:tcBorders>
            <w:gridSpan w:val="14"/>
            <w:shd w:val="clear" w:color="auto" w:fill="DAE8F0"/>
          </w:tcPr>
          <w:p>
            <w:pPr>
              <w:spacing w:after="0" w:line="182" w:lineRule="exact"/>
              <w:rPr>
                <w:rFonts w:ascii="Arial" w:cs="Arial" w:eastAsia="Arial" w:hAnsi="Arial"/>
                <w:sz w:val="18"/>
                <w:szCs w:val="18"/>
                <w:color w:val="0563C1"/>
              </w:rPr>
            </w:pPr>
            <w:hyperlink r:id="rId783">
              <w:r>
                <w:rPr>
                  <w:rFonts w:ascii="Arial" w:cs="Arial" w:eastAsia="Arial" w:hAnsi="Arial"/>
                  <w:sz w:val="18"/>
                  <w:szCs w:val="18"/>
                  <w:color w:val="0563C1"/>
                </w:rPr>
                <w:t>lenders (incorporated by reference to Exhibit 10.1 to the Martin Marietta Materials, Inc. Current Report on Form</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0" w:type="dxa"/>
            <w:vAlign w:val="bottom"/>
            <w:tcBorders>
              <w:top w:val="single" w:sz="8" w:color="DAE8F0"/>
              <w:bottom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gridSpan w:val="5"/>
            <w:shd w:val="clear" w:color="auto" w:fill="DAE8F0"/>
          </w:tcPr>
          <w:p>
            <w:pPr>
              <w:spacing w:after="0"/>
              <w:rPr>
                <w:sz w:val="15"/>
                <w:szCs w:val="15"/>
                <w:color w:val="auto"/>
              </w:rPr>
            </w:pPr>
          </w:p>
        </w:tc>
        <w:tc>
          <w:tcPr>
            <w:tcW w:w="429496727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00" w:type="dxa"/>
            <w:vAlign w:val="bottom"/>
            <w:gridSpan w:val="17"/>
            <w:shd w:val="clear" w:color="auto" w:fill="DAE8F0"/>
          </w:tcPr>
          <w:p>
            <w:pPr>
              <w:spacing w:after="0" w:line="182" w:lineRule="exact"/>
              <w:rPr>
                <w:rFonts w:ascii="Arial" w:cs="Arial" w:eastAsia="Arial" w:hAnsi="Arial"/>
                <w:sz w:val="18"/>
                <w:szCs w:val="18"/>
                <w:color w:val="0563C1"/>
              </w:rPr>
            </w:pPr>
            <w:hyperlink r:id="rId783">
              <w:r>
                <w:rPr>
                  <w:rFonts w:ascii="Arial" w:cs="Arial" w:eastAsia="Arial" w:hAnsi="Arial"/>
                  <w:sz w:val="18"/>
                  <w:szCs w:val="18"/>
                  <w:color w:val="0563C1"/>
                </w:rPr>
                <w:t>8-K filed on September 24, 2019) (Commission File No. 1-12744)</w:t>
              </w:r>
            </w:hyperlink>
          </w:p>
        </w:tc>
        <w:tc>
          <w:tcPr>
            <w:tcW w:w="20" w:type="dxa"/>
            <w:vAlign w:val="bottom"/>
            <w:shd w:val="clear" w:color="auto" w:fill="DAE8F0"/>
          </w:tcPr>
          <w:p>
            <w:pPr>
              <w:spacing w:after="0"/>
              <w:rPr>
                <w:sz w:val="17"/>
                <w:szCs w:val="17"/>
                <w:color w:val="auto"/>
              </w:rPr>
            </w:pPr>
          </w:p>
        </w:tc>
        <w:tc>
          <w:tcPr>
            <w:tcW w:w="40" w:type="dxa"/>
            <w:vAlign w:val="bottom"/>
            <w:gridSpan w:val="2"/>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100" w:type="dxa"/>
            <w:vAlign w:val="bottom"/>
            <w:gridSpan w:val="5"/>
            <w:shd w:val="clear" w:color="auto" w:fill="DAE8F0"/>
          </w:tcPr>
          <w:p>
            <w:pPr>
              <w:spacing w:after="0"/>
              <w:rPr>
                <w:sz w:val="17"/>
                <w:szCs w:val="17"/>
                <w:color w:val="auto"/>
              </w:rPr>
            </w:pPr>
          </w:p>
        </w:tc>
        <w:tc>
          <w:tcPr>
            <w:tcW w:w="4294967277" w:type="dxa"/>
            <w:vAlign w:val="bottom"/>
            <w:tcBorders>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48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1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7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jc w:val="right"/>
              <w:ind w:right="1031"/>
              <w:spacing w:after="0" w:line="156" w:lineRule="exact"/>
              <w:rPr>
                <w:sz w:val="20"/>
                <w:szCs w:val="20"/>
                <w:color w:val="auto"/>
              </w:rPr>
            </w:pPr>
            <w:r>
              <w:rPr>
                <w:rFonts w:ascii="Arial" w:cs="Arial" w:eastAsia="Arial" w:hAnsi="Arial"/>
                <w:sz w:val="18"/>
                <w:szCs w:val="18"/>
                <w:b w:val="1"/>
                <w:bCs w:val="1"/>
                <w:color w:val="auto"/>
              </w:rPr>
              <w:t>10.14</w:t>
            </w:r>
          </w:p>
        </w:tc>
        <w:tc>
          <w:tcPr>
            <w:tcW w:w="100" w:type="dxa"/>
            <w:vAlign w:val="bottom"/>
          </w:tcPr>
          <w:p>
            <w:pPr>
              <w:spacing w:after="0"/>
              <w:rPr>
                <w:sz w:val="13"/>
                <w:szCs w:val="13"/>
                <w:color w:val="auto"/>
              </w:rPr>
            </w:pPr>
          </w:p>
        </w:tc>
        <w:tc>
          <w:tcPr>
            <w:tcW w:w="9280" w:type="dxa"/>
            <w:vAlign w:val="bottom"/>
            <w:tcBorders>
              <w:right w:val="single" w:sz="8" w:color="91BBD3"/>
            </w:tcBorders>
            <w:gridSpan w:val="28"/>
          </w:tcPr>
          <w:p>
            <w:pPr>
              <w:spacing w:after="0" w:line="156" w:lineRule="exact"/>
              <w:rPr>
                <w:rFonts w:ascii="Arial" w:cs="Arial" w:eastAsia="Arial" w:hAnsi="Arial"/>
                <w:sz w:val="18"/>
                <w:szCs w:val="18"/>
                <w:color w:val="0563C1"/>
              </w:rPr>
            </w:pPr>
            <w:hyperlink r:id="rId784">
              <w:r>
                <w:rPr>
                  <w:rFonts w:ascii="Arial" w:cs="Arial" w:eastAsia="Arial" w:hAnsi="Arial"/>
                  <w:sz w:val="18"/>
                  <w:szCs w:val="18"/>
                  <w:color w:val="0563C1"/>
                </w:rPr>
                <w:t>Twelfth Amendment to Credit and Security Agreement, dated as of September 23, 2020, among Martin Marietta</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20" w:type="dxa"/>
            <w:vAlign w:val="bottom"/>
            <w:tcBorders>
              <w:top w:val="single" w:sz="8" w:color="0563C1"/>
              <w:bottom w:val="single" w:sz="8" w:color="0563C1"/>
            </w:tcBorders>
            <w:gridSpan w:val="8"/>
          </w:tcPr>
          <w:p>
            <w:pPr>
              <w:spacing w:after="0" w:line="182" w:lineRule="exact"/>
              <w:rPr>
                <w:rFonts w:ascii="Arial" w:cs="Arial" w:eastAsia="Arial" w:hAnsi="Arial"/>
                <w:sz w:val="18"/>
                <w:szCs w:val="18"/>
                <w:color w:val="0563C1"/>
              </w:rPr>
            </w:pPr>
            <w:hyperlink r:id="rId784">
              <w:r>
                <w:rPr>
                  <w:rFonts w:ascii="Arial" w:cs="Arial" w:eastAsia="Arial" w:hAnsi="Arial"/>
                  <w:sz w:val="18"/>
                  <w:szCs w:val="18"/>
                  <w:color w:val="0563C1"/>
                </w:rPr>
                <w:t>Funding LLC, as borrower, Martin Marietta Materials, Inc., as servicer, and Truist Bank, successor by merger to</w:t>
              </w:r>
            </w:hyperlink>
          </w:p>
        </w:tc>
        <w:tc>
          <w:tcPr>
            <w:tcW w:w="40" w:type="dxa"/>
            <w:vAlign w:val="bottom"/>
            <w:tcBorders>
              <w:bottom w:val="single" w:sz="8" w:color="0563C1"/>
            </w:tcBorders>
            <w:gridSpan w:val="2"/>
          </w:tcPr>
          <w:p>
            <w:pPr>
              <w:spacing w:after="0"/>
              <w:rPr>
                <w:sz w:val="15"/>
                <w:szCs w:val="15"/>
                <w:color w:val="auto"/>
              </w:rPr>
            </w:pPr>
          </w:p>
        </w:tc>
        <w:tc>
          <w:tcPr>
            <w:tcW w:w="4294967217" w:type="dxa"/>
            <w:vAlign w:val="bottom"/>
            <w:tcBorders>
              <w:bottom w:val="single" w:sz="8" w:color="0563C1"/>
            </w:tcBorders>
            <w:gridSpan w:val="2"/>
          </w:tcPr>
          <w:p>
            <w:pPr>
              <w:spacing w:after="0"/>
              <w:rPr>
                <w:sz w:val="15"/>
                <w:szCs w:val="15"/>
                <w:color w:val="auto"/>
              </w:rPr>
            </w:pPr>
          </w:p>
        </w:tc>
        <w:tc>
          <w:tcPr>
            <w:tcW w:w="4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gridSpan w:val="22"/>
          </w:tcPr>
          <w:p>
            <w:pPr>
              <w:spacing w:after="0" w:line="182" w:lineRule="exact"/>
              <w:rPr>
                <w:rFonts w:ascii="Arial" w:cs="Arial" w:eastAsia="Arial" w:hAnsi="Arial"/>
                <w:sz w:val="18"/>
                <w:szCs w:val="18"/>
                <w:color w:val="0563C1"/>
              </w:rPr>
            </w:pPr>
            <w:hyperlink r:id="rId784">
              <w:r>
                <w:rPr>
                  <w:rFonts w:ascii="Arial" w:cs="Arial" w:eastAsia="Arial" w:hAnsi="Arial"/>
                  <w:sz w:val="18"/>
                  <w:szCs w:val="18"/>
                  <w:color w:val="0563C1"/>
                </w:rPr>
                <w:t>SunTrust Bank, as lender together with the other lenders from time to time party thereto, and Truist Bank,</w:t>
              </w:r>
            </w:hyperlink>
          </w:p>
        </w:tc>
        <w:tc>
          <w:tcPr>
            <w:tcW w:w="100" w:type="dxa"/>
            <w:vAlign w:val="bottom"/>
            <w:gridSpan w:val="5"/>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20" w:type="dxa"/>
            <w:vAlign w:val="bottom"/>
            <w:tcBorders>
              <w:top w:val="single" w:sz="8" w:color="0563C1"/>
              <w:bottom w:val="single" w:sz="8" w:color="0563C1"/>
            </w:tcBorders>
            <w:gridSpan w:val="13"/>
          </w:tcPr>
          <w:p>
            <w:pPr>
              <w:spacing w:after="0" w:line="182" w:lineRule="exact"/>
              <w:rPr>
                <w:rFonts w:ascii="Arial" w:cs="Arial" w:eastAsia="Arial" w:hAnsi="Arial"/>
                <w:sz w:val="18"/>
                <w:szCs w:val="18"/>
                <w:color w:val="0563C1"/>
              </w:rPr>
            </w:pPr>
            <w:hyperlink r:id="rId784">
              <w:r>
                <w:rPr>
                  <w:rFonts w:ascii="Arial" w:cs="Arial" w:eastAsia="Arial" w:hAnsi="Arial"/>
                  <w:sz w:val="18"/>
                  <w:szCs w:val="18"/>
                  <w:color w:val="0563C1"/>
                </w:rPr>
                <w:t>successor by merger to Sun Trust Bank, as administrative agent for the lenders (incorporated by reference to</w:t>
              </w:r>
            </w:hyperlink>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6"/>
          </w:tcPr>
          <w:p>
            <w:pPr>
              <w:spacing w:after="0" w:line="182" w:lineRule="exact"/>
              <w:rPr>
                <w:rFonts w:ascii="Arial" w:cs="Arial" w:eastAsia="Arial" w:hAnsi="Arial"/>
                <w:sz w:val="18"/>
                <w:szCs w:val="18"/>
                <w:color w:val="0563C1"/>
              </w:rPr>
            </w:pPr>
            <w:hyperlink r:id="rId784">
              <w:r>
                <w:rPr>
                  <w:rFonts w:ascii="Arial" w:cs="Arial" w:eastAsia="Arial" w:hAnsi="Arial"/>
                  <w:sz w:val="18"/>
                  <w:szCs w:val="18"/>
                  <w:color w:val="0563C1"/>
                </w:rPr>
                <w:t>Exhibit 10.01 to the Martin Marietta Materials, Inc. Current Report on Form 8-K filed on September 23, 2020)</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40" w:type="dxa"/>
            <w:vAlign w:val="bottom"/>
            <w:tcBorders>
              <w:top w:val="single" w:sz="8" w:color="0563C1"/>
            </w:tcBorders>
            <w:gridSpan w:val="24"/>
          </w:tcPr>
          <w:p>
            <w:pPr>
              <w:spacing w:after="0" w:line="182" w:lineRule="exact"/>
              <w:rPr>
                <w:rFonts w:ascii="Arial" w:cs="Arial" w:eastAsia="Arial" w:hAnsi="Arial"/>
                <w:sz w:val="18"/>
                <w:szCs w:val="18"/>
                <w:color w:val="0563C1"/>
              </w:rPr>
            </w:pPr>
            <w:hyperlink r:id="rId784">
              <w:r>
                <w:rPr>
                  <w:rFonts w:ascii="Arial" w:cs="Arial" w:eastAsia="Arial" w:hAnsi="Arial"/>
                  <w:sz w:val="18"/>
                  <w:szCs w:val="18"/>
                  <w:color w:val="0563C1"/>
                </w:rPr>
                <w:t>(Commission File No. 1-12744)</w:t>
              </w:r>
            </w:hyperlink>
          </w:p>
        </w:tc>
        <w:tc>
          <w:tcPr>
            <w:tcW w:w="60" w:type="dxa"/>
            <w:vAlign w:val="bottom"/>
            <w:gridSpan w:val="3"/>
          </w:tcPr>
          <w:p>
            <w:pPr>
              <w:spacing w:after="0"/>
              <w:rPr>
                <w:sz w:val="15"/>
                <w:szCs w:val="15"/>
                <w:color w:val="auto"/>
              </w:rPr>
            </w:pPr>
          </w:p>
        </w:tc>
        <w:tc>
          <w:tcPr>
            <w:tcW w:w="429496727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2480" w:type="dxa"/>
            <w:vAlign w:val="bottom"/>
            <w:tcBorders>
              <w:top w:val="single" w:sz="8" w:color="0563C1"/>
              <w:bottom w:val="single" w:sz="8" w:color="91BBD3"/>
            </w:tcBorders>
          </w:tcPr>
          <w:p>
            <w:pPr>
              <w:spacing w:after="0" w:line="20" w:lineRule="exact"/>
              <w:rPr>
                <w:sz w:val="1"/>
                <w:szCs w:val="1"/>
                <w:color w:val="auto"/>
              </w:rPr>
            </w:pPr>
          </w:p>
        </w:tc>
        <w:tc>
          <w:tcPr>
            <w:tcW w:w="138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18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27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shd w:val="clear" w:color="auto" w:fill="DAE8F0"/>
          </w:tcPr>
          <w:p>
            <w:pPr>
              <w:jc w:val="right"/>
              <w:ind w:right="1031"/>
              <w:spacing w:after="0" w:line="156" w:lineRule="exact"/>
              <w:rPr>
                <w:sz w:val="20"/>
                <w:szCs w:val="20"/>
                <w:color w:val="auto"/>
              </w:rPr>
            </w:pPr>
            <w:r>
              <w:rPr>
                <w:rFonts w:ascii="Arial" w:cs="Arial" w:eastAsia="Arial" w:hAnsi="Arial"/>
                <w:sz w:val="18"/>
                <w:szCs w:val="18"/>
                <w:b w:val="1"/>
                <w:bCs w:val="1"/>
                <w:color w:val="auto"/>
              </w:rPr>
              <w:t>10.15</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28"/>
            <w:shd w:val="clear" w:color="auto" w:fill="DAE8F0"/>
          </w:tcPr>
          <w:p>
            <w:pPr>
              <w:spacing w:after="0" w:line="156" w:lineRule="exact"/>
              <w:rPr>
                <w:rFonts w:ascii="Arial" w:cs="Arial" w:eastAsia="Arial" w:hAnsi="Arial"/>
                <w:sz w:val="18"/>
                <w:szCs w:val="18"/>
                <w:color w:val="0563C1"/>
              </w:rPr>
            </w:pPr>
            <w:hyperlink r:id="rId785">
              <w:r>
                <w:rPr>
                  <w:rFonts w:ascii="Arial" w:cs="Arial" w:eastAsia="Arial" w:hAnsi="Arial"/>
                  <w:sz w:val="18"/>
                  <w:szCs w:val="18"/>
                  <w:color w:val="0563C1"/>
                </w:rPr>
                <w:t>Thirteenth Amendment to Credit and Security Agreement, dated as of September 22, 2021, among Martin</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20" w:type="dxa"/>
            <w:vAlign w:val="bottom"/>
            <w:tcBorders>
              <w:top w:val="single" w:sz="8" w:color="0563C1"/>
              <w:bottom w:val="single" w:sz="8" w:color="0563C1"/>
            </w:tcBorders>
            <w:gridSpan w:val="13"/>
            <w:shd w:val="clear" w:color="auto" w:fill="DAE8F0"/>
          </w:tcPr>
          <w:p>
            <w:pPr>
              <w:spacing w:after="0" w:line="182" w:lineRule="exact"/>
              <w:rPr>
                <w:rFonts w:ascii="Arial" w:cs="Arial" w:eastAsia="Arial" w:hAnsi="Arial"/>
                <w:sz w:val="18"/>
                <w:szCs w:val="18"/>
                <w:color w:val="0563C1"/>
              </w:rPr>
            </w:pPr>
            <w:hyperlink r:id="rId785">
              <w:r>
                <w:rPr>
                  <w:rFonts w:ascii="Arial" w:cs="Arial" w:eastAsia="Arial" w:hAnsi="Arial"/>
                  <w:sz w:val="18"/>
                  <w:szCs w:val="18"/>
                  <w:color w:val="0563C1"/>
                </w:rPr>
                <w:t>Marietta Funding LLC, as borrower, Martin Marietta Materials, Inc., as servicer, and Truist Bank, successor by</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60" w:type="dxa"/>
            <w:vAlign w:val="bottom"/>
            <w:tcBorders>
              <w:top w:val="single" w:sz="8" w:color="DAE8F0"/>
              <w:bottom w:val="single" w:sz="8" w:color="0563C1"/>
            </w:tcBorders>
            <w:gridSpan w:val="3"/>
            <w:shd w:val="clear" w:color="auto" w:fill="DAE8F0"/>
          </w:tcPr>
          <w:p>
            <w:pPr>
              <w:spacing w:after="0"/>
              <w:rPr>
                <w:sz w:val="15"/>
                <w:szCs w:val="15"/>
                <w:color w:val="auto"/>
              </w:rPr>
            </w:pPr>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120" w:type="dxa"/>
            <w:vAlign w:val="bottom"/>
            <w:tcBorders>
              <w:top w:val="single" w:sz="8" w:color="DAE8F0"/>
              <w:bottom w:val="single" w:sz="8" w:color="0563C1"/>
            </w:tcBorders>
            <w:gridSpan w:val="6"/>
            <w:shd w:val="clear" w:color="auto" w:fill="DAE8F0"/>
          </w:tcPr>
          <w:p>
            <w:pPr>
              <w:spacing w:after="0"/>
              <w:rPr>
                <w:sz w:val="15"/>
                <w:szCs w:val="15"/>
                <w:color w:val="auto"/>
              </w:rPr>
            </w:pPr>
          </w:p>
        </w:tc>
        <w:tc>
          <w:tcPr>
            <w:tcW w:w="429496727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300" w:type="dxa"/>
            <w:vAlign w:val="bottom"/>
            <w:gridSpan w:val="27"/>
            <w:shd w:val="clear" w:color="auto" w:fill="DAE8F0"/>
          </w:tcPr>
          <w:p>
            <w:pPr>
              <w:spacing w:after="0" w:line="182" w:lineRule="exact"/>
              <w:rPr>
                <w:rFonts w:ascii="Arial" w:cs="Arial" w:eastAsia="Arial" w:hAnsi="Arial"/>
                <w:sz w:val="18"/>
                <w:szCs w:val="18"/>
                <w:color w:val="0563C1"/>
              </w:rPr>
            </w:pPr>
            <w:hyperlink r:id="rId785">
              <w:r>
                <w:rPr>
                  <w:rFonts w:ascii="Arial" w:cs="Arial" w:eastAsia="Arial" w:hAnsi="Arial"/>
                  <w:sz w:val="18"/>
                  <w:szCs w:val="18"/>
                  <w:color w:val="0563C1"/>
                </w:rPr>
                <w:t>merger to SunTrust Bank, as lender together with the other lenders from time to time party thereto, and Truist</w:t>
              </w:r>
            </w:hyperlink>
          </w:p>
        </w:tc>
        <w:tc>
          <w:tcPr>
            <w:tcW w:w="4294967277" w:type="dxa"/>
            <w:vAlign w:val="bottom"/>
            <w:tcBorders>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8980" w:type="dxa"/>
            <w:vAlign w:val="bottom"/>
            <w:tcBorders>
              <w:top w:val="single" w:sz="8" w:color="0563C1"/>
              <w:bottom w:val="single" w:sz="8" w:color="0563C1"/>
            </w:tcBorders>
            <w:gridSpan w:val="12"/>
            <w:shd w:val="clear" w:color="auto" w:fill="DAE8F0"/>
          </w:tcPr>
          <w:p>
            <w:pPr>
              <w:spacing w:after="0" w:line="182" w:lineRule="exact"/>
              <w:rPr>
                <w:rFonts w:ascii="Arial" w:cs="Arial" w:eastAsia="Arial" w:hAnsi="Arial"/>
                <w:sz w:val="18"/>
                <w:szCs w:val="18"/>
                <w:color w:val="0563C1"/>
                <w:w w:val="99"/>
              </w:rPr>
            </w:pPr>
            <w:hyperlink r:id="rId785">
              <w:r>
                <w:rPr>
                  <w:rFonts w:ascii="Arial" w:cs="Arial" w:eastAsia="Arial" w:hAnsi="Arial"/>
                  <w:sz w:val="18"/>
                  <w:szCs w:val="18"/>
                  <w:color w:val="0563C1"/>
                  <w:w w:val="99"/>
                </w:rPr>
                <w:t>Bank, successor by merger to Sun Trust Bank, as administrative agent for the lenders (incorporated by reference</w:t>
              </w:r>
            </w:hyperlink>
          </w:p>
        </w:tc>
        <w:tc>
          <w:tcPr>
            <w:tcW w:w="60" w:type="dxa"/>
            <w:vAlign w:val="bottom"/>
            <w:tcBorders>
              <w:top w:val="single" w:sz="8" w:color="DAE8F0"/>
              <w:left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60" w:type="dxa"/>
            <w:vAlign w:val="bottom"/>
            <w:tcBorders>
              <w:top w:val="single" w:sz="8" w:color="DAE8F0"/>
              <w:bottom w:val="single" w:sz="8" w:color="DAE8F0"/>
            </w:tcBorders>
            <w:gridSpan w:val="3"/>
            <w:shd w:val="clear" w:color="auto" w:fill="DAE8F0"/>
          </w:tcPr>
          <w:p>
            <w:pPr>
              <w:spacing w:after="0"/>
              <w:rPr>
                <w:sz w:val="15"/>
                <w:szCs w:val="15"/>
                <w:color w:val="auto"/>
              </w:rPr>
            </w:pPr>
          </w:p>
        </w:tc>
        <w:tc>
          <w:tcPr>
            <w:tcW w:w="40" w:type="dxa"/>
            <w:vAlign w:val="bottom"/>
            <w:tcBorders>
              <w:top w:val="single" w:sz="8" w:color="DAE8F0"/>
              <w:bottom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bottom w:val="single" w:sz="8" w:color="DAE8F0"/>
              <w:right w:val="single" w:sz="8" w:color="91BBD3"/>
            </w:tcBorders>
            <w:shd w:val="clear" w:color="auto" w:fill="DAE8F0"/>
          </w:tcPr>
          <w:p>
            <w:pPr>
              <w:spacing w:after="0"/>
              <w:rPr>
                <w:sz w:val="15"/>
                <w:szCs w:val="15"/>
                <w:color w:val="auto"/>
              </w:rPr>
            </w:pPr>
          </w:p>
        </w:tc>
        <w:tc>
          <w:tcPr>
            <w:tcW w:w="100" w:type="dxa"/>
            <w:vAlign w:val="bottom"/>
            <w:tcBorders>
              <w:bottom w:val="single" w:sz="8" w:color="DAE8F0"/>
            </w:tcBorders>
            <w:shd w:val="clear" w:color="auto" w:fill="DAE8F0"/>
          </w:tcPr>
          <w:p>
            <w:pPr>
              <w:spacing w:after="0"/>
              <w:rPr>
                <w:sz w:val="15"/>
                <w:szCs w:val="15"/>
                <w:color w:val="auto"/>
              </w:rPr>
            </w:pPr>
          </w:p>
        </w:tc>
        <w:tc>
          <w:tcPr>
            <w:tcW w:w="9060" w:type="dxa"/>
            <w:vAlign w:val="bottom"/>
            <w:tcBorders>
              <w:bottom w:val="single" w:sz="8" w:color="0563C1"/>
            </w:tcBorders>
            <w:gridSpan w:val="15"/>
            <w:shd w:val="clear" w:color="auto" w:fill="DAE8F0"/>
          </w:tcPr>
          <w:p>
            <w:pPr>
              <w:spacing w:after="0" w:line="182" w:lineRule="exact"/>
              <w:rPr>
                <w:rFonts w:ascii="Arial" w:cs="Arial" w:eastAsia="Arial" w:hAnsi="Arial"/>
                <w:sz w:val="18"/>
                <w:szCs w:val="18"/>
                <w:color w:val="0563C1"/>
              </w:rPr>
            </w:pPr>
            <w:hyperlink r:id="rId785">
              <w:r>
                <w:rPr>
                  <w:rFonts w:ascii="Arial" w:cs="Arial" w:eastAsia="Arial" w:hAnsi="Arial"/>
                  <w:sz w:val="18"/>
                  <w:szCs w:val="18"/>
                  <w:color w:val="0563C1"/>
                </w:rPr>
                <w:t>to Exhibit 10.01 to the Martin Marietta Materials, Inc. Current Report on Form 8-K filed on September 23, 2021)</w:t>
              </w:r>
            </w:hyperlink>
          </w:p>
        </w:tc>
        <w:tc>
          <w:tcPr>
            <w:tcW w:w="60" w:type="dxa"/>
            <w:vAlign w:val="bottom"/>
            <w:tcBorders>
              <w:bottom w:val="single" w:sz="8" w:color="0563C1"/>
            </w:tcBorders>
            <w:gridSpan w:val="3"/>
            <w:shd w:val="clear" w:color="auto" w:fill="DAE8F0"/>
          </w:tcPr>
          <w:p>
            <w:pPr>
              <w:spacing w:after="0"/>
              <w:rPr>
                <w:sz w:val="15"/>
                <w:szCs w:val="15"/>
                <w:color w:val="auto"/>
              </w:rPr>
            </w:pPr>
          </w:p>
        </w:tc>
        <w:tc>
          <w:tcPr>
            <w:tcW w:w="40" w:type="dxa"/>
            <w:vAlign w:val="bottom"/>
            <w:tcBorders>
              <w:bottom w:val="single" w:sz="8" w:color="DAE8F0"/>
            </w:tcBorders>
            <w:gridSpan w:val="2"/>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100" w:type="dxa"/>
            <w:vAlign w:val="bottom"/>
            <w:tcBorders>
              <w:bottom w:val="single" w:sz="8" w:color="DAE8F0"/>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gridSpan w:val="18"/>
            <w:shd w:val="clear" w:color="auto" w:fill="DAE8F0"/>
          </w:tcPr>
          <w:p>
            <w:pPr>
              <w:spacing w:after="0" w:line="182" w:lineRule="exact"/>
              <w:rPr>
                <w:rFonts w:ascii="Arial" w:cs="Arial" w:eastAsia="Arial" w:hAnsi="Arial"/>
                <w:sz w:val="18"/>
                <w:szCs w:val="18"/>
                <w:color w:val="0563C1"/>
              </w:rPr>
            </w:pPr>
            <w:hyperlink r:id="rId785">
              <w:r>
                <w:rPr>
                  <w:rFonts w:ascii="Arial" w:cs="Arial" w:eastAsia="Arial" w:hAnsi="Arial"/>
                  <w:sz w:val="18"/>
                  <w:szCs w:val="18"/>
                  <w:color w:val="0563C1"/>
                </w:rPr>
                <w:t>(Commission File No. 1-12744)</w:t>
              </w:r>
            </w:hyperlink>
          </w:p>
        </w:tc>
        <w:tc>
          <w:tcPr>
            <w:tcW w:w="40" w:type="dxa"/>
            <w:vAlign w:val="bottom"/>
            <w:gridSpan w:val="2"/>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100" w:type="dxa"/>
            <w:vAlign w:val="bottom"/>
            <w:tcBorders>
              <w:right w:val="single" w:sz="8" w:color="91BBD3"/>
            </w:tcBorders>
            <w:gridSpan w:val="7"/>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48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700" w:type="dxa"/>
            <w:vAlign w:val="bottom"/>
            <w:tcBorders>
              <w:top w:val="single" w:sz="8" w:color="DAE8F0"/>
            </w:tcBorders>
            <w:shd w:val="clear" w:color="auto" w:fill="91BBD3"/>
          </w:tcPr>
          <w:p>
            <w:pPr>
              <w:spacing w:after="0" w:line="20" w:lineRule="exact"/>
              <w:rPr>
                <w:sz w:val="1"/>
                <w:szCs w:val="1"/>
                <w:color w:val="auto"/>
              </w:rPr>
            </w:pPr>
          </w:p>
        </w:tc>
        <w:tc>
          <w:tcPr>
            <w:tcW w:w="31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7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jc w:val="right"/>
              <w:ind w:right="1031"/>
              <w:spacing w:after="0" w:line="156" w:lineRule="exact"/>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13"/>
                <w:szCs w:val="13"/>
                <w:color w:val="auto"/>
              </w:rPr>
            </w:pPr>
          </w:p>
        </w:tc>
        <w:tc>
          <w:tcPr>
            <w:tcW w:w="9280" w:type="dxa"/>
            <w:vAlign w:val="bottom"/>
            <w:tcBorders>
              <w:right w:val="single" w:sz="8" w:color="91BBD3"/>
            </w:tcBorders>
            <w:gridSpan w:val="28"/>
          </w:tcPr>
          <w:p>
            <w:pPr>
              <w:spacing w:after="0" w:line="156" w:lineRule="exact"/>
              <w:rPr>
                <w:rFonts w:ascii="Arial" w:cs="Arial" w:eastAsia="Arial" w:hAnsi="Arial"/>
                <w:sz w:val="18"/>
                <w:szCs w:val="18"/>
                <w:color w:val="0563C1"/>
              </w:rPr>
            </w:pPr>
            <w:hyperlink r:id="rId786">
              <w:r>
                <w:rPr>
                  <w:rFonts w:ascii="Arial" w:cs="Arial" w:eastAsia="Arial" w:hAnsi="Arial"/>
                  <w:sz w:val="18"/>
                  <w:szCs w:val="18"/>
                  <w:color w:val="0563C1"/>
                </w:rPr>
                <w:t>Fourteenth Amendment to Credit Agreement, dated as of September 21, 2022, among Martin Marietta Funding</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60" w:type="dxa"/>
            <w:vAlign w:val="bottom"/>
            <w:tcBorders>
              <w:top w:val="single" w:sz="8" w:color="0563C1"/>
              <w:bottom w:val="single" w:sz="8" w:color="0563C1"/>
            </w:tcBorders>
            <w:gridSpan w:val="20"/>
          </w:tcPr>
          <w:p>
            <w:pPr>
              <w:spacing w:after="0" w:line="182" w:lineRule="exact"/>
              <w:rPr>
                <w:rFonts w:ascii="Arial" w:cs="Arial" w:eastAsia="Arial" w:hAnsi="Arial"/>
                <w:sz w:val="18"/>
                <w:szCs w:val="18"/>
                <w:color w:val="0563C1"/>
              </w:rPr>
            </w:pPr>
            <w:hyperlink r:id="rId786">
              <w:r>
                <w:rPr>
                  <w:rFonts w:ascii="Arial" w:cs="Arial" w:eastAsia="Arial" w:hAnsi="Arial"/>
                  <w:sz w:val="18"/>
                  <w:szCs w:val="18"/>
                  <w:color w:val="0563C1"/>
                </w:rPr>
                <w:t>LLC, as borrower, Martin Marietta Materials, Inc., as servicer, and Truist Bank, successor by merger to SunTrust</w:t>
              </w:r>
            </w:hyperlink>
          </w:p>
        </w:tc>
        <w:tc>
          <w:tcPr>
            <w:tcW w:w="20" w:type="dxa"/>
            <w:vAlign w:val="bottom"/>
            <w:tcBorders>
              <w:bottom w:val="single" w:sz="8" w:color="0563C1"/>
            </w:tcBorders>
          </w:tcPr>
          <w:p>
            <w:pPr>
              <w:spacing w:after="0"/>
              <w:rPr>
                <w:sz w:val="15"/>
                <w:szCs w:val="15"/>
                <w:color w:val="auto"/>
              </w:rPr>
            </w:pPr>
          </w:p>
        </w:tc>
        <w:tc>
          <w:tcPr>
            <w:tcW w:w="100" w:type="dxa"/>
            <w:vAlign w:val="bottom"/>
            <w:tcBorders>
              <w:right w:val="single" w:sz="8" w:color="91BBD3"/>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80" w:type="dxa"/>
            <w:vAlign w:val="bottom"/>
            <w:gridSpan w:val="21"/>
          </w:tcPr>
          <w:p>
            <w:pPr>
              <w:spacing w:after="0" w:line="182" w:lineRule="exact"/>
              <w:rPr>
                <w:rFonts w:ascii="Arial" w:cs="Arial" w:eastAsia="Arial" w:hAnsi="Arial"/>
                <w:sz w:val="18"/>
                <w:szCs w:val="18"/>
                <w:color w:val="0563C1"/>
              </w:rPr>
            </w:pPr>
            <w:hyperlink r:id="rId786">
              <w:r>
                <w:rPr>
                  <w:rFonts w:ascii="Arial" w:cs="Arial" w:eastAsia="Arial" w:hAnsi="Arial"/>
                  <w:sz w:val="18"/>
                  <w:szCs w:val="18"/>
                  <w:color w:val="0563C1"/>
                </w:rPr>
                <w:t>Bank, as lender together with the other lenders from time to time party thereto, and Truist Bank, successor by</w:t>
              </w:r>
            </w:hyperlink>
          </w:p>
        </w:tc>
        <w:tc>
          <w:tcPr>
            <w:tcW w:w="100" w:type="dxa"/>
            <w:vAlign w:val="bottom"/>
            <w:tcBorders>
              <w:right w:val="single" w:sz="8" w:color="91BBD3"/>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8980" w:type="dxa"/>
            <w:vAlign w:val="bottom"/>
            <w:tcBorders>
              <w:top w:val="single" w:sz="8" w:color="0563C1"/>
              <w:bottom w:val="single" w:sz="8" w:color="0563C1"/>
            </w:tcBorders>
            <w:gridSpan w:val="6"/>
          </w:tcPr>
          <w:p>
            <w:pPr>
              <w:spacing w:after="0" w:line="182" w:lineRule="exact"/>
              <w:rPr>
                <w:rFonts w:ascii="Arial" w:cs="Arial" w:eastAsia="Arial" w:hAnsi="Arial"/>
                <w:sz w:val="18"/>
                <w:szCs w:val="18"/>
                <w:color w:val="0563C1"/>
              </w:rPr>
            </w:pPr>
            <w:hyperlink r:id="rId786">
              <w:r>
                <w:rPr>
                  <w:rFonts w:ascii="Arial" w:cs="Arial" w:eastAsia="Arial" w:hAnsi="Arial"/>
                  <w:sz w:val="18"/>
                  <w:szCs w:val="18"/>
                  <w:color w:val="0563C1"/>
                </w:rPr>
                <w:t>merger to Sun Trust Bank, as administrative agent for the lenders (including a conformed copy of the Credit</w:t>
              </w:r>
            </w:hyperlink>
          </w:p>
        </w:tc>
        <w:tc>
          <w:tcPr>
            <w:tcW w:w="20" w:type="dxa"/>
            <w:vAlign w:val="bottom"/>
            <w:tcBorders>
              <w:bottom w:val="single" w:sz="8" w:color="0563C1"/>
            </w:tcBorders>
          </w:tcPr>
          <w:p>
            <w:pPr>
              <w:spacing w:after="0"/>
              <w:rPr>
                <w:sz w:val="15"/>
                <w:szCs w:val="15"/>
                <w:color w:val="auto"/>
              </w:rPr>
            </w:pPr>
          </w:p>
        </w:tc>
        <w:tc>
          <w:tcPr>
            <w:tcW w:w="60" w:type="dxa"/>
            <w:vAlign w:val="bottom"/>
            <w:tcBorders>
              <w:bottom w:val="single" w:sz="8" w:color="0563C1"/>
            </w:tcBorders>
            <w:gridSpan w:val="3"/>
          </w:tcPr>
          <w:p>
            <w:pPr>
              <w:spacing w:after="0"/>
              <w:rPr>
                <w:sz w:val="15"/>
                <w:szCs w:val="15"/>
                <w:color w:val="auto"/>
              </w:rPr>
            </w:pPr>
          </w:p>
        </w:tc>
        <w:tc>
          <w:tcPr>
            <w:tcW w:w="4294967217" w:type="dxa"/>
            <w:vAlign w:val="bottom"/>
            <w:tcBorders>
              <w:bottom w:val="single" w:sz="8" w:color="0563C1"/>
            </w:tcBorders>
            <w:gridSpan w:val="2"/>
          </w:tcPr>
          <w:p>
            <w:pPr>
              <w:spacing w:after="0"/>
              <w:rPr>
                <w:sz w:val="15"/>
                <w:szCs w:val="15"/>
                <w:color w:val="auto"/>
              </w:rPr>
            </w:pPr>
          </w:p>
        </w:tc>
        <w:tc>
          <w:tcPr>
            <w:tcW w:w="300" w:type="dxa"/>
            <w:vAlign w:val="bottom"/>
            <w:tcBorders>
              <w:bottom w:val="single" w:sz="8" w:color="0563C1"/>
              <w:right w:val="single" w:sz="8" w:color="91BBD3"/>
            </w:tcBorders>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tcBorders>
              <w:right w:val="single" w:sz="8" w:color="91BBD3"/>
            </w:tcBorders>
            <w:gridSpan w:val="28"/>
          </w:tcPr>
          <w:p>
            <w:pPr>
              <w:spacing w:after="0" w:line="182" w:lineRule="exact"/>
              <w:rPr>
                <w:rFonts w:ascii="Arial" w:cs="Arial" w:eastAsia="Arial" w:hAnsi="Arial"/>
                <w:sz w:val="18"/>
                <w:szCs w:val="18"/>
                <w:color w:val="0563C1"/>
              </w:rPr>
            </w:pPr>
            <w:hyperlink r:id="rId786">
              <w:r>
                <w:rPr>
                  <w:rFonts w:ascii="Arial" w:cs="Arial" w:eastAsia="Arial" w:hAnsi="Arial"/>
                  <w:sz w:val="18"/>
                  <w:szCs w:val="18"/>
                  <w:color w:val="0563C1"/>
                </w:rPr>
                <w:t>Agreement attached as Exhibit A thereto) (incorporated by reference to Exhibit 10.01 to the Martin Marietta</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60" w:type="dxa"/>
            <w:vAlign w:val="bottom"/>
            <w:tcBorders>
              <w:top w:val="single" w:sz="8" w:color="0563C1"/>
            </w:tcBorders>
            <w:gridSpan w:val="10"/>
          </w:tcPr>
          <w:p>
            <w:pPr>
              <w:spacing w:after="0" w:line="182" w:lineRule="exact"/>
              <w:rPr>
                <w:rFonts w:ascii="Arial" w:cs="Arial" w:eastAsia="Arial" w:hAnsi="Arial"/>
                <w:sz w:val="18"/>
                <w:szCs w:val="18"/>
                <w:color w:val="0563C1"/>
              </w:rPr>
            </w:pPr>
            <w:hyperlink r:id="rId786">
              <w:r>
                <w:rPr>
                  <w:rFonts w:ascii="Arial" w:cs="Arial" w:eastAsia="Arial" w:hAnsi="Arial"/>
                  <w:sz w:val="18"/>
                  <w:szCs w:val="18"/>
                  <w:color w:val="0563C1"/>
                </w:rPr>
                <w:t>Materials, Inc. Current Report on Form 8-K filed on September 21, 2022) (Commission File No. 1-12744)</w:t>
              </w:r>
            </w:hyperlink>
          </w:p>
        </w:tc>
        <w:tc>
          <w:tcPr>
            <w:tcW w:w="4294967217" w:type="dxa"/>
            <w:vAlign w:val="bottom"/>
            <w:gridSpan w:val="2"/>
          </w:tcPr>
          <w:p>
            <w:pPr>
              <w:spacing w:after="0"/>
              <w:rPr>
                <w:sz w:val="15"/>
                <w:szCs w:val="15"/>
                <w:color w:val="auto"/>
              </w:rPr>
            </w:pPr>
          </w:p>
        </w:tc>
        <w:tc>
          <w:tcPr>
            <w:tcW w:w="300" w:type="dxa"/>
            <w:vAlign w:val="bottom"/>
            <w:tcBorders>
              <w:right w:val="single" w:sz="8" w:color="91BBD3"/>
            </w:tcBorders>
            <w:gridSpan w:val="1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2480" w:type="dxa"/>
            <w:vAlign w:val="bottom"/>
            <w:tcBorders>
              <w:top w:val="single" w:sz="8" w:color="0000EE"/>
              <w:bottom w:val="single" w:sz="8" w:color="91BBD3"/>
            </w:tcBorders>
          </w:tcPr>
          <w:p>
            <w:pPr>
              <w:spacing w:after="0" w:line="20" w:lineRule="exact"/>
              <w:rPr>
                <w:sz w:val="1"/>
                <w:szCs w:val="1"/>
                <w:color w:val="auto"/>
              </w:rPr>
            </w:pPr>
          </w:p>
        </w:tc>
        <w:tc>
          <w:tcPr>
            <w:tcW w:w="1380" w:type="dxa"/>
            <w:vAlign w:val="bottom"/>
            <w:tcBorders>
              <w:top w:val="single" w:sz="8" w:color="0000EE"/>
              <w:bottom w:val="single" w:sz="8" w:color="91BBD3"/>
            </w:tcBorders>
          </w:tcPr>
          <w:p>
            <w:pPr>
              <w:spacing w:after="0" w:line="20" w:lineRule="exact"/>
              <w:rPr>
                <w:sz w:val="1"/>
                <w:szCs w:val="1"/>
                <w:color w:val="auto"/>
              </w:rPr>
            </w:pPr>
          </w:p>
        </w:tc>
        <w:tc>
          <w:tcPr>
            <w:tcW w:w="62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3180" w:type="dxa"/>
            <w:vAlign w:val="bottom"/>
            <w:tcBorders>
              <w:top w:val="single" w:sz="8" w:color="0000EE"/>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27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shd w:val="clear" w:color="auto" w:fill="DAE8F0"/>
          </w:tcPr>
          <w:p>
            <w:pPr>
              <w:jc w:val="right"/>
              <w:ind w:right="1031"/>
              <w:spacing w:after="0" w:line="156" w:lineRule="exact"/>
              <w:rPr>
                <w:sz w:val="20"/>
                <w:szCs w:val="20"/>
                <w:color w:val="auto"/>
              </w:rPr>
            </w:pPr>
            <w:r>
              <w:rPr>
                <w:rFonts w:ascii="Arial" w:cs="Arial" w:eastAsia="Arial" w:hAnsi="Arial"/>
                <w:sz w:val="18"/>
                <w:szCs w:val="18"/>
                <w:b w:val="1"/>
                <w:bCs w:val="1"/>
                <w:color w:val="auto"/>
              </w:rPr>
              <w:t>10.17</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28"/>
            <w:shd w:val="clear" w:color="auto" w:fill="DAE8F0"/>
          </w:tcPr>
          <w:p>
            <w:pPr>
              <w:spacing w:after="0" w:line="156" w:lineRule="exact"/>
              <w:rPr>
                <w:rFonts w:ascii="Arial" w:cs="Arial" w:eastAsia="Arial" w:hAnsi="Arial"/>
                <w:sz w:val="18"/>
                <w:szCs w:val="18"/>
                <w:color w:val="0563C1"/>
              </w:rPr>
            </w:pPr>
            <w:hyperlink r:id="rId787">
              <w:r>
                <w:rPr>
                  <w:rFonts w:ascii="Arial" w:cs="Arial" w:eastAsia="Arial" w:hAnsi="Arial"/>
                  <w:sz w:val="18"/>
                  <w:szCs w:val="18"/>
                  <w:color w:val="0563C1"/>
                </w:rPr>
                <w:t>Fifteenth Amendment to Credit Agreement, dated as of September 20, 2023, among Martin Marietta Funding</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000" w:type="dxa"/>
            <w:vAlign w:val="bottom"/>
            <w:tcBorders>
              <w:top w:val="single" w:sz="8" w:color="0563C1"/>
            </w:tcBorders>
            <w:gridSpan w:val="7"/>
            <w:shd w:val="clear" w:color="auto" w:fill="DAE8F0"/>
          </w:tcPr>
          <w:p>
            <w:pPr>
              <w:spacing w:after="0" w:line="182" w:lineRule="exact"/>
              <w:rPr>
                <w:rFonts w:ascii="Arial" w:cs="Arial" w:eastAsia="Arial" w:hAnsi="Arial"/>
                <w:sz w:val="18"/>
                <w:szCs w:val="18"/>
                <w:color w:val="0563C1"/>
              </w:rPr>
            </w:pPr>
            <w:hyperlink r:id="rId787">
              <w:r>
                <w:rPr>
                  <w:rFonts w:ascii="Arial" w:cs="Arial" w:eastAsia="Arial" w:hAnsi="Arial"/>
                  <w:sz w:val="18"/>
                  <w:szCs w:val="18"/>
                  <w:color w:val="0563C1"/>
                </w:rPr>
                <w:t>LLC, as borrower, Martin Marietta Materials, Inc., as servicer, and Truist Bank, successor by merger to SunTrust</w:t>
              </w:r>
            </w:hyperlink>
          </w:p>
        </w:tc>
        <w:tc>
          <w:tcPr>
            <w:tcW w:w="4294967277" w:type="dxa"/>
            <w:vAlign w:val="bottom"/>
            <w:tcBorders>
              <w:top w:val="single" w:sz="8" w:color="DAE8F0"/>
            </w:tcBorders>
            <w:gridSpan w:val="5"/>
            <w:shd w:val="clear" w:color="auto" w:fill="DAE8F0"/>
          </w:tcPr>
          <w:p>
            <w:pPr>
              <w:spacing w:after="0"/>
              <w:rPr>
                <w:sz w:val="15"/>
                <w:szCs w:val="15"/>
                <w:color w:val="auto"/>
              </w:rPr>
            </w:pPr>
          </w:p>
        </w:tc>
        <w:tc>
          <w:tcPr>
            <w:tcW w:w="300" w:type="dxa"/>
            <w:vAlign w:val="bottom"/>
            <w:tcBorders>
              <w:top w:val="single" w:sz="8" w:color="DAE8F0"/>
              <w:left w:val="single" w:sz="8" w:color="DAE8F0"/>
              <w:right w:val="single" w:sz="8" w:color="91BBD3"/>
            </w:tcBorders>
            <w:gridSpan w:val="16"/>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180" w:type="dxa"/>
            <w:vAlign w:val="bottom"/>
            <w:tcBorders>
              <w:top w:val="single" w:sz="8" w:color="0563C1"/>
            </w:tcBorders>
            <w:gridSpan w:val="21"/>
            <w:shd w:val="clear" w:color="auto" w:fill="DAE8F0"/>
          </w:tcPr>
          <w:p>
            <w:pPr>
              <w:spacing w:after="0" w:line="182" w:lineRule="exact"/>
              <w:rPr>
                <w:rFonts w:ascii="Arial" w:cs="Arial" w:eastAsia="Arial" w:hAnsi="Arial"/>
                <w:sz w:val="18"/>
                <w:szCs w:val="18"/>
                <w:color w:val="0563C1"/>
              </w:rPr>
            </w:pPr>
            <w:hyperlink r:id="rId787">
              <w:r>
                <w:rPr>
                  <w:rFonts w:ascii="Arial" w:cs="Arial" w:eastAsia="Arial" w:hAnsi="Arial"/>
                  <w:sz w:val="18"/>
                  <w:szCs w:val="18"/>
                  <w:color w:val="0563C1"/>
                </w:rPr>
                <w:t>Bank, as lender together with the other lenders from time to time party thereto, and Truist Bank, successor by</w:t>
              </w:r>
            </w:hyperlink>
          </w:p>
        </w:tc>
        <w:tc>
          <w:tcPr>
            <w:tcW w:w="100" w:type="dxa"/>
            <w:vAlign w:val="bottom"/>
            <w:tcBorders>
              <w:top w:val="single" w:sz="8" w:color="DAE8F0"/>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8980" w:type="dxa"/>
            <w:vAlign w:val="bottom"/>
            <w:tcBorders>
              <w:top w:val="single" w:sz="8" w:color="0563C1"/>
            </w:tcBorders>
            <w:gridSpan w:val="6"/>
            <w:shd w:val="clear" w:color="auto" w:fill="DAE8F0"/>
          </w:tcPr>
          <w:p>
            <w:pPr>
              <w:spacing w:after="0" w:line="182" w:lineRule="exact"/>
              <w:rPr>
                <w:rFonts w:ascii="Arial" w:cs="Arial" w:eastAsia="Arial" w:hAnsi="Arial"/>
                <w:sz w:val="18"/>
                <w:szCs w:val="18"/>
                <w:color w:val="0563C1"/>
              </w:rPr>
            </w:pPr>
            <w:hyperlink r:id="rId787">
              <w:r>
                <w:rPr>
                  <w:rFonts w:ascii="Arial" w:cs="Arial" w:eastAsia="Arial" w:hAnsi="Arial"/>
                  <w:sz w:val="18"/>
                  <w:szCs w:val="18"/>
                  <w:color w:val="0563C1"/>
                </w:rPr>
                <w:t>merger to Sun Trust Bank, as administrative agent for the lenders (including a conformed copy of the Credit</w:t>
              </w:r>
            </w:hyperlink>
          </w:p>
        </w:tc>
        <w:tc>
          <w:tcPr>
            <w:tcW w:w="0" w:type="dxa"/>
            <w:vAlign w:val="bottom"/>
            <w:tcBorders>
              <w:top w:val="single" w:sz="8" w:color="DAE8F0"/>
            </w:tcBorders>
            <w:gridSpan w:val="6"/>
            <w:shd w:val="clear" w:color="auto" w:fill="DAE8F0"/>
          </w:tcPr>
          <w:p>
            <w:pPr>
              <w:spacing w:after="0"/>
              <w:rPr>
                <w:sz w:val="15"/>
                <w:szCs w:val="15"/>
                <w:color w:val="auto"/>
              </w:rPr>
            </w:pPr>
          </w:p>
        </w:tc>
        <w:tc>
          <w:tcPr>
            <w:tcW w:w="300" w:type="dxa"/>
            <w:vAlign w:val="bottom"/>
            <w:tcBorders>
              <w:top w:val="single" w:sz="8" w:color="DAE8F0"/>
              <w:left w:val="single" w:sz="8" w:color="DAE8F0"/>
              <w:right w:val="single" w:sz="8" w:color="91BBD3"/>
            </w:tcBorders>
            <w:gridSpan w:val="16"/>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80" w:type="dxa"/>
            <w:vAlign w:val="bottom"/>
            <w:tcBorders>
              <w:top w:val="single" w:sz="8" w:color="0563C1"/>
              <w:right w:val="single" w:sz="8" w:color="91BBD3"/>
            </w:tcBorders>
            <w:gridSpan w:val="28"/>
            <w:shd w:val="clear" w:color="auto" w:fill="DAE8F0"/>
          </w:tcPr>
          <w:p>
            <w:pPr>
              <w:spacing w:after="0" w:line="182" w:lineRule="exact"/>
              <w:rPr>
                <w:rFonts w:ascii="Arial" w:cs="Arial" w:eastAsia="Arial" w:hAnsi="Arial"/>
                <w:sz w:val="18"/>
                <w:szCs w:val="18"/>
                <w:color w:val="0563C1"/>
              </w:rPr>
            </w:pPr>
            <w:hyperlink r:id="rId787">
              <w:r>
                <w:rPr>
                  <w:rFonts w:ascii="Arial" w:cs="Arial" w:eastAsia="Arial" w:hAnsi="Arial"/>
                  <w:sz w:val="18"/>
                  <w:szCs w:val="18"/>
                  <w:color w:val="0563C1"/>
                </w:rPr>
                <w:t>Agreement attached as Exhibit A thereto) (incorporated by reference to Exhibit 10.1 to the Martin Marietta</w:t>
              </w:r>
            </w:hyperlink>
          </w:p>
        </w:tc>
        <w:tc>
          <w:tcPr>
            <w:tcW w:w="0" w:type="dxa"/>
            <w:vAlign w:val="bottom"/>
          </w:tcPr>
          <w:p>
            <w:pPr>
              <w:spacing w:after="0"/>
              <w:rPr>
                <w:sz w:val="1"/>
                <w:szCs w:val="1"/>
                <w:color w:val="auto"/>
              </w:rPr>
            </w:pPr>
          </w:p>
        </w:tc>
      </w:tr>
      <w:tr>
        <w:trPr>
          <w:trHeight w:val="203"/>
        </w:trPr>
        <w:tc>
          <w:tcPr>
            <w:tcW w:w="220" w:type="dxa"/>
            <w:vAlign w:val="bottom"/>
            <w:tcBorders>
              <w:right w:val="single" w:sz="8" w:color="91BBD3"/>
            </w:tcBorders>
          </w:tcPr>
          <w:p>
            <w:pPr>
              <w:spacing w:after="0"/>
              <w:rPr>
                <w:sz w:val="17"/>
                <w:szCs w:val="17"/>
                <w:color w:val="auto"/>
              </w:rPr>
            </w:pPr>
          </w:p>
        </w:tc>
        <w:tc>
          <w:tcPr>
            <w:tcW w:w="164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240" w:type="dxa"/>
            <w:vAlign w:val="bottom"/>
            <w:tcBorders>
              <w:top w:val="single" w:sz="8" w:color="0563C1"/>
            </w:tcBorders>
            <w:gridSpan w:val="24"/>
            <w:shd w:val="clear" w:color="auto" w:fill="DAE8F0"/>
          </w:tcPr>
          <w:p>
            <w:pPr>
              <w:spacing w:after="0" w:line="182" w:lineRule="exact"/>
              <w:rPr>
                <w:rFonts w:ascii="Arial" w:cs="Arial" w:eastAsia="Arial" w:hAnsi="Arial"/>
                <w:sz w:val="18"/>
                <w:szCs w:val="18"/>
                <w:color w:val="0563C1"/>
              </w:rPr>
            </w:pPr>
            <w:hyperlink r:id="rId787">
              <w:r>
                <w:rPr>
                  <w:rFonts w:ascii="Arial" w:cs="Arial" w:eastAsia="Arial" w:hAnsi="Arial"/>
                  <w:sz w:val="18"/>
                  <w:szCs w:val="18"/>
                  <w:color w:val="0563C1"/>
                </w:rPr>
                <w:t>Materials, Inc., Current Report on Form 8-K filed on September 20, 2023) (Commission File No. 1-12744)</w:t>
              </w:r>
            </w:hyperlink>
          </w:p>
        </w:tc>
        <w:tc>
          <w:tcPr>
            <w:tcW w:w="40" w:type="dxa"/>
            <w:vAlign w:val="bottom"/>
            <w:tcBorders>
              <w:top w:val="single" w:sz="8" w:color="DAE8F0"/>
              <w:right w:val="single" w:sz="8" w:color="91BBD3"/>
            </w:tcBorders>
            <w:gridSpan w:val="4"/>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48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1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7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shd w:val="clear" w:color="auto" w:fill="DAE8F0"/>
          </w:tcPr>
          <w:p>
            <w:pPr>
              <w:jc w:val="right"/>
              <w:ind w:right="1031"/>
              <w:spacing w:after="0" w:line="156" w:lineRule="exact"/>
              <w:rPr>
                <w:sz w:val="20"/>
                <w:szCs w:val="20"/>
                <w:color w:val="auto"/>
              </w:rPr>
            </w:pPr>
            <w:r>
              <w:rPr>
                <w:rFonts w:ascii="Arial" w:cs="Arial" w:eastAsia="Arial" w:hAnsi="Arial"/>
                <w:sz w:val="18"/>
                <w:szCs w:val="18"/>
                <w:b w:val="1"/>
                <w:bCs w:val="1"/>
                <w:color w:val="auto"/>
              </w:rPr>
              <w:t>10.18</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28"/>
            <w:shd w:val="clear" w:color="auto" w:fill="DAE8F0"/>
          </w:tcPr>
          <w:p>
            <w:pPr>
              <w:spacing w:after="0" w:line="156" w:lineRule="exact"/>
              <w:rPr>
                <w:rFonts w:ascii="Arial" w:cs="Arial" w:eastAsia="Arial" w:hAnsi="Arial"/>
                <w:sz w:val="18"/>
                <w:szCs w:val="18"/>
                <w:color w:val="0563C1"/>
              </w:rPr>
            </w:pPr>
            <w:hyperlink r:id="rId788">
              <w:r>
                <w:rPr>
                  <w:rFonts w:ascii="Arial" w:cs="Arial" w:eastAsia="Arial" w:hAnsi="Arial"/>
                  <w:sz w:val="18"/>
                  <w:szCs w:val="18"/>
                  <w:color w:val="0563C1"/>
                </w:rPr>
                <w:t>Sixteenth Amendment to Credit Agreement, dated as of September 18, 2024, among Martin Marietta Funding</w:t>
              </w:r>
            </w:hyperlink>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20" w:type="dxa"/>
            <w:vAlign w:val="bottom"/>
            <w:tcBorders>
              <w:top w:val="single" w:sz="8" w:color="0563C1"/>
            </w:tcBorders>
            <w:gridSpan w:val="23"/>
            <w:shd w:val="clear" w:color="auto" w:fill="DAE8F0"/>
          </w:tcPr>
          <w:p>
            <w:pPr>
              <w:spacing w:after="0" w:line="182" w:lineRule="exact"/>
              <w:rPr>
                <w:rFonts w:ascii="Arial" w:cs="Arial" w:eastAsia="Arial" w:hAnsi="Arial"/>
                <w:sz w:val="18"/>
                <w:szCs w:val="18"/>
                <w:color w:val="0563C1"/>
              </w:rPr>
            </w:pPr>
            <w:hyperlink r:id="rId788">
              <w:r>
                <w:rPr>
                  <w:rFonts w:ascii="Arial" w:cs="Arial" w:eastAsia="Arial" w:hAnsi="Arial"/>
                  <w:sz w:val="18"/>
                  <w:szCs w:val="18"/>
                  <w:color w:val="0563C1"/>
                </w:rPr>
                <w:t>LLC, as borrower, Martin Marietta Materials, Inc., as servicer, and Truist Bank, successor by merger to SunTrust</w:t>
              </w:r>
            </w:hyperlink>
          </w:p>
        </w:tc>
        <w:tc>
          <w:tcPr>
            <w:tcW w:w="60" w:type="dxa"/>
            <w:vAlign w:val="bottom"/>
            <w:tcBorders>
              <w:top w:val="single" w:sz="8" w:color="DAE8F0"/>
              <w:right w:val="single" w:sz="8" w:color="91BBD3"/>
            </w:tcBorders>
            <w:gridSpan w:val="5"/>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180" w:type="dxa"/>
            <w:vAlign w:val="bottom"/>
            <w:tcBorders>
              <w:top w:val="single" w:sz="8" w:color="0563C1"/>
            </w:tcBorders>
            <w:gridSpan w:val="21"/>
            <w:shd w:val="clear" w:color="auto" w:fill="DAE8F0"/>
          </w:tcPr>
          <w:p>
            <w:pPr>
              <w:spacing w:after="0" w:line="182" w:lineRule="exact"/>
              <w:rPr>
                <w:rFonts w:ascii="Arial" w:cs="Arial" w:eastAsia="Arial" w:hAnsi="Arial"/>
                <w:sz w:val="18"/>
                <w:szCs w:val="18"/>
                <w:color w:val="0563C1"/>
              </w:rPr>
            </w:pPr>
            <w:hyperlink r:id="rId788">
              <w:r>
                <w:rPr>
                  <w:rFonts w:ascii="Arial" w:cs="Arial" w:eastAsia="Arial" w:hAnsi="Arial"/>
                  <w:sz w:val="18"/>
                  <w:szCs w:val="18"/>
                  <w:color w:val="0563C1"/>
                </w:rPr>
                <w:t>Bank, as lender together with the other lenders from time to time party thereto, and Truist Bank, successor by</w:t>
              </w:r>
            </w:hyperlink>
          </w:p>
        </w:tc>
        <w:tc>
          <w:tcPr>
            <w:tcW w:w="100" w:type="dxa"/>
            <w:vAlign w:val="bottom"/>
            <w:tcBorders>
              <w:top w:val="single" w:sz="8" w:color="DAE8F0"/>
              <w:right w:val="single" w:sz="8" w:color="91BBD3"/>
            </w:tcBorders>
            <w:gridSpan w:val="7"/>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8980" w:type="dxa"/>
            <w:vAlign w:val="bottom"/>
            <w:tcBorders>
              <w:top w:val="single" w:sz="8" w:color="0563C1"/>
            </w:tcBorders>
            <w:gridSpan w:val="6"/>
            <w:shd w:val="clear" w:color="auto" w:fill="DAE8F0"/>
          </w:tcPr>
          <w:p>
            <w:pPr>
              <w:spacing w:after="0" w:line="182" w:lineRule="exact"/>
              <w:rPr>
                <w:rFonts w:ascii="Arial" w:cs="Arial" w:eastAsia="Arial" w:hAnsi="Arial"/>
                <w:sz w:val="18"/>
                <w:szCs w:val="18"/>
                <w:color w:val="0563C1"/>
              </w:rPr>
            </w:pPr>
            <w:hyperlink r:id="rId788">
              <w:r>
                <w:rPr>
                  <w:rFonts w:ascii="Arial" w:cs="Arial" w:eastAsia="Arial" w:hAnsi="Arial"/>
                  <w:sz w:val="18"/>
                  <w:szCs w:val="18"/>
                  <w:color w:val="0563C1"/>
                </w:rPr>
                <w:t>merger to Sun Trust Bank, as administrative agent for the lenders (including a conformed copy of the Credit</w:t>
              </w:r>
            </w:hyperlink>
          </w:p>
        </w:tc>
        <w:tc>
          <w:tcPr>
            <w:tcW w:w="0" w:type="dxa"/>
            <w:vAlign w:val="bottom"/>
            <w:tcBorders>
              <w:top w:val="single" w:sz="8" w:color="DAE8F0"/>
            </w:tcBorders>
            <w:gridSpan w:val="6"/>
            <w:shd w:val="clear" w:color="auto" w:fill="DAE8F0"/>
          </w:tcPr>
          <w:p>
            <w:pPr>
              <w:spacing w:after="0"/>
              <w:rPr>
                <w:sz w:val="15"/>
                <w:szCs w:val="15"/>
                <w:color w:val="auto"/>
              </w:rPr>
            </w:pPr>
          </w:p>
        </w:tc>
        <w:tc>
          <w:tcPr>
            <w:tcW w:w="300" w:type="dxa"/>
            <w:vAlign w:val="bottom"/>
            <w:tcBorders>
              <w:top w:val="single" w:sz="8" w:color="DAE8F0"/>
              <w:left w:val="single" w:sz="8" w:color="DAE8F0"/>
              <w:right w:val="single" w:sz="8" w:color="91BBD3"/>
            </w:tcBorders>
            <w:gridSpan w:val="16"/>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right w:val="single" w:sz="8" w:color="91BBD3"/>
            </w:tcBorders>
          </w:tcPr>
          <w:p>
            <w:pPr>
              <w:spacing w:after="0"/>
              <w:rPr>
                <w:sz w:val="15"/>
                <w:szCs w:val="15"/>
                <w:color w:val="auto"/>
              </w:rPr>
            </w:pPr>
          </w:p>
        </w:tc>
        <w:tc>
          <w:tcPr>
            <w:tcW w:w="164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80" w:type="dxa"/>
            <w:vAlign w:val="bottom"/>
            <w:tcBorders>
              <w:top w:val="single" w:sz="8" w:color="0563C1"/>
              <w:right w:val="single" w:sz="8" w:color="91BBD3"/>
            </w:tcBorders>
            <w:gridSpan w:val="28"/>
            <w:shd w:val="clear" w:color="auto" w:fill="DAE8F0"/>
          </w:tcPr>
          <w:p>
            <w:pPr>
              <w:spacing w:after="0" w:line="182" w:lineRule="exact"/>
              <w:rPr>
                <w:rFonts w:ascii="Arial" w:cs="Arial" w:eastAsia="Arial" w:hAnsi="Arial"/>
                <w:sz w:val="18"/>
                <w:szCs w:val="18"/>
                <w:color w:val="0563C1"/>
              </w:rPr>
            </w:pPr>
            <w:hyperlink r:id="rId788">
              <w:r>
                <w:rPr>
                  <w:rFonts w:ascii="Arial" w:cs="Arial" w:eastAsia="Arial" w:hAnsi="Arial"/>
                  <w:sz w:val="18"/>
                  <w:szCs w:val="18"/>
                  <w:color w:val="0563C1"/>
                </w:rPr>
                <w:t>Agreement attached as Exhibit A thereto) (incorporated by reference to Exhibit 10.1 to the Martin Marietta</w:t>
              </w:r>
            </w:hyperlink>
          </w:p>
        </w:tc>
        <w:tc>
          <w:tcPr>
            <w:tcW w:w="0" w:type="dxa"/>
            <w:vAlign w:val="bottom"/>
          </w:tcPr>
          <w:p>
            <w:pPr>
              <w:spacing w:after="0"/>
              <w:rPr>
                <w:sz w:val="1"/>
                <w:szCs w:val="1"/>
                <w:color w:val="auto"/>
              </w:rPr>
            </w:pPr>
          </w:p>
        </w:tc>
      </w:tr>
      <w:tr>
        <w:trPr>
          <w:trHeight w:val="203"/>
        </w:trPr>
        <w:tc>
          <w:tcPr>
            <w:tcW w:w="220" w:type="dxa"/>
            <w:vAlign w:val="bottom"/>
            <w:tcBorders>
              <w:right w:val="single" w:sz="8" w:color="91BBD3"/>
            </w:tcBorders>
          </w:tcPr>
          <w:p>
            <w:pPr>
              <w:spacing w:after="0"/>
              <w:rPr>
                <w:sz w:val="17"/>
                <w:szCs w:val="17"/>
                <w:color w:val="auto"/>
              </w:rPr>
            </w:pPr>
          </w:p>
        </w:tc>
        <w:tc>
          <w:tcPr>
            <w:tcW w:w="164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240" w:type="dxa"/>
            <w:vAlign w:val="bottom"/>
            <w:tcBorders>
              <w:top w:val="single" w:sz="8" w:color="0563C1"/>
            </w:tcBorders>
            <w:gridSpan w:val="24"/>
            <w:shd w:val="clear" w:color="auto" w:fill="DAE8F0"/>
          </w:tcPr>
          <w:p>
            <w:pPr>
              <w:spacing w:after="0" w:line="182" w:lineRule="exact"/>
              <w:rPr>
                <w:rFonts w:ascii="Arial" w:cs="Arial" w:eastAsia="Arial" w:hAnsi="Arial"/>
                <w:sz w:val="18"/>
                <w:szCs w:val="18"/>
                <w:color w:val="0563C1"/>
              </w:rPr>
            </w:pPr>
            <w:hyperlink r:id="rId788">
              <w:r>
                <w:rPr>
                  <w:rFonts w:ascii="Arial" w:cs="Arial" w:eastAsia="Arial" w:hAnsi="Arial"/>
                  <w:sz w:val="18"/>
                  <w:szCs w:val="18"/>
                  <w:color w:val="0563C1"/>
                </w:rPr>
                <w:t>Materials, Inc., Current Report on Form 8-K filed on September 19, 2024) (Commission File No. 1-12744)</w:t>
              </w:r>
            </w:hyperlink>
          </w:p>
        </w:tc>
        <w:tc>
          <w:tcPr>
            <w:tcW w:w="40" w:type="dxa"/>
            <w:vAlign w:val="bottom"/>
            <w:tcBorders>
              <w:top w:val="single" w:sz="8" w:color="DAE8F0"/>
              <w:right w:val="single" w:sz="8" w:color="91BBD3"/>
            </w:tcBorders>
            <w:gridSpan w:val="4"/>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48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1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97"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7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jc w:val="right"/>
              <w:ind w:right="1031"/>
              <w:spacing w:after="0" w:line="156" w:lineRule="exact"/>
              <w:rPr>
                <w:sz w:val="20"/>
                <w:szCs w:val="20"/>
                <w:color w:val="auto"/>
              </w:rPr>
            </w:pPr>
            <w:r>
              <w:rPr>
                <w:rFonts w:ascii="Arial" w:cs="Arial" w:eastAsia="Arial" w:hAnsi="Arial"/>
                <w:sz w:val="18"/>
                <w:szCs w:val="18"/>
                <w:b w:val="1"/>
                <w:bCs w:val="1"/>
                <w:color w:val="auto"/>
              </w:rPr>
              <w:t>10.19</w:t>
            </w:r>
          </w:p>
        </w:tc>
        <w:tc>
          <w:tcPr>
            <w:tcW w:w="100" w:type="dxa"/>
            <w:vAlign w:val="bottom"/>
          </w:tcPr>
          <w:p>
            <w:pPr>
              <w:spacing w:after="0"/>
              <w:rPr>
                <w:sz w:val="13"/>
                <w:szCs w:val="13"/>
                <w:color w:val="auto"/>
              </w:rPr>
            </w:pPr>
          </w:p>
        </w:tc>
        <w:tc>
          <w:tcPr>
            <w:tcW w:w="9280" w:type="dxa"/>
            <w:vAlign w:val="bottom"/>
            <w:tcBorders>
              <w:right w:val="single" w:sz="8" w:color="91BBD3"/>
            </w:tcBorders>
            <w:gridSpan w:val="28"/>
          </w:tcPr>
          <w:p>
            <w:pPr>
              <w:spacing w:after="0" w:line="15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Seventeenth Amendment to Credit Agreement, dated as of September 16, 2025, among Martin Marietta Funding LLC, as</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2"/>
            <w:shd w:val="clear" w:color="auto" w:fill="0563C1"/>
          </w:tcPr>
          <w:p>
            <w:pPr>
              <w:spacing w:after="0" w:line="20" w:lineRule="exact"/>
              <w:rPr>
                <w:sz w:val="1"/>
                <w:szCs w:val="1"/>
                <w:color w:val="auto"/>
              </w:rPr>
            </w:pPr>
          </w:p>
        </w:tc>
        <w:tc>
          <w:tcPr>
            <w:tcW w:w="5120" w:type="dxa"/>
            <w:vAlign w:val="bottom"/>
            <w:gridSpan w:val="10"/>
            <w:shd w:val="clear" w:color="auto" w:fill="0563C1"/>
          </w:tcPr>
          <w:p>
            <w:pPr>
              <w:spacing w:after="0" w:line="20" w:lineRule="exact"/>
              <w:rPr>
                <w:sz w:val="1"/>
                <w:szCs w:val="1"/>
                <w:color w:val="auto"/>
              </w:rPr>
            </w:pPr>
          </w:p>
        </w:tc>
        <w:tc>
          <w:tcPr>
            <w:tcW w:w="300" w:type="dxa"/>
            <w:vAlign w:val="bottom"/>
            <w:tcBorders>
              <w:right w:val="single" w:sz="8" w:color="91BBD3"/>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right w:val="single" w:sz="8" w:color="91BBD3"/>
            </w:tcBorders>
            <w:gridSpan w:val="28"/>
          </w:tcPr>
          <w:p>
            <w:pPr>
              <w:spacing w:after="0" w:line="19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borrower, Martin Marietta Materials, Inc., as servicer, and Truist Bank, successor by merger to SunTrust Bank, as lender</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2"/>
            <w:shd w:val="clear" w:color="auto" w:fill="0563C1"/>
          </w:tcPr>
          <w:p>
            <w:pPr>
              <w:spacing w:after="0" w:line="20" w:lineRule="exact"/>
              <w:rPr>
                <w:sz w:val="1"/>
                <w:szCs w:val="1"/>
                <w:color w:val="auto"/>
              </w:rPr>
            </w:pPr>
          </w:p>
        </w:tc>
        <w:tc>
          <w:tcPr>
            <w:tcW w:w="5120" w:type="dxa"/>
            <w:vAlign w:val="bottom"/>
            <w:gridSpan w:val="10"/>
            <w:shd w:val="clear" w:color="auto" w:fill="0563C1"/>
          </w:tcPr>
          <w:p>
            <w:pPr>
              <w:spacing w:after="0" w:line="20" w:lineRule="exact"/>
              <w:rPr>
                <w:sz w:val="1"/>
                <w:szCs w:val="1"/>
                <w:color w:val="auto"/>
              </w:rPr>
            </w:pPr>
          </w:p>
        </w:tc>
        <w:tc>
          <w:tcPr>
            <w:tcW w:w="300" w:type="dxa"/>
            <w:vAlign w:val="bottom"/>
            <w:tcBorders>
              <w:right w:val="single" w:sz="8" w:color="91BBD3"/>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right w:val="single" w:sz="8" w:color="91BBD3"/>
            </w:tcBorders>
            <w:gridSpan w:val="28"/>
          </w:tcPr>
          <w:p>
            <w:pPr>
              <w:spacing w:after="0" w:line="19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together with the other lenders from time to time party thereto, and Truist Bank, successor by merger to SunTrust Bank, as</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2"/>
            <w:shd w:val="clear" w:color="auto" w:fill="0563C1"/>
          </w:tcPr>
          <w:p>
            <w:pPr>
              <w:spacing w:after="0" w:line="20" w:lineRule="exact"/>
              <w:rPr>
                <w:sz w:val="1"/>
                <w:szCs w:val="1"/>
                <w:color w:val="auto"/>
              </w:rPr>
            </w:pPr>
          </w:p>
        </w:tc>
        <w:tc>
          <w:tcPr>
            <w:tcW w:w="5120" w:type="dxa"/>
            <w:vAlign w:val="bottom"/>
            <w:gridSpan w:val="10"/>
            <w:shd w:val="clear" w:color="auto" w:fill="0563C1"/>
          </w:tcPr>
          <w:p>
            <w:pPr>
              <w:spacing w:after="0" w:line="20" w:lineRule="exact"/>
              <w:rPr>
                <w:sz w:val="1"/>
                <w:szCs w:val="1"/>
                <w:color w:val="auto"/>
              </w:rPr>
            </w:pPr>
          </w:p>
        </w:tc>
        <w:tc>
          <w:tcPr>
            <w:tcW w:w="300" w:type="dxa"/>
            <w:vAlign w:val="bottom"/>
            <w:tcBorders>
              <w:left w:val="single" w:sz="8" w:color="0000EE"/>
              <w:right w:val="single" w:sz="8" w:color="91BBD3"/>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60" w:type="dxa"/>
            <w:vAlign w:val="bottom"/>
            <w:tcBorders>
              <w:bottom w:val="single" w:sz="8" w:color="0563C1"/>
            </w:tcBorders>
            <w:gridSpan w:val="20"/>
          </w:tcPr>
          <w:p>
            <w:pPr>
              <w:spacing w:after="0" w:line="19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administrative agent for the lenders (including a conformed copy of the Credit Agreement attached as Exhibit A thereto).</w:t>
              </w:r>
            </w:hyperlink>
          </w:p>
        </w:tc>
        <w:tc>
          <w:tcPr>
            <w:tcW w:w="120" w:type="dxa"/>
            <w:vAlign w:val="bottom"/>
            <w:tcBorders>
              <w:right w:val="single" w:sz="8" w:color="91BBD3"/>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right w:val="single" w:sz="8" w:color="91BBD3"/>
            </w:tcBorders>
            <w:gridSpan w:val="28"/>
          </w:tcPr>
          <w:p>
            <w:pPr>
              <w:spacing w:after="0" w:line="19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(incorporated by reference to Exhibit 10.01 to the Martin Marietta Materials, Inc. Current Report on Form 8-K filed on</w:t>
              </w:r>
            </w:hyperlink>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2"/>
          </w:tcPr>
          <w:p>
            <w:pPr>
              <w:spacing w:after="0" w:line="196" w:lineRule="exact"/>
              <w:rPr>
                <w:rFonts w:ascii="Times New Roman" w:cs="Times New Roman" w:eastAsia="Times New Roman" w:hAnsi="Times New Roman"/>
                <w:sz w:val="18"/>
                <w:szCs w:val="18"/>
                <w:color w:val="0563C1"/>
              </w:rPr>
            </w:pPr>
            <w:hyperlink r:id="rId789">
              <w:r>
                <w:rPr>
                  <w:rFonts w:ascii="Times New Roman" w:cs="Times New Roman" w:eastAsia="Times New Roman" w:hAnsi="Times New Roman"/>
                  <w:sz w:val="18"/>
                  <w:szCs w:val="18"/>
                  <w:color w:val="0563C1"/>
                </w:rPr>
                <w:t>September 17, 2025) (Commission File No. 1-12744)</w:t>
              </w:r>
            </w:hyperlink>
          </w:p>
        </w:tc>
        <w:tc>
          <w:tcPr>
            <w:tcW w:w="300" w:type="dxa"/>
            <w:vAlign w:val="bottom"/>
            <w:tcBorders>
              <w:right w:val="single" w:sz="8" w:color="91BBD3"/>
            </w:tcBorders>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2480" w:type="dxa"/>
            <w:vAlign w:val="bottom"/>
            <w:tcBorders>
              <w:top w:val="single" w:sz="8" w:color="0563C1"/>
              <w:bottom w:val="single" w:sz="8" w:color="91BBD3"/>
            </w:tcBorders>
          </w:tcPr>
          <w:p>
            <w:pPr>
              <w:spacing w:after="0" w:line="20" w:lineRule="exact"/>
              <w:rPr>
                <w:sz w:val="1"/>
                <w:szCs w:val="1"/>
                <w:color w:val="auto"/>
              </w:rPr>
            </w:pPr>
          </w:p>
        </w:tc>
        <w:tc>
          <w:tcPr>
            <w:tcW w:w="138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318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97"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27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1860" w:type="dxa"/>
            <w:vAlign w:val="bottom"/>
            <w:gridSpan w:val="2"/>
          </w:tcPr>
          <w:p>
            <w:pPr>
              <w:jc w:val="right"/>
              <w:ind w:right="291"/>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115</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97"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68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40" w:type="dxa"/>
            <w:vAlign w:val="bottom"/>
            <w:gridSpan w:val="32"/>
          </w:tcPr>
          <w:p>
            <w:pPr>
              <w:ind w:left="96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56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1440" w:type="dxa"/>
            <w:vAlign w:val="bottom"/>
            <w:tcBorders>
              <w:bottom w:val="single" w:sz="8" w:color="007DC6"/>
            </w:tcBorders>
          </w:tcPr>
          <w:p>
            <w:pPr>
              <w:spacing w:after="0"/>
              <w:rPr>
                <w:sz w:val="14"/>
                <w:szCs w:val="14"/>
                <w:color w:val="auto"/>
              </w:rPr>
            </w:pPr>
          </w:p>
        </w:tc>
        <w:tc>
          <w:tcPr>
            <w:tcW w:w="520" w:type="dxa"/>
            <w:vAlign w:val="bottom"/>
            <w:tcBorders>
              <w:bottom w:val="single" w:sz="8" w:color="007DC6"/>
            </w:tcBorders>
          </w:tcPr>
          <w:p>
            <w:pPr>
              <w:spacing w:after="0"/>
              <w:rPr>
                <w:sz w:val="14"/>
                <w:szCs w:val="14"/>
                <w:color w:val="auto"/>
              </w:rPr>
            </w:pPr>
          </w:p>
        </w:tc>
        <w:tc>
          <w:tcPr>
            <w:tcW w:w="1180" w:type="dxa"/>
            <w:vAlign w:val="bottom"/>
            <w:tcBorders>
              <w:bottom w:val="single" w:sz="8" w:color="007DC6"/>
            </w:tcBorders>
          </w:tcPr>
          <w:p>
            <w:pPr>
              <w:spacing w:after="0"/>
              <w:rPr>
                <w:sz w:val="14"/>
                <w:szCs w:val="14"/>
                <w:color w:val="auto"/>
              </w:rPr>
            </w:pPr>
          </w:p>
        </w:tc>
        <w:tc>
          <w:tcPr>
            <w:tcW w:w="360" w:type="dxa"/>
            <w:vAlign w:val="bottom"/>
            <w:tcBorders>
              <w:bottom w:val="single" w:sz="8" w:color="007DC6"/>
            </w:tcBorders>
          </w:tcPr>
          <w:p>
            <w:pPr>
              <w:spacing w:after="0"/>
              <w:rPr>
                <w:sz w:val="14"/>
                <w:szCs w:val="14"/>
                <w:color w:val="auto"/>
              </w:rPr>
            </w:pPr>
          </w:p>
        </w:tc>
        <w:tc>
          <w:tcPr>
            <w:tcW w:w="180" w:type="dxa"/>
            <w:vAlign w:val="bottom"/>
            <w:tcBorders>
              <w:bottom w:val="single" w:sz="8" w:color="007DC6"/>
            </w:tcBorders>
          </w:tcPr>
          <w:p>
            <w:pPr>
              <w:spacing w:after="0"/>
              <w:rPr>
                <w:sz w:val="14"/>
                <w:szCs w:val="14"/>
                <w:color w:val="auto"/>
              </w:rPr>
            </w:pPr>
          </w:p>
        </w:tc>
        <w:tc>
          <w:tcPr>
            <w:tcW w:w="480" w:type="dxa"/>
            <w:vAlign w:val="bottom"/>
            <w:tcBorders>
              <w:bottom w:val="single" w:sz="8" w:color="007DC6"/>
            </w:tcBorders>
          </w:tcPr>
          <w:p>
            <w:pPr>
              <w:spacing w:after="0"/>
              <w:rPr>
                <w:sz w:val="14"/>
                <w:szCs w:val="14"/>
                <w:color w:val="auto"/>
              </w:rPr>
            </w:pPr>
          </w:p>
        </w:tc>
        <w:tc>
          <w:tcPr>
            <w:tcW w:w="260" w:type="dxa"/>
            <w:vAlign w:val="bottom"/>
            <w:tcBorders>
              <w:bottom w:val="single" w:sz="8" w:color="007DC6"/>
            </w:tcBorders>
          </w:tcPr>
          <w:p>
            <w:pPr>
              <w:spacing w:after="0"/>
              <w:rPr>
                <w:sz w:val="14"/>
                <w:szCs w:val="14"/>
                <w:color w:val="auto"/>
              </w:rPr>
            </w:pPr>
          </w:p>
        </w:tc>
        <w:tc>
          <w:tcPr>
            <w:tcW w:w="1280" w:type="dxa"/>
            <w:vAlign w:val="bottom"/>
            <w:tcBorders>
              <w:bottom w:val="single" w:sz="8" w:color="007DC6"/>
            </w:tcBorders>
          </w:tcPr>
          <w:p>
            <w:pPr>
              <w:spacing w:after="0"/>
              <w:rPr>
                <w:sz w:val="14"/>
                <w:szCs w:val="14"/>
                <w:color w:val="auto"/>
              </w:rPr>
            </w:pPr>
          </w:p>
        </w:tc>
        <w:tc>
          <w:tcPr>
            <w:tcW w:w="300" w:type="dxa"/>
            <w:vAlign w:val="bottom"/>
            <w:tcBorders>
              <w:bottom w:val="single" w:sz="8" w:color="007DC6"/>
            </w:tcBorders>
          </w:tcPr>
          <w:p>
            <w:pPr>
              <w:spacing w:after="0"/>
              <w:rPr>
                <w:sz w:val="14"/>
                <w:szCs w:val="14"/>
                <w:color w:val="auto"/>
              </w:rPr>
            </w:pPr>
          </w:p>
        </w:tc>
        <w:tc>
          <w:tcPr>
            <w:tcW w:w="180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137" w:type="dxa"/>
            <w:vAlign w:val="bottom"/>
            <w:tcBorders>
              <w:bottom w:val="single" w:sz="8" w:color="007DC6"/>
            </w:tcBorders>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91BBD3"/>
              <w:right w:val="single" w:sz="8" w:color="91BBD3"/>
            </w:tcBorders>
            <w:shd w:val="clear" w:color="auto" w:fill="007DC6"/>
          </w:tcPr>
          <w:p>
            <w:pPr>
              <w:jc w:val="right"/>
              <w:ind w:right="290"/>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bottom w:val="single" w:sz="8" w:color="91BBD3"/>
            </w:tcBorders>
            <w:shd w:val="clear" w:color="auto" w:fill="007DC6"/>
          </w:tcPr>
          <w:p>
            <w:pPr>
              <w:spacing w:after="0"/>
              <w:rPr>
                <w:sz w:val="24"/>
                <w:szCs w:val="24"/>
                <w:color w:val="auto"/>
              </w:rPr>
            </w:pPr>
          </w:p>
        </w:tc>
        <w:tc>
          <w:tcPr>
            <w:tcW w:w="560" w:type="dxa"/>
            <w:vAlign w:val="bottom"/>
            <w:tcBorders>
              <w:bottom w:val="single" w:sz="8" w:color="91BBD3"/>
            </w:tcBorders>
            <w:shd w:val="clear" w:color="auto" w:fill="007DC6"/>
          </w:tcPr>
          <w:p>
            <w:pPr>
              <w:spacing w:after="0"/>
              <w:rPr>
                <w:sz w:val="24"/>
                <w:szCs w:val="24"/>
                <w:color w:val="auto"/>
              </w:rPr>
            </w:pPr>
          </w:p>
        </w:tc>
        <w:tc>
          <w:tcPr>
            <w:tcW w:w="620" w:type="dxa"/>
            <w:vAlign w:val="bottom"/>
            <w:tcBorders>
              <w:bottom w:val="single" w:sz="8" w:color="91BBD3"/>
            </w:tcBorders>
            <w:shd w:val="clear" w:color="auto" w:fill="007DC6"/>
          </w:tcPr>
          <w:p>
            <w:pPr>
              <w:spacing w:after="0"/>
              <w:rPr>
                <w:sz w:val="24"/>
                <w:szCs w:val="24"/>
                <w:color w:val="auto"/>
              </w:rPr>
            </w:pPr>
          </w:p>
        </w:tc>
        <w:tc>
          <w:tcPr>
            <w:tcW w:w="1440" w:type="dxa"/>
            <w:vAlign w:val="bottom"/>
            <w:tcBorders>
              <w:bottom w:val="single" w:sz="8" w:color="91BBD3"/>
            </w:tcBorders>
            <w:shd w:val="clear" w:color="auto" w:fill="007DC6"/>
          </w:tcPr>
          <w:p>
            <w:pPr>
              <w:spacing w:after="0"/>
              <w:rPr>
                <w:sz w:val="24"/>
                <w:szCs w:val="24"/>
                <w:color w:val="auto"/>
              </w:rPr>
            </w:pPr>
          </w:p>
        </w:tc>
        <w:tc>
          <w:tcPr>
            <w:tcW w:w="520" w:type="dxa"/>
            <w:vAlign w:val="bottom"/>
            <w:tcBorders>
              <w:bottom w:val="single" w:sz="8" w:color="91BBD3"/>
            </w:tcBorders>
            <w:shd w:val="clear" w:color="auto" w:fill="007DC6"/>
          </w:tcPr>
          <w:p>
            <w:pPr>
              <w:spacing w:after="0"/>
              <w:rPr>
                <w:sz w:val="24"/>
                <w:szCs w:val="24"/>
                <w:color w:val="auto"/>
              </w:rPr>
            </w:pPr>
          </w:p>
        </w:tc>
        <w:tc>
          <w:tcPr>
            <w:tcW w:w="1180" w:type="dxa"/>
            <w:vAlign w:val="bottom"/>
            <w:tcBorders>
              <w:bottom w:val="single" w:sz="8" w:color="91BBD3"/>
            </w:tcBorders>
            <w:shd w:val="clear" w:color="auto" w:fill="007DC6"/>
          </w:tcPr>
          <w:p>
            <w:pPr>
              <w:spacing w:after="0"/>
              <w:rPr>
                <w:sz w:val="24"/>
                <w:szCs w:val="24"/>
                <w:color w:val="auto"/>
              </w:rPr>
            </w:pPr>
          </w:p>
        </w:tc>
        <w:tc>
          <w:tcPr>
            <w:tcW w:w="360" w:type="dxa"/>
            <w:vAlign w:val="bottom"/>
            <w:tcBorders>
              <w:bottom w:val="single" w:sz="8" w:color="91BBD3"/>
            </w:tcBorders>
            <w:shd w:val="clear" w:color="auto" w:fill="007DC6"/>
          </w:tcPr>
          <w:p>
            <w:pPr>
              <w:spacing w:after="0"/>
              <w:rPr>
                <w:sz w:val="24"/>
                <w:szCs w:val="24"/>
                <w:color w:val="auto"/>
              </w:rPr>
            </w:pPr>
          </w:p>
        </w:tc>
        <w:tc>
          <w:tcPr>
            <w:tcW w:w="180" w:type="dxa"/>
            <w:vAlign w:val="bottom"/>
            <w:tcBorders>
              <w:bottom w:val="single" w:sz="8" w:color="91BBD3"/>
            </w:tcBorders>
            <w:shd w:val="clear" w:color="auto" w:fill="007DC6"/>
          </w:tcPr>
          <w:p>
            <w:pPr>
              <w:spacing w:after="0"/>
              <w:rPr>
                <w:sz w:val="24"/>
                <w:szCs w:val="24"/>
                <w:color w:val="auto"/>
              </w:rPr>
            </w:pPr>
          </w:p>
        </w:tc>
        <w:tc>
          <w:tcPr>
            <w:tcW w:w="480" w:type="dxa"/>
            <w:vAlign w:val="bottom"/>
            <w:tcBorders>
              <w:bottom w:val="single" w:sz="8" w:color="91BBD3"/>
            </w:tcBorders>
            <w:shd w:val="clear" w:color="auto" w:fill="007DC6"/>
          </w:tcPr>
          <w:p>
            <w:pPr>
              <w:spacing w:after="0"/>
              <w:rPr>
                <w:sz w:val="24"/>
                <w:szCs w:val="24"/>
                <w:color w:val="auto"/>
              </w:rPr>
            </w:pPr>
          </w:p>
        </w:tc>
        <w:tc>
          <w:tcPr>
            <w:tcW w:w="260" w:type="dxa"/>
            <w:vAlign w:val="bottom"/>
            <w:tcBorders>
              <w:bottom w:val="single" w:sz="8" w:color="91BBD3"/>
            </w:tcBorders>
            <w:shd w:val="clear" w:color="auto" w:fill="007DC6"/>
          </w:tcPr>
          <w:p>
            <w:pPr>
              <w:spacing w:after="0"/>
              <w:rPr>
                <w:sz w:val="24"/>
                <w:szCs w:val="24"/>
                <w:color w:val="auto"/>
              </w:rPr>
            </w:pPr>
          </w:p>
        </w:tc>
        <w:tc>
          <w:tcPr>
            <w:tcW w:w="1280" w:type="dxa"/>
            <w:vAlign w:val="bottom"/>
            <w:tcBorders>
              <w:bottom w:val="single" w:sz="8" w:color="91BBD3"/>
            </w:tcBorders>
            <w:shd w:val="clear" w:color="auto" w:fill="007DC6"/>
          </w:tcPr>
          <w:p>
            <w:pPr>
              <w:spacing w:after="0"/>
              <w:rPr>
                <w:sz w:val="24"/>
                <w:szCs w:val="24"/>
                <w:color w:val="auto"/>
              </w:rPr>
            </w:pPr>
          </w:p>
        </w:tc>
        <w:tc>
          <w:tcPr>
            <w:tcW w:w="300" w:type="dxa"/>
            <w:vAlign w:val="bottom"/>
            <w:tcBorders>
              <w:bottom w:val="single" w:sz="8" w:color="91BBD3"/>
            </w:tcBorders>
            <w:shd w:val="clear" w:color="auto" w:fill="007DC6"/>
          </w:tcPr>
          <w:p>
            <w:pPr>
              <w:spacing w:after="0"/>
              <w:rPr>
                <w:sz w:val="24"/>
                <w:szCs w:val="24"/>
                <w:color w:val="auto"/>
              </w:rPr>
            </w:pPr>
          </w:p>
        </w:tc>
        <w:tc>
          <w:tcPr>
            <w:tcW w:w="180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4294967137" w:type="dxa"/>
            <w:vAlign w:val="bottom"/>
            <w:tcBorders>
              <w:bottom w:val="single" w:sz="8" w:color="91BBD3"/>
              <w:right w:val="single" w:sz="8" w:color="007DC6"/>
            </w:tcBorders>
            <w:shd w:val="clear" w:color="auto" w:fill="007DC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shd w:val="clear" w:color="auto" w:fill="DAE8F0"/>
          </w:tcPr>
          <w:p>
            <w:pPr>
              <w:jc w:val="right"/>
              <w:ind w:right="1030"/>
              <w:spacing w:after="0" w:line="149" w:lineRule="exact"/>
              <w:rPr>
                <w:sz w:val="20"/>
                <w:szCs w:val="20"/>
                <w:color w:val="auto"/>
              </w:rPr>
            </w:pPr>
            <w:r>
              <w:rPr>
                <w:rFonts w:ascii="Arial" w:cs="Arial" w:eastAsia="Arial" w:hAnsi="Arial"/>
                <w:sz w:val="17"/>
                <w:szCs w:val="17"/>
                <w:b w:val="1"/>
                <w:bCs w:val="1"/>
                <w:color w:val="auto"/>
              </w:rPr>
              <w:t>10.20</w:t>
            </w:r>
          </w:p>
        </w:tc>
        <w:tc>
          <w:tcPr>
            <w:tcW w:w="100" w:type="dxa"/>
            <w:vAlign w:val="bottom"/>
            <w:tcBorders>
              <w:top w:val="single" w:sz="8" w:color="DAE8F0"/>
            </w:tcBorders>
            <w:shd w:val="clear" w:color="auto" w:fill="DAE8F0"/>
          </w:tcPr>
          <w:p>
            <w:pPr>
              <w:spacing w:after="0"/>
              <w:rPr>
                <w:sz w:val="12"/>
                <w:szCs w:val="12"/>
                <w:color w:val="auto"/>
              </w:rPr>
            </w:pPr>
          </w:p>
        </w:tc>
        <w:tc>
          <w:tcPr>
            <w:tcW w:w="9280" w:type="dxa"/>
            <w:vAlign w:val="bottom"/>
            <w:tcBorders>
              <w:top w:val="single" w:sz="8" w:color="DAE8F0"/>
              <w:right w:val="single" w:sz="8" w:color="91BBD3"/>
            </w:tcBorders>
            <w:gridSpan w:val="36"/>
            <w:shd w:val="clear" w:color="auto" w:fill="DAE8F0"/>
          </w:tcPr>
          <w:p>
            <w:pPr>
              <w:spacing w:after="0" w:line="149" w:lineRule="exact"/>
              <w:rPr>
                <w:rFonts w:ascii="Arial" w:cs="Arial" w:eastAsia="Arial" w:hAnsi="Arial"/>
                <w:sz w:val="17"/>
                <w:szCs w:val="17"/>
                <w:color w:val="0563C1"/>
              </w:rPr>
            </w:pPr>
            <w:hyperlink r:id="rId793">
              <w:r>
                <w:rPr>
                  <w:rFonts w:ascii="Arial" w:cs="Arial" w:eastAsia="Arial" w:hAnsi="Arial"/>
                  <w:sz w:val="17"/>
                  <w:szCs w:val="17"/>
                  <w:color w:val="0563C1"/>
                </w:rPr>
                <w:t>Purchase and Contribution Agreement dated as of April 19, 2013, between Martin Marietta Materials, Inc., as</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00" w:type="dxa"/>
            <w:vAlign w:val="bottom"/>
            <w:tcBorders>
              <w:top w:val="single" w:sz="8" w:color="0563C1"/>
              <w:bottom w:val="single" w:sz="8" w:color="0563C1"/>
            </w:tcBorders>
            <w:gridSpan w:val="13"/>
            <w:shd w:val="clear" w:color="auto" w:fill="DAE8F0"/>
          </w:tcPr>
          <w:p>
            <w:pPr>
              <w:spacing w:after="0" w:line="182" w:lineRule="exact"/>
              <w:rPr>
                <w:rFonts w:ascii="Arial" w:cs="Arial" w:eastAsia="Arial" w:hAnsi="Arial"/>
                <w:sz w:val="18"/>
                <w:szCs w:val="18"/>
                <w:color w:val="0563C1"/>
              </w:rPr>
            </w:pPr>
            <w:hyperlink r:id="rId793">
              <w:r>
                <w:rPr>
                  <w:rFonts w:ascii="Arial" w:cs="Arial" w:eastAsia="Arial" w:hAnsi="Arial"/>
                  <w:sz w:val="18"/>
                  <w:szCs w:val="18"/>
                  <w:color w:val="0563C1"/>
                </w:rPr>
                <w:t>seller and as servicer, and Martin Marietta Funding LLC, as buyer (incorporated by reference to Exhibit 10.02 to</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29496713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bottom w:val="single" w:sz="8" w:color="DAE8F0"/>
              <w:right w:val="single" w:sz="8" w:color="91BBD3"/>
            </w:tcBorders>
            <w:shd w:val="clear" w:color="auto" w:fill="DAE8F0"/>
          </w:tcPr>
          <w:p>
            <w:pPr>
              <w:spacing w:after="0"/>
              <w:rPr>
                <w:sz w:val="15"/>
                <w:szCs w:val="15"/>
                <w:color w:val="auto"/>
              </w:rPr>
            </w:pPr>
          </w:p>
        </w:tc>
        <w:tc>
          <w:tcPr>
            <w:tcW w:w="100" w:type="dxa"/>
            <w:vAlign w:val="bottom"/>
            <w:tcBorders>
              <w:bottom w:val="single" w:sz="8" w:color="DAE8F0"/>
            </w:tcBorders>
            <w:shd w:val="clear" w:color="auto" w:fill="DAE8F0"/>
          </w:tcPr>
          <w:p>
            <w:pPr>
              <w:spacing w:after="0"/>
              <w:rPr>
                <w:sz w:val="15"/>
                <w:szCs w:val="15"/>
                <w:color w:val="auto"/>
              </w:rPr>
            </w:pPr>
          </w:p>
        </w:tc>
        <w:tc>
          <w:tcPr>
            <w:tcW w:w="9200" w:type="dxa"/>
            <w:vAlign w:val="bottom"/>
            <w:tcBorders>
              <w:bottom w:val="single" w:sz="8" w:color="0563C1"/>
            </w:tcBorders>
            <w:gridSpan w:val="23"/>
            <w:shd w:val="clear" w:color="auto" w:fill="DAE8F0"/>
          </w:tcPr>
          <w:p>
            <w:pPr>
              <w:spacing w:after="0" w:line="182" w:lineRule="exact"/>
              <w:rPr>
                <w:rFonts w:ascii="Arial" w:cs="Arial" w:eastAsia="Arial" w:hAnsi="Arial"/>
                <w:sz w:val="18"/>
                <w:szCs w:val="18"/>
                <w:color w:val="0563C1"/>
              </w:rPr>
            </w:pPr>
            <w:hyperlink r:id="rId793">
              <w:r>
                <w:rPr>
                  <w:rFonts w:ascii="Arial" w:cs="Arial" w:eastAsia="Arial" w:hAnsi="Arial"/>
                  <w:sz w:val="18"/>
                  <w:szCs w:val="18"/>
                  <w:color w:val="0563C1"/>
                </w:rPr>
                <w:t>the Martin Marietta Materials, Inc. Current Report on Form 8-K filed on April 24, 2013) (Commission File No. 1-</w:t>
              </w:r>
            </w:hyperlink>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20" w:type="dxa"/>
            <w:vAlign w:val="bottom"/>
            <w:tcBorders>
              <w:bottom w:val="single" w:sz="8" w:color="DAE8F0"/>
            </w:tcBorders>
            <w:shd w:val="clear" w:color="auto" w:fill="DAE8F0"/>
          </w:tcPr>
          <w:p>
            <w:pPr>
              <w:spacing w:after="0"/>
              <w:rPr>
                <w:sz w:val="15"/>
                <w:szCs w:val="15"/>
                <w:color w:val="auto"/>
              </w:rPr>
            </w:pPr>
          </w:p>
        </w:tc>
        <w:tc>
          <w:tcPr>
            <w:tcW w:w="4294967137" w:type="dxa"/>
            <w:vAlign w:val="bottom"/>
            <w:tcBorders>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560" w:type="dxa"/>
            <w:vAlign w:val="bottom"/>
            <w:tcBorders>
              <w:bottom w:val="single" w:sz="8" w:color="0563C1"/>
            </w:tcBorders>
            <w:shd w:val="clear" w:color="auto" w:fill="DAE8F0"/>
          </w:tcPr>
          <w:p>
            <w:pPr>
              <w:spacing w:after="0" w:line="182" w:lineRule="exact"/>
              <w:rPr>
                <w:rFonts w:ascii="Arial" w:cs="Arial" w:eastAsia="Arial" w:hAnsi="Arial"/>
                <w:sz w:val="18"/>
                <w:szCs w:val="18"/>
                <w:color w:val="0563C1"/>
                <w:w w:val="96"/>
              </w:rPr>
            </w:pPr>
            <w:hyperlink r:id="rId793">
              <w:r>
                <w:rPr>
                  <w:rFonts w:ascii="Arial" w:cs="Arial" w:eastAsia="Arial" w:hAnsi="Arial"/>
                  <w:sz w:val="18"/>
                  <w:szCs w:val="18"/>
                  <w:color w:val="0563C1"/>
                  <w:w w:val="96"/>
                </w:rPr>
                <w:t>12744)</w:t>
              </w:r>
            </w:hyperlink>
          </w:p>
        </w:tc>
        <w:tc>
          <w:tcPr>
            <w:tcW w:w="620" w:type="dxa"/>
            <w:vAlign w:val="bottom"/>
            <w:tcBorders>
              <w:bottom w:val="single" w:sz="8" w:color="91BBD3"/>
            </w:tcBorders>
            <w:shd w:val="clear" w:color="auto" w:fill="DAE8F0"/>
          </w:tcPr>
          <w:p>
            <w:pPr>
              <w:spacing w:after="0"/>
              <w:rPr>
                <w:sz w:val="19"/>
                <w:szCs w:val="19"/>
                <w:color w:val="auto"/>
              </w:rPr>
            </w:pPr>
          </w:p>
        </w:tc>
        <w:tc>
          <w:tcPr>
            <w:tcW w:w="1440" w:type="dxa"/>
            <w:vAlign w:val="bottom"/>
            <w:tcBorders>
              <w:bottom w:val="single" w:sz="8" w:color="91BBD3"/>
            </w:tcBorders>
            <w:shd w:val="clear" w:color="auto" w:fill="DAE8F0"/>
          </w:tcPr>
          <w:p>
            <w:pPr>
              <w:spacing w:after="0"/>
              <w:rPr>
                <w:sz w:val="19"/>
                <w:szCs w:val="19"/>
                <w:color w:val="auto"/>
              </w:rPr>
            </w:pPr>
          </w:p>
        </w:tc>
        <w:tc>
          <w:tcPr>
            <w:tcW w:w="520" w:type="dxa"/>
            <w:vAlign w:val="bottom"/>
            <w:tcBorders>
              <w:bottom w:val="single" w:sz="8" w:color="91BBD3"/>
            </w:tcBorders>
            <w:shd w:val="clear" w:color="auto" w:fill="DAE8F0"/>
          </w:tcPr>
          <w:p>
            <w:pPr>
              <w:spacing w:after="0"/>
              <w:rPr>
                <w:sz w:val="19"/>
                <w:szCs w:val="19"/>
                <w:color w:val="auto"/>
              </w:rPr>
            </w:pPr>
          </w:p>
        </w:tc>
        <w:tc>
          <w:tcPr>
            <w:tcW w:w="1180" w:type="dxa"/>
            <w:vAlign w:val="bottom"/>
            <w:tcBorders>
              <w:bottom w:val="single" w:sz="8" w:color="91BBD3"/>
            </w:tcBorders>
            <w:shd w:val="clear" w:color="auto" w:fill="DAE8F0"/>
          </w:tcPr>
          <w:p>
            <w:pPr>
              <w:spacing w:after="0"/>
              <w:rPr>
                <w:sz w:val="19"/>
                <w:szCs w:val="19"/>
                <w:color w:val="auto"/>
              </w:rPr>
            </w:pPr>
          </w:p>
        </w:tc>
        <w:tc>
          <w:tcPr>
            <w:tcW w:w="360" w:type="dxa"/>
            <w:vAlign w:val="bottom"/>
            <w:tcBorders>
              <w:bottom w:val="single" w:sz="8" w:color="91BBD3"/>
            </w:tcBorders>
            <w:shd w:val="clear" w:color="auto" w:fill="DAE8F0"/>
          </w:tcPr>
          <w:p>
            <w:pPr>
              <w:spacing w:after="0"/>
              <w:rPr>
                <w:sz w:val="19"/>
                <w:szCs w:val="19"/>
                <w:color w:val="auto"/>
              </w:rPr>
            </w:pPr>
          </w:p>
        </w:tc>
        <w:tc>
          <w:tcPr>
            <w:tcW w:w="180" w:type="dxa"/>
            <w:vAlign w:val="bottom"/>
            <w:tcBorders>
              <w:bottom w:val="single" w:sz="8" w:color="91BBD3"/>
            </w:tcBorders>
            <w:shd w:val="clear" w:color="auto" w:fill="DAE8F0"/>
          </w:tcPr>
          <w:p>
            <w:pPr>
              <w:spacing w:after="0"/>
              <w:rPr>
                <w:sz w:val="19"/>
                <w:szCs w:val="19"/>
                <w:color w:val="auto"/>
              </w:rPr>
            </w:pPr>
          </w:p>
        </w:tc>
        <w:tc>
          <w:tcPr>
            <w:tcW w:w="480" w:type="dxa"/>
            <w:vAlign w:val="bottom"/>
            <w:tcBorders>
              <w:bottom w:val="single" w:sz="8" w:color="91BBD3"/>
            </w:tcBorders>
            <w:shd w:val="clear" w:color="auto" w:fill="DAE8F0"/>
          </w:tcPr>
          <w:p>
            <w:pPr>
              <w:spacing w:after="0"/>
              <w:rPr>
                <w:sz w:val="19"/>
                <w:szCs w:val="19"/>
                <w:color w:val="auto"/>
              </w:rPr>
            </w:pPr>
          </w:p>
        </w:tc>
        <w:tc>
          <w:tcPr>
            <w:tcW w:w="260" w:type="dxa"/>
            <w:vAlign w:val="bottom"/>
            <w:tcBorders>
              <w:bottom w:val="single" w:sz="8" w:color="91BBD3"/>
            </w:tcBorders>
            <w:shd w:val="clear" w:color="auto" w:fill="DAE8F0"/>
          </w:tcPr>
          <w:p>
            <w:pPr>
              <w:spacing w:after="0"/>
              <w:rPr>
                <w:sz w:val="19"/>
                <w:szCs w:val="19"/>
                <w:color w:val="auto"/>
              </w:rPr>
            </w:pPr>
          </w:p>
        </w:tc>
        <w:tc>
          <w:tcPr>
            <w:tcW w:w="1280" w:type="dxa"/>
            <w:vAlign w:val="bottom"/>
            <w:tcBorders>
              <w:bottom w:val="single" w:sz="8" w:color="91BBD3"/>
            </w:tcBorders>
            <w:shd w:val="clear" w:color="auto" w:fill="DAE8F0"/>
          </w:tcPr>
          <w:p>
            <w:pPr>
              <w:spacing w:after="0"/>
              <w:rPr>
                <w:sz w:val="19"/>
                <w:szCs w:val="19"/>
                <w:color w:val="auto"/>
              </w:rPr>
            </w:pPr>
          </w:p>
        </w:tc>
        <w:tc>
          <w:tcPr>
            <w:tcW w:w="300" w:type="dxa"/>
            <w:vAlign w:val="bottom"/>
            <w:tcBorders>
              <w:bottom w:val="single" w:sz="8" w:color="91BBD3"/>
            </w:tcBorders>
            <w:shd w:val="clear" w:color="auto" w:fill="DAE8F0"/>
          </w:tcPr>
          <w:p>
            <w:pPr>
              <w:spacing w:after="0"/>
              <w:rPr>
                <w:sz w:val="19"/>
                <w:szCs w:val="19"/>
                <w:color w:val="auto"/>
              </w:rPr>
            </w:pPr>
          </w:p>
        </w:tc>
        <w:tc>
          <w:tcPr>
            <w:tcW w:w="180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4294967137" w:type="dxa"/>
            <w:vAlign w:val="bottom"/>
            <w:tcBorders>
              <w:bottom w:val="single" w:sz="8" w:color="91BBD3"/>
              <w:right w:val="single" w:sz="8" w:color="91BBD3"/>
            </w:tcBorders>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10.21</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794">
              <w:r>
                <w:rPr>
                  <w:rFonts w:ascii="Arial" w:cs="Arial" w:eastAsia="Arial" w:hAnsi="Arial"/>
                  <w:sz w:val="18"/>
                  <w:szCs w:val="18"/>
                  <w:color w:val="0563C1"/>
                </w:rPr>
                <w:t>Form of Martin Marietta Materials, Inc. Third Amended and Restated Employment Protection Agreement</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20" w:type="dxa"/>
            <w:vAlign w:val="bottom"/>
            <w:tcBorders>
              <w:top w:val="single" w:sz="8" w:color="0563C1"/>
            </w:tcBorders>
            <w:gridSpan w:val="29"/>
          </w:tcPr>
          <w:p>
            <w:pPr>
              <w:spacing w:after="0" w:line="182" w:lineRule="exact"/>
              <w:rPr>
                <w:rFonts w:ascii="Arial" w:cs="Arial" w:eastAsia="Arial" w:hAnsi="Arial"/>
                <w:sz w:val="18"/>
                <w:szCs w:val="18"/>
                <w:color w:val="0563C1"/>
              </w:rPr>
            </w:pPr>
            <w:hyperlink r:id="rId794">
              <w:r>
                <w:rPr>
                  <w:rFonts w:ascii="Arial" w:cs="Arial" w:eastAsia="Arial" w:hAnsi="Arial"/>
                  <w:sz w:val="18"/>
                  <w:szCs w:val="18"/>
                  <w:color w:val="0563C1"/>
                </w:rPr>
                <w:t>(incorporated by reference to Exhibit 10.01 to the Martin Marietta Materials, Inc. Current Report on Form 8</w:t>
              </w:r>
              <w:r>
                <w:rPr>
                  <w:rFonts w:ascii="MS PGothic" w:cs="MS PGothic" w:eastAsia="MS PGothic" w:hAnsi="MS PGothic"/>
                  <w:sz w:val="18"/>
                  <w:szCs w:val="18"/>
                  <w:color w:val="0563C1"/>
                </w:rPr>
                <w:t>‑</w:t>
              </w:r>
              <w:r>
                <w:rPr>
                  <w:rFonts w:ascii="Arial" w:cs="Arial" w:eastAsia="Arial" w:hAnsi="Arial"/>
                  <w:sz w:val="18"/>
                  <w:szCs w:val="18"/>
                  <w:color w:val="0563C1"/>
                </w:rPr>
                <w:t>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80" w:type="dxa"/>
            <w:vAlign w:val="bottom"/>
            <w:tcBorders>
              <w:top w:val="single" w:sz="8" w:color="0563C1"/>
            </w:tcBorders>
            <w:gridSpan w:val="22"/>
          </w:tcPr>
          <w:p>
            <w:pPr>
              <w:spacing w:after="0" w:line="182" w:lineRule="exact"/>
              <w:rPr>
                <w:rFonts w:ascii="Arial" w:cs="Arial" w:eastAsia="Arial" w:hAnsi="Arial"/>
                <w:sz w:val="18"/>
                <w:szCs w:val="18"/>
                <w:color w:val="0563C1"/>
              </w:rPr>
            </w:pPr>
            <w:hyperlink r:id="rId794">
              <w:r>
                <w:rPr>
                  <w:rFonts w:ascii="Arial" w:cs="Arial" w:eastAsia="Arial" w:hAnsi="Arial"/>
                  <w:sz w:val="18"/>
                  <w:szCs w:val="18"/>
                  <w:color w:val="0563C1"/>
                </w:rPr>
                <w:t>filed on August 19, 2008) (Commission File No. 1-12744)**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300" w:type="dxa"/>
            <w:vAlign w:val="bottom"/>
            <w:tcBorders>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10.22</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795">
              <w:r>
                <w:rPr>
                  <w:rFonts w:ascii="Arial" w:cs="Arial" w:eastAsia="Arial" w:hAnsi="Arial"/>
                  <w:sz w:val="18"/>
                  <w:szCs w:val="18"/>
                  <w:color w:val="0563C1"/>
                </w:rPr>
                <w:t>Amended and Restated Martin Marietta Materials, Inc. Common Stock Purchase Plan for Directors (incorporated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120" w:type="dxa"/>
            <w:vAlign w:val="bottom"/>
            <w:tcBorders>
              <w:top w:val="single" w:sz="8" w:color="0563C1"/>
              <w:bottom w:val="single" w:sz="8" w:color="0563C1"/>
            </w:tcBorders>
            <w:gridSpan w:val="19"/>
            <w:shd w:val="clear" w:color="auto" w:fill="DAE8F0"/>
          </w:tcPr>
          <w:p>
            <w:pPr>
              <w:spacing w:after="0" w:line="182" w:lineRule="exact"/>
              <w:rPr>
                <w:rFonts w:ascii="Arial" w:cs="Arial" w:eastAsia="Arial" w:hAnsi="Arial"/>
                <w:sz w:val="18"/>
                <w:szCs w:val="18"/>
                <w:color w:val="0563C1"/>
              </w:rPr>
            </w:pPr>
            <w:hyperlink r:id="rId795">
              <w:r>
                <w:rPr>
                  <w:rFonts w:ascii="Arial" w:cs="Arial" w:eastAsia="Arial" w:hAnsi="Arial"/>
                  <w:sz w:val="18"/>
                  <w:szCs w:val="18"/>
                  <w:color w:val="0563C1"/>
                </w:rPr>
                <w:t>by reference to Exhibit 10.05 to the Martin Marietta Materials, Inc. Annual Report on Form 10-K for the fiscal year</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60" w:type="dxa"/>
            <w:vAlign w:val="bottom"/>
            <w:tcBorders>
              <w:top w:val="single" w:sz="8" w:color="DAE8F0"/>
              <w:bottom w:val="single" w:sz="8" w:color="0563C1"/>
            </w:tcBorders>
            <w:gridSpan w:val="3"/>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0" w:type="dxa"/>
            <w:vAlign w:val="bottom"/>
            <w:tcBorders>
              <w:top w:val="single" w:sz="8" w:color="DAE8F0"/>
              <w:bottom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294967137"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260" w:type="dxa"/>
            <w:vAlign w:val="bottom"/>
            <w:gridSpan w:val="26"/>
            <w:shd w:val="clear" w:color="auto" w:fill="DAE8F0"/>
          </w:tcPr>
          <w:p>
            <w:pPr>
              <w:spacing w:after="0" w:line="182" w:lineRule="exact"/>
              <w:rPr>
                <w:rFonts w:ascii="Arial" w:cs="Arial" w:eastAsia="Arial" w:hAnsi="Arial"/>
                <w:sz w:val="18"/>
                <w:szCs w:val="18"/>
                <w:color w:val="0563C1"/>
              </w:rPr>
            </w:pPr>
            <w:hyperlink r:id="rId795">
              <w:r>
                <w:rPr>
                  <w:rFonts w:ascii="Arial" w:cs="Arial" w:eastAsia="Arial" w:hAnsi="Arial"/>
                  <w:sz w:val="18"/>
                  <w:szCs w:val="18"/>
                  <w:color w:val="0563C1"/>
                </w:rPr>
                <w:t>ended December 31, 2013) (Commission File No. 1-12744)**</w:t>
              </w:r>
            </w:hyperlink>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40" w:type="dxa"/>
            <w:vAlign w:val="bottom"/>
            <w:gridSpan w:val="2"/>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4294967137" w:type="dxa"/>
            <w:vAlign w:val="bottom"/>
            <w:tcBorders>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44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0563C1"/>
            </w:tcBorders>
            <w:shd w:val="clear" w:color="auto" w:fill="91BBD3"/>
          </w:tcPr>
          <w:p>
            <w:pPr>
              <w:spacing w:after="0" w:line="20" w:lineRule="exact"/>
              <w:rPr>
                <w:sz w:val="1"/>
                <w:szCs w:val="1"/>
                <w:color w:val="auto"/>
              </w:rPr>
            </w:pPr>
          </w:p>
        </w:tc>
        <w:tc>
          <w:tcPr>
            <w:tcW w:w="11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180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3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10.23</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796">
              <w:r>
                <w:rPr>
                  <w:rFonts w:ascii="Arial" w:cs="Arial" w:eastAsia="Arial" w:hAnsi="Arial"/>
                  <w:sz w:val="18"/>
                  <w:szCs w:val="18"/>
                  <w:color w:val="0563C1"/>
                </w:rPr>
                <w:t>Martin Marietta Materials, Inc. Amended and Restated Executive Incentive Plan (incorporated by reference to</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60" w:type="dxa"/>
            <w:vAlign w:val="bottom"/>
            <w:tcBorders>
              <w:top w:val="single" w:sz="8" w:color="0563C1"/>
              <w:bottom w:val="single" w:sz="8" w:color="0563C1"/>
            </w:tcBorders>
            <w:gridSpan w:val="21"/>
          </w:tcPr>
          <w:p>
            <w:pPr>
              <w:spacing w:after="0" w:line="182" w:lineRule="exact"/>
              <w:rPr>
                <w:rFonts w:ascii="Arial" w:cs="Arial" w:eastAsia="Arial" w:hAnsi="Arial"/>
                <w:sz w:val="18"/>
                <w:szCs w:val="18"/>
                <w:color w:val="0563C1"/>
              </w:rPr>
            </w:pPr>
            <w:hyperlink r:id="rId796">
              <w:r>
                <w:rPr>
                  <w:rFonts w:ascii="Arial" w:cs="Arial" w:eastAsia="Arial" w:hAnsi="Arial"/>
                  <w:sz w:val="18"/>
                  <w:szCs w:val="18"/>
                  <w:color w:val="0563C1"/>
                </w:rPr>
                <w:t>Exhibit 10.05 to the Martin Marietta Materials, Inc. Annual Report on Form 10-K for the fiscal year ended</w:t>
              </w:r>
            </w:hyperlink>
          </w:p>
        </w:tc>
        <w:tc>
          <w:tcPr>
            <w:tcW w:w="60" w:type="dxa"/>
            <w:vAlign w:val="bottom"/>
            <w:tcBorders>
              <w:bottom w:val="single" w:sz="8" w:color="0563C1"/>
            </w:tcBorders>
            <w:gridSpan w:val="3"/>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gridSpan w:val="30"/>
          </w:tcPr>
          <w:p>
            <w:pPr>
              <w:spacing w:after="0" w:line="182" w:lineRule="exact"/>
              <w:rPr>
                <w:rFonts w:ascii="Arial" w:cs="Arial" w:eastAsia="Arial" w:hAnsi="Arial"/>
                <w:sz w:val="18"/>
                <w:szCs w:val="18"/>
                <w:color w:val="0563C1"/>
              </w:rPr>
            </w:pPr>
            <w:hyperlink r:id="rId796">
              <w:r>
                <w:rPr>
                  <w:rFonts w:ascii="Arial" w:cs="Arial" w:eastAsia="Arial" w:hAnsi="Arial"/>
                  <w:sz w:val="18"/>
                  <w:szCs w:val="18"/>
                  <w:color w:val="0563C1"/>
                </w:rPr>
                <w:t>December 31, 2008)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300" w:type="dxa"/>
            <w:vAlign w:val="bottom"/>
            <w:tcBorders>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10.24</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797">
              <w:r>
                <w:rPr>
                  <w:rFonts w:ascii="Arial" w:cs="Arial" w:eastAsia="Arial" w:hAnsi="Arial"/>
                  <w:sz w:val="18"/>
                  <w:szCs w:val="18"/>
                  <w:color w:val="0563C1"/>
                </w:rPr>
                <w:t>Martin Marietta Materials, Inc. Incentive Stock Plan, as Amended (incorporated by reference to Exhibit 10.06 to</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280" w:type="dxa"/>
            <w:vAlign w:val="bottom"/>
            <w:tcBorders>
              <w:top w:val="single" w:sz="8" w:color="0563C1"/>
              <w:right w:val="single" w:sz="8" w:color="91BBD3"/>
            </w:tcBorders>
            <w:gridSpan w:val="36"/>
            <w:shd w:val="clear" w:color="auto" w:fill="DAE8F0"/>
          </w:tcPr>
          <w:p>
            <w:pPr>
              <w:spacing w:after="0" w:line="182" w:lineRule="exact"/>
              <w:rPr>
                <w:rFonts w:ascii="Arial" w:cs="Arial" w:eastAsia="Arial" w:hAnsi="Arial"/>
                <w:sz w:val="18"/>
                <w:szCs w:val="18"/>
                <w:color w:val="0563C1"/>
              </w:rPr>
            </w:pPr>
            <w:hyperlink r:id="rId797">
              <w:r>
                <w:rPr>
                  <w:rFonts w:ascii="Arial" w:cs="Arial" w:eastAsia="Arial" w:hAnsi="Arial"/>
                  <w:sz w:val="18"/>
                  <w:szCs w:val="18"/>
                  <w:color w:val="0563C1"/>
                </w:rPr>
                <w:t>the Martin Marietta Materials, Inc. Annual Report on Form 10-K for the fiscal year ended December 31, 2008)</w:t>
              </w:r>
            </w:hyperlink>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140" w:type="dxa"/>
            <w:vAlign w:val="bottom"/>
            <w:tcBorders>
              <w:top w:val="single" w:sz="8" w:color="0563C1"/>
            </w:tcBorders>
            <w:gridSpan w:val="20"/>
            <w:shd w:val="clear" w:color="auto" w:fill="DAE8F0"/>
          </w:tcPr>
          <w:p>
            <w:pPr>
              <w:spacing w:after="0" w:line="182" w:lineRule="exact"/>
              <w:rPr>
                <w:rFonts w:ascii="Arial" w:cs="Arial" w:eastAsia="Arial" w:hAnsi="Arial"/>
                <w:sz w:val="18"/>
                <w:szCs w:val="18"/>
                <w:color w:val="0563C1"/>
              </w:rPr>
            </w:pPr>
            <w:hyperlink r:id="rId797">
              <w:r>
                <w:rPr>
                  <w:rFonts w:ascii="Arial" w:cs="Arial" w:eastAsia="Arial" w:hAnsi="Arial"/>
                  <w:sz w:val="18"/>
                  <w:szCs w:val="18"/>
                  <w:color w:val="0563C1"/>
                </w:rPr>
                <w:t>(Commission File No. 1-12744)**</w:t>
              </w:r>
            </w:hyperlink>
          </w:p>
        </w:tc>
        <w:tc>
          <w:tcPr>
            <w:tcW w:w="80" w:type="dxa"/>
            <w:vAlign w:val="bottom"/>
            <w:tcBorders>
              <w:top w:val="single" w:sz="8" w:color="DAE8F0"/>
            </w:tcBorders>
            <w:gridSpan w:val="4"/>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0" w:type="dxa"/>
            <w:vAlign w:val="bottom"/>
            <w:tcBorders>
              <w:top w:val="single" w:sz="8" w:color="DAE8F0"/>
            </w:tcBorders>
            <w:gridSpan w:val="2"/>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60" w:type="dxa"/>
            <w:vAlign w:val="bottom"/>
            <w:tcBorders>
              <w:top w:val="single" w:sz="8" w:color="DAE8F0"/>
            </w:tcBorders>
            <w:gridSpan w:val="3"/>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294967137" w:type="dxa"/>
            <w:vAlign w:val="bottom"/>
            <w:tcBorders>
              <w:top w:val="single" w:sz="8" w:color="DAE8F0"/>
              <w:right w:val="single" w:sz="8" w:color="91BBD3"/>
            </w:tcBorders>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44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3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180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3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10.25</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798">
              <w:r>
                <w:rPr>
                  <w:rFonts w:ascii="Arial" w:cs="Arial" w:eastAsia="Arial" w:hAnsi="Arial"/>
                  <w:sz w:val="18"/>
                  <w:szCs w:val="18"/>
                  <w:color w:val="0563C1"/>
                </w:rPr>
                <w:t>Martin Marietta Amended and Restated Stock-Based Award Plan last amended and restated February 18, 2016</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40" w:type="dxa"/>
            <w:vAlign w:val="bottom"/>
            <w:tcBorders>
              <w:top w:val="single" w:sz="8" w:color="0563C1"/>
              <w:bottom w:val="single" w:sz="8" w:color="0563C1"/>
            </w:tcBorders>
            <w:gridSpan w:val="15"/>
          </w:tcPr>
          <w:p>
            <w:pPr>
              <w:spacing w:after="0" w:line="182" w:lineRule="exact"/>
              <w:rPr>
                <w:rFonts w:ascii="Arial" w:cs="Arial" w:eastAsia="Arial" w:hAnsi="Arial"/>
                <w:sz w:val="18"/>
                <w:szCs w:val="18"/>
                <w:color w:val="0563C1"/>
              </w:rPr>
            </w:pPr>
            <w:hyperlink r:id="rId798">
              <w:r>
                <w:rPr>
                  <w:rFonts w:ascii="Arial" w:cs="Arial" w:eastAsia="Arial" w:hAnsi="Arial"/>
                  <w:sz w:val="18"/>
                  <w:szCs w:val="18"/>
                  <w:color w:val="0563C1"/>
                </w:rPr>
                <w:t>(incorporated by reference to Exhibit 10.01 to the Martin Marietta Materials, Inc. Quarterly Report on Form 10</w:t>
              </w:r>
              <w:r>
                <w:rPr>
                  <w:rFonts w:ascii="MS PGothic" w:cs="MS PGothic" w:eastAsia="MS PGothic" w:hAnsi="MS PGothic"/>
                  <w:sz w:val="18"/>
                  <w:szCs w:val="18"/>
                  <w:color w:val="0563C1"/>
                </w:rPr>
                <w:t>‑</w:t>
              </w:r>
              <w:r>
                <w:rPr>
                  <w:rFonts w:ascii="Arial" w:cs="Arial" w:eastAsia="Arial" w:hAnsi="Arial"/>
                  <w:sz w:val="18"/>
                  <w:szCs w:val="18"/>
                  <w:color w:val="0563C1"/>
                </w:rPr>
                <w:t>Q</w:t>
              </w:r>
            </w:hyperlink>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120" w:type="dxa"/>
            <w:vAlign w:val="bottom"/>
            <w:tcBorders>
              <w:bottom w:val="single" w:sz="8" w:color="0563C1"/>
            </w:tcBorders>
            <w:gridSpan w:val="6"/>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40" w:type="dxa"/>
            <w:vAlign w:val="bottom"/>
            <w:tcBorders>
              <w:bottom w:val="single" w:sz="8" w:color="0563C1"/>
            </w:tcBorders>
            <w:gridSpan w:val="2"/>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60" w:type="dxa"/>
            <w:vAlign w:val="bottom"/>
            <w:tcBorders>
              <w:bottom w:val="single" w:sz="8" w:color="0563C1"/>
            </w:tcBorders>
            <w:gridSpan w:val="3"/>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Borders>
              <w:bottom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gridSpan w:val="34"/>
          </w:tcPr>
          <w:p>
            <w:pPr>
              <w:spacing w:after="0" w:line="182" w:lineRule="exact"/>
              <w:rPr>
                <w:rFonts w:ascii="Arial" w:cs="Arial" w:eastAsia="Arial" w:hAnsi="Arial"/>
                <w:sz w:val="18"/>
                <w:szCs w:val="18"/>
                <w:color w:val="0563C1"/>
              </w:rPr>
            </w:pPr>
            <w:hyperlink r:id="rId798">
              <w:r>
                <w:rPr>
                  <w:rFonts w:ascii="Arial" w:cs="Arial" w:eastAsia="Arial" w:hAnsi="Arial"/>
                  <w:sz w:val="18"/>
                  <w:szCs w:val="18"/>
                  <w:color w:val="0563C1"/>
                </w:rPr>
                <w:t>for the quarter ended June 30, 2016) (Commission File No. 1-12744)**</w:t>
              </w:r>
            </w:hyperlink>
          </w:p>
        </w:tc>
        <w:tc>
          <w:tcPr>
            <w:tcW w:w="20" w:type="dxa"/>
            <w:vAlign w:val="bottom"/>
          </w:tcPr>
          <w:p>
            <w:pPr>
              <w:spacing w:after="0"/>
              <w:rPr>
                <w:sz w:val="15"/>
                <w:szCs w:val="15"/>
                <w:color w:val="auto"/>
              </w:rPr>
            </w:pPr>
          </w:p>
        </w:tc>
        <w:tc>
          <w:tcPr>
            <w:tcW w:w="4294967137" w:type="dxa"/>
            <w:vAlign w:val="bottom"/>
            <w:tcBorders>
              <w:right w:val="single" w:sz="8" w:color="91BB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top w:val="single" w:sz="8" w:color="0563C1"/>
              <w:bottom w:val="single" w:sz="8" w:color="91BBD3"/>
            </w:tcBorders>
          </w:tcPr>
          <w:p>
            <w:pPr>
              <w:spacing w:after="0" w:line="20" w:lineRule="exact"/>
              <w:rPr>
                <w:sz w:val="1"/>
                <w:szCs w:val="1"/>
                <w:color w:val="auto"/>
              </w:rPr>
            </w:pPr>
          </w:p>
        </w:tc>
        <w:tc>
          <w:tcPr>
            <w:tcW w:w="48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300" w:type="dxa"/>
            <w:vAlign w:val="bottom"/>
            <w:tcBorders>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10.26</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799">
              <w:r>
                <w:rPr>
                  <w:rFonts w:ascii="Arial" w:cs="Arial" w:eastAsia="Arial" w:hAnsi="Arial"/>
                  <w:sz w:val="18"/>
                  <w:szCs w:val="18"/>
                  <w:color w:val="0563C1"/>
                </w:rPr>
                <w:t>Martin Marietta Executive Cash Incentive Plan adopted February 18, 2016 (incorporated by reference to Exhibit</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440" w:type="dxa"/>
            <w:vAlign w:val="bottom"/>
            <w:tcBorders>
              <w:top w:val="single" w:sz="8" w:color="0563C1"/>
            </w:tcBorders>
            <w:gridSpan w:val="35"/>
            <w:shd w:val="clear" w:color="auto" w:fill="DAE8F0"/>
          </w:tcPr>
          <w:p>
            <w:pPr>
              <w:spacing w:after="0" w:line="182" w:lineRule="exact"/>
              <w:rPr>
                <w:rFonts w:ascii="Arial" w:cs="Arial" w:eastAsia="Arial" w:hAnsi="Arial"/>
                <w:sz w:val="18"/>
                <w:szCs w:val="18"/>
                <w:color w:val="0563C1"/>
              </w:rPr>
            </w:pPr>
            <w:hyperlink r:id="rId799">
              <w:r>
                <w:rPr>
                  <w:rFonts w:ascii="Arial" w:cs="Arial" w:eastAsia="Arial" w:hAnsi="Arial"/>
                  <w:sz w:val="18"/>
                  <w:szCs w:val="18"/>
                  <w:color w:val="0563C1"/>
                </w:rPr>
                <w:t>10.02 to the Martin Marietta Materials, Inc. Quarterly Report on Form 10</w:t>
              </w:r>
              <w:r>
                <w:rPr>
                  <w:rFonts w:ascii="MS PGothic" w:cs="MS PGothic" w:eastAsia="MS PGothic" w:hAnsi="MS PGothic"/>
                  <w:sz w:val="18"/>
                  <w:szCs w:val="18"/>
                  <w:color w:val="0563C1"/>
                </w:rPr>
                <w:t>‑</w:t>
              </w:r>
              <w:r>
                <w:rPr>
                  <w:rFonts w:ascii="Arial" w:cs="Arial" w:eastAsia="Arial" w:hAnsi="Arial"/>
                  <w:sz w:val="18"/>
                  <w:szCs w:val="18"/>
                  <w:color w:val="0563C1"/>
                </w:rPr>
                <w:t>Q for the quarter ended June 30, 2016)</w:t>
              </w:r>
            </w:hyperlink>
          </w:p>
        </w:tc>
        <w:tc>
          <w:tcPr>
            <w:tcW w:w="4294967137" w:type="dxa"/>
            <w:vAlign w:val="bottom"/>
            <w:tcBorders>
              <w:top w:val="single" w:sz="8" w:color="DAE8F0"/>
              <w:right w:val="single" w:sz="8" w:color="91BBD3"/>
            </w:tcBorders>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9040" w:type="dxa"/>
            <w:vAlign w:val="bottom"/>
            <w:tcBorders>
              <w:top w:val="single" w:sz="8" w:color="0563C1"/>
            </w:tcBorders>
            <w:gridSpan w:val="15"/>
            <w:shd w:val="clear" w:color="auto" w:fill="DAE8F0"/>
          </w:tcPr>
          <w:p>
            <w:pPr>
              <w:spacing w:after="0" w:line="182" w:lineRule="exact"/>
              <w:rPr>
                <w:rFonts w:ascii="Arial" w:cs="Arial" w:eastAsia="Arial" w:hAnsi="Arial"/>
                <w:sz w:val="18"/>
                <w:szCs w:val="18"/>
                <w:color w:val="0563C1"/>
              </w:rPr>
            </w:pPr>
            <w:hyperlink r:id="rId799">
              <w:r>
                <w:rPr>
                  <w:rFonts w:ascii="Arial" w:cs="Arial" w:eastAsia="Arial" w:hAnsi="Arial"/>
                  <w:sz w:val="18"/>
                  <w:szCs w:val="18"/>
                  <w:color w:val="0563C1"/>
                </w:rPr>
                <w:t>(Commission File No. 1-12744)**</w:t>
              </w:r>
            </w:hyperlink>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120" w:type="dxa"/>
            <w:vAlign w:val="bottom"/>
            <w:tcBorders>
              <w:top w:val="single" w:sz="8" w:color="DAE8F0"/>
            </w:tcBorders>
            <w:gridSpan w:val="6"/>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0" w:type="dxa"/>
            <w:vAlign w:val="bottom"/>
            <w:tcBorders>
              <w:top w:val="single" w:sz="8" w:color="DAE8F0"/>
            </w:tcBorders>
            <w:gridSpan w:val="2"/>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60" w:type="dxa"/>
            <w:vAlign w:val="bottom"/>
            <w:tcBorders>
              <w:top w:val="single" w:sz="8" w:color="DAE8F0"/>
            </w:tcBorders>
            <w:gridSpan w:val="3"/>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294967177" w:type="dxa"/>
            <w:vAlign w:val="bottom"/>
            <w:tcBorders>
              <w:top w:val="single" w:sz="8" w:color="DAE8F0"/>
              <w:right w:val="single" w:sz="8" w:color="91BBD3"/>
            </w:tcBorders>
            <w:gridSpan w:val="3"/>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44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3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180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3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10.27</w:t>
            </w:r>
          </w:p>
        </w:tc>
        <w:tc>
          <w:tcPr>
            <w:tcW w:w="100" w:type="dxa"/>
            <w:vAlign w:val="bottom"/>
          </w:tcPr>
          <w:p>
            <w:pPr>
              <w:spacing w:after="0"/>
              <w:rPr>
                <w:sz w:val="13"/>
                <w:szCs w:val="13"/>
                <w:color w:val="auto"/>
              </w:rPr>
            </w:pPr>
          </w:p>
        </w:tc>
        <w:tc>
          <w:tcPr>
            <w:tcW w:w="9080" w:type="dxa"/>
            <w:vAlign w:val="bottom"/>
            <w:tcBorders>
              <w:bottom w:val="single" w:sz="8" w:color="0563C1"/>
            </w:tcBorders>
            <w:gridSpan w:val="17"/>
          </w:tcPr>
          <w:p>
            <w:pPr>
              <w:spacing w:after="0" w:line="156" w:lineRule="exact"/>
              <w:rPr>
                <w:rFonts w:ascii="Arial" w:cs="Arial" w:eastAsia="Arial" w:hAnsi="Arial"/>
                <w:sz w:val="18"/>
                <w:szCs w:val="18"/>
                <w:color w:val="0563C1"/>
              </w:rPr>
            </w:pPr>
            <w:hyperlink r:id="rId800">
              <w:r>
                <w:rPr>
                  <w:rFonts w:ascii="Arial" w:cs="Arial" w:eastAsia="Arial" w:hAnsi="Arial"/>
                  <w:sz w:val="18"/>
                  <w:szCs w:val="18"/>
                  <w:color w:val="0563C1"/>
                </w:rPr>
                <w:t>Martin Marietta Materials, Inc. Amended Omnibus Securities Award Plan (incorporated by reference to Exhibit</w:t>
              </w:r>
            </w:hyperlink>
          </w:p>
        </w:tc>
        <w:tc>
          <w:tcPr>
            <w:tcW w:w="20" w:type="dxa"/>
            <w:vAlign w:val="bottom"/>
            <w:tcBorders>
              <w:bottom w:val="single" w:sz="8" w:color="0000EE"/>
            </w:tcBorders>
          </w:tcPr>
          <w:p>
            <w:pPr>
              <w:spacing w:after="0"/>
              <w:rPr>
                <w:sz w:val="13"/>
                <w:szCs w:val="13"/>
                <w:color w:val="auto"/>
              </w:rPr>
            </w:pPr>
          </w:p>
        </w:tc>
        <w:tc>
          <w:tcPr>
            <w:tcW w:w="180" w:type="dxa"/>
            <w:vAlign w:val="bottom"/>
            <w:tcBorders>
              <w:right w:val="single" w:sz="8" w:color="91BBD3"/>
            </w:tcBorders>
            <w:gridSpan w:val="1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gridSpan w:val="18"/>
          </w:tcPr>
          <w:p>
            <w:pPr>
              <w:spacing w:after="0" w:line="182" w:lineRule="exact"/>
              <w:rPr>
                <w:rFonts w:ascii="Arial" w:cs="Arial" w:eastAsia="Arial" w:hAnsi="Arial"/>
                <w:sz w:val="18"/>
                <w:szCs w:val="18"/>
                <w:color w:val="0563C1"/>
              </w:rPr>
            </w:pPr>
            <w:hyperlink r:id="rId800">
              <w:r>
                <w:rPr>
                  <w:rFonts w:ascii="Arial" w:cs="Arial" w:eastAsia="Arial" w:hAnsi="Arial"/>
                  <w:sz w:val="18"/>
                  <w:szCs w:val="18"/>
                  <w:color w:val="0563C1"/>
                </w:rPr>
                <w:t>10.16 to the Martin Marietta Materials, Inc. Annual Report on Form 10</w:t>
              </w:r>
              <w:r>
                <w:rPr>
                  <w:rFonts w:ascii="MS PGothic" w:cs="MS PGothic" w:eastAsia="MS PGothic" w:hAnsi="MS PGothic"/>
                  <w:sz w:val="18"/>
                  <w:szCs w:val="18"/>
                  <w:color w:val="0563C1"/>
                </w:rPr>
                <w:t>‑</w:t>
              </w:r>
              <w:r>
                <w:rPr>
                  <w:rFonts w:ascii="Arial" w:cs="Arial" w:eastAsia="Arial" w:hAnsi="Arial"/>
                  <w:sz w:val="18"/>
                  <w:szCs w:val="18"/>
                  <w:color w:val="0563C1"/>
                </w:rPr>
                <w:t>K for the fiscal year ended December 31,</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tcBorders>
              <w:top w:val="single" w:sz="8" w:color="0563C1"/>
              <w:right w:val="single" w:sz="8" w:color="91BBD3"/>
            </w:tcBorders>
            <w:gridSpan w:val="36"/>
          </w:tcPr>
          <w:p>
            <w:pPr>
              <w:spacing w:after="0" w:line="182" w:lineRule="exact"/>
              <w:rPr>
                <w:rFonts w:ascii="Arial" w:cs="Arial" w:eastAsia="Arial" w:hAnsi="Arial"/>
                <w:sz w:val="18"/>
                <w:szCs w:val="18"/>
                <w:color w:val="0563C1"/>
              </w:rPr>
            </w:pPr>
            <w:hyperlink r:id="rId800">
              <w:r>
                <w:rPr>
                  <w:rFonts w:ascii="Arial" w:cs="Arial" w:eastAsia="Arial" w:hAnsi="Arial"/>
                  <w:sz w:val="18"/>
                  <w:szCs w:val="18"/>
                  <w:color w:val="0563C1"/>
                </w:rPr>
                <w:t>2000) (Commission File No. 1-12744)**</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300" w:type="dxa"/>
            <w:vAlign w:val="bottom"/>
            <w:tcBorders>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10.28</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801">
              <w:r>
                <w:rPr>
                  <w:rFonts w:ascii="Arial" w:cs="Arial" w:eastAsia="Arial" w:hAnsi="Arial"/>
                  <w:sz w:val="18"/>
                  <w:szCs w:val="18"/>
                  <w:color w:val="0563C1"/>
                </w:rPr>
                <w:t>Martin  Marietta  Materials,  Inc.  Third  Amended  and  Restated  Supplemental  Excess  Retirement  Plan</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360" w:type="dxa"/>
            <w:vAlign w:val="bottom"/>
            <w:tcBorders>
              <w:top w:val="single" w:sz="8" w:color="0563C1"/>
            </w:tcBorders>
            <w:gridSpan w:val="31"/>
            <w:shd w:val="clear" w:color="auto" w:fill="DAE8F0"/>
          </w:tcPr>
          <w:p>
            <w:pPr>
              <w:spacing w:after="0" w:line="182" w:lineRule="exact"/>
              <w:rPr>
                <w:rFonts w:ascii="Arial" w:cs="Arial" w:eastAsia="Arial" w:hAnsi="Arial"/>
                <w:sz w:val="18"/>
                <w:szCs w:val="18"/>
                <w:color w:val="0563C1"/>
              </w:rPr>
            </w:pPr>
            <w:hyperlink r:id="rId801">
              <w:r>
                <w:rPr>
                  <w:rFonts w:ascii="Arial" w:cs="Arial" w:eastAsia="Arial" w:hAnsi="Arial"/>
                  <w:sz w:val="18"/>
                  <w:szCs w:val="18"/>
                  <w:color w:val="0563C1"/>
                </w:rPr>
                <w:t>(incorporated by reference to Exhibit 10 to the Martin Marietta Materials, Inc. Quarterly Report on Form 10-Q for</w:t>
              </w:r>
            </w:hyperlink>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294967177" w:type="dxa"/>
            <w:vAlign w:val="bottom"/>
            <w:tcBorders>
              <w:top w:val="single" w:sz="8" w:color="DAE8F0"/>
              <w:right w:val="single" w:sz="8" w:color="91BBD3"/>
            </w:tcBorders>
            <w:gridSpan w:val="3"/>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91BBD3"/>
            </w:tcBorders>
          </w:tcPr>
          <w:p>
            <w:pPr>
              <w:spacing w:after="0"/>
              <w:rPr>
                <w:sz w:val="17"/>
                <w:szCs w:val="17"/>
                <w:color w:val="auto"/>
              </w:rPr>
            </w:pPr>
          </w:p>
        </w:tc>
        <w:tc>
          <w:tcPr>
            <w:tcW w:w="1660" w:type="dxa"/>
            <w:vAlign w:val="bottom"/>
            <w:tcBorders>
              <w:top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tcBorders>
            <w:shd w:val="clear" w:color="auto" w:fill="DAE8F0"/>
          </w:tcPr>
          <w:p>
            <w:pPr>
              <w:spacing w:after="0"/>
              <w:rPr>
                <w:sz w:val="17"/>
                <w:szCs w:val="17"/>
                <w:color w:val="auto"/>
              </w:rPr>
            </w:pPr>
          </w:p>
        </w:tc>
        <w:tc>
          <w:tcPr>
            <w:tcW w:w="8980" w:type="dxa"/>
            <w:vAlign w:val="bottom"/>
            <w:tcBorders>
              <w:top w:val="single" w:sz="8" w:color="0563C1"/>
            </w:tcBorders>
            <w:gridSpan w:val="12"/>
            <w:shd w:val="clear" w:color="auto" w:fill="DAE8F0"/>
          </w:tcPr>
          <w:p>
            <w:pPr>
              <w:spacing w:after="0" w:line="182" w:lineRule="exact"/>
              <w:rPr>
                <w:rFonts w:ascii="Arial" w:cs="Arial" w:eastAsia="Arial" w:hAnsi="Arial"/>
                <w:sz w:val="18"/>
                <w:szCs w:val="18"/>
                <w:color w:val="0563C1"/>
              </w:rPr>
            </w:pPr>
            <w:hyperlink r:id="rId801">
              <w:r>
                <w:rPr>
                  <w:rFonts w:ascii="Arial" w:cs="Arial" w:eastAsia="Arial" w:hAnsi="Arial"/>
                  <w:sz w:val="18"/>
                  <w:szCs w:val="18"/>
                  <w:color w:val="0563C1"/>
                </w:rPr>
                <w:t>the quarter ended June 30, 2012) (Commission File No. 1-12744)**</w:t>
              </w:r>
            </w:hyperlink>
          </w:p>
        </w:tc>
        <w:tc>
          <w:tcPr>
            <w:tcW w:w="40" w:type="dxa"/>
            <w:vAlign w:val="bottom"/>
            <w:tcBorders>
              <w:top w:val="single" w:sz="8" w:color="DAE8F0"/>
            </w:tcBorders>
            <w:gridSpan w:val="2"/>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160" w:type="dxa"/>
            <w:vAlign w:val="bottom"/>
            <w:tcBorders>
              <w:top w:val="single" w:sz="8" w:color="DAE8F0"/>
            </w:tcBorders>
            <w:gridSpan w:val="8"/>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0" w:type="dxa"/>
            <w:vAlign w:val="bottom"/>
            <w:tcBorders>
              <w:top w:val="single" w:sz="8" w:color="DAE8F0"/>
            </w:tcBorders>
            <w:gridSpan w:val="2"/>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80" w:type="dxa"/>
            <w:vAlign w:val="bottom"/>
            <w:tcBorders>
              <w:top w:val="single" w:sz="8" w:color="DAE8F0"/>
            </w:tcBorders>
            <w:gridSpan w:val="4"/>
            <w:shd w:val="clear" w:color="auto" w:fill="DAE8F0"/>
          </w:tcPr>
          <w:p>
            <w:pPr>
              <w:spacing w:after="0"/>
              <w:rPr>
                <w:sz w:val="17"/>
                <w:szCs w:val="17"/>
                <w:color w:val="auto"/>
              </w:rPr>
            </w:pPr>
          </w:p>
        </w:tc>
        <w:tc>
          <w:tcPr>
            <w:tcW w:w="20" w:type="dxa"/>
            <w:vAlign w:val="bottom"/>
            <w:tcBorders>
              <w:top w:val="single" w:sz="8" w:color="DAE8F0"/>
            </w:tcBorders>
            <w:shd w:val="clear" w:color="auto" w:fill="DAE8F0"/>
          </w:tcPr>
          <w:p>
            <w:pPr>
              <w:spacing w:after="0"/>
              <w:rPr>
                <w:sz w:val="17"/>
                <w:szCs w:val="17"/>
                <w:color w:val="auto"/>
              </w:rPr>
            </w:pPr>
          </w:p>
        </w:tc>
        <w:tc>
          <w:tcPr>
            <w:tcW w:w="4294967177" w:type="dxa"/>
            <w:vAlign w:val="bottom"/>
            <w:tcBorders>
              <w:top w:val="single" w:sz="8" w:color="DAE8F0"/>
              <w:right w:val="single" w:sz="8" w:color="91BBD3"/>
            </w:tcBorders>
            <w:gridSpan w:val="3"/>
            <w:shd w:val="clear" w:color="auto" w:fill="DAE8F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44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0563C1"/>
            </w:tcBorders>
            <w:shd w:val="clear" w:color="auto" w:fill="91BBD3"/>
          </w:tcPr>
          <w:p>
            <w:pPr>
              <w:spacing w:after="0" w:line="20" w:lineRule="exact"/>
              <w:rPr>
                <w:sz w:val="1"/>
                <w:szCs w:val="1"/>
                <w:color w:val="auto"/>
              </w:rPr>
            </w:pPr>
          </w:p>
        </w:tc>
        <w:tc>
          <w:tcPr>
            <w:tcW w:w="118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180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13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10.29</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802">
              <w:r>
                <w:rPr>
                  <w:rFonts w:ascii="Arial" w:cs="Arial" w:eastAsia="Arial" w:hAnsi="Arial"/>
                  <w:sz w:val="18"/>
                  <w:szCs w:val="18"/>
                  <w:color w:val="0563C1"/>
                </w:rPr>
                <w:t>Form of Option Award Agreement under the Martin Marietta Materials, Inc. Amended and Restated Stock-Based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top w:val="single" w:sz="8" w:color="0563C1"/>
            </w:tcBorders>
            <w:gridSpan w:val="32"/>
          </w:tcPr>
          <w:p>
            <w:pPr>
              <w:spacing w:after="0" w:line="182" w:lineRule="exact"/>
              <w:rPr>
                <w:rFonts w:ascii="Arial" w:cs="Arial" w:eastAsia="Arial" w:hAnsi="Arial"/>
                <w:sz w:val="18"/>
                <w:szCs w:val="18"/>
                <w:color w:val="0563C1"/>
              </w:rPr>
            </w:pPr>
            <w:hyperlink r:id="rId802">
              <w:r>
                <w:rPr>
                  <w:rFonts w:ascii="Arial" w:cs="Arial" w:eastAsia="Arial" w:hAnsi="Arial"/>
                  <w:sz w:val="18"/>
                  <w:szCs w:val="18"/>
                  <w:color w:val="0563C1"/>
                </w:rPr>
                <w:t>Award Plan (incorporated by reference to Exhibit 10.11 to the Martin Marietta Materials, Inc. Annual Report on</w:t>
              </w:r>
            </w:hyperlink>
          </w:p>
        </w:tc>
        <w:tc>
          <w:tcPr>
            <w:tcW w:w="20" w:type="dxa"/>
            <w:vAlign w:val="bottom"/>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360" w:type="dxa"/>
            <w:vAlign w:val="bottom"/>
            <w:tcBorders>
              <w:top w:val="single" w:sz="8" w:color="0563C1"/>
            </w:tcBorders>
            <w:gridSpan w:val="31"/>
          </w:tcPr>
          <w:p>
            <w:pPr>
              <w:spacing w:after="0" w:line="182" w:lineRule="exact"/>
              <w:rPr>
                <w:rFonts w:ascii="Arial" w:cs="Arial" w:eastAsia="Arial" w:hAnsi="Arial"/>
                <w:sz w:val="18"/>
                <w:szCs w:val="18"/>
                <w:color w:val="0563C1"/>
              </w:rPr>
            </w:pPr>
            <w:hyperlink r:id="rId802">
              <w:r>
                <w:rPr>
                  <w:rFonts w:ascii="Arial" w:cs="Arial" w:eastAsia="Arial" w:hAnsi="Arial"/>
                  <w:sz w:val="18"/>
                  <w:szCs w:val="18"/>
                  <w:color w:val="0563C1"/>
                </w:rPr>
                <w:t>Form 10-K for the fiscal year ended December 31, 2008) (Commission File No. 1-12744)**</w:t>
              </w:r>
            </w:hyperlink>
          </w:p>
        </w:tc>
        <w:tc>
          <w:tcPr>
            <w:tcW w:w="40" w:type="dxa"/>
            <w:vAlign w:val="bottom"/>
            <w:gridSpan w:val="2"/>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top w:val="single" w:sz="8" w:color="0563C1"/>
              <w:bottom w:val="single" w:sz="8" w:color="91BBD3"/>
            </w:tcBorders>
          </w:tcPr>
          <w:p>
            <w:pPr>
              <w:spacing w:after="0" w:line="20" w:lineRule="exact"/>
              <w:rPr>
                <w:sz w:val="1"/>
                <w:szCs w:val="1"/>
                <w:color w:val="auto"/>
              </w:rPr>
            </w:pPr>
          </w:p>
        </w:tc>
        <w:tc>
          <w:tcPr>
            <w:tcW w:w="48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80" w:type="dxa"/>
            <w:vAlign w:val="bottom"/>
            <w:tcBorders>
              <w:top w:val="single" w:sz="8" w:color="0563C1"/>
              <w:bottom w:val="single" w:sz="8" w:color="91BBD3"/>
            </w:tcBorders>
          </w:tcPr>
          <w:p>
            <w:pPr>
              <w:spacing w:after="0" w:line="20" w:lineRule="exact"/>
              <w:rPr>
                <w:sz w:val="1"/>
                <w:szCs w:val="1"/>
                <w:color w:val="auto"/>
              </w:rPr>
            </w:pPr>
          </w:p>
        </w:tc>
        <w:tc>
          <w:tcPr>
            <w:tcW w:w="300" w:type="dxa"/>
            <w:vAlign w:val="bottom"/>
            <w:tcBorders>
              <w:top w:val="single" w:sz="8" w:color="0563C1"/>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10.30</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803">
              <w:r>
                <w:rPr>
                  <w:rFonts w:ascii="Arial" w:cs="Arial" w:eastAsia="Arial" w:hAnsi="Arial"/>
                  <w:sz w:val="18"/>
                  <w:szCs w:val="18"/>
                  <w:color w:val="0563C1"/>
                </w:rPr>
                <w:t>Form of Amendment to the Stock Unit Agreement under the Martin Marietta Materials, Inc. Amended and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20" w:type="dxa"/>
            <w:vAlign w:val="bottom"/>
            <w:tcBorders>
              <w:top w:val="single" w:sz="8" w:color="0563C1"/>
              <w:bottom w:val="single" w:sz="8" w:color="0563C1"/>
            </w:tcBorders>
            <w:gridSpan w:val="14"/>
            <w:shd w:val="clear" w:color="auto" w:fill="DAE8F0"/>
          </w:tcPr>
          <w:p>
            <w:pPr>
              <w:spacing w:after="0" w:line="182" w:lineRule="exact"/>
              <w:rPr>
                <w:rFonts w:ascii="Arial" w:cs="Arial" w:eastAsia="Arial" w:hAnsi="Arial"/>
                <w:sz w:val="18"/>
                <w:szCs w:val="18"/>
                <w:color w:val="0563C1"/>
              </w:rPr>
            </w:pPr>
            <w:hyperlink r:id="rId803">
              <w:r>
                <w:rPr>
                  <w:rFonts w:ascii="Arial" w:cs="Arial" w:eastAsia="Arial" w:hAnsi="Arial"/>
                  <w:sz w:val="18"/>
                  <w:szCs w:val="18"/>
                  <w:color w:val="0563C1"/>
                </w:rPr>
                <w:t>Restated Stock-Based Award Plan (incorporated by reference to Exhibit 10.13 to the Martin Marietta Materials,</w:t>
              </w:r>
            </w:hyperlink>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160" w:type="dxa"/>
            <w:vAlign w:val="bottom"/>
            <w:tcBorders>
              <w:top w:val="single" w:sz="8" w:color="DAE8F0"/>
              <w:bottom w:val="single" w:sz="8" w:color="0563C1"/>
            </w:tcBorders>
            <w:gridSpan w:val="8"/>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40" w:type="dxa"/>
            <w:vAlign w:val="bottom"/>
            <w:tcBorders>
              <w:top w:val="single" w:sz="8" w:color="DAE8F0"/>
              <w:bottom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DAE8F0"/>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gridSpan w:val="5"/>
            <w:shd w:val="clear" w:color="auto" w:fill="DAE8F0"/>
          </w:tcPr>
          <w:p>
            <w:pPr>
              <w:spacing w:after="0"/>
              <w:rPr>
                <w:sz w:val="15"/>
                <w:szCs w:val="15"/>
                <w:color w:val="auto"/>
              </w:rPr>
            </w:pPr>
          </w:p>
        </w:tc>
        <w:tc>
          <w:tcPr>
            <w:tcW w:w="4294967177" w:type="dxa"/>
            <w:vAlign w:val="bottom"/>
            <w:tcBorders>
              <w:top w:val="single" w:sz="8" w:color="DAE8F0"/>
              <w:bottom w:val="single" w:sz="8" w:color="DAE8F0"/>
              <w:right w:val="single" w:sz="8" w:color="91BBD3"/>
            </w:tcBorders>
            <w:gridSpan w:val="3"/>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8980" w:type="dxa"/>
            <w:vAlign w:val="bottom"/>
            <w:tcBorders>
              <w:bottom w:val="single" w:sz="8" w:color="0563C1"/>
            </w:tcBorders>
            <w:gridSpan w:val="12"/>
            <w:shd w:val="clear" w:color="auto" w:fill="DAE8F0"/>
          </w:tcPr>
          <w:p>
            <w:pPr>
              <w:spacing w:after="0" w:line="182" w:lineRule="exact"/>
              <w:rPr>
                <w:rFonts w:ascii="Arial" w:cs="Arial" w:eastAsia="Arial" w:hAnsi="Arial"/>
                <w:sz w:val="18"/>
                <w:szCs w:val="18"/>
                <w:color w:val="0563C1"/>
                <w:w w:val="99"/>
              </w:rPr>
            </w:pPr>
            <w:hyperlink r:id="rId803">
              <w:r>
                <w:rPr>
                  <w:rFonts w:ascii="Arial" w:cs="Arial" w:eastAsia="Arial" w:hAnsi="Arial"/>
                  <w:sz w:val="18"/>
                  <w:szCs w:val="18"/>
                  <w:color w:val="0563C1"/>
                  <w:w w:val="99"/>
                </w:rPr>
                <w:t>Inc. Annual Report on Form 10-K for the fiscal year ended December 31, 2008) (Commission File No. 1-12744)**</w:t>
              </w:r>
            </w:hyperlink>
          </w:p>
        </w:tc>
        <w:tc>
          <w:tcPr>
            <w:tcW w:w="240" w:type="dxa"/>
            <w:vAlign w:val="bottom"/>
            <w:tcBorders>
              <w:bottom w:val="single" w:sz="8" w:color="91BBD3"/>
            </w:tcBorders>
            <w:gridSpan w:val="12"/>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40" w:type="dxa"/>
            <w:vAlign w:val="bottom"/>
            <w:tcBorders>
              <w:bottom w:val="single" w:sz="8" w:color="91BBD3"/>
            </w:tcBorders>
            <w:gridSpan w:val="2"/>
            <w:shd w:val="clear" w:color="auto" w:fill="DAE8F0"/>
          </w:tcPr>
          <w:p>
            <w:pPr>
              <w:spacing w:after="0"/>
              <w:rPr>
                <w:sz w:val="19"/>
                <w:szCs w:val="19"/>
                <w:color w:val="auto"/>
              </w:rPr>
            </w:pPr>
          </w:p>
        </w:tc>
        <w:tc>
          <w:tcPr>
            <w:tcW w:w="20" w:type="dxa"/>
            <w:vAlign w:val="bottom"/>
            <w:tcBorders>
              <w:bottom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gridSpan w:val="5"/>
            <w:shd w:val="clear" w:color="auto" w:fill="DAE8F0"/>
          </w:tcPr>
          <w:p>
            <w:pPr>
              <w:spacing w:after="0"/>
              <w:rPr>
                <w:sz w:val="19"/>
                <w:szCs w:val="19"/>
                <w:color w:val="auto"/>
              </w:rPr>
            </w:pPr>
          </w:p>
        </w:tc>
        <w:tc>
          <w:tcPr>
            <w:tcW w:w="4294967177" w:type="dxa"/>
            <w:vAlign w:val="bottom"/>
            <w:tcBorders>
              <w:bottom w:val="single" w:sz="8" w:color="91BBD3"/>
              <w:right w:val="single" w:sz="8" w:color="91BBD3"/>
            </w:tcBorders>
            <w:gridSpan w:val="3"/>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10.31</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804">
              <w:r>
                <w:rPr>
                  <w:rFonts w:ascii="Arial" w:cs="Arial" w:eastAsia="Arial" w:hAnsi="Arial"/>
                  <w:sz w:val="18"/>
                  <w:szCs w:val="18"/>
                  <w:color w:val="0563C1"/>
                </w:rPr>
                <w:t>Form of Restricted Stock Unit Agreement for Directors under the Martin Marietta Materials, Inc. Amended and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40" w:type="dxa"/>
            <w:vAlign w:val="bottom"/>
            <w:tcBorders>
              <w:top w:val="single" w:sz="8" w:color="0563C1"/>
            </w:tcBorders>
            <w:gridSpan w:val="25"/>
          </w:tcPr>
          <w:p>
            <w:pPr>
              <w:spacing w:after="0" w:line="182" w:lineRule="exact"/>
              <w:rPr>
                <w:rFonts w:ascii="Arial" w:cs="Arial" w:eastAsia="Arial" w:hAnsi="Arial"/>
                <w:sz w:val="18"/>
                <w:szCs w:val="18"/>
                <w:color w:val="0563C1"/>
              </w:rPr>
            </w:pPr>
            <w:hyperlink r:id="rId804">
              <w:r>
                <w:rPr>
                  <w:rFonts w:ascii="Arial" w:cs="Arial" w:eastAsia="Arial" w:hAnsi="Arial"/>
                  <w:sz w:val="18"/>
                  <w:szCs w:val="18"/>
                  <w:color w:val="0563C1"/>
                </w:rPr>
                <w:t>Restated Stock-Based Award Plan (incorporated by reference to Exhibit 10.14 to the Martin Marietta Materials,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tcBorders>
              <w:top w:val="single" w:sz="8" w:color="0563C1"/>
            </w:tcBorders>
            <w:gridSpan w:val="24"/>
          </w:tcPr>
          <w:p>
            <w:pPr>
              <w:spacing w:after="0" w:line="182" w:lineRule="exact"/>
              <w:rPr>
                <w:rFonts w:ascii="Arial" w:cs="Arial" w:eastAsia="Arial" w:hAnsi="Arial"/>
                <w:sz w:val="18"/>
                <w:szCs w:val="18"/>
                <w:color w:val="0563C1"/>
              </w:rPr>
            </w:pPr>
            <w:hyperlink r:id="rId804">
              <w:r>
                <w:rPr>
                  <w:rFonts w:ascii="Arial" w:cs="Arial" w:eastAsia="Arial" w:hAnsi="Arial"/>
                  <w:sz w:val="18"/>
                  <w:szCs w:val="18"/>
                  <w:color w:val="0563C1"/>
                </w:rPr>
                <w:t>Inc. Annual Report on Form 10-K for the fiscal year ended December 31, 2013) (Commission File No. 1-12744)**</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top w:val="single" w:sz="8" w:color="0563C1"/>
              <w:bottom w:val="single" w:sz="8" w:color="91BBD3"/>
            </w:tcBorders>
          </w:tcPr>
          <w:p>
            <w:pPr>
              <w:spacing w:after="0" w:line="20" w:lineRule="exact"/>
              <w:rPr>
                <w:sz w:val="1"/>
                <w:szCs w:val="1"/>
                <w:color w:val="auto"/>
              </w:rPr>
            </w:pPr>
          </w:p>
        </w:tc>
        <w:tc>
          <w:tcPr>
            <w:tcW w:w="520" w:type="dxa"/>
            <w:vAlign w:val="bottom"/>
            <w:tcBorders>
              <w:top w:val="single" w:sz="8" w:color="0563C1"/>
              <w:bottom w:val="single" w:sz="8" w:color="91BBD3"/>
            </w:tcBorders>
          </w:tcPr>
          <w:p>
            <w:pPr>
              <w:spacing w:after="0" w:line="20" w:lineRule="exact"/>
              <w:rPr>
                <w:sz w:val="1"/>
                <w:szCs w:val="1"/>
                <w:color w:val="auto"/>
              </w:rPr>
            </w:pPr>
          </w:p>
        </w:tc>
        <w:tc>
          <w:tcPr>
            <w:tcW w:w="1180" w:type="dxa"/>
            <w:vAlign w:val="bottom"/>
            <w:tcBorders>
              <w:top w:val="single" w:sz="8" w:color="0563C1"/>
              <w:bottom w:val="single" w:sz="8" w:color="91BBD3"/>
            </w:tcBorders>
          </w:tcPr>
          <w:p>
            <w:pPr>
              <w:spacing w:after="0" w:line="20" w:lineRule="exact"/>
              <w:rPr>
                <w:sz w:val="1"/>
                <w:szCs w:val="1"/>
                <w:color w:val="auto"/>
              </w:rPr>
            </w:pPr>
          </w:p>
        </w:tc>
        <w:tc>
          <w:tcPr>
            <w:tcW w:w="360" w:type="dxa"/>
            <w:vAlign w:val="bottom"/>
            <w:tcBorders>
              <w:top w:val="single" w:sz="8" w:color="0563C1"/>
              <w:bottom w:val="single" w:sz="8" w:color="91BBD3"/>
            </w:tcBorders>
          </w:tcPr>
          <w:p>
            <w:pPr>
              <w:spacing w:after="0" w:line="20" w:lineRule="exact"/>
              <w:rPr>
                <w:sz w:val="1"/>
                <w:szCs w:val="1"/>
                <w:color w:val="auto"/>
              </w:rPr>
            </w:pPr>
          </w:p>
        </w:tc>
        <w:tc>
          <w:tcPr>
            <w:tcW w:w="180" w:type="dxa"/>
            <w:vAlign w:val="bottom"/>
            <w:tcBorders>
              <w:top w:val="single" w:sz="8" w:color="0563C1"/>
              <w:bottom w:val="single" w:sz="8" w:color="91BBD3"/>
            </w:tcBorders>
          </w:tcPr>
          <w:p>
            <w:pPr>
              <w:spacing w:after="0" w:line="20" w:lineRule="exact"/>
              <w:rPr>
                <w:sz w:val="1"/>
                <w:szCs w:val="1"/>
                <w:color w:val="auto"/>
              </w:rPr>
            </w:pPr>
          </w:p>
        </w:tc>
        <w:tc>
          <w:tcPr>
            <w:tcW w:w="48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1280" w:type="dxa"/>
            <w:vAlign w:val="bottom"/>
            <w:tcBorders>
              <w:top w:val="single" w:sz="8" w:color="0563C1"/>
              <w:bottom w:val="single" w:sz="8" w:color="91BBD3"/>
            </w:tcBorders>
          </w:tcPr>
          <w:p>
            <w:pPr>
              <w:spacing w:after="0" w:line="20" w:lineRule="exact"/>
              <w:rPr>
                <w:sz w:val="1"/>
                <w:szCs w:val="1"/>
                <w:color w:val="auto"/>
              </w:rPr>
            </w:pPr>
          </w:p>
        </w:tc>
        <w:tc>
          <w:tcPr>
            <w:tcW w:w="300" w:type="dxa"/>
            <w:vAlign w:val="bottom"/>
            <w:tcBorders>
              <w:top w:val="single" w:sz="8" w:color="0563C1"/>
              <w:bottom w:val="single" w:sz="8" w:color="91BBD3"/>
            </w:tcBorders>
          </w:tcPr>
          <w:p>
            <w:pPr>
              <w:spacing w:after="0" w:line="20" w:lineRule="exact"/>
              <w:rPr>
                <w:sz w:val="1"/>
                <w:szCs w:val="1"/>
                <w:color w:val="auto"/>
              </w:rPr>
            </w:pPr>
          </w:p>
        </w:tc>
        <w:tc>
          <w:tcPr>
            <w:tcW w:w="1800" w:type="dxa"/>
            <w:vAlign w:val="bottom"/>
            <w:tcBorders>
              <w:top w:val="single" w:sz="8" w:color="0563C1"/>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10.32</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805">
              <w:r>
                <w:rPr>
                  <w:rFonts w:ascii="Arial" w:cs="Arial" w:eastAsia="Arial" w:hAnsi="Arial"/>
                  <w:sz w:val="18"/>
                  <w:szCs w:val="18"/>
                  <w:color w:val="0563C1"/>
                </w:rPr>
                <w:t>Form of Special Restricted Stock Unit Agreement under the Martin Marietta Materials, Inc. Amended and</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top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300" w:type="dxa"/>
            <w:vAlign w:val="bottom"/>
            <w:tcBorders>
              <w:top w:val="single" w:sz="8" w:color="0563C1"/>
            </w:tcBorders>
            <w:gridSpan w:val="28"/>
            <w:shd w:val="clear" w:color="auto" w:fill="DAE8F0"/>
          </w:tcPr>
          <w:p>
            <w:pPr>
              <w:spacing w:after="0" w:line="182" w:lineRule="exact"/>
              <w:rPr>
                <w:rFonts w:ascii="Arial" w:cs="Arial" w:eastAsia="Arial" w:hAnsi="Arial"/>
                <w:sz w:val="18"/>
                <w:szCs w:val="18"/>
                <w:color w:val="0563C1"/>
              </w:rPr>
            </w:pPr>
            <w:hyperlink r:id="rId805">
              <w:r>
                <w:rPr>
                  <w:rFonts w:ascii="Arial" w:cs="Arial" w:eastAsia="Arial" w:hAnsi="Arial"/>
                  <w:sz w:val="18"/>
                  <w:szCs w:val="18"/>
                  <w:color w:val="0563C1"/>
                </w:rPr>
                <w:t>Restated Stock-Based Award Plan (incorporated by reference to Exhibit 10.19 to the Martin Marietta Materials,</w:t>
              </w:r>
            </w:hyperlink>
          </w:p>
        </w:tc>
        <w:tc>
          <w:tcPr>
            <w:tcW w:w="100" w:type="dxa"/>
            <w:vAlign w:val="bottom"/>
            <w:tcBorders>
              <w:top w:val="single" w:sz="8" w:color="DAE8F0"/>
            </w:tcBorders>
            <w:gridSpan w:val="5"/>
            <w:shd w:val="clear" w:color="auto" w:fill="DAE8F0"/>
          </w:tcPr>
          <w:p>
            <w:pPr>
              <w:spacing w:after="0"/>
              <w:rPr>
                <w:sz w:val="15"/>
                <w:szCs w:val="15"/>
                <w:color w:val="auto"/>
              </w:rPr>
            </w:pPr>
          </w:p>
        </w:tc>
        <w:tc>
          <w:tcPr>
            <w:tcW w:w="4294967177" w:type="dxa"/>
            <w:vAlign w:val="bottom"/>
            <w:tcBorders>
              <w:top w:val="single" w:sz="8" w:color="DAE8F0"/>
              <w:right w:val="single" w:sz="8" w:color="91BBD3"/>
            </w:tcBorders>
            <w:gridSpan w:val="3"/>
            <w:shd w:val="clear" w:color="auto" w:fill="DAE8F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8980" w:type="dxa"/>
            <w:vAlign w:val="bottom"/>
            <w:tcBorders>
              <w:top w:val="single" w:sz="8" w:color="0563C1"/>
              <w:bottom w:val="single" w:sz="8" w:color="0563C1"/>
            </w:tcBorders>
            <w:gridSpan w:val="12"/>
            <w:shd w:val="clear" w:color="auto" w:fill="DAE8F0"/>
          </w:tcPr>
          <w:p>
            <w:pPr>
              <w:spacing w:after="0" w:line="182" w:lineRule="exact"/>
              <w:rPr>
                <w:rFonts w:ascii="Arial" w:cs="Arial" w:eastAsia="Arial" w:hAnsi="Arial"/>
                <w:sz w:val="18"/>
                <w:szCs w:val="18"/>
                <w:color w:val="0563C1"/>
                <w:w w:val="99"/>
              </w:rPr>
            </w:pPr>
            <w:hyperlink r:id="rId805">
              <w:r>
                <w:rPr>
                  <w:rFonts w:ascii="Arial" w:cs="Arial" w:eastAsia="Arial" w:hAnsi="Arial"/>
                  <w:sz w:val="18"/>
                  <w:szCs w:val="18"/>
                  <w:color w:val="0563C1"/>
                  <w:w w:val="99"/>
                </w:rPr>
                <w:t>Inc. Annual Report on Form 10-K for the fiscal year ended December 31, 2014) (Commission File No. 1-12744)**</w:t>
              </w:r>
            </w:hyperlink>
          </w:p>
        </w:tc>
        <w:tc>
          <w:tcPr>
            <w:tcW w:w="240" w:type="dxa"/>
            <w:vAlign w:val="bottom"/>
            <w:tcBorders>
              <w:top w:val="single" w:sz="8" w:color="0563C1"/>
              <w:bottom w:val="single" w:sz="8" w:color="91BBD3"/>
            </w:tcBorders>
            <w:gridSpan w:val="12"/>
            <w:shd w:val="clear" w:color="auto" w:fill="DAE8F0"/>
          </w:tcPr>
          <w:p>
            <w:pPr>
              <w:spacing w:after="0"/>
              <w:rPr>
                <w:sz w:val="19"/>
                <w:szCs w:val="19"/>
                <w:color w:val="auto"/>
              </w:rPr>
            </w:pPr>
          </w:p>
        </w:tc>
        <w:tc>
          <w:tcPr>
            <w:tcW w:w="60" w:type="dxa"/>
            <w:vAlign w:val="bottom"/>
            <w:tcBorders>
              <w:top w:val="single" w:sz="8" w:color="DAE8F0"/>
              <w:bottom w:val="single" w:sz="8" w:color="91BBD3"/>
            </w:tcBorders>
            <w:gridSpan w:val="3"/>
            <w:shd w:val="clear" w:color="auto" w:fill="DAE8F0"/>
          </w:tcPr>
          <w:p>
            <w:pPr>
              <w:spacing w:after="0"/>
              <w:rPr>
                <w:sz w:val="19"/>
                <w:szCs w:val="19"/>
                <w:color w:val="auto"/>
              </w:rPr>
            </w:pPr>
          </w:p>
        </w:tc>
        <w:tc>
          <w:tcPr>
            <w:tcW w:w="120" w:type="dxa"/>
            <w:vAlign w:val="bottom"/>
            <w:tcBorders>
              <w:top w:val="single" w:sz="8" w:color="DAE8F0"/>
              <w:bottom w:val="single" w:sz="8" w:color="91BBD3"/>
            </w:tcBorders>
            <w:gridSpan w:val="6"/>
            <w:shd w:val="clear" w:color="auto" w:fill="DAE8F0"/>
          </w:tcPr>
          <w:p>
            <w:pPr>
              <w:spacing w:after="0"/>
              <w:rPr>
                <w:sz w:val="19"/>
                <w:szCs w:val="19"/>
                <w:color w:val="auto"/>
              </w:rPr>
            </w:pPr>
          </w:p>
        </w:tc>
        <w:tc>
          <w:tcPr>
            <w:tcW w:w="4294967177" w:type="dxa"/>
            <w:vAlign w:val="bottom"/>
            <w:tcBorders>
              <w:top w:val="single" w:sz="8" w:color="DAE8F0"/>
              <w:bottom w:val="single" w:sz="8" w:color="91BBD3"/>
              <w:right w:val="single" w:sz="8" w:color="91BBD3"/>
            </w:tcBorders>
            <w:gridSpan w:val="3"/>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30"/>
              <w:spacing w:after="0" w:line="156" w:lineRule="exact"/>
              <w:rPr>
                <w:sz w:val="20"/>
                <w:szCs w:val="20"/>
                <w:color w:val="auto"/>
              </w:rPr>
            </w:pPr>
            <w:r>
              <w:rPr>
                <w:rFonts w:ascii="Arial" w:cs="Arial" w:eastAsia="Arial" w:hAnsi="Arial"/>
                <w:sz w:val="18"/>
                <w:szCs w:val="18"/>
                <w:b w:val="1"/>
                <w:bCs w:val="1"/>
                <w:color w:val="auto"/>
              </w:rPr>
              <w:t>10.33</w:t>
            </w:r>
          </w:p>
        </w:tc>
        <w:tc>
          <w:tcPr>
            <w:tcW w:w="100" w:type="dxa"/>
            <w:vAlign w:val="bottom"/>
          </w:tcPr>
          <w:p>
            <w:pPr>
              <w:spacing w:after="0"/>
              <w:rPr>
                <w:sz w:val="13"/>
                <w:szCs w:val="13"/>
                <w:color w:val="auto"/>
              </w:rPr>
            </w:pPr>
          </w:p>
        </w:tc>
        <w:tc>
          <w:tcPr>
            <w:tcW w:w="9280" w:type="dxa"/>
            <w:vAlign w:val="bottom"/>
            <w:tcBorders>
              <w:right w:val="single" w:sz="8" w:color="91BBD3"/>
            </w:tcBorders>
            <w:gridSpan w:val="36"/>
          </w:tcPr>
          <w:p>
            <w:pPr>
              <w:spacing w:after="0" w:line="156" w:lineRule="exact"/>
              <w:rPr>
                <w:rFonts w:ascii="Arial" w:cs="Arial" w:eastAsia="Arial" w:hAnsi="Arial"/>
                <w:sz w:val="18"/>
                <w:szCs w:val="18"/>
                <w:color w:val="0563C1"/>
              </w:rPr>
            </w:pPr>
            <w:hyperlink r:id="rId806">
              <w:r>
                <w:rPr>
                  <w:rFonts w:ascii="Arial" w:cs="Arial" w:eastAsia="Arial" w:hAnsi="Arial"/>
                  <w:sz w:val="18"/>
                  <w:szCs w:val="18"/>
                  <w:color w:val="0563C1"/>
                </w:rPr>
                <w:t>Form of Performance-Based Restricted Stock Unit Award Agreement under the Martin Marietta Materials, Inc.</w:t>
              </w:r>
            </w:hyperlink>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60" w:type="dxa"/>
            <w:vAlign w:val="bottom"/>
            <w:tcBorders>
              <w:top w:val="single" w:sz="8" w:color="0563C1"/>
              <w:bottom w:val="single" w:sz="8" w:color="0563C1"/>
            </w:tcBorders>
            <w:gridSpan w:val="16"/>
          </w:tcPr>
          <w:p>
            <w:pPr>
              <w:spacing w:after="0" w:line="182" w:lineRule="exact"/>
              <w:rPr>
                <w:rFonts w:ascii="Arial" w:cs="Arial" w:eastAsia="Arial" w:hAnsi="Arial"/>
                <w:sz w:val="18"/>
                <w:szCs w:val="18"/>
                <w:color w:val="0563C1"/>
              </w:rPr>
            </w:pPr>
            <w:hyperlink r:id="rId806">
              <w:r>
                <w:rPr>
                  <w:rFonts w:ascii="Arial" w:cs="Arial" w:eastAsia="Arial" w:hAnsi="Arial"/>
                  <w:sz w:val="18"/>
                  <w:szCs w:val="18"/>
                  <w:color w:val="0563C1"/>
                </w:rPr>
                <w:t>Amended and Restated Stock-Based Award Plan (incorporated by reference to Exhibit 10.02 to the Martin</w:t>
              </w:r>
            </w:hyperlink>
          </w:p>
        </w:tc>
        <w:tc>
          <w:tcPr>
            <w:tcW w:w="220" w:type="dxa"/>
            <w:vAlign w:val="bottom"/>
            <w:tcBorders>
              <w:bottom w:val="single" w:sz="8" w:color="0563C1"/>
            </w:tcBorders>
            <w:gridSpan w:val="11"/>
          </w:tcPr>
          <w:p>
            <w:pPr>
              <w:spacing w:after="0"/>
              <w:rPr>
                <w:sz w:val="15"/>
                <w:szCs w:val="15"/>
                <w:color w:val="auto"/>
              </w:rPr>
            </w:pPr>
          </w:p>
        </w:tc>
        <w:tc>
          <w:tcPr>
            <w:tcW w:w="120" w:type="dxa"/>
            <w:vAlign w:val="bottom"/>
            <w:tcBorders>
              <w:bottom w:val="single" w:sz="8" w:color="0563C1"/>
            </w:tcBorders>
            <w:gridSpan w:val="6"/>
          </w:tcPr>
          <w:p>
            <w:pPr>
              <w:spacing w:after="0"/>
              <w:rPr>
                <w:sz w:val="15"/>
                <w:szCs w:val="15"/>
                <w:color w:val="auto"/>
              </w:rPr>
            </w:pPr>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400" w:type="dxa"/>
            <w:vAlign w:val="bottom"/>
            <w:gridSpan w:val="33"/>
          </w:tcPr>
          <w:p>
            <w:pPr>
              <w:spacing w:after="0" w:line="182" w:lineRule="exact"/>
              <w:rPr>
                <w:rFonts w:ascii="Arial" w:cs="Arial" w:eastAsia="Arial" w:hAnsi="Arial"/>
                <w:sz w:val="18"/>
                <w:szCs w:val="18"/>
                <w:color w:val="0563C1"/>
              </w:rPr>
            </w:pPr>
            <w:hyperlink r:id="rId806">
              <w:r>
                <w:rPr>
                  <w:rFonts w:ascii="Arial" w:cs="Arial" w:eastAsia="Arial" w:hAnsi="Arial"/>
                  <w:sz w:val="18"/>
                  <w:szCs w:val="18"/>
                  <w:color w:val="0563C1"/>
                </w:rPr>
                <w:t>Marietta Materials, Inc. Quarterly Report on Form 10-Q for the quarter ended March 31, 2017) (Commission File</w:t>
              </w:r>
            </w:hyperlink>
          </w:p>
        </w:tc>
        <w:tc>
          <w:tcPr>
            <w:tcW w:w="4294967177" w:type="dxa"/>
            <w:vAlign w:val="bottom"/>
            <w:tcBorders>
              <w:right w:val="single" w:sz="8" w:color="91BBD3"/>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right w:val="single" w:sz="8" w:color="91BBD3"/>
            </w:tcBorders>
          </w:tcPr>
          <w:p>
            <w:pPr>
              <w:spacing w:after="0"/>
              <w:rPr>
                <w:sz w:val="15"/>
                <w:szCs w:val="15"/>
                <w:color w:val="auto"/>
              </w:rPr>
            </w:pPr>
          </w:p>
        </w:tc>
        <w:tc>
          <w:tcPr>
            <w:tcW w:w="1660" w:type="dxa"/>
            <w:vAlign w:val="bottom"/>
            <w:tcBorders>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tcBorders>
              <w:top w:val="single" w:sz="8" w:color="0563C1"/>
            </w:tcBorders>
            <w:gridSpan w:val="27"/>
          </w:tcPr>
          <w:p>
            <w:pPr>
              <w:spacing w:after="0" w:line="182" w:lineRule="exact"/>
              <w:rPr>
                <w:rFonts w:ascii="Arial" w:cs="Arial" w:eastAsia="Arial" w:hAnsi="Arial"/>
                <w:sz w:val="18"/>
                <w:szCs w:val="18"/>
                <w:color w:val="0563C1"/>
              </w:rPr>
            </w:pPr>
            <w:hyperlink r:id="rId806">
              <w:r>
                <w:rPr>
                  <w:rFonts w:ascii="Arial" w:cs="Arial" w:eastAsia="Arial" w:hAnsi="Arial"/>
                  <w:sz w:val="18"/>
                  <w:szCs w:val="18"/>
                  <w:color w:val="0563C1"/>
                </w:rPr>
                <w:t>No. 1-12744)**</w:t>
              </w:r>
            </w:hyperlink>
          </w:p>
        </w:tc>
        <w:tc>
          <w:tcPr>
            <w:tcW w:w="0" w:type="dxa"/>
            <w:vAlign w:val="bottom"/>
            <w:tcBorders>
              <w:right w:val="single" w:sz="8" w:color="91BBD3"/>
            </w:tcBorders>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560" w:type="dxa"/>
            <w:vAlign w:val="bottom"/>
            <w:tcBorders>
              <w:top w:val="single" w:sz="8" w:color="0563C1"/>
              <w:bottom w:val="single" w:sz="8" w:color="91BBD3"/>
            </w:tcBorders>
          </w:tcPr>
          <w:p>
            <w:pPr>
              <w:spacing w:after="0" w:line="20" w:lineRule="exact"/>
              <w:rPr>
                <w:sz w:val="1"/>
                <w:szCs w:val="1"/>
                <w:color w:val="auto"/>
              </w:rPr>
            </w:pPr>
          </w:p>
        </w:tc>
        <w:tc>
          <w:tcPr>
            <w:tcW w:w="620" w:type="dxa"/>
            <w:vAlign w:val="bottom"/>
            <w:tcBorders>
              <w:top w:val="single" w:sz="8" w:color="0563C1"/>
              <w:bottom w:val="single" w:sz="8" w:color="91BBD3"/>
            </w:tcBorders>
          </w:tcPr>
          <w:p>
            <w:pPr>
              <w:spacing w:after="0" w:line="20" w:lineRule="exact"/>
              <w:rPr>
                <w:sz w:val="1"/>
                <w:szCs w:val="1"/>
                <w:color w:val="auto"/>
              </w:rPr>
            </w:pPr>
          </w:p>
        </w:tc>
        <w:tc>
          <w:tcPr>
            <w:tcW w:w="144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11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300" w:type="dxa"/>
            <w:vAlign w:val="bottom"/>
            <w:tcBorders>
              <w:bottom w:val="single" w:sz="8" w:color="91BBD3"/>
            </w:tcBorders>
          </w:tcPr>
          <w:p>
            <w:pPr>
              <w:spacing w:after="0" w:line="20" w:lineRule="exact"/>
              <w:rPr>
                <w:sz w:val="1"/>
                <w:szCs w:val="1"/>
                <w:color w:val="auto"/>
              </w:rPr>
            </w:pPr>
          </w:p>
        </w:tc>
        <w:tc>
          <w:tcPr>
            <w:tcW w:w="180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4294967137" w:type="dxa"/>
            <w:vAlign w:val="bottom"/>
            <w:tcBorders>
              <w:bottom w:val="single" w:sz="8" w:color="91BBD3"/>
              <w:right w:val="single" w:sz="8" w:color="91BB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30"/>
              <w:spacing w:after="0" w:line="156" w:lineRule="exact"/>
              <w:rPr>
                <w:sz w:val="20"/>
                <w:szCs w:val="20"/>
                <w:color w:val="auto"/>
              </w:rPr>
            </w:pPr>
            <w:r>
              <w:rPr>
                <w:rFonts w:ascii="Arial" w:cs="Arial" w:eastAsia="Arial" w:hAnsi="Arial"/>
                <w:sz w:val="18"/>
                <w:szCs w:val="18"/>
                <w:b w:val="1"/>
                <w:bCs w:val="1"/>
                <w:color w:val="auto"/>
              </w:rPr>
              <w:t>10.34</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6"/>
            <w:shd w:val="clear" w:color="auto" w:fill="DAE8F0"/>
          </w:tcPr>
          <w:p>
            <w:pPr>
              <w:spacing w:after="0" w:line="156" w:lineRule="exact"/>
              <w:rPr>
                <w:rFonts w:ascii="Arial" w:cs="Arial" w:eastAsia="Arial" w:hAnsi="Arial"/>
                <w:sz w:val="18"/>
                <w:szCs w:val="18"/>
                <w:color w:val="0563C1"/>
              </w:rPr>
            </w:pPr>
            <w:hyperlink r:id="rId807">
              <w:r>
                <w:rPr>
                  <w:rFonts w:ascii="Arial" w:cs="Arial" w:eastAsia="Arial" w:hAnsi="Arial"/>
                  <w:sz w:val="18"/>
                  <w:szCs w:val="18"/>
                  <w:color w:val="0563C1"/>
                </w:rPr>
                <w:t>Form of First Amendment to the Martin Marietta Materials, Inc. Third Amended and Restated Employment</w:t>
              </w:r>
            </w:hyperlink>
          </w:p>
        </w:tc>
        <w:tc>
          <w:tcPr>
            <w:tcW w:w="0" w:type="dxa"/>
            <w:vAlign w:val="bottom"/>
          </w:tcPr>
          <w:p>
            <w:pPr>
              <w:spacing w:after="0"/>
              <w:rPr>
                <w:sz w:val="1"/>
                <w:szCs w:val="1"/>
                <w:color w:val="auto"/>
              </w:rPr>
            </w:pPr>
          </w:p>
        </w:tc>
      </w:tr>
      <w:tr>
        <w:trPr>
          <w:trHeight w:val="223"/>
        </w:trPr>
        <w:tc>
          <w:tcPr>
            <w:tcW w:w="200" w:type="dxa"/>
            <w:vAlign w:val="bottom"/>
            <w:tcBorders>
              <w:right w:val="single" w:sz="8" w:color="91BBD3"/>
            </w:tcBorders>
          </w:tcPr>
          <w:p>
            <w:pPr>
              <w:spacing w:after="0"/>
              <w:rPr>
                <w:sz w:val="19"/>
                <w:szCs w:val="19"/>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6880" w:type="dxa"/>
            <w:vAlign w:val="bottom"/>
            <w:tcBorders>
              <w:top w:val="single" w:sz="8" w:color="0563C1"/>
              <w:bottom w:val="single" w:sz="8" w:color="0000EE"/>
            </w:tcBorders>
            <w:gridSpan w:val="10"/>
            <w:shd w:val="clear" w:color="auto" w:fill="DAE8F0"/>
          </w:tcPr>
          <w:p>
            <w:pPr>
              <w:spacing w:after="0" w:line="182" w:lineRule="exact"/>
              <w:rPr>
                <w:rFonts w:ascii="Arial" w:cs="Arial" w:eastAsia="Arial" w:hAnsi="Arial"/>
                <w:sz w:val="18"/>
                <w:szCs w:val="18"/>
                <w:color w:val="0563C1"/>
              </w:rPr>
            </w:pPr>
            <w:hyperlink r:id="rId807">
              <w:r>
                <w:rPr>
                  <w:rFonts w:ascii="Arial" w:cs="Arial" w:eastAsia="Arial" w:hAnsi="Arial"/>
                  <w:sz w:val="18"/>
                  <w:szCs w:val="18"/>
                  <w:color w:val="0563C1"/>
                </w:rPr>
                <w:t>Protection Agreement (incorporated by reference to Exhibit 10.1 to the Martin Marietta</w:t>
              </w:r>
            </w:hyperlink>
          </w:p>
        </w:tc>
        <w:tc>
          <w:tcPr>
            <w:tcW w:w="2200" w:type="dxa"/>
            <w:vAlign w:val="bottom"/>
            <w:tcBorders>
              <w:top w:val="single" w:sz="8" w:color="0563C1"/>
              <w:bottom w:val="single" w:sz="8" w:color="91BBD3"/>
            </w:tcBorders>
            <w:gridSpan w:val="7"/>
            <w:shd w:val="clear" w:color="auto" w:fill="DAE8F0"/>
          </w:tcPr>
          <w:p>
            <w:pPr>
              <w:spacing w:after="0"/>
              <w:rPr>
                <w:sz w:val="19"/>
                <w:szCs w:val="19"/>
                <w:color w:val="auto"/>
              </w:rPr>
            </w:pPr>
          </w:p>
        </w:tc>
        <w:tc>
          <w:tcPr>
            <w:tcW w:w="200" w:type="dxa"/>
            <w:vAlign w:val="bottom"/>
            <w:tcBorders>
              <w:top w:val="single" w:sz="8" w:color="DAE8F0"/>
              <w:bottom w:val="single" w:sz="8" w:color="91BBD3"/>
              <w:right w:val="single" w:sz="8" w:color="91BBD3"/>
            </w:tcBorders>
            <w:gridSpan w:val="19"/>
            <w:shd w:val="clear" w:color="auto" w:fill="DAE8F0"/>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86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37"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68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8" w:name="page119"/>
    <w:bookmarkEnd w:id="118"/>
    <w:tbl>
      <w:tblPr>
        <w:tblLayout w:type="fixed"/>
        <w:tblInd w:w="19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25"/>
          </w:tcPr>
          <w:p>
            <w:pPr>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1560" w:type="dxa"/>
            <w:vAlign w:val="bottom"/>
            <w:tcBorders>
              <w:bottom w:val="single" w:sz="8" w:color="007DC6"/>
            </w:tcBorders>
          </w:tcPr>
          <w:p>
            <w:pPr>
              <w:spacing w:after="0"/>
              <w:rPr>
                <w:sz w:val="14"/>
                <w:szCs w:val="14"/>
                <w:color w:val="auto"/>
              </w:rPr>
            </w:pPr>
          </w:p>
        </w:tc>
        <w:tc>
          <w:tcPr>
            <w:tcW w:w="260" w:type="dxa"/>
            <w:vAlign w:val="bottom"/>
            <w:tcBorders>
              <w:bottom w:val="single" w:sz="8" w:color="007DC6"/>
            </w:tcBorders>
          </w:tcPr>
          <w:p>
            <w:pPr>
              <w:spacing w:after="0"/>
              <w:rPr>
                <w:sz w:val="14"/>
                <w:szCs w:val="14"/>
                <w:color w:val="auto"/>
              </w:rPr>
            </w:pPr>
          </w:p>
        </w:tc>
        <w:tc>
          <w:tcPr>
            <w:tcW w:w="840" w:type="dxa"/>
            <w:vAlign w:val="bottom"/>
            <w:tcBorders>
              <w:bottom w:val="single" w:sz="8" w:color="007DC6"/>
            </w:tcBorders>
          </w:tcPr>
          <w:p>
            <w:pPr>
              <w:spacing w:after="0"/>
              <w:rPr>
                <w:sz w:val="14"/>
                <w:szCs w:val="14"/>
                <w:color w:val="auto"/>
              </w:rPr>
            </w:pPr>
          </w:p>
        </w:tc>
        <w:tc>
          <w:tcPr>
            <w:tcW w:w="42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600" w:type="dxa"/>
            <w:vAlign w:val="bottom"/>
            <w:tcBorders>
              <w:bottom w:val="single" w:sz="8" w:color="007DC6"/>
            </w:tcBorders>
          </w:tcPr>
          <w:p>
            <w:pPr>
              <w:spacing w:after="0"/>
              <w:rPr>
                <w:sz w:val="14"/>
                <w:szCs w:val="14"/>
                <w:color w:val="auto"/>
              </w:rPr>
            </w:pPr>
          </w:p>
        </w:tc>
        <w:tc>
          <w:tcPr>
            <w:tcW w:w="900" w:type="dxa"/>
            <w:vAlign w:val="bottom"/>
            <w:tcBorders>
              <w:bottom w:val="single" w:sz="8" w:color="007DC6"/>
            </w:tcBorders>
          </w:tcPr>
          <w:p>
            <w:pPr>
              <w:spacing w:after="0"/>
              <w:rPr>
                <w:sz w:val="14"/>
                <w:szCs w:val="14"/>
                <w:color w:val="auto"/>
              </w:rPr>
            </w:pPr>
          </w:p>
        </w:tc>
        <w:tc>
          <w:tcPr>
            <w:tcW w:w="840" w:type="dxa"/>
            <w:vAlign w:val="bottom"/>
            <w:tcBorders>
              <w:bottom w:val="single" w:sz="8" w:color="007DC6"/>
            </w:tcBorders>
          </w:tcPr>
          <w:p>
            <w:pPr>
              <w:spacing w:after="0"/>
              <w:rPr>
                <w:sz w:val="14"/>
                <w:szCs w:val="14"/>
                <w:color w:val="auto"/>
              </w:rPr>
            </w:pPr>
          </w:p>
        </w:tc>
        <w:tc>
          <w:tcPr>
            <w:tcW w:w="220" w:type="dxa"/>
            <w:vAlign w:val="bottom"/>
            <w:tcBorders>
              <w:bottom w:val="single" w:sz="8" w:color="007DC6"/>
            </w:tcBorders>
          </w:tcPr>
          <w:p>
            <w:pPr>
              <w:spacing w:after="0"/>
              <w:rPr>
                <w:sz w:val="14"/>
                <w:szCs w:val="14"/>
                <w:color w:val="auto"/>
              </w:rPr>
            </w:pPr>
          </w:p>
        </w:tc>
        <w:tc>
          <w:tcPr>
            <w:tcW w:w="500" w:type="dxa"/>
            <w:vAlign w:val="bottom"/>
            <w:tcBorders>
              <w:bottom w:val="single" w:sz="8" w:color="007DC6"/>
            </w:tcBorders>
          </w:tcPr>
          <w:p>
            <w:pPr>
              <w:spacing w:after="0"/>
              <w:rPr>
                <w:sz w:val="14"/>
                <w:szCs w:val="14"/>
                <w:color w:val="auto"/>
              </w:rPr>
            </w:pPr>
          </w:p>
        </w:tc>
        <w:tc>
          <w:tcPr>
            <w:tcW w:w="480" w:type="dxa"/>
            <w:vAlign w:val="bottom"/>
            <w:tcBorders>
              <w:bottom w:val="single" w:sz="8" w:color="007DC6"/>
            </w:tcBorders>
          </w:tcPr>
          <w:p>
            <w:pPr>
              <w:spacing w:after="0"/>
              <w:rPr>
                <w:sz w:val="14"/>
                <w:szCs w:val="14"/>
                <w:color w:val="auto"/>
              </w:rPr>
            </w:pPr>
          </w:p>
        </w:tc>
        <w:tc>
          <w:tcPr>
            <w:tcW w:w="400" w:type="dxa"/>
            <w:vAlign w:val="bottom"/>
            <w:tcBorders>
              <w:bottom w:val="single" w:sz="8" w:color="007DC6"/>
            </w:tcBorders>
          </w:tcPr>
          <w:p>
            <w:pPr>
              <w:spacing w:after="0"/>
              <w:rPr>
                <w:sz w:val="14"/>
                <w:szCs w:val="14"/>
                <w:color w:val="auto"/>
              </w:rPr>
            </w:pPr>
          </w:p>
        </w:tc>
        <w:tc>
          <w:tcPr>
            <w:tcW w:w="420" w:type="dxa"/>
            <w:vAlign w:val="bottom"/>
            <w:tcBorders>
              <w:bottom w:val="single" w:sz="8" w:color="007DC6"/>
            </w:tcBorders>
          </w:tcPr>
          <w:p>
            <w:pPr>
              <w:spacing w:after="0"/>
              <w:rPr>
                <w:sz w:val="14"/>
                <w:szCs w:val="14"/>
                <w:color w:val="auto"/>
              </w:rPr>
            </w:pPr>
          </w:p>
        </w:tc>
        <w:tc>
          <w:tcPr>
            <w:tcW w:w="5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0" w:type="dxa"/>
            <w:vAlign w:val="bottom"/>
            <w:tcBorders>
              <w:bottom w:val="single" w:sz="8" w:color="007DC6"/>
            </w:tcBorders>
          </w:tcPr>
          <w:p>
            <w:pPr>
              <w:spacing w:after="0"/>
              <w:rPr>
                <w:sz w:val="14"/>
                <w:szCs w:val="14"/>
                <w:color w:val="auto"/>
              </w:rPr>
            </w:pPr>
          </w:p>
        </w:tc>
      </w:tr>
      <w:tr>
        <w:trPr>
          <w:trHeight w:val="427"/>
        </w:trPr>
        <w:tc>
          <w:tcPr>
            <w:tcW w:w="1680" w:type="dxa"/>
            <w:vAlign w:val="bottom"/>
            <w:tcBorders>
              <w:left w:val="single" w:sz="8" w:color="91BBD3"/>
              <w:bottom w:val="single" w:sz="8" w:color="91BBD3"/>
              <w:right w:val="single" w:sz="8" w:color="91BBD3"/>
            </w:tcBorders>
            <w:shd w:val="clear" w:color="auto" w:fill="007DC6"/>
          </w:tcPr>
          <w:p>
            <w:pPr>
              <w:ind w:left="360"/>
              <w:spacing w:after="0"/>
              <w:rPr>
                <w:sz w:val="20"/>
                <w:szCs w:val="20"/>
                <w:color w:val="auto"/>
              </w:rPr>
            </w:pPr>
            <w:r>
              <w:rPr>
                <w:rFonts w:ascii="Arial" w:cs="Arial" w:eastAsia="Arial" w:hAnsi="Arial"/>
                <w:sz w:val="18"/>
                <w:szCs w:val="18"/>
                <w:b w:val="1"/>
                <w:bCs w:val="1"/>
                <w:color w:val="FFFFFF"/>
              </w:rPr>
              <w:t>Exhibit No.</w:t>
            </w:r>
          </w:p>
        </w:tc>
        <w:tc>
          <w:tcPr>
            <w:tcW w:w="100" w:type="dxa"/>
            <w:vAlign w:val="bottom"/>
            <w:tcBorders>
              <w:bottom w:val="single" w:sz="8" w:color="91BBD3"/>
            </w:tcBorders>
            <w:shd w:val="clear" w:color="auto" w:fill="007DC6"/>
          </w:tcPr>
          <w:p>
            <w:pPr>
              <w:spacing w:after="0"/>
              <w:rPr>
                <w:sz w:val="24"/>
                <w:szCs w:val="24"/>
                <w:color w:val="auto"/>
              </w:rPr>
            </w:pPr>
          </w:p>
        </w:tc>
        <w:tc>
          <w:tcPr>
            <w:tcW w:w="720" w:type="dxa"/>
            <w:vAlign w:val="bottom"/>
            <w:tcBorders>
              <w:bottom w:val="single" w:sz="8" w:color="91BBD3"/>
            </w:tcBorders>
            <w:shd w:val="clear" w:color="auto" w:fill="007DC6"/>
          </w:tcPr>
          <w:p>
            <w:pPr>
              <w:spacing w:after="0"/>
              <w:rPr>
                <w:sz w:val="24"/>
                <w:szCs w:val="24"/>
                <w:color w:val="auto"/>
              </w:rPr>
            </w:pPr>
          </w:p>
        </w:tc>
        <w:tc>
          <w:tcPr>
            <w:tcW w:w="40" w:type="dxa"/>
            <w:vAlign w:val="bottom"/>
            <w:tcBorders>
              <w:bottom w:val="single" w:sz="8" w:color="91BBD3"/>
            </w:tcBorders>
            <w:shd w:val="clear" w:color="auto" w:fill="007DC6"/>
          </w:tcPr>
          <w:p>
            <w:pPr>
              <w:spacing w:after="0"/>
              <w:rPr>
                <w:sz w:val="24"/>
                <w:szCs w:val="24"/>
                <w:color w:val="auto"/>
              </w:rPr>
            </w:pPr>
          </w:p>
        </w:tc>
        <w:tc>
          <w:tcPr>
            <w:tcW w:w="100" w:type="dxa"/>
            <w:vAlign w:val="bottom"/>
            <w:tcBorders>
              <w:bottom w:val="single" w:sz="8" w:color="91BBD3"/>
            </w:tcBorders>
            <w:shd w:val="clear" w:color="auto" w:fill="007DC6"/>
          </w:tcPr>
          <w:p>
            <w:pPr>
              <w:spacing w:after="0"/>
              <w:rPr>
                <w:sz w:val="24"/>
                <w:szCs w:val="24"/>
                <w:color w:val="auto"/>
              </w:rPr>
            </w:pPr>
          </w:p>
        </w:tc>
        <w:tc>
          <w:tcPr>
            <w:tcW w:w="1560" w:type="dxa"/>
            <w:vAlign w:val="bottom"/>
            <w:tcBorders>
              <w:bottom w:val="single" w:sz="8" w:color="91BBD3"/>
            </w:tcBorders>
            <w:shd w:val="clear" w:color="auto" w:fill="007DC6"/>
          </w:tcPr>
          <w:p>
            <w:pPr>
              <w:spacing w:after="0"/>
              <w:rPr>
                <w:sz w:val="24"/>
                <w:szCs w:val="24"/>
                <w:color w:val="auto"/>
              </w:rPr>
            </w:pPr>
          </w:p>
        </w:tc>
        <w:tc>
          <w:tcPr>
            <w:tcW w:w="260" w:type="dxa"/>
            <w:vAlign w:val="bottom"/>
            <w:tcBorders>
              <w:bottom w:val="single" w:sz="8" w:color="91BBD3"/>
            </w:tcBorders>
            <w:shd w:val="clear" w:color="auto" w:fill="007DC6"/>
          </w:tcPr>
          <w:p>
            <w:pPr>
              <w:spacing w:after="0"/>
              <w:rPr>
                <w:sz w:val="24"/>
                <w:szCs w:val="24"/>
                <w:color w:val="auto"/>
              </w:rPr>
            </w:pPr>
          </w:p>
        </w:tc>
        <w:tc>
          <w:tcPr>
            <w:tcW w:w="840" w:type="dxa"/>
            <w:vAlign w:val="bottom"/>
            <w:tcBorders>
              <w:bottom w:val="single" w:sz="8" w:color="91BBD3"/>
            </w:tcBorders>
            <w:shd w:val="clear" w:color="auto" w:fill="007DC6"/>
          </w:tcPr>
          <w:p>
            <w:pPr>
              <w:spacing w:after="0"/>
              <w:rPr>
                <w:sz w:val="24"/>
                <w:szCs w:val="24"/>
                <w:color w:val="auto"/>
              </w:rPr>
            </w:pPr>
          </w:p>
        </w:tc>
        <w:tc>
          <w:tcPr>
            <w:tcW w:w="420" w:type="dxa"/>
            <w:vAlign w:val="bottom"/>
            <w:tcBorders>
              <w:bottom w:val="single" w:sz="8" w:color="91BBD3"/>
            </w:tcBorders>
            <w:shd w:val="clear" w:color="auto" w:fill="007DC6"/>
          </w:tcPr>
          <w:p>
            <w:pPr>
              <w:spacing w:after="0"/>
              <w:rPr>
                <w:sz w:val="24"/>
                <w:szCs w:val="24"/>
                <w:color w:val="auto"/>
              </w:rPr>
            </w:pPr>
          </w:p>
        </w:tc>
        <w:tc>
          <w:tcPr>
            <w:tcW w:w="160" w:type="dxa"/>
            <w:vAlign w:val="bottom"/>
            <w:tcBorders>
              <w:bottom w:val="single" w:sz="8" w:color="91BBD3"/>
            </w:tcBorders>
            <w:shd w:val="clear" w:color="auto" w:fill="007DC6"/>
          </w:tcPr>
          <w:p>
            <w:pPr>
              <w:spacing w:after="0"/>
              <w:rPr>
                <w:sz w:val="24"/>
                <w:szCs w:val="24"/>
                <w:color w:val="auto"/>
              </w:rPr>
            </w:pPr>
          </w:p>
        </w:tc>
        <w:tc>
          <w:tcPr>
            <w:tcW w:w="600" w:type="dxa"/>
            <w:vAlign w:val="bottom"/>
            <w:tcBorders>
              <w:bottom w:val="single" w:sz="8" w:color="91BBD3"/>
            </w:tcBorders>
            <w:shd w:val="clear" w:color="auto" w:fill="007DC6"/>
          </w:tcPr>
          <w:p>
            <w:pPr>
              <w:spacing w:after="0"/>
              <w:rPr>
                <w:sz w:val="24"/>
                <w:szCs w:val="24"/>
                <w:color w:val="auto"/>
              </w:rPr>
            </w:pPr>
          </w:p>
        </w:tc>
        <w:tc>
          <w:tcPr>
            <w:tcW w:w="900" w:type="dxa"/>
            <w:vAlign w:val="bottom"/>
            <w:tcBorders>
              <w:bottom w:val="single" w:sz="8" w:color="91BBD3"/>
            </w:tcBorders>
            <w:shd w:val="clear" w:color="auto" w:fill="007DC6"/>
          </w:tcPr>
          <w:p>
            <w:pPr>
              <w:spacing w:after="0"/>
              <w:rPr>
                <w:sz w:val="24"/>
                <w:szCs w:val="24"/>
                <w:color w:val="auto"/>
              </w:rPr>
            </w:pPr>
          </w:p>
        </w:tc>
        <w:tc>
          <w:tcPr>
            <w:tcW w:w="840" w:type="dxa"/>
            <w:vAlign w:val="bottom"/>
            <w:tcBorders>
              <w:bottom w:val="single" w:sz="8" w:color="91BBD3"/>
            </w:tcBorders>
            <w:shd w:val="clear" w:color="auto" w:fill="007DC6"/>
          </w:tcPr>
          <w:p>
            <w:pPr>
              <w:spacing w:after="0"/>
              <w:rPr>
                <w:sz w:val="24"/>
                <w:szCs w:val="24"/>
                <w:color w:val="auto"/>
              </w:rPr>
            </w:pPr>
          </w:p>
        </w:tc>
        <w:tc>
          <w:tcPr>
            <w:tcW w:w="220" w:type="dxa"/>
            <w:vAlign w:val="bottom"/>
            <w:tcBorders>
              <w:bottom w:val="single" w:sz="8" w:color="91BBD3"/>
            </w:tcBorders>
            <w:shd w:val="clear" w:color="auto" w:fill="007DC6"/>
          </w:tcPr>
          <w:p>
            <w:pPr>
              <w:spacing w:after="0"/>
              <w:rPr>
                <w:sz w:val="24"/>
                <w:szCs w:val="24"/>
                <w:color w:val="auto"/>
              </w:rPr>
            </w:pPr>
          </w:p>
        </w:tc>
        <w:tc>
          <w:tcPr>
            <w:tcW w:w="500" w:type="dxa"/>
            <w:vAlign w:val="bottom"/>
            <w:tcBorders>
              <w:bottom w:val="single" w:sz="8" w:color="91BBD3"/>
            </w:tcBorders>
            <w:shd w:val="clear" w:color="auto" w:fill="007DC6"/>
          </w:tcPr>
          <w:p>
            <w:pPr>
              <w:spacing w:after="0"/>
              <w:rPr>
                <w:sz w:val="24"/>
                <w:szCs w:val="24"/>
                <w:color w:val="auto"/>
              </w:rPr>
            </w:pPr>
          </w:p>
        </w:tc>
        <w:tc>
          <w:tcPr>
            <w:tcW w:w="480" w:type="dxa"/>
            <w:vAlign w:val="bottom"/>
            <w:tcBorders>
              <w:bottom w:val="single" w:sz="8" w:color="91BBD3"/>
            </w:tcBorders>
            <w:shd w:val="clear" w:color="auto" w:fill="007DC6"/>
          </w:tcPr>
          <w:p>
            <w:pPr>
              <w:spacing w:after="0"/>
              <w:rPr>
                <w:sz w:val="24"/>
                <w:szCs w:val="24"/>
                <w:color w:val="auto"/>
              </w:rPr>
            </w:pPr>
          </w:p>
        </w:tc>
        <w:tc>
          <w:tcPr>
            <w:tcW w:w="400" w:type="dxa"/>
            <w:vAlign w:val="bottom"/>
            <w:tcBorders>
              <w:bottom w:val="single" w:sz="8" w:color="91BBD3"/>
            </w:tcBorders>
            <w:shd w:val="clear" w:color="auto" w:fill="007DC6"/>
          </w:tcPr>
          <w:p>
            <w:pPr>
              <w:spacing w:after="0"/>
              <w:rPr>
                <w:sz w:val="24"/>
                <w:szCs w:val="24"/>
                <w:color w:val="auto"/>
              </w:rPr>
            </w:pPr>
          </w:p>
        </w:tc>
        <w:tc>
          <w:tcPr>
            <w:tcW w:w="420" w:type="dxa"/>
            <w:vAlign w:val="bottom"/>
            <w:tcBorders>
              <w:bottom w:val="single" w:sz="8" w:color="91BBD3"/>
            </w:tcBorders>
            <w:shd w:val="clear" w:color="auto" w:fill="007DC6"/>
          </w:tcPr>
          <w:p>
            <w:pPr>
              <w:spacing w:after="0"/>
              <w:rPr>
                <w:sz w:val="24"/>
                <w:szCs w:val="24"/>
                <w:color w:val="auto"/>
              </w:rPr>
            </w:pPr>
          </w:p>
        </w:tc>
        <w:tc>
          <w:tcPr>
            <w:tcW w:w="5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20" w:type="dxa"/>
            <w:vAlign w:val="bottom"/>
            <w:tcBorders>
              <w:bottom w:val="single" w:sz="8" w:color="91BBD3"/>
            </w:tcBorders>
            <w:shd w:val="clear" w:color="auto" w:fill="007DC6"/>
          </w:tcPr>
          <w:p>
            <w:pPr>
              <w:spacing w:after="0"/>
              <w:rPr>
                <w:sz w:val="24"/>
                <w:szCs w:val="24"/>
                <w:color w:val="auto"/>
              </w:rPr>
            </w:pPr>
          </w:p>
        </w:tc>
        <w:tc>
          <w:tcPr>
            <w:tcW w:w="0" w:type="dxa"/>
            <w:vAlign w:val="bottom"/>
            <w:tcBorders>
              <w:bottom w:val="single" w:sz="8" w:color="91BBD3"/>
              <w:right w:val="single" w:sz="8" w:color="007DC6"/>
            </w:tcBorders>
            <w:shd w:val="clear" w:color="auto" w:fill="007DC6"/>
          </w:tcPr>
          <w:p>
            <w:pPr>
              <w:spacing w:after="0"/>
              <w:rPr>
                <w:sz w:val="24"/>
                <w:szCs w:val="24"/>
                <w:color w:val="auto"/>
              </w:rPr>
            </w:pPr>
          </w:p>
        </w:tc>
      </w:tr>
      <w:tr>
        <w:trPr>
          <w:trHeight w:val="170"/>
        </w:trPr>
        <w:tc>
          <w:tcPr>
            <w:tcW w:w="1680" w:type="dxa"/>
            <w:vAlign w:val="bottom"/>
            <w:tcBorders>
              <w:top w:val="single" w:sz="8" w:color="91BBD3"/>
              <w:left w:val="single" w:sz="8" w:color="91BBD3"/>
              <w:right w:val="single" w:sz="8" w:color="91BBD3"/>
            </w:tcBorders>
            <w:shd w:val="clear" w:color="auto" w:fill="DAE8F0"/>
          </w:tcPr>
          <w:p>
            <w:pPr>
              <w:spacing w:after="0"/>
              <w:rPr>
                <w:sz w:val="14"/>
                <w:szCs w:val="14"/>
                <w:color w:val="auto"/>
              </w:rPr>
            </w:pPr>
          </w:p>
        </w:tc>
        <w:tc>
          <w:tcPr>
            <w:tcW w:w="100" w:type="dxa"/>
            <w:vAlign w:val="bottom"/>
            <w:tcBorders>
              <w:top w:val="single" w:sz="8" w:color="DAE8F0"/>
            </w:tcBorders>
            <w:shd w:val="clear" w:color="auto" w:fill="DAE8F0"/>
          </w:tcPr>
          <w:p>
            <w:pPr>
              <w:spacing w:after="0"/>
              <w:rPr>
                <w:sz w:val="14"/>
                <w:szCs w:val="14"/>
                <w:color w:val="auto"/>
              </w:rPr>
            </w:pPr>
          </w:p>
        </w:tc>
        <w:tc>
          <w:tcPr>
            <w:tcW w:w="9280" w:type="dxa"/>
            <w:vAlign w:val="bottom"/>
            <w:tcBorders>
              <w:top w:val="single" w:sz="8" w:color="DAE8F0"/>
              <w:right w:val="single" w:sz="8" w:color="91BBD3"/>
            </w:tcBorders>
            <w:gridSpan w:val="33"/>
            <w:shd w:val="clear" w:color="auto" w:fill="DAE8F0"/>
          </w:tcPr>
          <w:p>
            <w:pPr>
              <w:spacing w:after="0" w:line="149" w:lineRule="exact"/>
              <w:rPr>
                <w:rFonts w:ascii="Arial" w:cs="Arial" w:eastAsia="Arial" w:hAnsi="Arial"/>
                <w:sz w:val="17"/>
                <w:szCs w:val="17"/>
                <w:color w:val="0563C1"/>
              </w:rPr>
            </w:pPr>
            <w:hyperlink r:id="rId807">
              <w:r>
                <w:rPr>
                  <w:rFonts w:ascii="Arial" w:cs="Arial" w:eastAsia="Arial" w:hAnsi="Arial"/>
                  <w:sz w:val="17"/>
                  <w:szCs w:val="17"/>
                  <w:color w:val="0563C1"/>
                </w:rPr>
                <w:t>Materials, Inc. Current Report on Form 8</w:t>
              </w:r>
              <w:r>
                <w:rPr>
                  <w:rFonts w:ascii="MS PGothic" w:cs="MS PGothic" w:eastAsia="MS PGothic" w:hAnsi="MS PGothic"/>
                  <w:sz w:val="17"/>
                  <w:szCs w:val="17"/>
                  <w:color w:val="0563C1"/>
                </w:rPr>
                <w:t>‑</w:t>
              </w:r>
              <w:r>
                <w:rPr>
                  <w:rFonts w:ascii="Arial" w:cs="Arial" w:eastAsia="Arial" w:hAnsi="Arial"/>
                  <w:sz w:val="17"/>
                  <w:szCs w:val="17"/>
                  <w:color w:val="0563C1"/>
                </w:rPr>
                <w:t>K, filed on December 18, 2018) (Commission File No. 1-12744)**</w:t>
              </w:r>
            </w:hyperlink>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5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600" w:type="dxa"/>
            <w:vAlign w:val="bottom"/>
            <w:tcBorders>
              <w:top w:val="single" w:sz="8" w:color="0563C1"/>
            </w:tcBorders>
            <w:shd w:val="clear" w:color="auto" w:fill="91BBD3"/>
          </w:tcPr>
          <w:p>
            <w:pPr>
              <w:spacing w:after="0" w:line="20" w:lineRule="exact"/>
              <w:rPr>
                <w:sz w:val="1"/>
                <w:szCs w:val="1"/>
                <w:color w:val="auto"/>
              </w:rPr>
            </w:pPr>
          </w:p>
        </w:tc>
        <w:tc>
          <w:tcPr>
            <w:tcW w:w="90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0563C1"/>
            </w:tcBorders>
            <w:shd w:val="clear" w:color="auto" w:fill="91BBD3"/>
          </w:tcPr>
          <w:p>
            <w:pPr>
              <w:spacing w:after="0" w:line="20" w:lineRule="exact"/>
              <w:rPr>
                <w:sz w:val="1"/>
                <w:szCs w:val="1"/>
                <w:color w:val="auto"/>
              </w:rPr>
            </w:pPr>
          </w:p>
        </w:tc>
        <w:tc>
          <w:tcPr>
            <w:tcW w:w="220" w:type="dxa"/>
            <w:vAlign w:val="bottom"/>
            <w:tcBorders>
              <w:top w:val="single" w:sz="8" w:color="0563C1"/>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0563C1"/>
            </w:tcBorders>
            <w:shd w:val="clear" w:color="auto" w:fill="91BBD3"/>
          </w:tcPr>
          <w:p>
            <w:pPr>
              <w:spacing w:after="0" w:line="20" w:lineRule="exact"/>
              <w:rPr>
                <w:sz w:val="1"/>
                <w:szCs w:val="1"/>
                <w:color w:val="auto"/>
              </w:rPr>
            </w:pPr>
          </w:p>
        </w:tc>
        <w:tc>
          <w:tcPr>
            <w:tcW w:w="40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0" w:type="dxa"/>
            <w:vAlign w:val="bottom"/>
            <w:tcBorders>
              <w:top w:val="single" w:sz="8" w:color="DAE8F0"/>
              <w:right w:val="single" w:sz="8" w:color="91BBD3"/>
            </w:tcBorders>
            <w:shd w:val="clear" w:color="auto" w:fill="91BBD3"/>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Arial" w:cs="Arial" w:eastAsia="Arial" w:hAnsi="Arial"/>
                <w:sz w:val="18"/>
                <w:szCs w:val="18"/>
                <w:b w:val="1"/>
                <w:bCs w:val="1"/>
                <w:color w:val="auto"/>
              </w:rPr>
              <w:t>10.35</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rFonts w:ascii="Arial" w:cs="Arial" w:eastAsia="Arial" w:hAnsi="Arial"/>
                <w:sz w:val="18"/>
                <w:szCs w:val="18"/>
                <w:color w:val="0563C1"/>
              </w:rPr>
            </w:pPr>
            <w:hyperlink r:id="rId811">
              <w:r>
                <w:rPr>
                  <w:rFonts w:ascii="Arial" w:cs="Arial" w:eastAsia="Arial" w:hAnsi="Arial"/>
                  <w:sz w:val="18"/>
                  <w:szCs w:val="18"/>
                  <w:color w:val="0563C1"/>
                </w:rPr>
                <w:t>Form of Restricted Stock Unit Award Agreement under the Martin Marietta Materials, Inc. Amended and</w:t>
              </w:r>
            </w:hyperlink>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tcBorders>
              <w:top w:val="single" w:sz="8" w:color="0563C1"/>
            </w:tcBorders>
            <w:gridSpan w:val="29"/>
          </w:tcPr>
          <w:p>
            <w:pPr>
              <w:spacing w:after="0" w:line="182" w:lineRule="exact"/>
              <w:rPr>
                <w:rFonts w:ascii="Arial" w:cs="Arial" w:eastAsia="Arial" w:hAnsi="Arial"/>
                <w:sz w:val="18"/>
                <w:szCs w:val="18"/>
                <w:color w:val="0563C1"/>
              </w:rPr>
            </w:pPr>
            <w:hyperlink r:id="rId811">
              <w:r>
                <w:rPr>
                  <w:rFonts w:ascii="Arial" w:cs="Arial" w:eastAsia="Arial" w:hAnsi="Arial"/>
                  <w:sz w:val="18"/>
                  <w:szCs w:val="18"/>
                  <w:color w:val="0563C1"/>
                </w:rPr>
                <w:t>Restated Stock-Based Award Plan (incorporated by reference to Exhibit 10.2 to the Martin Marietta Materials,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20" w:type="dxa"/>
            <w:vAlign w:val="bottom"/>
            <w:tcBorders>
              <w:top w:val="single" w:sz="8" w:color="0563C1"/>
            </w:tcBorders>
            <w:gridSpan w:val="19"/>
          </w:tcPr>
          <w:p>
            <w:pPr>
              <w:spacing w:after="0" w:line="182" w:lineRule="exact"/>
              <w:rPr>
                <w:rFonts w:ascii="Arial" w:cs="Arial" w:eastAsia="Arial" w:hAnsi="Arial"/>
                <w:sz w:val="18"/>
                <w:szCs w:val="18"/>
                <w:color w:val="0563C1"/>
              </w:rPr>
            </w:pPr>
            <w:hyperlink r:id="rId811">
              <w:r>
                <w:rPr>
                  <w:rFonts w:ascii="Arial" w:cs="Arial" w:eastAsia="Arial" w:hAnsi="Arial"/>
                  <w:sz w:val="18"/>
                  <w:szCs w:val="18"/>
                  <w:color w:val="0563C1"/>
                </w:rPr>
                <w:t>Inc. Current Report on Form 8</w:t>
              </w:r>
              <w:r>
                <w:rPr>
                  <w:rFonts w:ascii="MS PGothic" w:cs="MS PGothic" w:eastAsia="MS PGothic" w:hAnsi="MS PGothic"/>
                  <w:sz w:val="18"/>
                  <w:szCs w:val="18"/>
                  <w:color w:val="0563C1"/>
                </w:rPr>
                <w:t>‑</w:t>
              </w:r>
              <w:r>
                <w:rPr>
                  <w:rFonts w:ascii="Arial" w:cs="Arial" w:eastAsia="Arial" w:hAnsi="Arial"/>
                  <w:sz w:val="18"/>
                  <w:szCs w:val="18"/>
                  <w:color w:val="0563C1"/>
                </w:rPr>
                <w:t>K, filed on December 18, 2018) (Commission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4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600" w:type="dxa"/>
            <w:vAlign w:val="bottom"/>
            <w:tcBorders>
              <w:top w:val="single" w:sz="8" w:color="0563C1"/>
              <w:bottom w:val="single" w:sz="8" w:color="91BBD3"/>
            </w:tcBorders>
          </w:tcPr>
          <w:p>
            <w:pPr>
              <w:spacing w:after="0" w:line="20" w:lineRule="exact"/>
              <w:rPr>
                <w:sz w:val="1"/>
                <w:szCs w:val="1"/>
                <w:color w:val="auto"/>
              </w:rPr>
            </w:pPr>
          </w:p>
        </w:tc>
        <w:tc>
          <w:tcPr>
            <w:tcW w:w="90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220" w:type="dxa"/>
            <w:vAlign w:val="bottom"/>
            <w:tcBorders>
              <w:top w:val="single" w:sz="8" w:color="0563C1"/>
              <w:bottom w:val="single" w:sz="8" w:color="91BBD3"/>
            </w:tcBorders>
          </w:tcPr>
          <w:p>
            <w:pPr>
              <w:spacing w:after="0" w:line="20" w:lineRule="exact"/>
              <w:rPr>
                <w:sz w:val="1"/>
                <w:szCs w:val="1"/>
                <w:color w:val="auto"/>
              </w:rPr>
            </w:pPr>
          </w:p>
        </w:tc>
        <w:tc>
          <w:tcPr>
            <w:tcW w:w="500" w:type="dxa"/>
            <w:vAlign w:val="bottom"/>
            <w:tcBorders>
              <w:top w:val="single" w:sz="8" w:color="0563C1"/>
              <w:bottom w:val="single" w:sz="8" w:color="91BBD3"/>
            </w:tcBorders>
          </w:tcPr>
          <w:p>
            <w:pPr>
              <w:spacing w:after="0" w:line="20" w:lineRule="exact"/>
              <w:rPr>
                <w:sz w:val="1"/>
                <w:szCs w:val="1"/>
                <w:color w:val="auto"/>
              </w:rPr>
            </w:pPr>
          </w:p>
        </w:tc>
        <w:tc>
          <w:tcPr>
            <w:tcW w:w="480" w:type="dxa"/>
            <w:vAlign w:val="bottom"/>
            <w:tcBorders>
              <w:top w:val="single" w:sz="8" w:color="0563C1"/>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10.36</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rFonts w:ascii="Arial" w:cs="Arial" w:eastAsia="Arial" w:hAnsi="Arial"/>
                <w:sz w:val="18"/>
                <w:szCs w:val="18"/>
                <w:color w:val="0563C1"/>
              </w:rPr>
            </w:pPr>
            <w:hyperlink r:id="rId812">
              <w:r>
                <w:rPr>
                  <w:rFonts w:ascii="Arial" w:cs="Arial" w:eastAsia="Arial" w:hAnsi="Arial"/>
                  <w:sz w:val="18"/>
                  <w:szCs w:val="18"/>
                  <w:color w:val="0563C1"/>
                </w:rPr>
                <w:t>Form of Performance Share Unit Award Agreement under the Martin Marietta Materials, Inc. Amended and</w:t>
              </w:r>
            </w:hyperlink>
          </w:p>
        </w:tc>
      </w:tr>
      <w:tr>
        <w:trPr>
          <w:trHeight w:val="183"/>
        </w:trPr>
        <w:tc>
          <w:tcPr>
            <w:tcW w:w="1680" w:type="dxa"/>
            <w:vAlign w:val="bottom"/>
            <w:tcBorders>
              <w:top w:val="single" w:sz="8" w:color="DAE8F0"/>
              <w:left w:val="single" w:sz="8" w:color="91BBD3"/>
              <w:right w:val="single" w:sz="8" w:color="91BBD3"/>
            </w:tcBorders>
            <w:shd w:val="clear" w:color="auto" w:fill="DAE8F0"/>
          </w:tcPr>
          <w:p>
            <w:pPr>
              <w:spacing w:after="0"/>
              <w:rPr>
                <w:sz w:val="15"/>
                <w:szCs w:val="15"/>
                <w:color w:val="auto"/>
              </w:rPr>
            </w:pPr>
          </w:p>
        </w:tc>
        <w:tc>
          <w:tcPr>
            <w:tcW w:w="100" w:type="dxa"/>
            <w:vAlign w:val="bottom"/>
            <w:tcBorders>
              <w:top w:val="single" w:sz="8" w:color="DAE8F0"/>
            </w:tcBorders>
            <w:shd w:val="clear" w:color="auto" w:fill="DAE8F0"/>
          </w:tcPr>
          <w:p>
            <w:pPr>
              <w:spacing w:after="0"/>
              <w:rPr>
                <w:sz w:val="15"/>
                <w:szCs w:val="15"/>
                <w:color w:val="auto"/>
              </w:rPr>
            </w:pPr>
          </w:p>
        </w:tc>
        <w:tc>
          <w:tcPr>
            <w:tcW w:w="9080" w:type="dxa"/>
            <w:vAlign w:val="bottom"/>
            <w:tcBorders>
              <w:top w:val="single" w:sz="8" w:color="0563C1"/>
            </w:tcBorders>
            <w:gridSpan w:val="22"/>
            <w:shd w:val="clear" w:color="auto" w:fill="DAE8F0"/>
          </w:tcPr>
          <w:p>
            <w:pPr>
              <w:spacing w:after="0" w:line="182" w:lineRule="exact"/>
              <w:rPr>
                <w:rFonts w:ascii="Arial" w:cs="Arial" w:eastAsia="Arial" w:hAnsi="Arial"/>
                <w:sz w:val="18"/>
                <w:szCs w:val="18"/>
                <w:color w:val="0563C1"/>
              </w:rPr>
            </w:pPr>
            <w:hyperlink r:id="rId812">
              <w:r>
                <w:rPr>
                  <w:rFonts w:ascii="Arial" w:cs="Arial" w:eastAsia="Arial" w:hAnsi="Arial"/>
                  <w:sz w:val="18"/>
                  <w:szCs w:val="18"/>
                  <w:color w:val="0563C1"/>
                </w:rPr>
                <w:t>Restated Stock-Based Award Plan (incorporated by reference to Exhibit 10.3 to the Martin Marietta Materials,</w:t>
              </w:r>
            </w:hyperlink>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40" w:type="dxa"/>
            <w:vAlign w:val="bottom"/>
            <w:tcBorders>
              <w:top w:val="single" w:sz="8" w:color="DAE8F0"/>
            </w:tcBorders>
            <w:gridSpan w:val="2"/>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20" w:type="dxa"/>
            <w:vAlign w:val="bottom"/>
            <w:tcBorders>
              <w:top w:val="single" w:sz="8" w:color="DAE8F0"/>
            </w:tcBorders>
            <w:shd w:val="clear" w:color="auto" w:fill="DAE8F0"/>
          </w:tcPr>
          <w:p>
            <w:pPr>
              <w:spacing w:after="0"/>
              <w:rPr>
                <w:sz w:val="15"/>
                <w:szCs w:val="15"/>
                <w:color w:val="auto"/>
              </w:rPr>
            </w:pPr>
          </w:p>
        </w:tc>
        <w:tc>
          <w:tcPr>
            <w:tcW w:w="0" w:type="dxa"/>
            <w:vAlign w:val="bottom"/>
            <w:tcBorders>
              <w:top w:val="single" w:sz="8" w:color="DAE8F0"/>
              <w:right w:val="single" w:sz="8" w:color="91BBD3"/>
            </w:tcBorders>
            <w:shd w:val="clear" w:color="auto" w:fill="DAE8F0"/>
          </w:tcPr>
          <w:p>
            <w:pPr>
              <w:spacing w:after="0"/>
              <w:rPr>
                <w:sz w:val="15"/>
                <w:szCs w:val="15"/>
                <w:color w:val="auto"/>
              </w:rPr>
            </w:pPr>
          </w:p>
        </w:tc>
      </w:tr>
      <w:tr>
        <w:trPr>
          <w:trHeight w:val="22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7640" w:type="dxa"/>
            <w:vAlign w:val="bottom"/>
            <w:tcBorders>
              <w:top w:val="single" w:sz="8" w:color="0563C1"/>
              <w:bottom w:val="single" w:sz="8" w:color="0563C1"/>
            </w:tcBorders>
            <w:gridSpan w:val="14"/>
            <w:shd w:val="clear" w:color="auto" w:fill="DAE8F0"/>
          </w:tcPr>
          <w:p>
            <w:pPr>
              <w:spacing w:after="0" w:line="182" w:lineRule="exact"/>
              <w:rPr>
                <w:rFonts w:ascii="Arial" w:cs="Arial" w:eastAsia="Arial" w:hAnsi="Arial"/>
                <w:sz w:val="18"/>
                <w:szCs w:val="18"/>
                <w:color w:val="0563C1"/>
                <w:w w:val="99"/>
              </w:rPr>
            </w:pPr>
            <w:hyperlink r:id="rId812">
              <w:r>
                <w:rPr>
                  <w:rFonts w:ascii="Arial" w:cs="Arial" w:eastAsia="Arial" w:hAnsi="Arial"/>
                  <w:sz w:val="18"/>
                  <w:szCs w:val="18"/>
                  <w:color w:val="0563C1"/>
                  <w:w w:val="99"/>
                </w:rPr>
                <w:t>Inc. Current Report on Form 8</w:t>
              </w:r>
              <w:r>
                <w:rPr>
                  <w:rFonts w:ascii="MS PGothic" w:cs="MS PGothic" w:eastAsia="MS PGothic" w:hAnsi="MS PGothic"/>
                  <w:sz w:val="18"/>
                  <w:szCs w:val="18"/>
                  <w:color w:val="0563C1"/>
                  <w:w w:val="99"/>
                </w:rPr>
                <w:t>‑</w:t>
              </w:r>
              <w:r>
                <w:rPr>
                  <w:rFonts w:ascii="Arial" w:cs="Arial" w:eastAsia="Arial" w:hAnsi="Arial"/>
                  <w:sz w:val="18"/>
                  <w:szCs w:val="18"/>
                  <w:color w:val="0563C1"/>
                  <w:w w:val="99"/>
                </w:rPr>
                <w:t>K, filed on December 18, 2018) (Commission File No. 1-12744)**</w:t>
              </w:r>
            </w:hyperlink>
          </w:p>
        </w:tc>
        <w:tc>
          <w:tcPr>
            <w:tcW w:w="1380" w:type="dxa"/>
            <w:vAlign w:val="bottom"/>
            <w:tcBorders>
              <w:top w:val="single" w:sz="8" w:color="0563C1"/>
              <w:bottom w:val="single" w:sz="8" w:color="91BBD3"/>
            </w:tcBorders>
            <w:gridSpan w:val="5"/>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40" w:type="dxa"/>
            <w:vAlign w:val="bottom"/>
            <w:tcBorders>
              <w:top w:val="single" w:sz="8" w:color="DAE8F0"/>
              <w:bottom w:val="single" w:sz="8" w:color="91BBD3"/>
            </w:tcBorders>
            <w:gridSpan w:val="2"/>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40" w:type="dxa"/>
            <w:vAlign w:val="bottom"/>
            <w:tcBorders>
              <w:top w:val="single" w:sz="8" w:color="DAE8F0"/>
              <w:bottom w:val="single" w:sz="8" w:color="91BBD3"/>
            </w:tcBorders>
            <w:gridSpan w:val="2"/>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13"/>
                <w:szCs w:val="13"/>
                <w:color w:val="auto"/>
              </w:rPr>
            </w:pPr>
          </w:p>
        </w:tc>
        <w:tc>
          <w:tcPr>
            <w:tcW w:w="9240" w:type="dxa"/>
            <w:vAlign w:val="bottom"/>
            <w:tcBorders>
              <w:bottom w:val="single" w:sz="8" w:color="0563C1"/>
            </w:tcBorders>
            <w:gridSpan w:val="30"/>
          </w:tcPr>
          <w:p>
            <w:pPr>
              <w:spacing w:after="0" w:line="156" w:lineRule="exact"/>
              <w:rPr>
                <w:rFonts w:ascii="Arial" w:cs="Arial" w:eastAsia="Arial" w:hAnsi="Arial"/>
                <w:sz w:val="18"/>
                <w:szCs w:val="18"/>
                <w:color w:val="0563C1"/>
              </w:rPr>
            </w:pPr>
            <w:hyperlink r:id="rId813">
              <w:r>
                <w:rPr>
                  <w:rFonts w:ascii="Arial" w:cs="Arial" w:eastAsia="Arial" w:hAnsi="Arial"/>
                  <w:sz w:val="18"/>
                  <w:szCs w:val="18"/>
                  <w:color w:val="0563C1"/>
                </w:rPr>
                <w:t>Form of Directors’ Restricted Stock Unit Award Agreement under the Martin Marietta Materials, Inc. Amended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right w:val="single" w:sz="8" w:color="91BBD3"/>
            </w:tcBorders>
            <w:gridSpan w:val="2"/>
          </w:tcPr>
          <w:p>
            <w:pPr>
              <w:spacing w:after="0"/>
              <w:rPr>
                <w:sz w:val="13"/>
                <w:szCs w:val="13"/>
                <w:color w:val="auto"/>
              </w:rPr>
            </w:pP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60" w:type="dxa"/>
            <w:vAlign w:val="bottom"/>
            <w:tcBorders>
              <w:bottom w:val="single" w:sz="8" w:color="0563C1"/>
            </w:tcBorders>
            <w:gridSpan w:val="31"/>
          </w:tcPr>
          <w:p>
            <w:pPr>
              <w:spacing w:after="0" w:line="182" w:lineRule="exact"/>
              <w:rPr>
                <w:rFonts w:ascii="Arial" w:cs="Arial" w:eastAsia="Arial" w:hAnsi="Arial"/>
                <w:sz w:val="18"/>
                <w:szCs w:val="18"/>
                <w:color w:val="0563C1"/>
              </w:rPr>
            </w:pPr>
            <w:hyperlink r:id="rId813">
              <w:r>
                <w:rPr>
                  <w:rFonts w:ascii="Arial" w:cs="Arial" w:eastAsia="Arial" w:hAnsi="Arial"/>
                  <w:sz w:val="18"/>
                  <w:szCs w:val="18"/>
                  <w:color w:val="0563C1"/>
                </w:rPr>
                <w:t>and Restated Stock-Based Award Plan (incorporated by reference to Exhibit 10.27 to the Martin Marietta</w:t>
              </w:r>
            </w:hyperlink>
          </w:p>
        </w:tc>
        <w:tc>
          <w:tcPr>
            <w:tcW w:w="20" w:type="dxa"/>
            <w:vAlign w:val="bottom"/>
            <w:tcBorders>
              <w:bottom w:val="single" w:sz="8" w:color="0563C1"/>
            </w:tcBorders>
          </w:tcPr>
          <w:p>
            <w:pPr>
              <w:spacing w:after="0"/>
              <w:rPr>
                <w:sz w:val="15"/>
                <w:szCs w:val="15"/>
                <w:color w:val="auto"/>
              </w:rPr>
            </w:pPr>
          </w:p>
        </w:tc>
        <w:tc>
          <w:tcPr>
            <w:tcW w:w="0" w:type="dxa"/>
            <w:vAlign w:val="bottom"/>
            <w:tcBorders>
              <w:bottom w:val="single" w:sz="8" w:color="0563C1"/>
              <w:right w:val="single" w:sz="8" w:color="91BBD3"/>
            </w:tcBorders>
          </w:tcPr>
          <w:p>
            <w:pPr>
              <w:spacing w:after="0"/>
              <w:rPr>
                <w:sz w:val="15"/>
                <w:szCs w:val="15"/>
                <w:color w:val="auto"/>
              </w:rPr>
            </w:pP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tcBorders>
              <w:right w:val="single" w:sz="8" w:color="91BBD3"/>
            </w:tcBorders>
            <w:gridSpan w:val="33"/>
          </w:tcPr>
          <w:p>
            <w:pPr>
              <w:spacing w:after="0" w:line="182" w:lineRule="exact"/>
              <w:rPr>
                <w:rFonts w:ascii="Arial" w:cs="Arial" w:eastAsia="Arial" w:hAnsi="Arial"/>
                <w:sz w:val="18"/>
                <w:szCs w:val="18"/>
                <w:color w:val="0563C1"/>
              </w:rPr>
            </w:pPr>
            <w:hyperlink r:id="rId813">
              <w:r>
                <w:rPr>
                  <w:rFonts w:ascii="Arial" w:cs="Arial" w:eastAsia="Arial" w:hAnsi="Arial"/>
                  <w:sz w:val="18"/>
                  <w:szCs w:val="18"/>
                  <w:color w:val="0563C1"/>
                </w:rPr>
                <w:t>Materials, Inc. Annual Report on Form 10-K for the fiscal year ended December 31, 2018) (Commission File No.</w:t>
              </w:r>
            </w:hyperlink>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top w:val="single" w:sz="8" w:color="0563C1"/>
            </w:tcBorders>
            <w:gridSpan w:val="4"/>
          </w:tcPr>
          <w:p>
            <w:pPr>
              <w:spacing w:after="0" w:line="182" w:lineRule="exact"/>
              <w:rPr>
                <w:rFonts w:ascii="Arial" w:cs="Arial" w:eastAsia="Arial" w:hAnsi="Arial"/>
                <w:sz w:val="18"/>
                <w:szCs w:val="18"/>
                <w:color w:val="0563C1"/>
              </w:rPr>
            </w:pPr>
            <w:hyperlink r:id="rId813">
              <w:r>
                <w:rPr>
                  <w:rFonts w:ascii="Arial" w:cs="Arial" w:eastAsia="Arial" w:hAnsi="Arial"/>
                  <w:sz w:val="18"/>
                  <w:szCs w:val="18"/>
                  <w:color w:val="0563C1"/>
                </w:rPr>
                <w:t>1-12744)**</w:t>
              </w:r>
            </w:hyperlink>
          </w:p>
        </w:tc>
        <w:tc>
          <w:tcPr>
            <w:tcW w:w="260" w:type="dxa"/>
            <w:vAlign w:val="bottom"/>
            <w:tcBorders>
              <w:top w:val="single" w:sz="8" w:color="0563C1"/>
            </w:tcBorders>
          </w:tcPr>
          <w:p>
            <w:pPr>
              <w:spacing w:after="0"/>
              <w:rPr>
                <w:sz w:val="15"/>
                <w:szCs w:val="15"/>
                <w:color w:val="auto"/>
              </w:rPr>
            </w:pPr>
          </w:p>
        </w:tc>
        <w:tc>
          <w:tcPr>
            <w:tcW w:w="84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160" w:type="dxa"/>
            <w:vAlign w:val="bottom"/>
            <w:tcBorders>
              <w:top w:val="single" w:sz="8" w:color="0563C1"/>
            </w:tcBorders>
          </w:tcPr>
          <w:p>
            <w:pPr>
              <w:spacing w:after="0"/>
              <w:rPr>
                <w:sz w:val="15"/>
                <w:szCs w:val="15"/>
                <w:color w:val="auto"/>
              </w:rPr>
            </w:pPr>
          </w:p>
        </w:tc>
        <w:tc>
          <w:tcPr>
            <w:tcW w:w="600" w:type="dxa"/>
            <w:vAlign w:val="bottom"/>
            <w:tcBorders>
              <w:top w:val="single" w:sz="8" w:color="0563C1"/>
            </w:tcBorders>
          </w:tcPr>
          <w:p>
            <w:pPr>
              <w:spacing w:after="0"/>
              <w:rPr>
                <w:sz w:val="15"/>
                <w:szCs w:val="15"/>
                <w:color w:val="auto"/>
              </w:rPr>
            </w:pPr>
          </w:p>
        </w:tc>
        <w:tc>
          <w:tcPr>
            <w:tcW w:w="900" w:type="dxa"/>
            <w:vAlign w:val="bottom"/>
            <w:tcBorders>
              <w:top w:val="single" w:sz="8" w:color="0563C1"/>
            </w:tcBorders>
          </w:tcPr>
          <w:p>
            <w:pPr>
              <w:spacing w:after="0"/>
              <w:rPr>
                <w:sz w:val="15"/>
                <w:szCs w:val="15"/>
                <w:color w:val="auto"/>
              </w:rPr>
            </w:pPr>
          </w:p>
        </w:tc>
        <w:tc>
          <w:tcPr>
            <w:tcW w:w="840" w:type="dxa"/>
            <w:vAlign w:val="bottom"/>
            <w:tcBorders>
              <w:top w:val="single" w:sz="8" w:color="0563C1"/>
            </w:tcBorders>
          </w:tcPr>
          <w:p>
            <w:pPr>
              <w:spacing w:after="0"/>
              <w:rPr>
                <w:sz w:val="15"/>
                <w:szCs w:val="15"/>
                <w:color w:val="auto"/>
              </w:rPr>
            </w:pPr>
          </w:p>
        </w:tc>
        <w:tc>
          <w:tcPr>
            <w:tcW w:w="220" w:type="dxa"/>
            <w:vAlign w:val="bottom"/>
            <w:tcBorders>
              <w:top w:val="single" w:sz="8" w:color="0563C1"/>
            </w:tcBorders>
          </w:tcPr>
          <w:p>
            <w:pPr>
              <w:spacing w:after="0"/>
              <w:rPr>
                <w:sz w:val="15"/>
                <w:szCs w:val="15"/>
                <w:color w:val="auto"/>
              </w:rPr>
            </w:pPr>
          </w:p>
        </w:tc>
        <w:tc>
          <w:tcPr>
            <w:tcW w:w="500" w:type="dxa"/>
            <w:vAlign w:val="bottom"/>
            <w:tcBorders>
              <w:top w:val="single" w:sz="8" w:color="0563C1"/>
            </w:tcBorders>
          </w:tcPr>
          <w:p>
            <w:pPr>
              <w:spacing w:after="0"/>
              <w:rPr>
                <w:sz w:val="15"/>
                <w:szCs w:val="15"/>
                <w:color w:val="auto"/>
              </w:rPr>
            </w:pPr>
          </w:p>
        </w:tc>
        <w:tc>
          <w:tcPr>
            <w:tcW w:w="480" w:type="dxa"/>
            <w:vAlign w:val="bottom"/>
            <w:tcBorders>
              <w:top w:val="single" w:sz="8" w:color="0563C1"/>
            </w:tcBorders>
          </w:tcPr>
          <w:p>
            <w:pPr>
              <w:spacing w:after="0"/>
              <w:rPr>
                <w:sz w:val="15"/>
                <w:szCs w:val="15"/>
                <w:color w:val="auto"/>
              </w:rPr>
            </w:pPr>
          </w:p>
        </w:tc>
        <w:tc>
          <w:tcPr>
            <w:tcW w:w="40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5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600" w:type="dxa"/>
            <w:vAlign w:val="bottom"/>
            <w:tcBorders>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56"/>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10.38</w:t>
            </w:r>
          </w:p>
        </w:tc>
        <w:tc>
          <w:tcPr>
            <w:tcW w:w="100" w:type="dxa"/>
            <w:vAlign w:val="bottom"/>
            <w:tcBorders>
              <w:bottom w:val="single" w:sz="8" w:color="DAE8F0"/>
            </w:tcBorders>
            <w:shd w:val="clear" w:color="auto" w:fill="DAE8F0"/>
          </w:tcPr>
          <w:p>
            <w:pPr>
              <w:spacing w:after="0"/>
              <w:rPr>
                <w:sz w:val="13"/>
                <w:szCs w:val="13"/>
                <w:color w:val="auto"/>
              </w:rPr>
            </w:pPr>
          </w:p>
        </w:tc>
        <w:tc>
          <w:tcPr>
            <w:tcW w:w="9180" w:type="dxa"/>
            <w:vAlign w:val="bottom"/>
            <w:tcBorders>
              <w:bottom w:val="single" w:sz="8" w:color="0563C1"/>
            </w:tcBorders>
            <w:gridSpan w:val="27"/>
            <w:shd w:val="clear" w:color="auto" w:fill="DAE8F0"/>
          </w:tcPr>
          <w:p>
            <w:pPr>
              <w:spacing w:after="0" w:line="156" w:lineRule="exact"/>
              <w:rPr>
                <w:rFonts w:ascii="Arial" w:cs="Arial" w:eastAsia="Arial" w:hAnsi="Arial"/>
                <w:sz w:val="18"/>
                <w:szCs w:val="18"/>
                <w:color w:val="0563C1"/>
              </w:rPr>
            </w:pPr>
            <w:hyperlink r:id="rId814">
              <w:r>
                <w:rPr>
                  <w:rFonts w:ascii="Arial" w:cs="Arial" w:eastAsia="Arial" w:hAnsi="Arial"/>
                  <w:sz w:val="18"/>
                  <w:szCs w:val="18"/>
                  <w:color w:val="0563C1"/>
                </w:rPr>
                <w:t>Martin Marietta Nonqualified Deferred Cash Compensation Plan (incorporated by reference to Exhibit 10.1 to the</w:t>
              </w:r>
            </w:hyperlink>
          </w:p>
        </w:tc>
        <w:tc>
          <w:tcPr>
            <w:tcW w:w="20" w:type="dxa"/>
            <w:vAlign w:val="bottom"/>
            <w:tcBorders>
              <w:bottom w:val="single" w:sz="8" w:color="0000EE"/>
            </w:tcBorders>
            <w:shd w:val="clear" w:color="auto" w:fill="DAE8F0"/>
          </w:tcPr>
          <w:p>
            <w:pPr>
              <w:spacing w:after="0"/>
              <w:rPr>
                <w:sz w:val="13"/>
                <w:szCs w:val="13"/>
                <w:color w:val="auto"/>
              </w:rPr>
            </w:pPr>
          </w:p>
        </w:tc>
        <w:tc>
          <w:tcPr>
            <w:tcW w:w="80" w:type="dxa"/>
            <w:vAlign w:val="bottom"/>
            <w:tcBorders>
              <w:bottom w:val="single" w:sz="8" w:color="DAE8F0"/>
              <w:right w:val="single" w:sz="8" w:color="91BBD3"/>
            </w:tcBorders>
            <w:gridSpan w:val="5"/>
            <w:shd w:val="clear" w:color="auto" w:fill="DAE8F0"/>
          </w:tcPr>
          <w:p>
            <w:pPr>
              <w:spacing w:after="0"/>
              <w:rPr>
                <w:sz w:val="13"/>
                <w:szCs w:val="13"/>
                <w:color w:val="auto"/>
              </w:rPr>
            </w:pPr>
          </w:p>
        </w:tc>
      </w:tr>
      <w:tr>
        <w:trPr>
          <w:trHeight w:val="183"/>
        </w:trPr>
        <w:tc>
          <w:tcPr>
            <w:tcW w:w="1680" w:type="dxa"/>
            <w:vAlign w:val="bottom"/>
            <w:tcBorders>
              <w:left w:val="single" w:sz="8" w:color="91BBD3"/>
              <w:right w:val="single" w:sz="8" w:color="91BBD3"/>
            </w:tcBorders>
            <w:shd w:val="clear" w:color="auto" w:fill="DAE8F0"/>
          </w:tcPr>
          <w:p>
            <w:pPr>
              <w:spacing w:after="0"/>
              <w:rPr>
                <w:sz w:val="15"/>
                <w:szCs w:val="15"/>
                <w:color w:val="auto"/>
              </w:rPr>
            </w:pPr>
          </w:p>
        </w:tc>
        <w:tc>
          <w:tcPr>
            <w:tcW w:w="100" w:type="dxa"/>
            <w:vAlign w:val="bottom"/>
            <w:shd w:val="clear" w:color="auto" w:fill="DAE8F0"/>
          </w:tcPr>
          <w:p>
            <w:pPr>
              <w:spacing w:after="0"/>
              <w:rPr>
                <w:sz w:val="15"/>
                <w:szCs w:val="15"/>
                <w:color w:val="auto"/>
              </w:rPr>
            </w:pPr>
          </w:p>
        </w:tc>
        <w:tc>
          <w:tcPr>
            <w:tcW w:w="9200" w:type="dxa"/>
            <w:vAlign w:val="bottom"/>
            <w:gridSpan w:val="28"/>
            <w:shd w:val="clear" w:color="auto" w:fill="DAE8F0"/>
          </w:tcPr>
          <w:p>
            <w:pPr>
              <w:spacing w:after="0" w:line="182" w:lineRule="exact"/>
              <w:rPr>
                <w:rFonts w:ascii="Arial" w:cs="Arial" w:eastAsia="Arial" w:hAnsi="Arial"/>
                <w:sz w:val="18"/>
                <w:szCs w:val="18"/>
                <w:color w:val="0563C1"/>
              </w:rPr>
            </w:pPr>
            <w:hyperlink r:id="rId814">
              <w:r>
                <w:rPr>
                  <w:rFonts w:ascii="Arial" w:cs="Arial" w:eastAsia="Arial" w:hAnsi="Arial"/>
                  <w:sz w:val="18"/>
                  <w:szCs w:val="18"/>
                  <w:color w:val="0563C1"/>
                </w:rPr>
                <w:t>Martin Marietta Materials, Inc. Current Report on Form 8-K, filed on June 29, 2020 (Commission File No. 1-</w:t>
              </w:r>
            </w:hyperlink>
          </w:p>
        </w:tc>
        <w:tc>
          <w:tcPr>
            <w:tcW w:w="80" w:type="dxa"/>
            <w:vAlign w:val="bottom"/>
            <w:gridSpan w:val="4"/>
            <w:shd w:val="clear" w:color="auto" w:fill="DAE8F0"/>
          </w:tcPr>
          <w:p>
            <w:pPr>
              <w:spacing w:after="0"/>
              <w:rPr>
                <w:sz w:val="15"/>
                <w:szCs w:val="15"/>
                <w:color w:val="auto"/>
              </w:rPr>
            </w:pPr>
          </w:p>
        </w:tc>
        <w:tc>
          <w:tcPr>
            <w:tcW w:w="0" w:type="dxa"/>
            <w:vAlign w:val="bottom"/>
            <w:tcBorders>
              <w:right w:val="single" w:sz="8" w:color="91BBD3"/>
            </w:tcBorders>
            <w:shd w:val="clear" w:color="auto" w:fill="DAE8F0"/>
          </w:tcPr>
          <w:p>
            <w:pPr>
              <w:spacing w:after="0"/>
              <w:rPr>
                <w:sz w:val="15"/>
                <w:szCs w:val="15"/>
                <w:color w:val="auto"/>
              </w:rPr>
            </w:pPr>
          </w:p>
        </w:tc>
      </w:tr>
      <w:tr>
        <w:trPr>
          <w:trHeight w:val="22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760" w:type="dxa"/>
            <w:vAlign w:val="bottom"/>
            <w:tcBorders>
              <w:top w:val="single" w:sz="8" w:color="0563C1"/>
              <w:bottom w:val="single" w:sz="8" w:color="0563C1"/>
            </w:tcBorders>
            <w:gridSpan w:val="2"/>
            <w:shd w:val="clear" w:color="auto" w:fill="DAE8F0"/>
          </w:tcPr>
          <w:p>
            <w:pPr>
              <w:spacing w:after="0" w:line="182" w:lineRule="exact"/>
              <w:rPr>
                <w:rFonts w:ascii="Arial" w:cs="Arial" w:eastAsia="Arial" w:hAnsi="Arial"/>
                <w:sz w:val="18"/>
                <w:szCs w:val="18"/>
                <w:color w:val="0563C1"/>
                <w:w w:val="97"/>
              </w:rPr>
            </w:pPr>
            <w:hyperlink r:id="rId814">
              <w:r>
                <w:rPr>
                  <w:rFonts w:ascii="Arial" w:cs="Arial" w:eastAsia="Arial" w:hAnsi="Arial"/>
                  <w:sz w:val="18"/>
                  <w:szCs w:val="18"/>
                  <w:color w:val="0563C1"/>
                  <w:w w:val="97"/>
                </w:rPr>
                <w:t>12744))**</w:t>
              </w:r>
            </w:hyperlink>
          </w:p>
        </w:tc>
        <w:tc>
          <w:tcPr>
            <w:tcW w:w="100" w:type="dxa"/>
            <w:vAlign w:val="bottom"/>
            <w:tcBorders>
              <w:top w:val="single" w:sz="8" w:color="0563C1"/>
              <w:bottom w:val="single" w:sz="8" w:color="91BBD3"/>
            </w:tcBorders>
            <w:shd w:val="clear" w:color="auto" w:fill="DAE8F0"/>
          </w:tcPr>
          <w:p>
            <w:pPr>
              <w:spacing w:after="0"/>
              <w:rPr>
                <w:sz w:val="19"/>
                <w:szCs w:val="19"/>
                <w:color w:val="auto"/>
              </w:rPr>
            </w:pPr>
          </w:p>
        </w:tc>
        <w:tc>
          <w:tcPr>
            <w:tcW w:w="1560" w:type="dxa"/>
            <w:vAlign w:val="bottom"/>
            <w:tcBorders>
              <w:top w:val="single" w:sz="8" w:color="0563C1"/>
              <w:bottom w:val="single" w:sz="8" w:color="91BBD3"/>
            </w:tcBorders>
            <w:shd w:val="clear" w:color="auto" w:fill="DAE8F0"/>
          </w:tcPr>
          <w:p>
            <w:pPr>
              <w:spacing w:after="0"/>
              <w:rPr>
                <w:sz w:val="19"/>
                <w:szCs w:val="19"/>
                <w:color w:val="auto"/>
              </w:rPr>
            </w:pPr>
          </w:p>
        </w:tc>
        <w:tc>
          <w:tcPr>
            <w:tcW w:w="260" w:type="dxa"/>
            <w:vAlign w:val="bottom"/>
            <w:tcBorders>
              <w:top w:val="single" w:sz="8" w:color="0563C1"/>
              <w:bottom w:val="single" w:sz="8" w:color="91BBD3"/>
            </w:tcBorders>
            <w:shd w:val="clear" w:color="auto" w:fill="DAE8F0"/>
          </w:tcPr>
          <w:p>
            <w:pPr>
              <w:spacing w:after="0"/>
              <w:rPr>
                <w:sz w:val="19"/>
                <w:szCs w:val="19"/>
                <w:color w:val="auto"/>
              </w:rPr>
            </w:pPr>
          </w:p>
        </w:tc>
        <w:tc>
          <w:tcPr>
            <w:tcW w:w="840" w:type="dxa"/>
            <w:vAlign w:val="bottom"/>
            <w:tcBorders>
              <w:top w:val="single" w:sz="8" w:color="0563C1"/>
              <w:bottom w:val="single" w:sz="8" w:color="91BBD3"/>
            </w:tcBorders>
            <w:shd w:val="clear" w:color="auto" w:fill="DAE8F0"/>
          </w:tcPr>
          <w:p>
            <w:pPr>
              <w:spacing w:after="0"/>
              <w:rPr>
                <w:sz w:val="19"/>
                <w:szCs w:val="19"/>
                <w:color w:val="auto"/>
              </w:rPr>
            </w:pPr>
          </w:p>
        </w:tc>
        <w:tc>
          <w:tcPr>
            <w:tcW w:w="420" w:type="dxa"/>
            <w:vAlign w:val="bottom"/>
            <w:tcBorders>
              <w:top w:val="single" w:sz="8" w:color="0563C1"/>
              <w:bottom w:val="single" w:sz="8" w:color="91BBD3"/>
            </w:tcBorders>
            <w:shd w:val="clear" w:color="auto" w:fill="DAE8F0"/>
          </w:tcPr>
          <w:p>
            <w:pPr>
              <w:spacing w:after="0"/>
              <w:rPr>
                <w:sz w:val="19"/>
                <w:szCs w:val="19"/>
                <w:color w:val="auto"/>
              </w:rPr>
            </w:pPr>
          </w:p>
        </w:tc>
        <w:tc>
          <w:tcPr>
            <w:tcW w:w="160" w:type="dxa"/>
            <w:vAlign w:val="bottom"/>
            <w:tcBorders>
              <w:top w:val="single" w:sz="8" w:color="0563C1"/>
              <w:bottom w:val="single" w:sz="8" w:color="91BBD3"/>
            </w:tcBorders>
            <w:shd w:val="clear" w:color="auto" w:fill="DAE8F0"/>
          </w:tcPr>
          <w:p>
            <w:pPr>
              <w:spacing w:after="0"/>
              <w:rPr>
                <w:sz w:val="19"/>
                <w:szCs w:val="19"/>
                <w:color w:val="auto"/>
              </w:rPr>
            </w:pPr>
          </w:p>
        </w:tc>
        <w:tc>
          <w:tcPr>
            <w:tcW w:w="600" w:type="dxa"/>
            <w:vAlign w:val="bottom"/>
            <w:tcBorders>
              <w:top w:val="single" w:sz="8" w:color="0563C1"/>
              <w:bottom w:val="single" w:sz="8" w:color="91BBD3"/>
            </w:tcBorders>
            <w:shd w:val="clear" w:color="auto" w:fill="DAE8F0"/>
          </w:tcPr>
          <w:p>
            <w:pPr>
              <w:spacing w:after="0"/>
              <w:rPr>
                <w:sz w:val="19"/>
                <w:szCs w:val="19"/>
                <w:color w:val="auto"/>
              </w:rPr>
            </w:pPr>
          </w:p>
        </w:tc>
        <w:tc>
          <w:tcPr>
            <w:tcW w:w="900" w:type="dxa"/>
            <w:vAlign w:val="bottom"/>
            <w:tcBorders>
              <w:top w:val="single" w:sz="8" w:color="0563C1"/>
              <w:bottom w:val="single" w:sz="8" w:color="91BBD3"/>
            </w:tcBorders>
            <w:shd w:val="clear" w:color="auto" w:fill="DAE8F0"/>
          </w:tcPr>
          <w:p>
            <w:pPr>
              <w:spacing w:after="0"/>
              <w:rPr>
                <w:sz w:val="19"/>
                <w:szCs w:val="19"/>
                <w:color w:val="auto"/>
              </w:rPr>
            </w:pPr>
          </w:p>
        </w:tc>
        <w:tc>
          <w:tcPr>
            <w:tcW w:w="840" w:type="dxa"/>
            <w:vAlign w:val="bottom"/>
            <w:tcBorders>
              <w:top w:val="single" w:sz="8" w:color="0563C1"/>
              <w:bottom w:val="single" w:sz="8" w:color="91BBD3"/>
            </w:tcBorders>
            <w:shd w:val="clear" w:color="auto" w:fill="DAE8F0"/>
          </w:tcPr>
          <w:p>
            <w:pPr>
              <w:spacing w:after="0"/>
              <w:rPr>
                <w:sz w:val="19"/>
                <w:szCs w:val="19"/>
                <w:color w:val="auto"/>
              </w:rPr>
            </w:pPr>
          </w:p>
        </w:tc>
        <w:tc>
          <w:tcPr>
            <w:tcW w:w="220" w:type="dxa"/>
            <w:vAlign w:val="bottom"/>
            <w:tcBorders>
              <w:top w:val="single" w:sz="8" w:color="0563C1"/>
              <w:bottom w:val="single" w:sz="8" w:color="91BBD3"/>
            </w:tcBorders>
            <w:shd w:val="clear" w:color="auto" w:fill="DAE8F0"/>
          </w:tcPr>
          <w:p>
            <w:pPr>
              <w:spacing w:after="0"/>
              <w:rPr>
                <w:sz w:val="19"/>
                <w:szCs w:val="19"/>
                <w:color w:val="auto"/>
              </w:rPr>
            </w:pPr>
          </w:p>
        </w:tc>
        <w:tc>
          <w:tcPr>
            <w:tcW w:w="500" w:type="dxa"/>
            <w:vAlign w:val="bottom"/>
            <w:tcBorders>
              <w:top w:val="single" w:sz="8" w:color="0563C1"/>
              <w:bottom w:val="single" w:sz="8" w:color="91BBD3"/>
            </w:tcBorders>
            <w:shd w:val="clear" w:color="auto" w:fill="DAE8F0"/>
          </w:tcPr>
          <w:p>
            <w:pPr>
              <w:spacing w:after="0"/>
              <w:rPr>
                <w:sz w:val="19"/>
                <w:szCs w:val="19"/>
                <w:color w:val="auto"/>
              </w:rPr>
            </w:pPr>
          </w:p>
        </w:tc>
        <w:tc>
          <w:tcPr>
            <w:tcW w:w="480" w:type="dxa"/>
            <w:vAlign w:val="bottom"/>
            <w:tcBorders>
              <w:top w:val="single" w:sz="8" w:color="0563C1"/>
              <w:bottom w:val="single" w:sz="8" w:color="91BBD3"/>
            </w:tcBorders>
            <w:shd w:val="clear" w:color="auto" w:fill="DAE8F0"/>
          </w:tcPr>
          <w:p>
            <w:pPr>
              <w:spacing w:after="0"/>
              <w:rPr>
                <w:sz w:val="19"/>
                <w:szCs w:val="19"/>
                <w:color w:val="auto"/>
              </w:rPr>
            </w:pPr>
          </w:p>
        </w:tc>
        <w:tc>
          <w:tcPr>
            <w:tcW w:w="400" w:type="dxa"/>
            <w:vAlign w:val="bottom"/>
            <w:tcBorders>
              <w:top w:val="single" w:sz="8" w:color="0563C1"/>
              <w:bottom w:val="single" w:sz="8" w:color="91BBD3"/>
            </w:tcBorders>
            <w:shd w:val="clear" w:color="auto" w:fill="DAE8F0"/>
          </w:tcPr>
          <w:p>
            <w:pPr>
              <w:spacing w:after="0"/>
              <w:rPr>
                <w:sz w:val="19"/>
                <w:szCs w:val="19"/>
                <w:color w:val="auto"/>
              </w:rPr>
            </w:pPr>
          </w:p>
        </w:tc>
        <w:tc>
          <w:tcPr>
            <w:tcW w:w="420" w:type="dxa"/>
            <w:vAlign w:val="bottom"/>
            <w:tcBorders>
              <w:top w:val="single" w:sz="8" w:color="0563C1"/>
              <w:bottom w:val="single" w:sz="8" w:color="91BBD3"/>
            </w:tcBorders>
            <w:shd w:val="clear" w:color="auto" w:fill="DAE8F0"/>
          </w:tcPr>
          <w:p>
            <w:pPr>
              <w:spacing w:after="0"/>
              <w:rPr>
                <w:sz w:val="19"/>
                <w:szCs w:val="19"/>
                <w:color w:val="auto"/>
              </w:rPr>
            </w:pPr>
          </w:p>
        </w:tc>
        <w:tc>
          <w:tcPr>
            <w:tcW w:w="5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0563C1"/>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0" w:type="dxa"/>
            <w:vAlign w:val="bottom"/>
            <w:tcBorders>
              <w:top w:val="single" w:sz="8" w:color="DAE8F0"/>
              <w:bottom w:val="single" w:sz="8" w:color="91BBD3"/>
              <w:right w:val="single" w:sz="8" w:color="91BBD3"/>
            </w:tcBorders>
            <w:shd w:val="clear" w:color="auto" w:fill="DAE8F0"/>
          </w:tcPr>
          <w:p>
            <w:pPr>
              <w:spacing w:after="0"/>
              <w:rPr>
                <w:sz w:val="19"/>
                <w:szCs w:val="19"/>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3"/>
                <w:szCs w:val="13"/>
                <w:color w:val="auto"/>
              </w:rPr>
            </w:pPr>
          </w:p>
        </w:tc>
        <w:tc>
          <w:tcPr>
            <w:tcW w:w="9280" w:type="dxa"/>
            <w:vAlign w:val="bottom"/>
            <w:tcBorders>
              <w:right w:val="single" w:sz="8" w:color="91BBD3"/>
            </w:tcBorders>
            <w:gridSpan w:val="33"/>
          </w:tcPr>
          <w:p>
            <w:pPr>
              <w:spacing w:after="0" w:line="156" w:lineRule="exact"/>
              <w:rPr>
                <w:rFonts w:ascii="Arial" w:cs="Arial" w:eastAsia="Arial" w:hAnsi="Arial"/>
                <w:sz w:val="18"/>
                <w:szCs w:val="18"/>
                <w:color w:val="0563C1"/>
              </w:rPr>
            </w:pPr>
            <w:hyperlink r:id="rId815">
              <w:r>
                <w:rPr>
                  <w:rFonts w:ascii="Arial" w:cs="Arial" w:eastAsia="Arial" w:hAnsi="Arial"/>
                  <w:sz w:val="18"/>
                  <w:szCs w:val="18"/>
                  <w:color w:val="0563C1"/>
                </w:rPr>
                <w:t>Martin Marietta Nonqualified Deferred Cash Compensation Plan Adoption Agreement (incorporated by reference</w:t>
              </w:r>
            </w:hyperlink>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80" w:type="dxa"/>
            <w:vAlign w:val="bottom"/>
            <w:tcBorders>
              <w:top w:val="single" w:sz="8" w:color="0563C1"/>
            </w:tcBorders>
            <w:gridSpan w:val="27"/>
          </w:tcPr>
          <w:p>
            <w:pPr>
              <w:spacing w:after="0" w:line="182" w:lineRule="exact"/>
              <w:rPr>
                <w:rFonts w:ascii="Arial" w:cs="Arial" w:eastAsia="Arial" w:hAnsi="Arial"/>
                <w:sz w:val="18"/>
                <w:szCs w:val="18"/>
                <w:color w:val="0563C1"/>
              </w:rPr>
            </w:pPr>
            <w:hyperlink r:id="rId815">
              <w:r>
                <w:rPr>
                  <w:rFonts w:ascii="Arial" w:cs="Arial" w:eastAsia="Arial" w:hAnsi="Arial"/>
                  <w:sz w:val="18"/>
                  <w:szCs w:val="18"/>
                  <w:color w:val="0563C1"/>
                </w:rPr>
                <w:t>to Exhibit 10.2 to the Martin Marietta Materials, Inc. Current Report on Form 8-K, filed on June 29, 2020</w:t>
              </w:r>
            </w:hyperlink>
          </w:p>
        </w:tc>
        <w:tc>
          <w:tcPr>
            <w:tcW w:w="100" w:type="dxa"/>
            <w:vAlign w:val="bottom"/>
            <w:gridSpan w:val="5"/>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0563C1"/>
            </w:tcBorders>
            <w:gridSpan w:val="23"/>
          </w:tcPr>
          <w:p>
            <w:pPr>
              <w:spacing w:after="0" w:line="182" w:lineRule="exact"/>
              <w:rPr>
                <w:rFonts w:ascii="Arial" w:cs="Arial" w:eastAsia="Arial" w:hAnsi="Arial"/>
                <w:sz w:val="18"/>
                <w:szCs w:val="18"/>
                <w:color w:val="0563C1"/>
              </w:rPr>
            </w:pPr>
            <w:hyperlink r:id="rId815">
              <w:r>
                <w:rPr>
                  <w:rFonts w:ascii="Arial" w:cs="Arial" w:eastAsia="Arial" w:hAnsi="Arial"/>
                  <w:sz w:val="18"/>
                  <w:szCs w:val="18"/>
                  <w:color w:val="0563C1"/>
                </w:rPr>
                <w:t>(Commission File No. 1-12744))**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600" w:type="dxa"/>
            <w:vAlign w:val="bottom"/>
            <w:tcBorders>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rFonts w:ascii="Arial" w:cs="Arial" w:eastAsia="Arial" w:hAnsi="Arial"/>
                <w:sz w:val="18"/>
                <w:szCs w:val="18"/>
                <w:color w:val="0563C1"/>
              </w:rPr>
            </w:pPr>
            <w:hyperlink r:id="rId816">
              <w:r>
                <w:rPr>
                  <w:rFonts w:ascii="Arial" w:cs="Arial" w:eastAsia="Arial" w:hAnsi="Arial"/>
                  <w:sz w:val="18"/>
                  <w:szCs w:val="18"/>
                  <w:color w:val="0563C1"/>
                </w:rPr>
                <w:t>Offer Letter, dated as of January 11, 2019, by and between Martin Marietta Materials, Inc. and Robert J. Cardin</w:t>
              </w:r>
            </w:hyperlink>
          </w:p>
        </w:tc>
      </w:tr>
      <w:tr>
        <w:trPr>
          <w:trHeight w:val="183"/>
        </w:trPr>
        <w:tc>
          <w:tcPr>
            <w:tcW w:w="1680" w:type="dxa"/>
            <w:vAlign w:val="bottom"/>
            <w:tcBorders>
              <w:top w:val="single" w:sz="8" w:color="DAE8F0"/>
              <w:left w:val="single" w:sz="8" w:color="91BBD3"/>
              <w:bottom w:val="single" w:sz="8" w:color="DAE8F0"/>
              <w:right w:val="single" w:sz="8" w:color="91BBD3"/>
            </w:tcBorders>
            <w:shd w:val="clear" w:color="auto" w:fill="DAE8F0"/>
          </w:tcPr>
          <w:p>
            <w:pPr>
              <w:spacing w:after="0"/>
              <w:rPr>
                <w:sz w:val="15"/>
                <w:szCs w:val="15"/>
                <w:color w:val="auto"/>
              </w:rPr>
            </w:pPr>
          </w:p>
        </w:tc>
        <w:tc>
          <w:tcPr>
            <w:tcW w:w="100" w:type="dxa"/>
            <w:vAlign w:val="bottom"/>
            <w:tcBorders>
              <w:top w:val="single" w:sz="8" w:color="DAE8F0"/>
              <w:bottom w:val="single" w:sz="8" w:color="DAE8F0"/>
            </w:tcBorders>
            <w:shd w:val="clear" w:color="auto" w:fill="DAE8F0"/>
          </w:tcPr>
          <w:p>
            <w:pPr>
              <w:spacing w:after="0"/>
              <w:rPr>
                <w:sz w:val="15"/>
                <w:szCs w:val="15"/>
                <w:color w:val="auto"/>
              </w:rPr>
            </w:pPr>
          </w:p>
        </w:tc>
        <w:tc>
          <w:tcPr>
            <w:tcW w:w="9060" w:type="dxa"/>
            <w:vAlign w:val="bottom"/>
            <w:tcBorders>
              <w:top w:val="single" w:sz="8" w:color="0563C1"/>
              <w:bottom w:val="single" w:sz="8" w:color="0563C1"/>
            </w:tcBorders>
            <w:gridSpan w:val="21"/>
            <w:shd w:val="clear" w:color="auto" w:fill="DAE8F0"/>
          </w:tcPr>
          <w:p>
            <w:pPr>
              <w:spacing w:after="0" w:line="182" w:lineRule="exact"/>
              <w:rPr>
                <w:rFonts w:ascii="Arial" w:cs="Arial" w:eastAsia="Arial" w:hAnsi="Arial"/>
                <w:sz w:val="18"/>
                <w:szCs w:val="18"/>
                <w:color w:val="0563C1"/>
              </w:rPr>
            </w:pPr>
            <w:hyperlink r:id="rId816">
              <w:r>
                <w:rPr>
                  <w:rFonts w:ascii="Arial" w:cs="Arial" w:eastAsia="Arial" w:hAnsi="Arial"/>
                  <w:sz w:val="18"/>
                  <w:szCs w:val="18"/>
                  <w:color w:val="0563C1"/>
                </w:rPr>
                <w:t>(incorporated by reference to Exhibit 10.01 to the Martin Marietta Materials, Inc. Quarterly Report on Form 10</w:t>
              </w:r>
              <w:r>
                <w:rPr>
                  <w:rFonts w:ascii="MS PGothic" w:cs="MS PGothic" w:eastAsia="MS PGothic" w:hAnsi="MS PGothic"/>
                  <w:sz w:val="18"/>
                  <w:szCs w:val="18"/>
                  <w:color w:val="0563C1"/>
                </w:rPr>
                <w:t>‑</w:t>
              </w:r>
              <w:r>
                <w:rPr>
                  <w:rFonts w:ascii="Arial" w:cs="Arial" w:eastAsia="Arial" w:hAnsi="Arial"/>
                  <w:sz w:val="18"/>
                  <w:szCs w:val="18"/>
                  <w:color w:val="0563C1"/>
                </w:rPr>
                <w:t>Q</w:t>
              </w:r>
            </w:hyperlink>
          </w:p>
        </w:tc>
        <w:tc>
          <w:tcPr>
            <w:tcW w:w="40" w:type="dxa"/>
            <w:vAlign w:val="bottom"/>
            <w:tcBorders>
              <w:top w:val="single" w:sz="8" w:color="DAE8F0"/>
              <w:bottom w:val="single" w:sz="8" w:color="0563C1"/>
            </w:tcBorders>
            <w:gridSpan w:val="2"/>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20" w:type="dxa"/>
            <w:vAlign w:val="bottom"/>
            <w:tcBorders>
              <w:top w:val="single" w:sz="8" w:color="DAE8F0"/>
              <w:bottom w:val="single" w:sz="8" w:color="0563C1"/>
            </w:tcBorders>
            <w:shd w:val="clear" w:color="auto" w:fill="DAE8F0"/>
          </w:tcPr>
          <w:p>
            <w:pPr>
              <w:spacing w:after="0"/>
              <w:rPr>
                <w:sz w:val="15"/>
                <w:szCs w:val="15"/>
                <w:color w:val="auto"/>
              </w:rPr>
            </w:pPr>
          </w:p>
        </w:tc>
        <w:tc>
          <w:tcPr>
            <w:tcW w:w="120" w:type="dxa"/>
            <w:vAlign w:val="bottom"/>
            <w:tcBorders>
              <w:top w:val="single" w:sz="8" w:color="DAE8F0"/>
              <w:bottom w:val="single" w:sz="8" w:color="0563C1"/>
            </w:tcBorders>
            <w:gridSpan w:val="6"/>
            <w:shd w:val="clear" w:color="auto" w:fill="DAE8F0"/>
          </w:tcPr>
          <w:p>
            <w:pPr>
              <w:spacing w:after="0"/>
              <w:rPr>
                <w:sz w:val="15"/>
                <w:szCs w:val="15"/>
                <w:color w:val="auto"/>
              </w:rPr>
            </w:pPr>
          </w:p>
        </w:tc>
        <w:tc>
          <w:tcPr>
            <w:tcW w:w="0" w:type="dxa"/>
            <w:vAlign w:val="bottom"/>
            <w:tcBorders>
              <w:top w:val="single" w:sz="8" w:color="DAE8F0"/>
              <w:bottom w:val="single" w:sz="8" w:color="DAE8F0"/>
              <w:right w:val="single" w:sz="8" w:color="91BBD3"/>
            </w:tcBorders>
            <w:shd w:val="clear" w:color="auto" w:fill="DAE8F0"/>
          </w:tcPr>
          <w:p>
            <w:pPr>
              <w:spacing w:after="0"/>
              <w:rPr>
                <w:sz w:val="15"/>
                <w:szCs w:val="15"/>
                <w:color w:val="auto"/>
              </w:rPr>
            </w:pPr>
          </w:p>
        </w:tc>
      </w:tr>
      <w:tr>
        <w:trPr>
          <w:trHeight w:val="203"/>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280" w:type="dxa"/>
            <w:vAlign w:val="bottom"/>
            <w:gridSpan w:val="32"/>
            <w:shd w:val="clear" w:color="auto" w:fill="DAE8F0"/>
          </w:tcPr>
          <w:p>
            <w:pPr>
              <w:spacing w:after="0" w:line="182" w:lineRule="exact"/>
              <w:rPr>
                <w:rFonts w:ascii="Arial" w:cs="Arial" w:eastAsia="Arial" w:hAnsi="Arial"/>
                <w:sz w:val="18"/>
                <w:szCs w:val="18"/>
                <w:color w:val="0563C1"/>
              </w:rPr>
            </w:pPr>
            <w:hyperlink r:id="rId816">
              <w:r>
                <w:rPr>
                  <w:rFonts w:ascii="Arial" w:cs="Arial" w:eastAsia="Arial" w:hAnsi="Arial"/>
                  <w:sz w:val="18"/>
                  <w:szCs w:val="18"/>
                  <w:color w:val="0563C1"/>
                </w:rPr>
                <w:t>for the quarter ended June 30, 2019) (Commission File No. 1-12744)**</w:t>
              </w:r>
            </w:hyperlink>
          </w:p>
        </w:tc>
        <w:tc>
          <w:tcPr>
            <w:tcW w:w="0" w:type="dxa"/>
            <w:vAlign w:val="bottom"/>
            <w:tcBorders>
              <w:right w:val="single" w:sz="8" w:color="91BBD3"/>
            </w:tcBorders>
            <w:shd w:val="clear" w:color="auto" w:fill="DAE8F0"/>
          </w:tcPr>
          <w:p>
            <w:pPr>
              <w:spacing w:after="0"/>
              <w:rPr>
                <w:sz w:val="17"/>
                <w:szCs w:val="17"/>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5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600" w:type="dxa"/>
            <w:vAlign w:val="bottom"/>
            <w:tcBorders>
              <w:top w:val="single" w:sz="8" w:color="0563C1"/>
            </w:tcBorders>
            <w:shd w:val="clear" w:color="auto" w:fill="91BBD3"/>
          </w:tcPr>
          <w:p>
            <w:pPr>
              <w:spacing w:after="0" w:line="20" w:lineRule="exact"/>
              <w:rPr>
                <w:sz w:val="1"/>
                <w:szCs w:val="1"/>
                <w:color w:val="auto"/>
              </w:rPr>
            </w:pPr>
          </w:p>
        </w:tc>
        <w:tc>
          <w:tcPr>
            <w:tcW w:w="90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40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0" w:type="dxa"/>
            <w:vAlign w:val="bottom"/>
            <w:tcBorders>
              <w:top w:val="single" w:sz="8" w:color="DAE8F0"/>
              <w:right w:val="single" w:sz="8" w:color="91BBD3"/>
            </w:tcBorders>
            <w:shd w:val="clear" w:color="auto" w:fill="91BBD3"/>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Arial" w:cs="Arial" w:eastAsia="Arial" w:hAnsi="Arial"/>
                <w:sz w:val="18"/>
                <w:szCs w:val="18"/>
                <w:b w:val="1"/>
                <w:bCs w:val="1"/>
                <w:color w:val="auto"/>
              </w:rPr>
              <w:t>19.01</w:t>
            </w:r>
          </w:p>
        </w:tc>
        <w:tc>
          <w:tcPr>
            <w:tcW w:w="100" w:type="dxa"/>
            <w:vAlign w:val="bottom"/>
          </w:tcPr>
          <w:p>
            <w:pPr>
              <w:spacing w:after="0"/>
              <w:rPr>
                <w:sz w:val="13"/>
                <w:szCs w:val="13"/>
                <w:color w:val="auto"/>
              </w:rPr>
            </w:pPr>
          </w:p>
        </w:tc>
        <w:tc>
          <w:tcPr>
            <w:tcW w:w="9280" w:type="dxa"/>
            <w:vAlign w:val="bottom"/>
            <w:tcBorders>
              <w:right w:val="single" w:sz="8" w:color="91BBD3"/>
            </w:tcBorders>
            <w:gridSpan w:val="33"/>
          </w:tcPr>
          <w:p>
            <w:pPr>
              <w:spacing w:after="0" w:line="156" w:lineRule="exact"/>
              <w:rPr>
                <w:rFonts w:ascii="Arial" w:cs="Arial" w:eastAsia="Arial" w:hAnsi="Arial"/>
                <w:sz w:val="18"/>
                <w:szCs w:val="18"/>
                <w:color w:val="0563C1"/>
              </w:rPr>
            </w:pPr>
            <w:hyperlink r:id="rId743">
              <w:r>
                <w:rPr>
                  <w:rFonts w:ascii="Arial" w:cs="Arial" w:eastAsia="Arial" w:hAnsi="Arial"/>
                  <w:sz w:val="18"/>
                  <w:szCs w:val="18"/>
                  <w:color w:val="0563C1"/>
                </w:rPr>
                <w:t>Martin Marietta Insider Trading Policy (incorporated by reference to Exhibit 19.01 to the Martin Marietta</w:t>
              </w:r>
            </w:hyperlink>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Borders>
              <w:top w:val="single" w:sz="8" w:color="0563C1"/>
            </w:tcBorders>
            <w:gridSpan w:val="24"/>
          </w:tcPr>
          <w:p>
            <w:pPr>
              <w:spacing w:after="0" w:line="182" w:lineRule="exact"/>
              <w:rPr>
                <w:rFonts w:ascii="Arial" w:cs="Arial" w:eastAsia="Arial" w:hAnsi="Arial"/>
                <w:sz w:val="18"/>
                <w:szCs w:val="18"/>
                <w:color w:val="0563C1"/>
              </w:rPr>
            </w:pPr>
            <w:hyperlink r:id="rId743">
              <w:r>
                <w:rPr>
                  <w:rFonts w:ascii="Arial" w:cs="Arial" w:eastAsia="Arial" w:hAnsi="Arial"/>
                  <w:sz w:val="18"/>
                  <w:szCs w:val="18"/>
                  <w:color w:val="0563C1"/>
                </w:rPr>
                <w:t>Materials, Inc. Annual Report on Form 10-K for the fiscal year ended December 31, 2024) (Commission File No.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91BBD3"/>
            </w:tcBorders>
            <w:gridSpan w:val="7"/>
          </w:tcPr>
          <w:p>
            <w:pPr>
              <w:spacing w:after="0"/>
              <w:rPr>
                <w:sz w:val="15"/>
                <w:szCs w:val="15"/>
                <w:color w:val="auto"/>
              </w:rPr>
            </w:pP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0563C1"/>
            </w:tcBorders>
            <w:gridSpan w:val="2"/>
          </w:tcPr>
          <w:p>
            <w:pPr>
              <w:spacing w:after="0" w:line="182" w:lineRule="exact"/>
              <w:rPr>
                <w:rFonts w:ascii="Arial" w:cs="Arial" w:eastAsia="Arial" w:hAnsi="Arial"/>
                <w:sz w:val="18"/>
                <w:szCs w:val="18"/>
                <w:color w:val="0563C1"/>
              </w:rPr>
            </w:pPr>
            <w:hyperlink r:id="rId743">
              <w:r>
                <w:rPr>
                  <w:rFonts w:ascii="Arial" w:cs="Arial" w:eastAsia="Arial" w:hAnsi="Arial"/>
                  <w:sz w:val="18"/>
                  <w:szCs w:val="18"/>
                  <w:color w:val="0563C1"/>
                </w:rPr>
                <w:t>1-12744)</w:t>
              </w:r>
            </w:hyperlink>
          </w:p>
        </w:tc>
        <w:tc>
          <w:tcPr>
            <w:tcW w:w="100" w:type="dxa"/>
            <w:vAlign w:val="bottom"/>
            <w:tcBorders>
              <w:top w:val="single" w:sz="8" w:color="0563C1"/>
            </w:tcBorders>
          </w:tcPr>
          <w:p>
            <w:pPr>
              <w:spacing w:after="0"/>
              <w:rPr>
                <w:sz w:val="15"/>
                <w:szCs w:val="15"/>
                <w:color w:val="auto"/>
              </w:rPr>
            </w:pPr>
          </w:p>
        </w:tc>
        <w:tc>
          <w:tcPr>
            <w:tcW w:w="1560" w:type="dxa"/>
            <w:vAlign w:val="bottom"/>
            <w:tcBorders>
              <w:top w:val="single" w:sz="8" w:color="0563C1"/>
            </w:tcBorders>
          </w:tcPr>
          <w:p>
            <w:pPr>
              <w:spacing w:after="0"/>
              <w:rPr>
                <w:sz w:val="15"/>
                <w:szCs w:val="15"/>
                <w:color w:val="auto"/>
              </w:rPr>
            </w:pPr>
          </w:p>
        </w:tc>
        <w:tc>
          <w:tcPr>
            <w:tcW w:w="260" w:type="dxa"/>
            <w:vAlign w:val="bottom"/>
            <w:tcBorders>
              <w:top w:val="single" w:sz="8" w:color="0563C1"/>
            </w:tcBorders>
          </w:tcPr>
          <w:p>
            <w:pPr>
              <w:spacing w:after="0"/>
              <w:rPr>
                <w:sz w:val="15"/>
                <w:szCs w:val="15"/>
                <w:color w:val="auto"/>
              </w:rPr>
            </w:pPr>
          </w:p>
        </w:tc>
        <w:tc>
          <w:tcPr>
            <w:tcW w:w="84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160" w:type="dxa"/>
            <w:vAlign w:val="bottom"/>
            <w:tcBorders>
              <w:top w:val="single" w:sz="8" w:color="0563C1"/>
            </w:tcBorders>
          </w:tcPr>
          <w:p>
            <w:pPr>
              <w:spacing w:after="0"/>
              <w:rPr>
                <w:sz w:val="15"/>
                <w:szCs w:val="15"/>
                <w:color w:val="auto"/>
              </w:rPr>
            </w:pPr>
          </w:p>
        </w:tc>
        <w:tc>
          <w:tcPr>
            <w:tcW w:w="600" w:type="dxa"/>
            <w:vAlign w:val="bottom"/>
            <w:tcBorders>
              <w:top w:val="single" w:sz="8" w:color="0563C1"/>
            </w:tcBorders>
          </w:tcPr>
          <w:p>
            <w:pPr>
              <w:spacing w:after="0"/>
              <w:rPr>
                <w:sz w:val="15"/>
                <w:szCs w:val="15"/>
                <w:color w:val="auto"/>
              </w:rPr>
            </w:pPr>
          </w:p>
        </w:tc>
        <w:tc>
          <w:tcPr>
            <w:tcW w:w="900" w:type="dxa"/>
            <w:vAlign w:val="bottom"/>
            <w:tcBorders>
              <w:top w:val="single" w:sz="8" w:color="0563C1"/>
            </w:tcBorders>
          </w:tcPr>
          <w:p>
            <w:pPr>
              <w:spacing w:after="0"/>
              <w:rPr>
                <w:sz w:val="15"/>
                <w:szCs w:val="15"/>
                <w:color w:val="auto"/>
              </w:rPr>
            </w:pPr>
          </w:p>
        </w:tc>
        <w:tc>
          <w:tcPr>
            <w:tcW w:w="840" w:type="dxa"/>
            <w:vAlign w:val="bottom"/>
            <w:tcBorders>
              <w:top w:val="single" w:sz="8" w:color="0563C1"/>
            </w:tcBorders>
          </w:tcPr>
          <w:p>
            <w:pPr>
              <w:spacing w:after="0"/>
              <w:rPr>
                <w:sz w:val="15"/>
                <w:szCs w:val="15"/>
                <w:color w:val="auto"/>
              </w:rPr>
            </w:pPr>
          </w:p>
        </w:tc>
        <w:tc>
          <w:tcPr>
            <w:tcW w:w="220" w:type="dxa"/>
            <w:vAlign w:val="bottom"/>
            <w:tcBorders>
              <w:top w:val="single" w:sz="8" w:color="0563C1"/>
            </w:tcBorders>
          </w:tcPr>
          <w:p>
            <w:pPr>
              <w:spacing w:after="0"/>
              <w:rPr>
                <w:sz w:val="15"/>
                <w:szCs w:val="15"/>
                <w:color w:val="auto"/>
              </w:rPr>
            </w:pPr>
          </w:p>
        </w:tc>
        <w:tc>
          <w:tcPr>
            <w:tcW w:w="500" w:type="dxa"/>
            <w:vAlign w:val="bottom"/>
            <w:tcBorders>
              <w:top w:val="single" w:sz="8" w:color="0563C1"/>
            </w:tcBorders>
          </w:tcPr>
          <w:p>
            <w:pPr>
              <w:spacing w:after="0"/>
              <w:rPr>
                <w:sz w:val="15"/>
                <w:szCs w:val="15"/>
                <w:color w:val="auto"/>
              </w:rPr>
            </w:pPr>
          </w:p>
        </w:tc>
        <w:tc>
          <w:tcPr>
            <w:tcW w:w="480" w:type="dxa"/>
            <w:vAlign w:val="bottom"/>
            <w:tcBorders>
              <w:top w:val="single" w:sz="8" w:color="0563C1"/>
            </w:tcBorders>
          </w:tcPr>
          <w:p>
            <w:pPr>
              <w:spacing w:after="0"/>
              <w:rPr>
                <w:sz w:val="15"/>
                <w:szCs w:val="15"/>
                <w:color w:val="auto"/>
              </w:rPr>
            </w:pPr>
          </w:p>
        </w:tc>
        <w:tc>
          <w:tcPr>
            <w:tcW w:w="40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5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Borders>
              <w:right w:val="single" w:sz="8" w:color="91BBD3"/>
            </w:tcBorders>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156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600" w:type="dxa"/>
            <w:vAlign w:val="bottom"/>
            <w:tcBorders>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210"/>
        </w:trPr>
        <w:tc>
          <w:tcPr>
            <w:tcW w:w="1680" w:type="dxa"/>
            <w:vAlign w:val="bottom"/>
            <w:tcBorders>
              <w:left w:val="single" w:sz="8" w:color="91BBD3"/>
              <w:bottom w:val="single" w:sz="8" w:color="91BBD3"/>
              <w:right w:val="single" w:sz="8" w:color="91BBD3"/>
            </w:tcBorders>
            <w:shd w:val="clear" w:color="auto" w:fill="DAE8F0"/>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*21.01</w:t>
            </w:r>
          </w:p>
        </w:tc>
        <w:tc>
          <w:tcPr>
            <w:tcW w:w="100" w:type="dxa"/>
            <w:vAlign w:val="bottom"/>
            <w:tcBorders>
              <w:bottom w:val="single" w:sz="8" w:color="91BBD3"/>
            </w:tcBorders>
            <w:shd w:val="clear" w:color="auto" w:fill="DAE8F0"/>
          </w:tcPr>
          <w:p>
            <w:pPr>
              <w:spacing w:after="0"/>
              <w:rPr>
                <w:sz w:val="18"/>
                <w:szCs w:val="18"/>
                <w:color w:val="auto"/>
              </w:rPr>
            </w:pPr>
          </w:p>
        </w:tc>
        <w:tc>
          <w:tcPr>
            <w:tcW w:w="4100" w:type="dxa"/>
            <w:vAlign w:val="bottom"/>
            <w:tcBorders>
              <w:bottom w:val="single" w:sz="8" w:color="0563C1"/>
            </w:tcBorders>
            <w:gridSpan w:val="8"/>
            <w:shd w:val="clear" w:color="auto" w:fill="DAE8F0"/>
          </w:tcPr>
          <w:p>
            <w:pPr>
              <w:spacing w:after="0" w:line="156" w:lineRule="exact"/>
              <w:rPr>
                <w:sz w:val="20"/>
                <w:szCs w:val="20"/>
                <w:color w:val="auto"/>
              </w:rPr>
            </w:pPr>
            <w:r>
              <w:rPr>
                <w:rFonts w:ascii="Arial" w:cs="Arial" w:eastAsia="Arial" w:hAnsi="Arial"/>
                <w:sz w:val="18"/>
                <w:szCs w:val="18"/>
                <w:color w:val="0563C1"/>
                <w:w w:val="99"/>
              </w:rPr>
              <w:t>List of subsidiaries of Martin Marietta Materials, Inc.</w:t>
            </w:r>
          </w:p>
        </w:tc>
        <w:tc>
          <w:tcPr>
            <w:tcW w:w="5180" w:type="dxa"/>
            <w:vAlign w:val="bottom"/>
            <w:tcBorders>
              <w:bottom w:val="single" w:sz="8" w:color="91BBD3"/>
              <w:right w:val="single" w:sz="8" w:color="91BBD3"/>
            </w:tcBorders>
            <w:gridSpan w:val="25"/>
            <w:shd w:val="clear" w:color="auto" w:fill="DAE8F0"/>
          </w:tcPr>
          <w:p>
            <w:pPr>
              <w:spacing w:after="0"/>
              <w:rPr>
                <w:sz w:val="18"/>
                <w:szCs w:val="18"/>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Arial" w:cs="Arial" w:eastAsia="Arial" w:hAnsi="Arial"/>
                <w:sz w:val="18"/>
                <w:szCs w:val="18"/>
                <w:b w:val="1"/>
                <w:bCs w:val="1"/>
                <w:color w:val="auto"/>
              </w:rPr>
              <w:t>*23.01</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sz w:val="20"/>
                <w:szCs w:val="20"/>
                <w:color w:val="auto"/>
              </w:rPr>
            </w:pPr>
            <w:r>
              <w:rPr>
                <w:rFonts w:ascii="Arial" w:cs="Arial" w:eastAsia="Arial" w:hAnsi="Arial"/>
                <w:sz w:val="18"/>
                <w:szCs w:val="18"/>
                <w:color w:val="0563C1"/>
              </w:rPr>
              <w:t>Consent of PricewaterhouseCoopers LLP, Independent Registered Public Accounting Firm for Martin Marietta</w:t>
            </w: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000" w:type="dxa"/>
            <w:vAlign w:val="bottom"/>
            <w:tcBorders>
              <w:top w:val="single" w:sz="8" w:color="0563C1"/>
            </w:tcBorders>
            <w:gridSpan w:val="18"/>
          </w:tcPr>
          <w:p>
            <w:pPr>
              <w:spacing w:after="0" w:line="182" w:lineRule="exact"/>
              <w:rPr>
                <w:sz w:val="20"/>
                <w:szCs w:val="20"/>
                <w:color w:val="auto"/>
              </w:rPr>
            </w:pPr>
            <w:r>
              <w:rPr>
                <w:rFonts w:ascii="Arial" w:cs="Arial" w:eastAsia="Arial" w:hAnsi="Arial"/>
                <w:sz w:val="18"/>
                <w:szCs w:val="18"/>
                <w:color w:val="0563C1"/>
              </w:rPr>
              <w:t>Materials, Inc. and consolidated subsidiaries</w:t>
            </w: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91BBD3"/>
            </w:tcBorders>
            <w:gridSpan w:val="7"/>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600" w:type="dxa"/>
            <w:vAlign w:val="bottom"/>
            <w:tcBorders>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77"/>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*24.01</w:t>
            </w:r>
          </w:p>
        </w:tc>
        <w:tc>
          <w:tcPr>
            <w:tcW w:w="100" w:type="dxa"/>
            <w:vAlign w:val="bottom"/>
            <w:shd w:val="clear" w:color="auto" w:fill="DAE8F0"/>
          </w:tcPr>
          <w:p>
            <w:pPr>
              <w:spacing w:after="0"/>
              <w:rPr>
                <w:sz w:val="15"/>
                <w:szCs w:val="15"/>
                <w:color w:val="auto"/>
              </w:rPr>
            </w:pPr>
          </w:p>
        </w:tc>
        <w:tc>
          <w:tcPr>
            <w:tcW w:w="9280" w:type="dxa"/>
            <w:vAlign w:val="bottom"/>
            <w:tcBorders>
              <w:right w:val="single" w:sz="8" w:color="91BBD3"/>
            </w:tcBorders>
            <w:gridSpan w:val="33"/>
            <w:shd w:val="clear" w:color="auto" w:fill="DAE8F0"/>
          </w:tcPr>
          <w:p>
            <w:pPr>
              <w:spacing w:after="0" w:line="156" w:lineRule="exact"/>
              <w:rPr>
                <w:sz w:val="20"/>
                <w:szCs w:val="20"/>
                <w:color w:val="auto"/>
              </w:rPr>
            </w:pPr>
            <w:r>
              <w:rPr>
                <w:rFonts w:ascii="Arial" w:cs="Arial" w:eastAsia="Arial" w:hAnsi="Arial"/>
                <w:sz w:val="18"/>
                <w:szCs w:val="18"/>
                <w:color w:val="0563C1"/>
              </w:rPr>
              <w:t>Powers of Attorney (included in this Form 10-K immediately following Signatures)</w:t>
            </w: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56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600" w:type="dxa"/>
            <w:vAlign w:val="bottom"/>
            <w:tcBorders>
              <w:top w:val="single" w:sz="8" w:color="0563C1"/>
            </w:tcBorders>
            <w:shd w:val="clear" w:color="auto" w:fill="91BBD3"/>
          </w:tcPr>
          <w:p>
            <w:pPr>
              <w:spacing w:after="0" w:line="20" w:lineRule="exact"/>
              <w:rPr>
                <w:sz w:val="1"/>
                <w:szCs w:val="1"/>
                <w:color w:val="auto"/>
              </w:rPr>
            </w:pPr>
          </w:p>
        </w:tc>
        <w:tc>
          <w:tcPr>
            <w:tcW w:w="900" w:type="dxa"/>
            <w:vAlign w:val="bottom"/>
            <w:tcBorders>
              <w:top w:val="single" w:sz="8" w:color="0563C1"/>
            </w:tcBorders>
            <w:shd w:val="clear" w:color="auto" w:fill="91BBD3"/>
          </w:tcPr>
          <w:p>
            <w:pPr>
              <w:spacing w:after="0" w:line="20" w:lineRule="exact"/>
              <w:rPr>
                <w:sz w:val="1"/>
                <w:szCs w:val="1"/>
                <w:color w:val="auto"/>
              </w:rPr>
            </w:pPr>
          </w:p>
        </w:tc>
        <w:tc>
          <w:tcPr>
            <w:tcW w:w="840" w:type="dxa"/>
            <w:vAlign w:val="bottom"/>
            <w:tcBorders>
              <w:top w:val="single" w:sz="8" w:color="0563C1"/>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40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0" w:type="dxa"/>
            <w:vAlign w:val="bottom"/>
            <w:tcBorders>
              <w:top w:val="single" w:sz="8" w:color="DAE8F0"/>
              <w:right w:val="single" w:sz="8" w:color="91BBD3"/>
            </w:tcBorders>
            <w:shd w:val="clear" w:color="auto" w:fill="91BBD3"/>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Arial" w:cs="Arial" w:eastAsia="Arial" w:hAnsi="Arial"/>
                <w:sz w:val="18"/>
                <w:szCs w:val="18"/>
                <w:b w:val="1"/>
                <w:bCs w:val="1"/>
                <w:color w:val="auto"/>
              </w:rPr>
              <w:t>*31.01</w:t>
            </w:r>
          </w:p>
        </w:tc>
        <w:tc>
          <w:tcPr>
            <w:tcW w:w="100" w:type="dxa"/>
            <w:vAlign w:val="bottom"/>
          </w:tcPr>
          <w:p>
            <w:pPr>
              <w:spacing w:after="0"/>
              <w:rPr>
                <w:sz w:val="14"/>
                <w:szCs w:val="14"/>
                <w:color w:val="auto"/>
              </w:rPr>
            </w:pPr>
          </w:p>
        </w:tc>
        <w:tc>
          <w:tcPr>
            <w:tcW w:w="9280" w:type="dxa"/>
            <w:vAlign w:val="bottom"/>
            <w:tcBorders>
              <w:right w:val="single" w:sz="8" w:color="91BBD3"/>
            </w:tcBorders>
            <w:gridSpan w:val="33"/>
          </w:tcPr>
          <w:p>
            <w:pPr>
              <w:spacing w:after="0" w:line="169" w:lineRule="exact"/>
              <w:rPr>
                <w:sz w:val="20"/>
                <w:szCs w:val="20"/>
                <w:color w:val="auto"/>
              </w:rPr>
            </w:pPr>
            <w:r>
              <w:rPr>
                <w:rFonts w:ascii="Arial" w:cs="Arial" w:eastAsia="Arial" w:hAnsi="Arial"/>
                <w:sz w:val="18"/>
                <w:szCs w:val="18"/>
                <w:color w:val="0563C1"/>
              </w:rPr>
              <w:t>Certification dated February 19, 2026 of Chief Executive Officer pursuant to Securities and Exchange Act of</w:t>
            </w: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9240" w:type="dxa"/>
            <w:vAlign w:val="bottom"/>
            <w:tcBorders>
              <w:top w:val="single" w:sz="8" w:color="0563C1"/>
            </w:tcBorders>
            <w:gridSpan w:val="30"/>
          </w:tcPr>
          <w:p>
            <w:pPr>
              <w:spacing w:after="0" w:line="182" w:lineRule="exact"/>
              <w:rPr>
                <w:sz w:val="20"/>
                <w:szCs w:val="20"/>
                <w:color w:val="auto"/>
              </w:rPr>
            </w:pPr>
            <w:r>
              <w:rPr>
                <w:rFonts w:ascii="Arial" w:cs="Arial" w:eastAsia="Arial" w:hAnsi="Arial"/>
                <w:sz w:val="18"/>
                <w:szCs w:val="18"/>
                <w:color w:val="0563C1"/>
              </w:rPr>
              <w:t>1934, rule 13a</w:t>
            </w:r>
            <w:r>
              <w:rPr>
                <w:rFonts w:ascii="MS PGothic" w:cs="MS PGothic" w:eastAsia="MS PGothic" w:hAnsi="MS PGothic"/>
                <w:sz w:val="18"/>
                <w:szCs w:val="18"/>
                <w:color w:val="0563C1"/>
              </w:rPr>
              <w:t>‑</w:t>
            </w:r>
            <w:r>
              <w:rPr>
                <w:rFonts w:ascii="Arial" w:cs="Arial" w:eastAsia="Arial" w:hAnsi="Arial"/>
                <w:sz w:val="18"/>
                <w:szCs w:val="18"/>
                <w:color w:val="0563C1"/>
              </w:rPr>
              <w:t>14, as adopted pursuant to Section 302 of the Sarbanes-Oxley Act of 2002</w:t>
            </w:r>
          </w:p>
        </w:tc>
        <w:tc>
          <w:tcPr>
            <w:tcW w:w="40" w:type="dxa"/>
            <w:vAlign w:val="bottom"/>
            <w:tcBorders>
              <w:right w:val="single" w:sz="8" w:color="91BBD3"/>
            </w:tcBorders>
            <w:gridSpan w:val="3"/>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4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600" w:type="dxa"/>
            <w:vAlign w:val="bottom"/>
            <w:tcBorders>
              <w:top w:val="single" w:sz="8" w:color="0563C1"/>
              <w:bottom w:val="single" w:sz="8" w:color="91BBD3"/>
            </w:tcBorders>
          </w:tcPr>
          <w:p>
            <w:pPr>
              <w:spacing w:after="0" w:line="20" w:lineRule="exact"/>
              <w:rPr>
                <w:sz w:val="1"/>
                <w:szCs w:val="1"/>
                <w:color w:val="auto"/>
              </w:rPr>
            </w:pPr>
          </w:p>
        </w:tc>
        <w:tc>
          <w:tcPr>
            <w:tcW w:w="90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220" w:type="dxa"/>
            <w:vAlign w:val="bottom"/>
            <w:tcBorders>
              <w:top w:val="single" w:sz="8" w:color="0563C1"/>
              <w:bottom w:val="single" w:sz="8" w:color="91BBD3"/>
            </w:tcBorders>
          </w:tcPr>
          <w:p>
            <w:pPr>
              <w:spacing w:after="0" w:line="20" w:lineRule="exact"/>
              <w:rPr>
                <w:sz w:val="1"/>
                <w:szCs w:val="1"/>
                <w:color w:val="auto"/>
              </w:rPr>
            </w:pPr>
          </w:p>
        </w:tc>
        <w:tc>
          <w:tcPr>
            <w:tcW w:w="500" w:type="dxa"/>
            <w:vAlign w:val="bottom"/>
            <w:tcBorders>
              <w:top w:val="single" w:sz="8" w:color="0563C1"/>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*31.02</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sz w:val="20"/>
                <w:szCs w:val="20"/>
                <w:color w:val="auto"/>
              </w:rPr>
            </w:pPr>
            <w:r>
              <w:rPr>
                <w:rFonts w:ascii="Arial" w:cs="Arial" w:eastAsia="Arial" w:hAnsi="Arial"/>
                <w:sz w:val="18"/>
                <w:szCs w:val="18"/>
                <w:color w:val="0563C1"/>
              </w:rPr>
              <w:t>Certification dated February 19, 2026 of Chief Financial Officer pursuant to Securities and Exchange Act of 1934,</w:t>
            </w:r>
          </w:p>
        </w:tc>
      </w:tr>
      <w:tr>
        <w:trPr>
          <w:trHeight w:val="22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6660" w:type="dxa"/>
            <w:vAlign w:val="bottom"/>
            <w:tcBorders>
              <w:top w:val="single" w:sz="8" w:color="0563C1"/>
              <w:bottom w:val="single" w:sz="8" w:color="0563C1"/>
            </w:tcBorders>
            <w:gridSpan w:val="12"/>
            <w:shd w:val="clear" w:color="auto" w:fill="DAE8F0"/>
          </w:tcPr>
          <w:p>
            <w:pPr>
              <w:spacing w:after="0" w:line="182" w:lineRule="exact"/>
              <w:rPr>
                <w:sz w:val="20"/>
                <w:szCs w:val="20"/>
                <w:color w:val="auto"/>
              </w:rPr>
            </w:pPr>
            <w:r>
              <w:rPr>
                <w:rFonts w:ascii="Arial" w:cs="Arial" w:eastAsia="Arial" w:hAnsi="Arial"/>
                <w:sz w:val="18"/>
                <w:szCs w:val="18"/>
                <w:color w:val="0563C1"/>
                <w:w w:val="99"/>
              </w:rPr>
              <w:t>rule 13a</w:t>
            </w:r>
            <w:r>
              <w:rPr>
                <w:rFonts w:ascii="MS PGothic" w:cs="MS PGothic" w:eastAsia="MS PGothic" w:hAnsi="MS PGothic"/>
                <w:sz w:val="18"/>
                <w:szCs w:val="18"/>
                <w:color w:val="0563C1"/>
                <w:w w:val="99"/>
              </w:rPr>
              <w:t>‑</w:t>
            </w:r>
            <w:r>
              <w:rPr>
                <w:rFonts w:ascii="Arial" w:cs="Arial" w:eastAsia="Arial" w:hAnsi="Arial"/>
                <w:sz w:val="18"/>
                <w:szCs w:val="18"/>
                <w:color w:val="0563C1"/>
                <w:w w:val="99"/>
              </w:rPr>
              <w:t>14, as adopted pursuant to Section 302 of the Sarbanes-Oxley Act of 2002</w:t>
            </w:r>
          </w:p>
        </w:tc>
        <w:tc>
          <w:tcPr>
            <w:tcW w:w="2480" w:type="dxa"/>
            <w:vAlign w:val="bottom"/>
            <w:tcBorders>
              <w:top w:val="single" w:sz="8" w:color="0563C1"/>
              <w:bottom w:val="single" w:sz="8" w:color="91BBD3"/>
            </w:tcBorders>
            <w:gridSpan w:val="13"/>
            <w:shd w:val="clear" w:color="auto" w:fill="DAE8F0"/>
          </w:tcPr>
          <w:p>
            <w:pPr>
              <w:spacing w:after="0"/>
              <w:rPr>
                <w:sz w:val="19"/>
                <w:szCs w:val="19"/>
                <w:color w:val="auto"/>
              </w:rPr>
            </w:pPr>
          </w:p>
        </w:tc>
        <w:tc>
          <w:tcPr>
            <w:tcW w:w="20" w:type="dxa"/>
            <w:vAlign w:val="bottom"/>
            <w:tcBorders>
              <w:top w:val="single" w:sz="8" w:color="DAE8F0"/>
              <w:bottom w:val="single" w:sz="8" w:color="91BBD3"/>
            </w:tcBorders>
            <w:shd w:val="clear" w:color="auto" w:fill="DAE8F0"/>
          </w:tcPr>
          <w:p>
            <w:pPr>
              <w:spacing w:after="0"/>
              <w:rPr>
                <w:sz w:val="19"/>
                <w:szCs w:val="19"/>
                <w:color w:val="auto"/>
              </w:rPr>
            </w:pPr>
          </w:p>
        </w:tc>
        <w:tc>
          <w:tcPr>
            <w:tcW w:w="120" w:type="dxa"/>
            <w:vAlign w:val="bottom"/>
            <w:tcBorders>
              <w:top w:val="single" w:sz="8" w:color="DAE8F0"/>
              <w:bottom w:val="single" w:sz="8" w:color="91BBD3"/>
              <w:right w:val="single" w:sz="8" w:color="91BBD3"/>
            </w:tcBorders>
            <w:gridSpan w:val="7"/>
            <w:shd w:val="clear" w:color="auto" w:fill="DAE8F0"/>
          </w:tcPr>
          <w:p>
            <w:pPr>
              <w:spacing w:after="0"/>
              <w:rPr>
                <w:sz w:val="19"/>
                <w:szCs w:val="19"/>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Arial" w:cs="Arial" w:eastAsia="Arial" w:hAnsi="Arial"/>
                <w:sz w:val="18"/>
                <w:szCs w:val="18"/>
                <w:b w:val="1"/>
                <w:bCs w:val="1"/>
                <w:color w:val="auto"/>
              </w:rPr>
              <w:t>*32.01</w:t>
            </w:r>
          </w:p>
        </w:tc>
        <w:tc>
          <w:tcPr>
            <w:tcW w:w="100" w:type="dxa"/>
            <w:vAlign w:val="bottom"/>
          </w:tcPr>
          <w:p>
            <w:pPr>
              <w:spacing w:after="0"/>
              <w:rPr>
                <w:sz w:val="13"/>
                <w:szCs w:val="13"/>
                <w:color w:val="auto"/>
              </w:rPr>
            </w:pPr>
          </w:p>
        </w:tc>
        <w:tc>
          <w:tcPr>
            <w:tcW w:w="9280" w:type="dxa"/>
            <w:vAlign w:val="bottom"/>
            <w:tcBorders>
              <w:right w:val="single" w:sz="8" w:color="91BBD3"/>
            </w:tcBorders>
            <w:gridSpan w:val="33"/>
          </w:tcPr>
          <w:p>
            <w:pPr>
              <w:spacing w:after="0" w:line="156" w:lineRule="exact"/>
              <w:rPr>
                <w:sz w:val="20"/>
                <w:szCs w:val="20"/>
                <w:color w:val="auto"/>
              </w:rPr>
            </w:pPr>
            <w:r>
              <w:rPr>
                <w:rFonts w:ascii="Arial" w:cs="Arial" w:eastAsia="Arial" w:hAnsi="Arial"/>
                <w:sz w:val="18"/>
                <w:szCs w:val="18"/>
                <w:color w:val="0563C1"/>
              </w:rPr>
              <w:t>Certification dated February 19, 2026 of Chief Executive Officer required by 18 U.S.C. 1350, as adopted</w:t>
            </w:r>
          </w:p>
        </w:tc>
      </w:tr>
      <w:tr>
        <w:trPr>
          <w:trHeight w:val="183"/>
        </w:trPr>
        <w:tc>
          <w:tcPr>
            <w:tcW w:w="1680" w:type="dxa"/>
            <w:vAlign w:val="bottom"/>
            <w:tcBorders>
              <w:left w:val="single" w:sz="8" w:color="91BBD3"/>
              <w:right w:val="single" w:sz="8" w:color="91BBD3"/>
            </w:tcBorders>
          </w:tcPr>
          <w:p>
            <w:pPr>
              <w:spacing w:after="0"/>
              <w:rPr>
                <w:sz w:val="15"/>
                <w:szCs w:val="15"/>
                <w:color w:val="auto"/>
              </w:rPr>
            </w:pPr>
          </w:p>
        </w:tc>
        <w:tc>
          <w:tcPr>
            <w:tcW w:w="100" w:type="dxa"/>
            <w:vAlign w:val="bottom"/>
          </w:tcPr>
          <w:p>
            <w:pPr>
              <w:spacing w:after="0"/>
              <w:rPr>
                <w:sz w:val="15"/>
                <w:szCs w:val="15"/>
                <w:color w:val="auto"/>
              </w:rPr>
            </w:pPr>
          </w:p>
        </w:tc>
        <w:tc>
          <w:tcPr>
            <w:tcW w:w="8980" w:type="dxa"/>
            <w:vAlign w:val="bottom"/>
            <w:tcBorders>
              <w:top w:val="single" w:sz="8" w:color="0563C1"/>
            </w:tcBorders>
            <w:gridSpan w:val="17"/>
          </w:tcPr>
          <w:p>
            <w:pPr>
              <w:spacing w:after="0" w:line="182" w:lineRule="exact"/>
              <w:rPr>
                <w:sz w:val="20"/>
                <w:szCs w:val="20"/>
                <w:color w:val="auto"/>
              </w:rPr>
            </w:pPr>
            <w:r>
              <w:rPr>
                <w:rFonts w:ascii="Arial" w:cs="Arial" w:eastAsia="Arial" w:hAnsi="Arial"/>
                <w:sz w:val="18"/>
                <w:szCs w:val="18"/>
                <w:color w:val="0563C1"/>
              </w:rPr>
              <w:t>pursuant to Section 906 of the Sarbanes-Oxley Act of 2002</w:t>
            </w: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120" w:type="dxa"/>
            <w:vAlign w:val="bottom"/>
            <w:tcBorders>
              <w:right w:val="single" w:sz="8" w:color="91BBD3"/>
            </w:tcBorders>
            <w:gridSpan w:val="7"/>
          </w:tcPr>
          <w:p>
            <w:pPr>
              <w:spacing w:after="0"/>
              <w:rPr>
                <w:sz w:val="15"/>
                <w:szCs w:val="15"/>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563C1"/>
              <w:bottom w:val="single" w:sz="8" w:color="91BBD3"/>
            </w:tcBorders>
          </w:tcPr>
          <w:p>
            <w:pPr>
              <w:spacing w:after="0" w:line="20" w:lineRule="exact"/>
              <w:rPr>
                <w:sz w:val="1"/>
                <w:szCs w:val="1"/>
                <w:color w:val="auto"/>
              </w:rPr>
            </w:pPr>
          </w:p>
        </w:tc>
        <w:tc>
          <w:tcPr>
            <w:tcW w:w="40" w:type="dxa"/>
            <w:vAlign w:val="bottom"/>
            <w:tcBorders>
              <w:top w:val="single" w:sz="8" w:color="0563C1"/>
              <w:bottom w:val="single" w:sz="8" w:color="91BBD3"/>
            </w:tcBorders>
          </w:tcPr>
          <w:p>
            <w:pPr>
              <w:spacing w:after="0" w:line="20" w:lineRule="exact"/>
              <w:rPr>
                <w:sz w:val="1"/>
                <w:szCs w:val="1"/>
                <w:color w:val="auto"/>
              </w:rPr>
            </w:pPr>
          </w:p>
        </w:tc>
        <w:tc>
          <w:tcPr>
            <w:tcW w:w="100" w:type="dxa"/>
            <w:vAlign w:val="bottom"/>
            <w:tcBorders>
              <w:top w:val="single" w:sz="8" w:color="0563C1"/>
              <w:bottom w:val="single" w:sz="8" w:color="91BBD3"/>
            </w:tcBorders>
          </w:tcPr>
          <w:p>
            <w:pPr>
              <w:spacing w:after="0" w:line="20" w:lineRule="exact"/>
              <w:rPr>
                <w:sz w:val="1"/>
                <w:szCs w:val="1"/>
                <w:color w:val="auto"/>
              </w:rPr>
            </w:pPr>
          </w:p>
        </w:tc>
        <w:tc>
          <w:tcPr>
            <w:tcW w:w="1560" w:type="dxa"/>
            <w:vAlign w:val="bottom"/>
            <w:tcBorders>
              <w:top w:val="single" w:sz="8" w:color="0563C1"/>
              <w:bottom w:val="single" w:sz="8" w:color="91BBD3"/>
            </w:tcBorders>
          </w:tcPr>
          <w:p>
            <w:pPr>
              <w:spacing w:after="0" w:line="20" w:lineRule="exact"/>
              <w:rPr>
                <w:sz w:val="1"/>
                <w:szCs w:val="1"/>
                <w:color w:val="auto"/>
              </w:rPr>
            </w:pPr>
          </w:p>
        </w:tc>
        <w:tc>
          <w:tcPr>
            <w:tcW w:w="260" w:type="dxa"/>
            <w:vAlign w:val="bottom"/>
            <w:tcBorders>
              <w:top w:val="single" w:sz="8" w:color="0563C1"/>
              <w:bottom w:val="single" w:sz="8" w:color="91BBD3"/>
            </w:tcBorders>
          </w:tcPr>
          <w:p>
            <w:pPr>
              <w:spacing w:after="0" w:line="20" w:lineRule="exact"/>
              <w:rPr>
                <w:sz w:val="1"/>
                <w:szCs w:val="1"/>
                <w:color w:val="auto"/>
              </w:rPr>
            </w:pPr>
          </w:p>
        </w:tc>
        <w:tc>
          <w:tcPr>
            <w:tcW w:w="840" w:type="dxa"/>
            <w:vAlign w:val="bottom"/>
            <w:tcBorders>
              <w:top w:val="single" w:sz="8" w:color="0563C1"/>
              <w:bottom w:val="single" w:sz="8" w:color="91BBD3"/>
            </w:tcBorders>
          </w:tcPr>
          <w:p>
            <w:pPr>
              <w:spacing w:after="0" w:line="20" w:lineRule="exact"/>
              <w:rPr>
                <w:sz w:val="1"/>
                <w:szCs w:val="1"/>
                <w:color w:val="auto"/>
              </w:rPr>
            </w:pPr>
          </w:p>
        </w:tc>
        <w:tc>
          <w:tcPr>
            <w:tcW w:w="420" w:type="dxa"/>
            <w:vAlign w:val="bottom"/>
            <w:tcBorders>
              <w:top w:val="single" w:sz="8" w:color="0563C1"/>
              <w:bottom w:val="single" w:sz="8" w:color="91BBD3"/>
            </w:tcBorders>
          </w:tcPr>
          <w:p>
            <w:pPr>
              <w:spacing w:after="0" w:line="20" w:lineRule="exact"/>
              <w:rPr>
                <w:sz w:val="1"/>
                <w:szCs w:val="1"/>
                <w:color w:val="auto"/>
              </w:rPr>
            </w:pPr>
          </w:p>
        </w:tc>
        <w:tc>
          <w:tcPr>
            <w:tcW w:w="160" w:type="dxa"/>
            <w:vAlign w:val="bottom"/>
            <w:tcBorders>
              <w:top w:val="single" w:sz="8" w:color="0563C1"/>
              <w:bottom w:val="single" w:sz="8" w:color="91BBD3"/>
            </w:tcBorders>
          </w:tcPr>
          <w:p>
            <w:pPr>
              <w:spacing w:after="0" w:line="20" w:lineRule="exact"/>
              <w:rPr>
                <w:sz w:val="1"/>
                <w:szCs w:val="1"/>
                <w:color w:val="auto"/>
              </w:rPr>
            </w:pPr>
          </w:p>
        </w:tc>
        <w:tc>
          <w:tcPr>
            <w:tcW w:w="600" w:type="dxa"/>
            <w:vAlign w:val="bottom"/>
            <w:tcBorders>
              <w:top w:val="single" w:sz="8" w:color="0563C1"/>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Arial" w:cs="Arial" w:eastAsia="Arial" w:hAnsi="Arial"/>
                <w:sz w:val="18"/>
                <w:szCs w:val="18"/>
                <w:b w:val="1"/>
                <w:bCs w:val="1"/>
                <w:color w:val="auto"/>
              </w:rPr>
              <w:t>*32.02</w:t>
            </w:r>
          </w:p>
        </w:tc>
        <w:tc>
          <w:tcPr>
            <w:tcW w:w="100" w:type="dxa"/>
            <w:vAlign w:val="bottom"/>
            <w:shd w:val="clear" w:color="auto" w:fill="DAE8F0"/>
          </w:tcPr>
          <w:p>
            <w:pPr>
              <w:spacing w:after="0"/>
              <w:rPr>
                <w:sz w:val="13"/>
                <w:szCs w:val="13"/>
                <w:color w:val="auto"/>
              </w:rPr>
            </w:pPr>
          </w:p>
        </w:tc>
        <w:tc>
          <w:tcPr>
            <w:tcW w:w="9280" w:type="dxa"/>
            <w:vAlign w:val="bottom"/>
            <w:tcBorders>
              <w:right w:val="single" w:sz="8" w:color="91BBD3"/>
            </w:tcBorders>
            <w:gridSpan w:val="33"/>
            <w:shd w:val="clear" w:color="auto" w:fill="DAE8F0"/>
          </w:tcPr>
          <w:p>
            <w:pPr>
              <w:spacing w:after="0" w:line="156" w:lineRule="exact"/>
              <w:rPr>
                <w:sz w:val="20"/>
                <w:szCs w:val="20"/>
                <w:color w:val="auto"/>
              </w:rPr>
            </w:pPr>
            <w:r>
              <w:rPr>
                <w:rFonts w:ascii="Arial" w:cs="Arial" w:eastAsia="Arial" w:hAnsi="Arial"/>
                <w:sz w:val="18"/>
                <w:szCs w:val="18"/>
                <w:color w:val="0563C1"/>
              </w:rPr>
              <w:t>Certification dated February 19, 2026 of Chief Financial Officer required by 18 U.S.C. 1350, as adopted pursuant</w:t>
            </w:r>
          </w:p>
        </w:tc>
      </w:tr>
      <w:tr>
        <w:trPr>
          <w:trHeight w:val="223"/>
        </w:trPr>
        <w:tc>
          <w:tcPr>
            <w:tcW w:w="1680" w:type="dxa"/>
            <w:vAlign w:val="bottom"/>
            <w:tcBorders>
              <w:top w:val="single" w:sz="8" w:color="DAE8F0"/>
              <w:left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tcBorders>
            <w:shd w:val="clear" w:color="auto" w:fill="DAE8F0"/>
          </w:tcPr>
          <w:p>
            <w:pPr>
              <w:spacing w:after="0"/>
              <w:rPr>
                <w:sz w:val="19"/>
                <w:szCs w:val="19"/>
                <w:color w:val="auto"/>
              </w:rPr>
            </w:pPr>
          </w:p>
        </w:tc>
        <w:tc>
          <w:tcPr>
            <w:tcW w:w="9040" w:type="dxa"/>
            <w:vAlign w:val="bottom"/>
            <w:tcBorders>
              <w:top w:val="single" w:sz="8" w:color="0563C1"/>
            </w:tcBorders>
            <w:gridSpan w:val="20"/>
            <w:shd w:val="clear" w:color="auto" w:fill="DAE8F0"/>
          </w:tcPr>
          <w:p>
            <w:pPr>
              <w:spacing w:after="0" w:line="182" w:lineRule="exact"/>
              <w:rPr>
                <w:sz w:val="20"/>
                <w:szCs w:val="20"/>
                <w:color w:val="auto"/>
              </w:rPr>
            </w:pPr>
            <w:r>
              <w:rPr>
                <w:rFonts w:ascii="Arial" w:cs="Arial" w:eastAsia="Arial" w:hAnsi="Arial"/>
                <w:sz w:val="18"/>
                <w:szCs w:val="18"/>
                <w:color w:val="0563C1"/>
              </w:rPr>
              <w:t>to Section 906 of the Sarbanes-Oxley Act of 2002</w:t>
            </w:r>
          </w:p>
        </w:tc>
        <w:tc>
          <w:tcPr>
            <w:tcW w:w="120" w:type="dxa"/>
            <w:vAlign w:val="bottom"/>
            <w:tcBorders>
              <w:top w:val="single" w:sz="8" w:color="DAE8F0"/>
            </w:tcBorders>
            <w:gridSpan w:val="6"/>
            <w:shd w:val="clear" w:color="auto" w:fill="DAE8F0"/>
          </w:tcPr>
          <w:p>
            <w:pPr>
              <w:spacing w:after="0"/>
              <w:rPr>
                <w:sz w:val="19"/>
                <w:szCs w:val="19"/>
                <w:color w:val="auto"/>
              </w:rPr>
            </w:pPr>
          </w:p>
        </w:tc>
        <w:tc>
          <w:tcPr>
            <w:tcW w:w="120" w:type="dxa"/>
            <w:vAlign w:val="bottom"/>
            <w:tcBorders>
              <w:top w:val="single" w:sz="8" w:color="DAE8F0"/>
              <w:right w:val="single" w:sz="8" w:color="91BBD3"/>
            </w:tcBorders>
            <w:gridSpan w:val="7"/>
            <w:shd w:val="clear" w:color="auto" w:fill="DAE8F0"/>
          </w:tcPr>
          <w:p>
            <w:pPr>
              <w:spacing w:after="0"/>
              <w:rPr>
                <w:sz w:val="19"/>
                <w:szCs w:val="19"/>
                <w:color w:val="auto"/>
              </w:rPr>
            </w:pPr>
          </w:p>
        </w:tc>
      </w:tr>
      <w:tr>
        <w:trPr>
          <w:trHeight w:val="156"/>
        </w:trPr>
        <w:tc>
          <w:tcPr>
            <w:tcW w:w="1680" w:type="dxa"/>
            <w:vAlign w:val="bottom"/>
            <w:tcBorders>
              <w:top w:val="single" w:sz="8" w:color="91BBD3"/>
              <w:left w:val="single" w:sz="8" w:color="91BBD3"/>
              <w:right w:val="single" w:sz="8" w:color="91BBD3"/>
            </w:tcBorders>
          </w:tcPr>
          <w:p>
            <w:pPr>
              <w:ind w:left="120"/>
              <w:spacing w:after="0" w:line="156" w:lineRule="exact"/>
              <w:rPr>
                <w:sz w:val="20"/>
                <w:szCs w:val="20"/>
                <w:color w:val="auto"/>
              </w:rPr>
            </w:pPr>
            <w:r>
              <w:rPr>
                <w:rFonts w:ascii="Arial" w:cs="Arial" w:eastAsia="Arial" w:hAnsi="Arial"/>
                <w:sz w:val="18"/>
                <w:szCs w:val="18"/>
                <w:b w:val="1"/>
                <w:bCs w:val="1"/>
                <w:color w:val="auto"/>
              </w:rPr>
              <w:t>*95</w:t>
            </w:r>
          </w:p>
        </w:tc>
        <w:tc>
          <w:tcPr>
            <w:tcW w:w="100" w:type="dxa"/>
            <w:vAlign w:val="bottom"/>
            <w:tcBorders>
              <w:top w:val="single" w:sz="8" w:color="91BBD3"/>
            </w:tcBorders>
          </w:tcPr>
          <w:p>
            <w:pPr>
              <w:spacing w:after="0"/>
              <w:rPr>
                <w:sz w:val="13"/>
                <w:szCs w:val="13"/>
                <w:color w:val="auto"/>
              </w:rPr>
            </w:pPr>
          </w:p>
        </w:tc>
        <w:tc>
          <w:tcPr>
            <w:tcW w:w="3940" w:type="dxa"/>
            <w:vAlign w:val="bottom"/>
            <w:tcBorders>
              <w:top w:val="single" w:sz="8" w:color="0563C1"/>
            </w:tcBorders>
            <w:gridSpan w:val="7"/>
          </w:tcPr>
          <w:p>
            <w:pPr>
              <w:spacing w:after="0" w:line="156" w:lineRule="exact"/>
              <w:rPr>
                <w:sz w:val="20"/>
                <w:szCs w:val="20"/>
                <w:color w:val="auto"/>
              </w:rPr>
            </w:pPr>
            <w:r>
              <w:rPr>
                <w:rFonts w:ascii="Arial" w:cs="Arial" w:eastAsia="Arial" w:hAnsi="Arial"/>
                <w:sz w:val="18"/>
                <w:szCs w:val="18"/>
                <w:color w:val="007DC6"/>
              </w:rPr>
              <w:t>Mine Safety Disclosure Exhibit</w:t>
            </w:r>
          </w:p>
        </w:tc>
        <w:tc>
          <w:tcPr>
            <w:tcW w:w="5340" w:type="dxa"/>
            <w:vAlign w:val="bottom"/>
            <w:tcBorders>
              <w:top w:val="single" w:sz="8" w:color="91BBD3"/>
              <w:right w:val="single" w:sz="8" w:color="91BBD3"/>
            </w:tcBorders>
            <w:gridSpan w:val="26"/>
          </w:tcPr>
          <w:p>
            <w:pPr>
              <w:spacing w:after="0"/>
              <w:rPr>
                <w:sz w:val="13"/>
                <w:szCs w:val="13"/>
                <w:color w:val="auto"/>
              </w:rPr>
            </w:pPr>
          </w:p>
        </w:tc>
      </w:tr>
      <w:tr>
        <w:trPr>
          <w:trHeight w:val="21"/>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100" w:type="dxa"/>
            <w:vAlign w:val="bottom"/>
            <w:tcBorders>
              <w:bottom w:val="single" w:sz="8" w:color="91BBD3"/>
            </w:tcBorders>
          </w:tcPr>
          <w:p>
            <w:pPr>
              <w:spacing w:after="0" w:line="20" w:lineRule="exact"/>
              <w:rPr>
                <w:sz w:val="1"/>
                <w:szCs w:val="1"/>
                <w:color w:val="auto"/>
              </w:rPr>
            </w:pPr>
          </w:p>
        </w:tc>
        <w:tc>
          <w:tcPr>
            <w:tcW w:w="720" w:type="dxa"/>
            <w:vAlign w:val="bottom"/>
            <w:tcBorders>
              <w:top w:val="single" w:sz="8" w:color="007DC6"/>
              <w:bottom w:val="single" w:sz="8" w:color="91BBD3"/>
            </w:tcBorders>
          </w:tcPr>
          <w:p>
            <w:pPr>
              <w:spacing w:after="0" w:line="20" w:lineRule="exact"/>
              <w:rPr>
                <w:sz w:val="1"/>
                <w:szCs w:val="1"/>
                <w:color w:val="auto"/>
              </w:rPr>
            </w:pPr>
          </w:p>
        </w:tc>
        <w:tc>
          <w:tcPr>
            <w:tcW w:w="40" w:type="dxa"/>
            <w:vAlign w:val="bottom"/>
            <w:tcBorders>
              <w:top w:val="single" w:sz="8" w:color="007DC6"/>
              <w:bottom w:val="single" w:sz="8" w:color="91BBD3"/>
            </w:tcBorders>
          </w:tcPr>
          <w:p>
            <w:pPr>
              <w:spacing w:after="0" w:line="20" w:lineRule="exact"/>
              <w:rPr>
                <w:sz w:val="1"/>
                <w:szCs w:val="1"/>
                <w:color w:val="auto"/>
              </w:rPr>
            </w:pPr>
          </w:p>
        </w:tc>
        <w:tc>
          <w:tcPr>
            <w:tcW w:w="100" w:type="dxa"/>
            <w:vAlign w:val="bottom"/>
            <w:tcBorders>
              <w:top w:val="single" w:sz="8" w:color="007DC6"/>
              <w:bottom w:val="single" w:sz="8" w:color="91BBD3"/>
            </w:tcBorders>
          </w:tcPr>
          <w:p>
            <w:pPr>
              <w:spacing w:after="0" w:line="20" w:lineRule="exact"/>
              <w:rPr>
                <w:sz w:val="1"/>
                <w:szCs w:val="1"/>
                <w:color w:val="auto"/>
              </w:rPr>
            </w:pPr>
          </w:p>
        </w:tc>
        <w:tc>
          <w:tcPr>
            <w:tcW w:w="1560" w:type="dxa"/>
            <w:vAlign w:val="bottom"/>
            <w:tcBorders>
              <w:top w:val="single" w:sz="8" w:color="007DC6"/>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600" w:type="dxa"/>
            <w:vAlign w:val="bottom"/>
            <w:tcBorders>
              <w:bottom w:val="single" w:sz="8" w:color="91BBD3"/>
            </w:tcBorders>
          </w:tcPr>
          <w:p>
            <w:pPr>
              <w:spacing w:after="0" w:line="20" w:lineRule="exact"/>
              <w:rPr>
                <w:sz w:val="1"/>
                <w:szCs w:val="1"/>
                <w:color w:val="auto"/>
              </w:rPr>
            </w:pPr>
          </w:p>
        </w:tc>
        <w:tc>
          <w:tcPr>
            <w:tcW w:w="900" w:type="dxa"/>
            <w:vAlign w:val="bottom"/>
            <w:tcBorders>
              <w:bottom w:val="single" w:sz="8" w:color="91BBD3"/>
            </w:tcBorders>
          </w:tcPr>
          <w:p>
            <w:pPr>
              <w:spacing w:after="0" w:line="20" w:lineRule="exact"/>
              <w:rPr>
                <w:sz w:val="1"/>
                <w:szCs w:val="1"/>
                <w:color w:val="auto"/>
              </w:rPr>
            </w:pPr>
          </w:p>
        </w:tc>
        <w:tc>
          <w:tcPr>
            <w:tcW w:w="8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5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40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20" w:type="dxa"/>
            <w:vAlign w:val="bottom"/>
            <w:tcBorders>
              <w:bottom w:val="single" w:sz="8" w:color="91BBD3"/>
            </w:tcBorders>
          </w:tcPr>
          <w:p>
            <w:pPr>
              <w:spacing w:after="0" w:line="20" w:lineRule="exact"/>
              <w:rPr>
                <w:sz w:val="1"/>
                <w:szCs w:val="1"/>
                <w:color w:val="auto"/>
              </w:rPr>
            </w:pPr>
          </w:p>
        </w:tc>
        <w:tc>
          <w:tcPr>
            <w:tcW w:w="0" w:type="dxa"/>
            <w:vAlign w:val="bottom"/>
            <w:tcBorders>
              <w:bottom w:val="single" w:sz="8" w:color="91BBD3"/>
              <w:right w:val="single" w:sz="8" w:color="91BBD3"/>
            </w:tcBorders>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DAE8F0"/>
          </w:tcPr>
          <w:p>
            <w:pPr>
              <w:spacing w:after="0"/>
              <w:rPr>
                <w:sz w:val="14"/>
                <w:szCs w:val="14"/>
                <w:color w:val="auto"/>
              </w:rPr>
            </w:pPr>
          </w:p>
        </w:tc>
        <w:tc>
          <w:tcPr>
            <w:tcW w:w="9280" w:type="dxa"/>
            <w:vAlign w:val="bottom"/>
            <w:tcBorders>
              <w:right w:val="single" w:sz="8" w:color="91BBD3"/>
            </w:tcBorders>
            <w:gridSpan w:val="33"/>
            <w:shd w:val="clear" w:color="auto" w:fill="DAE8F0"/>
          </w:tcPr>
          <w:p>
            <w:pPr>
              <w:spacing w:after="0" w:line="169" w:lineRule="exact"/>
              <w:rPr>
                <w:rFonts w:ascii="Arial" w:cs="Arial" w:eastAsia="Arial" w:hAnsi="Arial"/>
                <w:sz w:val="18"/>
                <w:szCs w:val="18"/>
                <w:color w:val="0563C1"/>
              </w:rPr>
            </w:pPr>
            <w:hyperlink r:id="rId817">
              <w:r>
                <w:rPr>
                  <w:rFonts w:ascii="Arial" w:cs="Arial" w:eastAsia="Arial" w:hAnsi="Arial"/>
                  <w:sz w:val="18"/>
                  <w:szCs w:val="18"/>
                  <w:color w:val="0563C1"/>
                </w:rPr>
                <w:t>Executive Clawback Policy (incorporated by reference to Exhibit 97 to the Martin Marietta Materials, Inc. Annual</w:t>
              </w:r>
            </w:hyperlink>
          </w:p>
        </w:tc>
      </w:tr>
      <w:tr>
        <w:trPr>
          <w:trHeight w:val="22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19"/>
                <w:szCs w:val="19"/>
                <w:color w:val="auto"/>
              </w:rPr>
            </w:pPr>
          </w:p>
        </w:tc>
        <w:tc>
          <w:tcPr>
            <w:tcW w:w="100" w:type="dxa"/>
            <w:vAlign w:val="bottom"/>
            <w:tcBorders>
              <w:top w:val="single" w:sz="8" w:color="DAE8F0"/>
              <w:bottom w:val="single" w:sz="8" w:color="91BBD3"/>
            </w:tcBorders>
            <w:shd w:val="clear" w:color="auto" w:fill="DAE8F0"/>
          </w:tcPr>
          <w:p>
            <w:pPr>
              <w:spacing w:after="0"/>
              <w:rPr>
                <w:sz w:val="19"/>
                <w:szCs w:val="19"/>
                <w:color w:val="auto"/>
              </w:rPr>
            </w:pPr>
          </w:p>
        </w:tc>
        <w:tc>
          <w:tcPr>
            <w:tcW w:w="8040" w:type="dxa"/>
            <w:vAlign w:val="bottom"/>
            <w:tcBorders>
              <w:top w:val="single" w:sz="8" w:color="0563C1"/>
              <w:bottom w:val="single" w:sz="8" w:color="0563C1"/>
            </w:tcBorders>
            <w:gridSpan w:val="15"/>
            <w:shd w:val="clear" w:color="auto" w:fill="DAE8F0"/>
          </w:tcPr>
          <w:p>
            <w:pPr>
              <w:spacing w:after="0" w:line="182" w:lineRule="exact"/>
              <w:rPr>
                <w:rFonts w:ascii="Arial" w:cs="Arial" w:eastAsia="Arial" w:hAnsi="Arial"/>
                <w:sz w:val="18"/>
                <w:szCs w:val="18"/>
                <w:color w:val="0563C1"/>
                <w:w w:val="99"/>
              </w:rPr>
            </w:pPr>
            <w:hyperlink r:id="rId817">
              <w:r>
                <w:rPr>
                  <w:rFonts w:ascii="Arial" w:cs="Arial" w:eastAsia="Arial" w:hAnsi="Arial"/>
                  <w:sz w:val="18"/>
                  <w:szCs w:val="18"/>
                  <w:color w:val="0563C1"/>
                  <w:w w:val="99"/>
                </w:rPr>
                <w:t>Report on Form 10</w:t>
              </w:r>
              <w:r>
                <w:rPr>
                  <w:rFonts w:ascii="MS PGothic" w:cs="MS PGothic" w:eastAsia="MS PGothic" w:hAnsi="MS PGothic"/>
                  <w:sz w:val="18"/>
                  <w:szCs w:val="18"/>
                  <w:color w:val="0563C1"/>
                  <w:w w:val="99"/>
                </w:rPr>
                <w:t>‑</w:t>
              </w:r>
              <w:r>
                <w:rPr>
                  <w:rFonts w:ascii="Arial" w:cs="Arial" w:eastAsia="Arial" w:hAnsi="Arial"/>
                  <w:sz w:val="18"/>
                  <w:szCs w:val="18"/>
                  <w:color w:val="0563C1"/>
                  <w:w w:val="99"/>
                </w:rPr>
                <w:t>K for the fiscal year ended December 31, 2023) (Commission File No. 1-12744)**</w:t>
              </w:r>
            </w:hyperlink>
          </w:p>
        </w:tc>
        <w:tc>
          <w:tcPr>
            <w:tcW w:w="1120" w:type="dxa"/>
            <w:vAlign w:val="bottom"/>
            <w:tcBorders>
              <w:top w:val="single" w:sz="8" w:color="0563C1"/>
              <w:bottom w:val="single" w:sz="8" w:color="91BBD3"/>
            </w:tcBorders>
            <w:gridSpan w:val="11"/>
            <w:shd w:val="clear" w:color="auto" w:fill="DAE8F0"/>
          </w:tcPr>
          <w:p>
            <w:pPr>
              <w:spacing w:after="0"/>
              <w:rPr>
                <w:sz w:val="19"/>
                <w:szCs w:val="19"/>
                <w:color w:val="auto"/>
              </w:rPr>
            </w:pPr>
          </w:p>
        </w:tc>
        <w:tc>
          <w:tcPr>
            <w:tcW w:w="120" w:type="dxa"/>
            <w:vAlign w:val="bottom"/>
            <w:tcBorders>
              <w:top w:val="single" w:sz="8" w:color="DAE8F0"/>
              <w:bottom w:val="single" w:sz="8" w:color="91BBD3"/>
              <w:right w:val="single" w:sz="8" w:color="91BBD3"/>
            </w:tcBorders>
            <w:gridSpan w:val="7"/>
            <w:shd w:val="clear" w:color="auto" w:fill="DAE8F0"/>
          </w:tcPr>
          <w:p>
            <w:pPr>
              <w:spacing w:after="0"/>
              <w:rPr>
                <w:sz w:val="19"/>
                <w:szCs w:val="19"/>
                <w:color w:val="auto"/>
              </w:rPr>
            </w:pPr>
          </w:p>
        </w:tc>
      </w:tr>
      <w:tr>
        <w:trPr>
          <w:trHeight w:val="197"/>
        </w:trPr>
        <w:tc>
          <w:tcPr>
            <w:tcW w:w="1680" w:type="dxa"/>
            <w:vAlign w:val="bottom"/>
            <w:tcBorders>
              <w:left w:val="single" w:sz="8" w:color="91BBD3"/>
              <w:bottom w:val="single" w:sz="8" w:color="91BBD3"/>
              <w:right w:val="single" w:sz="8" w:color="91BBD3"/>
            </w:tcBorders>
          </w:tcPr>
          <w:p>
            <w:pPr>
              <w:ind w:left="120"/>
              <w:spacing w:after="0" w:line="196" w:lineRule="exact"/>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91BBD3"/>
            </w:tcBorders>
          </w:tcPr>
          <w:p>
            <w:pPr>
              <w:spacing w:after="0"/>
              <w:rPr>
                <w:sz w:val="17"/>
                <w:szCs w:val="17"/>
                <w:color w:val="auto"/>
              </w:rPr>
            </w:pPr>
          </w:p>
        </w:tc>
        <w:tc>
          <w:tcPr>
            <w:tcW w:w="9280" w:type="dxa"/>
            <w:vAlign w:val="bottom"/>
            <w:tcBorders>
              <w:bottom w:val="single" w:sz="8" w:color="91BBD3"/>
              <w:right w:val="single" w:sz="8" w:color="91BBD3"/>
            </w:tcBorders>
            <w:gridSpan w:val="33"/>
          </w:tcPr>
          <w:p>
            <w:pPr>
              <w:spacing w:after="0" w:line="196" w:lineRule="exact"/>
              <w:rPr>
                <w:sz w:val="20"/>
                <w:szCs w:val="20"/>
                <w:color w:val="auto"/>
              </w:rPr>
            </w:pPr>
            <w:r>
              <w:rPr>
                <w:rFonts w:ascii="Arial" w:cs="Arial" w:eastAsia="Arial" w:hAnsi="Arial"/>
                <w:sz w:val="18"/>
                <w:szCs w:val="18"/>
                <w:color w:val="auto"/>
              </w:rPr>
              <w:t>The following financial information formatted in Inline XBRL:</w:t>
            </w:r>
          </w:p>
        </w:tc>
      </w:tr>
      <w:tr>
        <w:trPr>
          <w:trHeight w:val="177"/>
        </w:trPr>
        <w:tc>
          <w:tcPr>
            <w:tcW w:w="1680" w:type="dxa"/>
            <w:vAlign w:val="bottom"/>
            <w:tcBorders>
              <w:left w:val="single" w:sz="8" w:color="91BBD3"/>
              <w:right w:val="single" w:sz="8" w:color="91BBD3"/>
            </w:tcBorders>
            <w:shd w:val="clear" w:color="auto" w:fill="DAE8F0"/>
          </w:tcPr>
          <w:p>
            <w:pPr>
              <w:ind w:left="120"/>
              <w:spacing w:after="0" w:line="177" w:lineRule="exact"/>
              <w:rPr>
                <w:sz w:val="20"/>
                <w:szCs w:val="20"/>
                <w:color w:val="auto"/>
              </w:rPr>
            </w:pPr>
            <w:r>
              <w:rPr>
                <w:rFonts w:ascii="Arial" w:cs="Arial" w:eastAsia="Arial" w:hAnsi="Arial"/>
                <w:sz w:val="18"/>
                <w:szCs w:val="18"/>
                <w:b w:val="1"/>
                <w:bCs w:val="1"/>
                <w:color w:val="auto"/>
              </w:rPr>
              <w:t>*101.INS</w:t>
            </w:r>
          </w:p>
        </w:tc>
        <w:tc>
          <w:tcPr>
            <w:tcW w:w="100" w:type="dxa"/>
            <w:vAlign w:val="bottom"/>
            <w:shd w:val="clear" w:color="auto" w:fill="DAE8F0"/>
          </w:tcPr>
          <w:p>
            <w:pPr>
              <w:spacing w:after="0"/>
              <w:rPr>
                <w:sz w:val="15"/>
                <w:szCs w:val="15"/>
                <w:color w:val="auto"/>
              </w:rPr>
            </w:pPr>
          </w:p>
        </w:tc>
        <w:tc>
          <w:tcPr>
            <w:tcW w:w="9280" w:type="dxa"/>
            <w:vAlign w:val="bottom"/>
            <w:tcBorders>
              <w:right w:val="single" w:sz="8" w:color="91BBD3"/>
            </w:tcBorders>
            <w:gridSpan w:val="33"/>
            <w:shd w:val="clear" w:color="auto" w:fill="DAE8F0"/>
          </w:tcPr>
          <w:p>
            <w:pPr>
              <w:spacing w:after="0" w:line="177"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w:t>
            </w:r>
          </w:p>
        </w:tc>
      </w:tr>
      <w:tr>
        <w:trPr>
          <w:trHeight w:val="221"/>
        </w:trPr>
        <w:tc>
          <w:tcPr>
            <w:tcW w:w="1680" w:type="dxa"/>
            <w:vAlign w:val="bottom"/>
            <w:tcBorders>
              <w:left w:val="single" w:sz="8" w:color="91BBD3"/>
              <w:bottom w:val="single" w:sz="8" w:color="91BBD3"/>
              <w:right w:val="single" w:sz="8" w:color="91BBD3"/>
            </w:tcBorders>
            <w:shd w:val="clear" w:color="auto" w:fill="DAE8F0"/>
          </w:tcPr>
          <w:p>
            <w:pPr>
              <w:spacing w:after="0"/>
              <w:rPr>
                <w:sz w:val="19"/>
                <w:szCs w:val="19"/>
                <w:color w:val="auto"/>
              </w:rPr>
            </w:pPr>
          </w:p>
        </w:tc>
        <w:tc>
          <w:tcPr>
            <w:tcW w:w="100" w:type="dxa"/>
            <w:vAlign w:val="bottom"/>
            <w:tcBorders>
              <w:bottom w:val="single" w:sz="8" w:color="91BBD3"/>
            </w:tcBorders>
            <w:shd w:val="clear" w:color="auto" w:fill="DAE8F0"/>
          </w:tcPr>
          <w:p>
            <w:pPr>
              <w:spacing w:after="0"/>
              <w:rPr>
                <w:sz w:val="19"/>
                <w:szCs w:val="19"/>
                <w:color w:val="auto"/>
              </w:rPr>
            </w:pPr>
          </w:p>
        </w:tc>
        <w:tc>
          <w:tcPr>
            <w:tcW w:w="9280" w:type="dxa"/>
            <w:vAlign w:val="bottom"/>
            <w:tcBorders>
              <w:bottom w:val="single" w:sz="8" w:color="91BBD3"/>
              <w:right w:val="single" w:sz="8" w:color="91BBD3"/>
            </w:tcBorders>
            <w:gridSpan w:val="33"/>
            <w:shd w:val="clear" w:color="auto" w:fill="DAE8F0"/>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210"/>
        </w:trPr>
        <w:tc>
          <w:tcPr>
            <w:tcW w:w="1680" w:type="dxa"/>
            <w:vAlign w:val="bottom"/>
            <w:tcBorders>
              <w:left w:val="single" w:sz="8" w:color="91BBD3"/>
              <w:bottom w:val="single" w:sz="8" w:color="91BBD3"/>
              <w:right w:val="single" w:sz="8" w:color="91BBD3"/>
            </w:tcBorders>
          </w:tcPr>
          <w:p>
            <w:pPr>
              <w:ind w:left="120"/>
              <w:spacing w:after="0"/>
              <w:rPr>
                <w:sz w:val="20"/>
                <w:szCs w:val="20"/>
                <w:color w:val="auto"/>
              </w:rPr>
            </w:pPr>
            <w:r>
              <w:rPr>
                <w:rFonts w:ascii="Arial" w:cs="Arial" w:eastAsia="Arial" w:hAnsi="Arial"/>
                <w:sz w:val="18"/>
                <w:szCs w:val="18"/>
                <w:b w:val="1"/>
                <w:bCs w:val="1"/>
                <w:color w:val="auto"/>
              </w:rPr>
              <w:t>*101.SCH</w:t>
            </w:r>
          </w:p>
        </w:tc>
        <w:tc>
          <w:tcPr>
            <w:tcW w:w="100" w:type="dxa"/>
            <w:vAlign w:val="bottom"/>
            <w:tcBorders>
              <w:bottom w:val="single" w:sz="8" w:color="91BBD3"/>
            </w:tcBorders>
          </w:tcPr>
          <w:p>
            <w:pPr>
              <w:spacing w:after="0"/>
              <w:rPr>
                <w:sz w:val="18"/>
                <w:szCs w:val="18"/>
                <w:color w:val="auto"/>
              </w:rPr>
            </w:pPr>
          </w:p>
        </w:tc>
        <w:tc>
          <w:tcPr>
            <w:tcW w:w="9280" w:type="dxa"/>
            <w:vAlign w:val="bottom"/>
            <w:tcBorders>
              <w:bottom w:val="single" w:sz="8" w:color="91BBD3"/>
              <w:right w:val="single" w:sz="8" w:color="91BBD3"/>
            </w:tcBorders>
            <w:gridSpan w:val="33"/>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r>
        <w:trPr>
          <w:trHeight w:val="210"/>
        </w:trPr>
        <w:tc>
          <w:tcPr>
            <w:tcW w:w="1680" w:type="dxa"/>
            <w:vAlign w:val="bottom"/>
            <w:tcBorders>
              <w:left w:val="single" w:sz="8" w:color="91BBD3"/>
              <w:bottom w:val="single" w:sz="8" w:color="91BBD3"/>
              <w:right w:val="single" w:sz="8" w:color="91BBD3"/>
            </w:tcBorders>
            <w:shd w:val="clear" w:color="auto" w:fill="DAE8F0"/>
          </w:tcPr>
          <w:p>
            <w:pPr>
              <w:ind w:left="12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91BBD3"/>
            </w:tcBorders>
            <w:shd w:val="clear" w:color="auto" w:fill="DAE8F0"/>
          </w:tcPr>
          <w:p>
            <w:pPr>
              <w:spacing w:after="0"/>
              <w:rPr>
                <w:sz w:val="18"/>
                <w:szCs w:val="18"/>
                <w:color w:val="auto"/>
              </w:rPr>
            </w:pPr>
          </w:p>
        </w:tc>
        <w:tc>
          <w:tcPr>
            <w:tcW w:w="9280" w:type="dxa"/>
            <w:vAlign w:val="bottom"/>
            <w:tcBorders>
              <w:bottom w:val="single" w:sz="8" w:color="91BBD3"/>
              <w:right w:val="single" w:sz="8" w:color="91BBD3"/>
            </w:tcBorders>
            <w:gridSpan w:val="33"/>
            <w:shd w:val="clear" w:color="auto" w:fill="DAE8F0"/>
          </w:tcPr>
          <w:p>
            <w:pPr>
              <w:spacing w:after="0"/>
              <w:rPr>
                <w:sz w:val="20"/>
                <w:szCs w:val="20"/>
                <w:color w:val="auto"/>
              </w:rPr>
            </w:pPr>
            <w:r>
              <w:rPr>
                <w:rFonts w:ascii="Arial" w:cs="Arial" w:eastAsia="Arial" w:hAnsi="Arial"/>
                <w:sz w:val="18"/>
                <w:szCs w:val="18"/>
                <w:color w:val="auto"/>
              </w:rPr>
              <w:t>The cover page financial information formatted in Inline XBRL (included as Exhibit 101).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material incorporated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74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9" w:name="page120"/>
    <w:bookmarkEnd w:id="119"/>
    <w:p>
      <w:pPr>
        <w:ind w:left="6060"/>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Martin Marietta Materials, Inc.’s 2026 Proxy Statement to be filed pursuant to Regulation 14A, portions of which are incorporated by reference in this Form 10-K. Those portions of the 2026 Proxy Statement which are not incorporated by reference shall not be deemed to be “filed” as part of this report.</w:t>
      </w:r>
    </w:p>
    <w:p>
      <w:pPr>
        <w:spacing w:after="0" w:line="6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 required to be filed as an exhibit pursuant to Item 14(c) of Form 10-K</w:t>
      </w:r>
    </w:p>
    <w:p>
      <w:pPr>
        <w:spacing w:after="0" w:line="202"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22"/>
          <w:szCs w:val="22"/>
          <w:b w:val="1"/>
          <w:bCs w:val="1"/>
          <w:color w:val="965F6E"/>
        </w:rPr>
      </w:pPr>
      <w:r>
        <w:rPr>
          <w:rFonts w:ascii="Arial" w:cs="Arial" w:eastAsia="Arial" w:hAnsi="Arial"/>
          <w:sz w:val="22"/>
          <w:szCs w:val="22"/>
          <w:b w:val="1"/>
          <w:bCs w:val="1"/>
          <w:color w:val="965F6E"/>
        </w:rPr>
        <w:t>Financial Statement Schedule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MARTIN MARIETTA MATERIALS, INC. AND CONSOLIDATED SUBSIDIARIES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4"/>
                <w:szCs w:val="14"/>
                <w:b w:val="1"/>
                <w:bCs w:val="1"/>
                <w:color w:val="FFFFFF"/>
              </w:rPr>
              <w:t>Col A</w:t>
            </w:r>
          </w:p>
        </w:tc>
        <w:tc>
          <w:tcPr>
            <w:tcW w:w="240" w:type="dxa"/>
            <w:vAlign w:val="bottom"/>
            <w:shd w:val="clear" w:color="auto" w:fill="007CBA"/>
          </w:tcPr>
          <w:p>
            <w:pPr>
              <w:spacing w:after="0"/>
              <w:rPr>
                <w:sz w:val="15"/>
                <w:szCs w:val="15"/>
                <w:color w:val="auto"/>
              </w:rPr>
            </w:pPr>
          </w:p>
        </w:tc>
        <w:tc>
          <w:tcPr>
            <w:tcW w:w="1000" w:type="dxa"/>
            <w:vAlign w:val="bottom"/>
            <w:tcBorders>
              <w:right w:val="single" w:sz="8" w:color="007CBA"/>
            </w:tcBorders>
            <w:shd w:val="clear" w:color="auto" w:fill="007CBA"/>
          </w:tcPr>
          <w:p>
            <w:pPr>
              <w:jc w:val="center"/>
              <w:ind w:right="185"/>
              <w:spacing w:after="0"/>
              <w:rPr>
                <w:sz w:val="20"/>
                <w:szCs w:val="20"/>
                <w:color w:val="auto"/>
              </w:rPr>
            </w:pPr>
            <w:r>
              <w:rPr>
                <w:rFonts w:ascii="Arial" w:cs="Arial" w:eastAsia="Arial" w:hAnsi="Arial"/>
                <w:sz w:val="14"/>
                <w:szCs w:val="14"/>
                <w:b w:val="1"/>
                <w:bCs w:val="1"/>
                <w:color w:val="FFFFFF"/>
              </w:rPr>
              <w:t>Col B</w:t>
            </w:r>
          </w:p>
        </w:tc>
        <w:tc>
          <w:tcPr>
            <w:tcW w:w="240" w:type="dxa"/>
            <w:vAlign w:val="bottom"/>
            <w:shd w:val="clear" w:color="auto" w:fill="007CBA"/>
          </w:tcPr>
          <w:p>
            <w:pPr>
              <w:spacing w:after="0"/>
              <w:rPr>
                <w:sz w:val="15"/>
                <w:szCs w:val="15"/>
                <w:color w:val="auto"/>
              </w:rPr>
            </w:pPr>
          </w:p>
        </w:tc>
        <w:tc>
          <w:tcPr>
            <w:tcW w:w="1200" w:type="dxa"/>
            <w:vAlign w:val="bottom"/>
            <w:gridSpan w:val="2"/>
            <w:shd w:val="clear" w:color="auto" w:fill="007CBA"/>
          </w:tcPr>
          <w:p>
            <w:pPr>
              <w:jc w:val="center"/>
              <w:ind w:left="625"/>
              <w:spacing w:after="0"/>
              <w:rPr>
                <w:sz w:val="20"/>
                <w:szCs w:val="20"/>
                <w:color w:val="auto"/>
              </w:rPr>
            </w:pPr>
            <w:r>
              <w:rPr>
                <w:rFonts w:ascii="Arial" w:cs="Arial" w:eastAsia="Arial" w:hAnsi="Arial"/>
                <w:sz w:val="14"/>
                <w:szCs w:val="14"/>
                <w:b w:val="1"/>
                <w:bCs w:val="1"/>
                <w:color w:val="FFFFFF"/>
              </w:rPr>
              <w:t>Col C</w:t>
            </w:r>
          </w:p>
        </w:tc>
        <w:tc>
          <w:tcPr>
            <w:tcW w:w="1160" w:type="dxa"/>
            <w:vAlign w:val="bottom"/>
            <w:tcBorders>
              <w:right w:val="single" w:sz="8" w:color="007CBA"/>
            </w:tcBorders>
            <w:shd w:val="clear" w:color="auto" w:fill="007CBA"/>
          </w:tcPr>
          <w:p>
            <w:pPr>
              <w:spacing w:after="0"/>
              <w:rPr>
                <w:sz w:val="15"/>
                <w:szCs w:val="15"/>
                <w:color w:val="auto"/>
              </w:rPr>
            </w:pPr>
          </w:p>
        </w:tc>
        <w:tc>
          <w:tcPr>
            <w:tcW w:w="240" w:type="dxa"/>
            <w:vAlign w:val="bottom"/>
            <w:shd w:val="clear" w:color="auto" w:fill="007CBA"/>
          </w:tcPr>
          <w:p>
            <w:pPr>
              <w:spacing w:after="0"/>
              <w:rPr>
                <w:sz w:val="15"/>
                <w:szCs w:val="15"/>
                <w:color w:val="auto"/>
              </w:rPr>
            </w:pPr>
          </w:p>
        </w:tc>
        <w:tc>
          <w:tcPr>
            <w:tcW w:w="880" w:type="dxa"/>
            <w:vAlign w:val="bottom"/>
            <w:shd w:val="clear" w:color="auto" w:fill="007CBA"/>
          </w:tcPr>
          <w:p>
            <w:pPr>
              <w:jc w:val="center"/>
              <w:ind w:right="123"/>
              <w:spacing w:after="0"/>
              <w:rPr>
                <w:sz w:val="20"/>
                <w:szCs w:val="20"/>
                <w:color w:val="auto"/>
              </w:rPr>
            </w:pPr>
            <w:r>
              <w:rPr>
                <w:rFonts w:ascii="Arial" w:cs="Arial" w:eastAsia="Arial" w:hAnsi="Arial"/>
                <w:sz w:val="14"/>
                <w:szCs w:val="14"/>
                <w:b w:val="1"/>
                <w:bCs w:val="1"/>
                <w:color w:val="FFFFFF"/>
                <w:w w:val="98"/>
              </w:rPr>
              <w:t>Col D</w:t>
            </w:r>
          </w:p>
        </w:tc>
        <w:tc>
          <w:tcPr>
            <w:tcW w:w="320" w:type="dxa"/>
            <w:vAlign w:val="bottom"/>
            <w:tcBorders>
              <w:right w:val="single" w:sz="8" w:color="007CBA"/>
            </w:tcBorders>
            <w:shd w:val="clear" w:color="auto" w:fill="007CBA"/>
          </w:tcPr>
          <w:p>
            <w:pPr>
              <w:spacing w:after="0"/>
              <w:rPr>
                <w:sz w:val="15"/>
                <w:szCs w:val="15"/>
                <w:color w:val="auto"/>
              </w:rPr>
            </w:pPr>
          </w:p>
        </w:tc>
        <w:tc>
          <w:tcPr>
            <w:tcW w:w="24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184"/>
              <w:spacing w:after="0"/>
              <w:rPr>
                <w:sz w:val="20"/>
                <w:szCs w:val="20"/>
                <w:color w:val="auto"/>
              </w:rPr>
            </w:pPr>
            <w:r>
              <w:rPr>
                <w:rFonts w:ascii="Arial" w:cs="Arial" w:eastAsia="Arial" w:hAnsi="Arial"/>
                <w:sz w:val="14"/>
                <w:szCs w:val="14"/>
                <w:b w:val="1"/>
                <w:bCs w:val="1"/>
                <w:color w:val="FFFFFF"/>
              </w:rPr>
              <w:t>Col E</w:t>
            </w:r>
          </w:p>
        </w:tc>
      </w:tr>
      <w:tr>
        <w:trPr>
          <w:trHeight w:val="176"/>
        </w:trPr>
        <w:tc>
          <w:tcPr>
            <w:tcW w:w="4800" w:type="dxa"/>
            <w:vAlign w:val="bottom"/>
            <w:tcBorders>
              <w:right w:val="single" w:sz="8" w:color="007CBA"/>
            </w:tcBorders>
            <w:shd w:val="clear" w:color="auto" w:fill="007CBA"/>
          </w:tcPr>
          <w:p>
            <w:pPr>
              <w:spacing w:after="0"/>
              <w:rPr>
                <w:sz w:val="15"/>
                <w:szCs w:val="15"/>
                <w:color w:val="auto"/>
              </w:rPr>
            </w:pPr>
          </w:p>
        </w:tc>
        <w:tc>
          <w:tcPr>
            <w:tcW w:w="240" w:type="dxa"/>
            <w:vAlign w:val="bottom"/>
            <w:shd w:val="clear" w:color="auto" w:fill="007CBA"/>
          </w:tcPr>
          <w:p>
            <w:pPr>
              <w:spacing w:after="0"/>
              <w:rPr>
                <w:sz w:val="15"/>
                <w:szCs w:val="15"/>
                <w:color w:val="auto"/>
              </w:rPr>
            </w:pPr>
          </w:p>
        </w:tc>
        <w:tc>
          <w:tcPr>
            <w:tcW w:w="1000" w:type="dxa"/>
            <w:vAlign w:val="bottom"/>
            <w:tcBorders>
              <w:right w:val="single" w:sz="8" w:color="007CBA"/>
            </w:tcBorders>
            <w:shd w:val="clear" w:color="auto" w:fill="007CBA"/>
          </w:tcPr>
          <w:p>
            <w:pPr>
              <w:spacing w:after="0"/>
              <w:rPr>
                <w:sz w:val="15"/>
                <w:szCs w:val="15"/>
                <w:color w:val="auto"/>
              </w:rPr>
            </w:pPr>
          </w:p>
        </w:tc>
        <w:tc>
          <w:tcPr>
            <w:tcW w:w="240" w:type="dxa"/>
            <w:vAlign w:val="bottom"/>
            <w:shd w:val="clear" w:color="auto" w:fill="007CBA"/>
          </w:tcPr>
          <w:p>
            <w:pPr>
              <w:spacing w:after="0"/>
              <w:rPr>
                <w:sz w:val="15"/>
                <w:szCs w:val="15"/>
                <w:color w:val="auto"/>
              </w:rPr>
            </w:pPr>
          </w:p>
        </w:tc>
        <w:tc>
          <w:tcPr>
            <w:tcW w:w="2360" w:type="dxa"/>
            <w:vAlign w:val="bottom"/>
            <w:tcBorders>
              <w:right w:val="single" w:sz="8" w:color="007CBA"/>
            </w:tcBorders>
            <w:gridSpan w:val="3"/>
            <w:shd w:val="clear" w:color="auto" w:fill="007CBA"/>
          </w:tcPr>
          <w:p>
            <w:pPr>
              <w:jc w:val="center"/>
              <w:ind w:right="385"/>
              <w:spacing w:after="0"/>
              <w:rPr>
                <w:sz w:val="20"/>
                <w:szCs w:val="20"/>
                <w:color w:val="auto"/>
              </w:rPr>
            </w:pPr>
            <w:r>
              <w:rPr>
                <w:rFonts w:ascii="Arial" w:cs="Arial" w:eastAsia="Arial" w:hAnsi="Arial"/>
                <w:sz w:val="14"/>
                <w:szCs w:val="14"/>
                <w:b w:val="1"/>
                <w:bCs w:val="1"/>
                <w:color w:val="FFFFFF"/>
              </w:rPr>
              <w:t>Additions</w:t>
            </w:r>
          </w:p>
        </w:tc>
        <w:tc>
          <w:tcPr>
            <w:tcW w:w="240" w:type="dxa"/>
            <w:vAlign w:val="bottom"/>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4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r>
      <w:tr>
        <w:trPr>
          <w:trHeight w:val="153"/>
        </w:trPr>
        <w:tc>
          <w:tcPr>
            <w:tcW w:w="480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100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980" w:type="dxa"/>
            <w:vAlign w:val="bottom"/>
            <w:tcBorders>
              <w:right w:val="single" w:sz="8" w:color="007CBA"/>
            </w:tcBorders>
            <w:shd w:val="clear" w:color="auto" w:fill="007CBA"/>
          </w:tcPr>
          <w:p>
            <w:pPr>
              <w:jc w:val="center"/>
              <w:ind w:right="165"/>
              <w:spacing w:after="0" w:line="153" w:lineRule="exact"/>
              <w:rPr>
                <w:sz w:val="20"/>
                <w:szCs w:val="20"/>
                <w:color w:val="auto"/>
              </w:rPr>
            </w:pPr>
            <w:r>
              <w:rPr>
                <w:rFonts w:ascii="Arial" w:cs="Arial" w:eastAsia="Arial" w:hAnsi="Arial"/>
                <w:sz w:val="14"/>
                <w:szCs w:val="14"/>
                <w:b w:val="1"/>
                <w:bCs w:val="1"/>
                <w:color w:val="FFFFFF"/>
              </w:rPr>
              <w:t>(1)</w:t>
            </w:r>
          </w:p>
        </w:tc>
        <w:tc>
          <w:tcPr>
            <w:tcW w:w="22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center"/>
              <w:ind w:right="345"/>
              <w:spacing w:after="0" w:line="153" w:lineRule="exact"/>
              <w:rPr>
                <w:sz w:val="20"/>
                <w:szCs w:val="20"/>
                <w:color w:val="auto"/>
              </w:rPr>
            </w:pPr>
            <w:r>
              <w:rPr>
                <w:rFonts w:ascii="Arial" w:cs="Arial" w:eastAsia="Arial" w:hAnsi="Arial"/>
                <w:sz w:val="14"/>
                <w:szCs w:val="14"/>
                <w:b w:val="1"/>
                <w:bCs w:val="1"/>
                <w:color w:val="FFFFFF"/>
              </w:rPr>
              <w:t>(2)</w:t>
            </w:r>
          </w:p>
        </w:tc>
        <w:tc>
          <w:tcPr>
            <w:tcW w:w="240" w:type="dxa"/>
            <w:vAlign w:val="bottom"/>
            <w:shd w:val="clear" w:color="auto" w:fill="007CBA"/>
          </w:tcPr>
          <w:p>
            <w:pPr>
              <w:spacing w:after="0"/>
              <w:rPr>
                <w:sz w:val="13"/>
                <w:szCs w:val="13"/>
                <w:color w:val="auto"/>
              </w:rPr>
            </w:pPr>
          </w:p>
        </w:tc>
        <w:tc>
          <w:tcPr>
            <w:tcW w:w="88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920" w:type="dxa"/>
            <w:vAlign w:val="bottom"/>
            <w:shd w:val="clear" w:color="auto" w:fill="007CBA"/>
          </w:tcPr>
          <w:p>
            <w:pPr>
              <w:spacing w:after="0"/>
              <w:rPr>
                <w:sz w:val="13"/>
                <w:szCs w:val="13"/>
                <w:color w:val="auto"/>
              </w:rPr>
            </w:pPr>
          </w:p>
        </w:tc>
      </w:tr>
      <w:tr>
        <w:trPr>
          <w:trHeight w:val="162"/>
        </w:trPr>
        <w:tc>
          <w:tcPr>
            <w:tcW w:w="480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rPr>
              <w:t>Balance</w:t>
            </w:r>
          </w:p>
        </w:tc>
        <w:tc>
          <w:tcPr>
            <w:tcW w:w="240" w:type="dxa"/>
            <w:vAlign w:val="bottom"/>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rPr>
              <w:t>Charged</w:t>
            </w:r>
          </w:p>
        </w:tc>
        <w:tc>
          <w:tcPr>
            <w:tcW w:w="220" w:type="dxa"/>
            <w:vAlign w:val="bottom"/>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right="345"/>
              <w:spacing w:after="0"/>
              <w:rPr>
                <w:sz w:val="20"/>
                <w:szCs w:val="20"/>
                <w:color w:val="auto"/>
              </w:rPr>
            </w:pPr>
            <w:r>
              <w:rPr>
                <w:rFonts w:ascii="Arial" w:cs="Arial" w:eastAsia="Arial" w:hAnsi="Arial"/>
                <w:sz w:val="14"/>
                <w:szCs w:val="14"/>
                <w:b w:val="1"/>
                <w:bCs w:val="1"/>
                <w:color w:val="FFFFFF"/>
              </w:rPr>
              <w:t>Charged</w:t>
            </w:r>
          </w:p>
        </w:tc>
        <w:tc>
          <w:tcPr>
            <w:tcW w:w="240" w:type="dxa"/>
            <w:vAlign w:val="bottom"/>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32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r>
      <w:tr>
        <w:trPr>
          <w:trHeight w:val="162"/>
        </w:trPr>
        <w:tc>
          <w:tcPr>
            <w:tcW w:w="480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w w:val="96"/>
              </w:rPr>
              <w:t>at</w:t>
            </w:r>
          </w:p>
        </w:tc>
        <w:tc>
          <w:tcPr>
            <w:tcW w:w="240" w:type="dxa"/>
            <w:vAlign w:val="bottom"/>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jc w:val="center"/>
              <w:ind w:right="185"/>
              <w:spacing w:after="0"/>
              <w:rPr>
                <w:sz w:val="20"/>
                <w:szCs w:val="20"/>
                <w:color w:val="auto"/>
              </w:rPr>
            </w:pPr>
            <w:r>
              <w:rPr>
                <w:rFonts w:ascii="Arial" w:cs="Arial" w:eastAsia="Arial" w:hAnsi="Arial"/>
                <w:sz w:val="14"/>
                <w:szCs w:val="14"/>
                <w:b w:val="1"/>
                <w:bCs w:val="1"/>
                <w:color w:val="FFFFFF"/>
              </w:rPr>
              <w:t>to costs</w:t>
            </w:r>
          </w:p>
        </w:tc>
        <w:tc>
          <w:tcPr>
            <w:tcW w:w="220" w:type="dxa"/>
            <w:vAlign w:val="bottom"/>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right="345"/>
              <w:spacing w:after="0"/>
              <w:rPr>
                <w:sz w:val="20"/>
                <w:szCs w:val="20"/>
                <w:color w:val="auto"/>
              </w:rPr>
            </w:pPr>
            <w:r>
              <w:rPr>
                <w:rFonts w:ascii="Arial" w:cs="Arial" w:eastAsia="Arial" w:hAnsi="Arial"/>
                <w:sz w:val="14"/>
                <w:szCs w:val="14"/>
                <w:b w:val="1"/>
                <w:bCs w:val="1"/>
                <w:color w:val="FFFFFF"/>
              </w:rPr>
              <w:t>to other</w:t>
            </w:r>
          </w:p>
        </w:tc>
        <w:tc>
          <w:tcPr>
            <w:tcW w:w="240" w:type="dxa"/>
            <w:vAlign w:val="bottom"/>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32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920" w:type="dxa"/>
            <w:vAlign w:val="bottom"/>
            <w:shd w:val="clear" w:color="auto" w:fill="007CBA"/>
          </w:tcPr>
          <w:p>
            <w:pPr>
              <w:jc w:val="center"/>
              <w:ind w:right="184"/>
              <w:spacing w:after="0"/>
              <w:rPr>
                <w:sz w:val="20"/>
                <w:szCs w:val="20"/>
                <w:color w:val="auto"/>
              </w:rPr>
            </w:pPr>
            <w:r>
              <w:rPr>
                <w:rFonts w:ascii="Arial" w:cs="Arial" w:eastAsia="Arial" w:hAnsi="Arial"/>
                <w:sz w:val="14"/>
                <w:szCs w:val="14"/>
                <w:b w:val="1"/>
                <w:bCs w:val="1"/>
                <w:color w:val="FFFFFF"/>
              </w:rPr>
              <w:t>Balance</w:t>
            </w:r>
          </w:p>
        </w:tc>
      </w:tr>
      <w:tr>
        <w:trPr>
          <w:trHeight w:val="162"/>
        </w:trPr>
        <w:tc>
          <w:tcPr>
            <w:tcW w:w="480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rPr>
              <w:t>beginning</w:t>
            </w:r>
          </w:p>
        </w:tc>
        <w:tc>
          <w:tcPr>
            <w:tcW w:w="240" w:type="dxa"/>
            <w:vAlign w:val="bottom"/>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rPr>
              <w:t>and</w:t>
            </w:r>
          </w:p>
        </w:tc>
        <w:tc>
          <w:tcPr>
            <w:tcW w:w="220" w:type="dxa"/>
            <w:vAlign w:val="bottom"/>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right="365"/>
              <w:spacing w:after="0"/>
              <w:rPr>
                <w:sz w:val="20"/>
                <w:szCs w:val="20"/>
                <w:color w:val="auto"/>
              </w:rPr>
            </w:pPr>
            <w:r>
              <w:rPr>
                <w:rFonts w:ascii="Arial" w:cs="Arial" w:eastAsia="Arial" w:hAnsi="Arial"/>
                <w:sz w:val="14"/>
                <w:szCs w:val="14"/>
                <w:b w:val="1"/>
                <w:bCs w:val="1"/>
                <w:color w:val="FFFFFF"/>
              </w:rPr>
              <w:t>accounts-</w:t>
            </w:r>
          </w:p>
        </w:tc>
        <w:tc>
          <w:tcPr>
            <w:tcW w:w="1120" w:type="dxa"/>
            <w:vAlign w:val="bottom"/>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Deductions-</w:t>
            </w:r>
          </w:p>
        </w:tc>
        <w:tc>
          <w:tcPr>
            <w:tcW w:w="32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920" w:type="dxa"/>
            <w:vAlign w:val="bottom"/>
            <w:shd w:val="clear" w:color="auto" w:fill="007CBA"/>
          </w:tcPr>
          <w:p>
            <w:pPr>
              <w:jc w:val="center"/>
              <w:ind w:right="164"/>
              <w:spacing w:after="0"/>
              <w:rPr>
                <w:sz w:val="20"/>
                <w:szCs w:val="20"/>
                <w:color w:val="auto"/>
              </w:rPr>
            </w:pPr>
            <w:r>
              <w:rPr>
                <w:rFonts w:ascii="Arial" w:cs="Arial" w:eastAsia="Arial" w:hAnsi="Arial"/>
                <w:sz w:val="14"/>
                <w:szCs w:val="14"/>
                <w:b w:val="1"/>
                <w:bCs w:val="1"/>
                <w:color w:val="FFFFFF"/>
              </w:rPr>
              <w:t>at end of</w:t>
            </w:r>
          </w:p>
        </w:tc>
      </w:tr>
      <w:tr>
        <w:trPr>
          <w:trHeight w:val="185"/>
        </w:trPr>
        <w:tc>
          <w:tcPr>
            <w:tcW w:w="480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4"/>
                <w:szCs w:val="14"/>
                <w:b w:val="1"/>
                <w:bCs w:val="1"/>
                <w:color w:val="FFFFFF"/>
              </w:rPr>
              <w:t>Description</w:t>
            </w:r>
          </w:p>
        </w:tc>
        <w:tc>
          <w:tcPr>
            <w:tcW w:w="240" w:type="dxa"/>
            <w:vAlign w:val="bottom"/>
            <w:shd w:val="clear" w:color="auto" w:fill="007CBA"/>
          </w:tcPr>
          <w:p>
            <w:pPr>
              <w:spacing w:after="0"/>
              <w:rPr>
                <w:sz w:val="16"/>
                <w:szCs w:val="16"/>
                <w:color w:val="auto"/>
              </w:rPr>
            </w:pPr>
          </w:p>
        </w:tc>
        <w:tc>
          <w:tcPr>
            <w:tcW w:w="1000" w:type="dxa"/>
            <w:vAlign w:val="bottom"/>
            <w:tcBorders>
              <w:right w:val="single" w:sz="8" w:color="007CBA"/>
            </w:tcBorders>
            <w:shd w:val="clear" w:color="auto" w:fill="007CBA"/>
          </w:tcPr>
          <w:p>
            <w:pPr>
              <w:jc w:val="center"/>
              <w:ind w:right="185"/>
              <w:spacing w:after="0"/>
              <w:rPr>
                <w:sz w:val="20"/>
                <w:szCs w:val="20"/>
                <w:color w:val="auto"/>
              </w:rPr>
            </w:pPr>
            <w:r>
              <w:rPr>
                <w:rFonts w:ascii="Arial" w:cs="Arial" w:eastAsia="Arial" w:hAnsi="Arial"/>
                <w:sz w:val="14"/>
                <w:szCs w:val="14"/>
                <w:b w:val="1"/>
                <w:bCs w:val="1"/>
                <w:color w:val="FFFFFF"/>
              </w:rPr>
              <w:t>of period</w:t>
            </w:r>
          </w:p>
        </w:tc>
        <w:tc>
          <w:tcPr>
            <w:tcW w:w="24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jc w:val="center"/>
              <w:ind w:right="165"/>
              <w:spacing w:after="0"/>
              <w:rPr>
                <w:sz w:val="20"/>
                <w:szCs w:val="20"/>
                <w:color w:val="auto"/>
              </w:rPr>
            </w:pPr>
            <w:r>
              <w:rPr>
                <w:rFonts w:ascii="Arial" w:cs="Arial" w:eastAsia="Arial" w:hAnsi="Arial"/>
                <w:sz w:val="14"/>
                <w:szCs w:val="14"/>
                <w:b w:val="1"/>
                <w:bCs w:val="1"/>
                <w:color w:val="FFFFFF"/>
              </w:rPr>
              <w:t>expenses</w:t>
            </w:r>
          </w:p>
        </w:tc>
        <w:tc>
          <w:tcPr>
            <w:tcW w:w="22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jc w:val="center"/>
              <w:ind w:right="365"/>
              <w:spacing w:after="0"/>
              <w:rPr>
                <w:sz w:val="20"/>
                <w:szCs w:val="20"/>
                <w:color w:val="auto"/>
              </w:rPr>
            </w:pPr>
            <w:r>
              <w:rPr>
                <w:rFonts w:ascii="Arial" w:cs="Arial" w:eastAsia="Arial" w:hAnsi="Arial"/>
                <w:sz w:val="14"/>
                <w:szCs w:val="14"/>
                <w:b w:val="1"/>
                <w:bCs w:val="1"/>
                <w:color w:val="FFFFFF"/>
              </w:rPr>
              <w:t>describe</w:t>
            </w:r>
          </w:p>
        </w:tc>
        <w:tc>
          <w:tcPr>
            <w:tcW w:w="240" w:type="dxa"/>
            <w:vAlign w:val="bottom"/>
            <w:shd w:val="clear" w:color="auto" w:fill="007CBA"/>
          </w:tcPr>
          <w:p>
            <w:pPr>
              <w:spacing w:after="0"/>
              <w:rPr>
                <w:sz w:val="16"/>
                <w:szCs w:val="16"/>
                <w:color w:val="auto"/>
              </w:rPr>
            </w:pPr>
          </w:p>
        </w:tc>
        <w:tc>
          <w:tcPr>
            <w:tcW w:w="880" w:type="dxa"/>
            <w:vAlign w:val="bottom"/>
            <w:shd w:val="clear" w:color="auto" w:fill="007CBA"/>
          </w:tcPr>
          <w:p>
            <w:pPr>
              <w:jc w:val="center"/>
              <w:ind w:right="123"/>
              <w:spacing w:after="0"/>
              <w:rPr>
                <w:sz w:val="20"/>
                <w:szCs w:val="20"/>
                <w:color w:val="auto"/>
              </w:rPr>
            </w:pPr>
            <w:r>
              <w:rPr>
                <w:rFonts w:ascii="Arial" w:cs="Arial" w:eastAsia="Arial" w:hAnsi="Arial"/>
                <w:sz w:val="14"/>
                <w:szCs w:val="14"/>
                <w:b w:val="1"/>
                <w:bCs w:val="1"/>
                <w:color w:val="FFFFFF"/>
              </w:rPr>
              <w:t>describe</w:t>
            </w:r>
          </w:p>
        </w:tc>
        <w:tc>
          <w:tcPr>
            <w:tcW w:w="32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20" w:type="dxa"/>
            <w:vAlign w:val="bottom"/>
            <w:shd w:val="clear" w:color="auto" w:fill="007CBA"/>
          </w:tcPr>
          <w:p>
            <w:pPr>
              <w:jc w:val="center"/>
              <w:ind w:right="164"/>
              <w:spacing w:after="0"/>
              <w:rPr>
                <w:sz w:val="20"/>
                <w:szCs w:val="20"/>
                <w:color w:val="auto"/>
              </w:rPr>
            </w:pPr>
            <w:r>
              <w:rPr>
                <w:rFonts w:ascii="Arial" w:cs="Arial" w:eastAsia="Arial" w:hAnsi="Arial"/>
                <w:sz w:val="14"/>
                <w:szCs w:val="14"/>
                <w:b w:val="1"/>
                <w:bCs w:val="1"/>
                <w:color w:val="FFFFFF"/>
              </w:rPr>
              <w:t>period</w:t>
            </w:r>
          </w:p>
        </w:tc>
      </w:tr>
      <w:tr>
        <w:trPr>
          <w:trHeight w:val="162"/>
        </w:trPr>
        <w:tc>
          <w:tcPr>
            <w:tcW w:w="480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spacing w:after="0"/>
              <w:rPr>
                <w:sz w:val="14"/>
                <w:szCs w:val="14"/>
                <w:color w:val="auto"/>
              </w:rPr>
            </w:pPr>
          </w:p>
        </w:tc>
        <w:tc>
          <w:tcPr>
            <w:tcW w:w="1620" w:type="dxa"/>
            <w:vAlign w:val="bottom"/>
            <w:gridSpan w:val="3"/>
            <w:shd w:val="clear" w:color="auto" w:fill="007CBA"/>
          </w:tcPr>
          <w:p>
            <w:pPr>
              <w:jc w:val="right"/>
              <w:ind w:right="41"/>
              <w:spacing w:after="0"/>
              <w:rPr>
                <w:sz w:val="20"/>
                <w:szCs w:val="20"/>
                <w:color w:val="auto"/>
              </w:rPr>
            </w:pPr>
            <w:r>
              <w:rPr>
                <w:rFonts w:ascii="Arial" w:cs="Arial" w:eastAsia="Arial" w:hAnsi="Arial"/>
                <w:sz w:val="14"/>
                <w:szCs w:val="14"/>
                <w:b w:val="1"/>
                <w:bCs w:val="1"/>
                <w:color w:val="FFFFFF"/>
              </w:rPr>
              <w:t>(Amounts in Millions)</w:t>
            </w:r>
          </w:p>
        </w:tc>
        <w:tc>
          <w:tcPr>
            <w:tcW w:w="880" w:type="dxa"/>
            <w:vAlign w:val="bottom"/>
            <w:shd w:val="clear" w:color="auto" w:fill="007CBA"/>
          </w:tcPr>
          <w:p>
            <w:pPr>
              <w:spacing w:after="0"/>
              <w:rPr>
                <w:sz w:val="14"/>
                <w:szCs w:val="14"/>
                <w:color w:val="auto"/>
              </w:rPr>
            </w:pPr>
          </w:p>
        </w:tc>
        <w:tc>
          <w:tcPr>
            <w:tcW w:w="32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r>
      <w:tr>
        <w:trPr>
          <w:trHeight w:val="189"/>
        </w:trPr>
        <w:tc>
          <w:tcPr>
            <w:tcW w:w="48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Year Ended December 31, 2025</w:t>
            </w:r>
          </w:p>
        </w:tc>
        <w:tc>
          <w:tcPr>
            <w:tcW w:w="240" w:type="dxa"/>
            <w:vAlign w:val="bottom"/>
          </w:tcPr>
          <w:p>
            <w:pPr>
              <w:spacing w:after="0"/>
              <w:rPr>
                <w:sz w:val="16"/>
                <w:szCs w:val="16"/>
                <w:color w:val="auto"/>
              </w:rPr>
            </w:pPr>
          </w:p>
        </w:tc>
        <w:tc>
          <w:tcPr>
            <w:tcW w:w="100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8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Allowance for estimated credit losses</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8</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ind w:left="6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F1F8"/>
          </w:tcPr>
          <w:p>
            <w:pPr>
              <w:jc w:val="right"/>
              <w:ind w:right="3"/>
              <w:spacing w:after="0"/>
              <w:rPr>
                <w:sz w:val="20"/>
                <w:szCs w:val="20"/>
                <w:color w:val="auto"/>
              </w:rPr>
            </w:pPr>
            <w:r>
              <w:rPr>
                <w:rFonts w:ascii="Arial" w:cs="Arial" w:eastAsia="Arial" w:hAnsi="Arial"/>
                <w:sz w:val="16"/>
                <w:szCs w:val="16"/>
                <w:color w:val="auto"/>
              </w:rPr>
              <w:t>1</w:t>
            </w:r>
          </w:p>
        </w:tc>
        <w:tc>
          <w:tcPr>
            <w:tcW w:w="3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(a)</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1F8"/>
          </w:tcPr>
          <w:p>
            <w:pPr>
              <w:jc w:val="right"/>
              <w:ind w:right="44"/>
              <w:spacing w:after="0"/>
              <w:rPr>
                <w:sz w:val="20"/>
                <w:szCs w:val="20"/>
                <w:color w:val="auto"/>
              </w:rPr>
            </w:pPr>
            <w:r>
              <w:rPr>
                <w:rFonts w:ascii="Arial" w:cs="Arial" w:eastAsia="Arial" w:hAnsi="Arial"/>
                <w:sz w:val="16"/>
                <w:szCs w:val="16"/>
                <w:color w:val="auto"/>
              </w:rPr>
              <w:t>7</w:t>
            </w:r>
          </w:p>
        </w:tc>
      </w:tr>
      <w:tr>
        <w:trPr>
          <w:trHeight w:val="189"/>
        </w:trPr>
        <w:tc>
          <w:tcPr>
            <w:tcW w:w="480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8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Year ended December 31, 2024</w:t>
            </w:r>
          </w:p>
        </w:tc>
        <w:tc>
          <w:tcPr>
            <w:tcW w:w="240" w:type="dxa"/>
            <w:vAlign w:val="bottom"/>
            <w:shd w:val="clear" w:color="auto" w:fill="E5F1F8"/>
          </w:tcPr>
          <w:p>
            <w:pPr>
              <w:spacing w:after="0"/>
              <w:rPr>
                <w:sz w:val="16"/>
                <w:szCs w:val="16"/>
                <w:color w:val="auto"/>
              </w:rPr>
            </w:pPr>
          </w:p>
        </w:tc>
        <w:tc>
          <w:tcPr>
            <w:tcW w:w="100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spacing w:after="0"/>
              <w:rPr>
                <w:sz w:val="16"/>
                <w:szCs w:val="16"/>
                <w:color w:val="auto"/>
              </w:rPr>
            </w:pPr>
          </w:p>
        </w:tc>
        <w:tc>
          <w:tcPr>
            <w:tcW w:w="220" w:type="dxa"/>
            <w:vAlign w:val="bottom"/>
            <w:shd w:val="clear" w:color="auto" w:fill="E5F1F8"/>
          </w:tcPr>
          <w:p>
            <w:pPr>
              <w:spacing w:after="0"/>
              <w:rPr>
                <w:sz w:val="16"/>
                <w:szCs w:val="16"/>
                <w:color w:val="auto"/>
              </w:rPr>
            </w:pPr>
          </w:p>
        </w:tc>
        <w:tc>
          <w:tcPr>
            <w:tcW w:w="116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32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189"/>
        </w:trPr>
        <w:tc>
          <w:tcPr>
            <w:tcW w:w="48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Allowance for estimated credit losses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007CBA"/>
            </w:tcBorders>
          </w:tcPr>
          <w:p>
            <w:pPr>
              <w:jc w:val="right"/>
              <w:ind w:right="65"/>
              <w:spacing w:after="0"/>
              <w:rPr>
                <w:sz w:val="20"/>
                <w:szCs w:val="20"/>
                <w:color w:val="auto"/>
              </w:rPr>
            </w:pPr>
            <w:r>
              <w:rPr>
                <w:rFonts w:ascii="Arial" w:cs="Arial" w:eastAsia="Arial" w:hAnsi="Arial"/>
                <w:sz w:val="16"/>
                <w:szCs w:val="16"/>
                <w:color w:val="auto"/>
              </w:rPr>
              <w:t>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tcPr>
          <w:p>
            <w:pPr>
              <w:jc w:val="right"/>
              <w:ind w:right="6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tcPr>
          <w:p>
            <w:pPr>
              <w:ind w:left="6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32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8</w:t>
            </w:r>
          </w:p>
        </w:tc>
      </w:tr>
      <w:tr>
        <w:trPr>
          <w:trHeight w:val="189"/>
        </w:trPr>
        <w:tc>
          <w:tcPr>
            <w:tcW w:w="480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100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980" w:type="dxa"/>
            <w:vAlign w:val="bottom"/>
            <w:tcBorders>
              <w:right w:val="single" w:sz="8" w:color="007CBA"/>
            </w:tcBorders>
            <w:shd w:val="clear" w:color="auto" w:fill="E5F1F8"/>
          </w:tcPr>
          <w:p>
            <w:pPr>
              <w:spacing w:after="0"/>
              <w:rPr>
                <w:sz w:val="16"/>
                <w:szCs w:val="16"/>
                <w:color w:val="auto"/>
              </w:rPr>
            </w:pPr>
          </w:p>
        </w:tc>
        <w:tc>
          <w:tcPr>
            <w:tcW w:w="220" w:type="dxa"/>
            <w:vAlign w:val="bottom"/>
            <w:shd w:val="clear" w:color="auto" w:fill="E5F1F8"/>
          </w:tcPr>
          <w:p>
            <w:pPr>
              <w:spacing w:after="0"/>
              <w:rPr>
                <w:sz w:val="16"/>
                <w:szCs w:val="16"/>
                <w:color w:val="auto"/>
              </w:rPr>
            </w:pPr>
          </w:p>
        </w:tc>
        <w:tc>
          <w:tcPr>
            <w:tcW w:w="116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32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189"/>
        </w:trPr>
        <w:tc>
          <w:tcPr>
            <w:tcW w:w="48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240" w:type="dxa"/>
            <w:vAlign w:val="bottom"/>
          </w:tcPr>
          <w:p>
            <w:pPr>
              <w:spacing w:after="0"/>
              <w:rPr>
                <w:sz w:val="16"/>
                <w:szCs w:val="16"/>
                <w:color w:val="auto"/>
              </w:rPr>
            </w:pPr>
          </w:p>
        </w:tc>
        <w:tc>
          <w:tcPr>
            <w:tcW w:w="100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8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Allowance for estimated credit losses</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11</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1</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007CBA"/>
            </w:tcBorders>
            <w:shd w:val="clear" w:color="auto" w:fill="E5F1F8"/>
          </w:tcPr>
          <w:p>
            <w:pPr>
              <w:ind w:left="6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F1F8"/>
          </w:tcPr>
          <w:p>
            <w:pPr>
              <w:jc w:val="right"/>
              <w:ind w:right="3"/>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007CBA"/>
            </w:tcBorders>
            <w:shd w:val="clear" w:color="auto" w:fill="E5F1F8"/>
          </w:tcPr>
          <w:p>
            <w:pPr>
              <w:spacing w:after="0"/>
              <w:rPr>
                <w:sz w:val="16"/>
                <w:szCs w:val="16"/>
                <w:color w:val="auto"/>
              </w:rPr>
            </w:pP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1F8"/>
          </w:tcPr>
          <w:p>
            <w:pPr>
              <w:jc w:val="right"/>
              <w:ind w:right="44"/>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-1593850</wp:posOffset>
            </wp:positionV>
            <wp:extent cx="156845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21">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1020" w:hanging="503"/>
        <w:spacing w:after="0"/>
        <w:tabs>
          <w:tab w:leader="none" w:pos="1020" w:val="left"/>
        </w:tabs>
        <w:numPr>
          <w:ilvl w:val="0"/>
          <w:numId w:val="29"/>
        </w:numPr>
        <w:rPr>
          <w:rFonts w:ascii="Calibri" w:cs="Calibri" w:eastAsia="Calibri" w:hAnsi="Calibri"/>
          <w:sz w:val="14"/>
          <w:szCs w:val="14"/>
          <w:color w:val="auto"/>
        </w:rPr>
      </w:pPr>
      <w:r>
        <w:rPr>
          <w:rFonts w:ascii="Arial" w:cs="Arial" w:eastAsia="Arial" w:hAnsi="Arial"/>
          <w:sz w:val="14"/>
          <w:szCs w:val="14"/>
          <w:color w:val="auto"/>
        </w:rPr>
        <w:t>Change in estimates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 FORM 10-K SUMMARY</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chosen not to include an optional summary of the information required by this Form 10-K. For a reference to the information in this Form 10-K, investors should refer to the Table of Contents to this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Signatures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MARTIN MARIETTA MATERIALS, INC.</w:t>
      </w:r>
    </w:p>
    <w:p>
      <w:pPr>
        <w:spacing w:after="0" w:line="198"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Sara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8890</wp:posOffset>
            </wp:positionV>
            <wp:extent cx="291465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Sara W. Brown</w:t>
      </w:r>
    </w:p>
    <w:p>
      <w:pPr>
        <w:ind w:left="6660"/>
        <w:spacing w:after="0" w:line="234" w:lineRule="auto"/>
        <w:rPr>
          <w:sz w:val="20"/>
          <w:szCs w:val="20"/>
          <w:color w:val="auto"/>
        </w:rPr>
      </w:pPr>
      <w:r>
        <w:rPr>
          <w:rFonts w:ascii="Arial" w:cs="Arial" w:eastAsia="Arial" w:hAnsi="Arial"/>
          <w:sz w:val="18"/>
          <w:szCs w:val="18"/>
          <w:color w:val="auto"/>
        </w:rPr>
        <w:t>Deputy General Counsel and Assistant Corporate</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2026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KNOW ALL PERSONS BY THESE PRESENTS, that each person whose signature appears below appoints Sara W. Brown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full power and authority to do and perform each in connection therewith, as fully to all intents and purposes as he or she might or could do in person, hereby ratifying and confirming all that said attorney-in-fact, or her substitute or substitutes, may lawfully do or cause to be done by virtue hereof.</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by the following persons on behalf of the registrant and in the capacities and on the dates indicated: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-164465</wp:posOffset>
            </wp:positionV>
            <wp:extent cx="325755" cy="1968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308"/>
        </w:trPr>
        <w:tc>
          <w:tcPr>
            <w:tcW w:w="4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540" w:type="dxa"/>
            <w:vAlign w:val="bottom"/>
          </w:tcPr>
          <w:p>
            <w:pPr>
              <w:ind w:left="1460"/>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7"/>
                <w:szCs w:val="17"/>
                <w:color w:val="000000"/>
              </w:rPr>
              <w:t>Signatures</w:t>
            </w:r>
          </w:p>
        </w:tc>
      </w:tr>
      <w:tr>
        <w:trPr>
          <w:trHeight w:val="371"/>
        </w:trPr>
        <w:tc>
          <w:tcPr>
            <w:tcW w:w="4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9"/>
        </w:trPr>
        <w:tc>
          <w:tcPr>
            <w:tcW w:w="4500" w:type="dxa"/>
            <w:vAlign w:val="bottom"/>
            <w:shd w:val="clear" w:color="auto" w:fill="007CBA"/>
          </w:tcPr>
          <w:p>
            <w:pPr>
              <w:ind w:left="1880"/>
              <w:spacing w:after="0"/>
              <w:rPr>
                <w:sz w:val="20"/>
                <w:szCs w:val="20"/>
                <w:color w:val="auto"/>
              </w:rPr>
            </w:pPr>
            <w:r>
              <w:rPr>
                <w:rFonts w:ascii="Arial" w:cs="Arial" w:eastAsia="Arial" w:hAnsi="Arial"/>
                <w:sz w:val="18"/>
                <w:szCs w:val="18"/>
                <w:i w:val="1"/>
                <w:iCs w:val="1"/>
                <w:color w:val="FFFFFF"/>
              </w:rPr>
              <w:t>Signature</w:t>
            </w:r>
          </w:p>
        </w:tc>
        <w:tc>
          <w:tcPr>
            <w:tcW w:w="4200" w:type="dxa"/>
            <w:vAlign w:val="bottom"/>
            <w:shd w:val="clear" w:color="auto" w:fill="007CBA"/>
          </w:tcPr>
          <w:p>
            <w:pPr>
              <w:ind w:left="2200"/>
              <w:spacing w:after="0"/>
              <w:rPr>
                <w:sz w:val="20"/>
                <w:szCs w:val="20"/>
                <w:color w:val="auto"/>
              </w:rPr>
            </w:pPr>
            <w:r>
              <w:rPr>
                <w:rFonts w:ascii="Arial" w:cs="Arial" w:eastAsia="Arial" w:hAnsi="Arial"/>
                <w:sz w:val="18"/>
                <w:szCs w:val="18"/>
                <w:i w:val="1"/>
                <w:iCs w:val="1"/>
                <w:color w:val="FFFFFF"/>
              </w:rPr>
              <w:t>Title</w:t>
            </w:r>
          </w:p>
        </w:tc>
        <w:tc>
          <w:tcPr>
            <w:tcW w:w="2540" w:type="dxa"/>
            <w:vAlign w:val="bottom"/>
            <w:shd w:val="clear" w:color="auto" w:fill="007CBA"/>
          </w:tcPr>
          <w:p>
            <w:pPr>
              <w:jc w:val="center"/>
              <w:ind w:left="428"/>
              <w:spacing w:after="0"/>
              <w:rPr>
                <w:sz w:val="20"/>
                <w:szCs w:val="20"/>
                <w:color w:val="auto"/>
              </w:rPr>
            </w:pPr>
            <w:r>
              <w:rPr>
                <w:rFonts w:ascii="Arial" w:cs="Arial" w:eastAsia="Arial" w:hAnsi="Arial"/>
                <w:sz w:val="18"/>
                <w:szCs w:val="18"/>
                <w:i w:val="1"/>
                <w:iCs w:val="1"/>
                <w:color w:val="FFFFFF"/>
                <w:w w:val="99"/>
              </w:rPr>
              <w:t>Date</w:t>
            </w:r>
          </w:p>
        </w:tc>
      </w:tr>
      <w:tr>
        <w:trPr>
          <w:trHeight w:val="158"/>
        </w:trPr>
        <w:tc>
          <w:tcPr>
            <w:tcW w:w="4500" w:type="dxa"/>
            <w:vAlign w:val="bottom"/>
            <w:shd w:val="clear" w:color="auto" w:fill="007CBA"/>
          </w:tcPr>
          <w:p>
            <w:pPr>
              <w:spacing w:after="0"/>
              <w:rPr>
                <w:sz w:val="13"/>
                <w:szCs w:val="13"/>
                <w:color w:val="auto"/>
              </w:rPr>
            </w:pPr>
          </w:p>
        </w:tc>
        <w:tc>
          <w:tcPr>
            <w:tcW w:w="4200" w:type="dxa"/>
            <w:vAlign w:val="bottom"/>
            <w:shd w:val="clear" w:color="auto" w:fill="007CBA"/>
          </w:tcPr>
          <w:p>
            <w:pPr>
              <w:spacing w:after="0"/>
              <w:rPr>
                <w:sz w:val="13"/>
                <w:szCs w:val="13"/>
                <w:color w:val="auto"/>
              </w:rPr>
            </w:pPr>
          </w:p>
        </w:tc>
        <w:tc>
          <w:tcPr>
            <w:tcW w:w="2540" w:type="dxa"/>
            <w:vAlign w:val="bottom"/>
            <w:shd w:val="clear" w:color="auto" w:fill="007CBA"/>
          </w:tcPr>
          <w:p>
            <w:pPr>
              <w:spacing w:after="0"/>
              <w:rPr>
                <w:sz w:val="13"/>
                <w:szCs w:val="13"/>
                <w:color w:val="auto"/>
              </w:rPr>
            </w:pPr>
          </w:p>
        </w:tc>
      </w:tr>
      <w:tr>
        <w:trPr>
          <w:trHeight w:val="32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Howard Nye</w:t>
            </w:r>
          </w:p>
        </w:tc>
        <w:tc>
          <w:tcPr>
            <w:tcW w:w="4200" w:type="dxa"/>
            <w:vAlign w:val="bottom"/>
          </w:tcPr>
          <w:p>
            <w:pPr>
              <w:ind w:left="120"/>
              <w:spacing w:after="0"/>
              <w:rPr>
                <w:sz w:val="20"/>
                <w:szCs w:val="20"/>
                <w:color w:val="auto"/>
              </w:rPr>
            </w:pPr>
            <w:r>
              <w:rPr>
                <w:rFonts w:ascii="Arial" w:cs="Arial" w:eastAsia="Arial" w:hAnsi="Arial"/>
                <w:sz w:val="18"/>
                <w:szCs w:val="18"/>
                <w:color w:val="auto"/>
              </w:rPr>
              <w:t>Chair of the Board,</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C. Howard Nye</w:t>
            </w:r>
          </w:p>
        </w:tc>
        <w:tc>
          <w:tcPr>
            <w:tcW w:w="420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Petro</w:t>
            </w:r>
          </w:p>
        </w:tc>
        <w:tc>
          <w:tcPr>
            <w:tcW w:w="420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Michael J. Petro</w:t>
            </w:r>
          </w:p>
        </w:tc>
        <w:tc>
          <w:tcPr>
            <w:tcW w:w="4200" w:type="dxa"/>
            <w:vAlign w:val="bottom"/>
          </w:tcPr>
          <w:p>
            <w:pPr>
              <w:ind w:left="280"/>
              <w:spacing w:after="0"/>
              <w:rPr>
                <w:sz w:val="20"/>
                <w:szCs w:val="20"/>
                <w:color w:val="auto"/>
              </w:rPr>
            </w:pPr>
            <w:r>
              <w:rPr>
                <w:rFonts w:ascii="Arial" w:cs="Arial" w:eastAsia="Arial" w:hAnsi="Arial"/>
                <w:sz w:val="18"/>
                <w:szCs w:val="18"/>
                <w:color w:val="auto"/>
              </w:rPr>
              <w:t>and Chief Financial Officer</w:t>
            </w: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Cardin</w:t>
            </w:r>
          </w:p>
        </w:tc>
        <w:tc>
          <w:tcPr>
            <w:tcW w:w="420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Robert J. Cardin</w:t>
            </w:r>
          </w:p>
        </w:tc>
        <w:tc>
          <w:tcPr>
            <w:tcW w:w="4200" w:type="dxa"/>
            <w:vAlign w:val="bottom"/>
          </w:tcPr>
          <w:p>
            <w:pPr>
              <w:ind w:left="280"/>
              <w:spacing w:after="0"/>
              <w:rPr>
                <w:sz w:val="20"/>
                <w:szCs w:val="20"/>
                <w:color w:val="auto"/>
              </w:rPr>
            </w:pPr>
            <w:r>
              <w:rPr>
                <w:rFonts w:ascii="Arial" w:cs="Arial" w:eastAsia="Arial" w:hAnsi="Arial"/>
                <w:sz w:val="18"/>
                <w:szCs w:val="18"/>
                <w:color w:val="auto"/>
              </w:rPr>
              <w:t>Controller and Chief Accounting Officer</w:t>
            </w: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Dorothy M. Ables</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Dorothy M. Ables</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Sue W. Cole</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Sue W. Cole</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R. Foxx</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Anthony R. Foxx</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J. Koraleski</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John J. Koraleski</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T. Mack</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Mary T. Mack</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Laree E. Perez</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Laree E. Perez</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Pike</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Thomas H. Pike</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W. Slager</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Donald W. Slager</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Wajsgras</w:t>
            </w:r>
          </w:p>
        </w:tc>
        <w:tc>
          <w:tcPr>
            <w:tcW w:w="4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428"/>
              <w:spacing w:after="0"/>
              <w:rPr>
                <w:sz w:val="20"/>
                <w:szCs w:val="20"/>
                <w:color w:val="auto"/>
              </w:rPr>
            </w:pPr>
            <w:r>
              <w:rPr>
                <w:rFonts w:ascii="Arial" w:cs="Arial" w:eastAsia="Arial" w:hAnsi="Arial"/>
                <w:sz w:val="18"/>
                <w:szCs w:val="18"/>
                <w:color w:val="auto"/>
                <w:w w:val="99"/>
              </w:rPr>
              <w:t>February 19, 2026</w:t>
            </w: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David C. Wajsgras</w:t>
            </w:r>
          </w:p>
        </w:tc>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564"/>
        </w:trPr>
        <w:tc>
          <w:tcPr>
            <w:tcW w:w="450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120</w:t>
            </w:r>
          </w:p>
        </w:tc>
        <w:tc>
          <w:tcPr>
            <w:tcW w:w="42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865"/>
        </w:trPr>
        <w:tc>
          <w:tcPr>
            <w:tcW w:w="45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-753745</wp:posOffset>
            </wp:positionV>
            <wp:extent cx="325755" cy="1974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3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2" w:name="page123"/>
    <w:bookmarkEnd w:id="122"/>
    <w:p>
      <w:pPr>
        <w:spacing w:after="0" w:line="200" w:lineRule="exact"/>
        <w:rPr>
          <w:sz w:val="20"/>
          <w:szCs w:val="20"/>
          <w:color w:val="auto"/>
        </w:rPr>
      </w:pPr>
    </w:p>
    <w:p>
      <w:pPr>
        <w:spacing w:after="0" w:line="205"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SUBSIDIARIES OF MARTIN MARIETTA MATERIALS, Inc.</w:t>
      </w:r>
    </w:p>
    <w:p>
      <w:pPr>
        <w:spacing w:after="0" w:line="25"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AS OF DECEMBER 31, 2025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Subsidiary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1560947 B.C. LTD., a British Columbia, Canada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2M Lands, LLC, a North Carolina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Alamo Gulf Coast Railroad Company, a Texas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Alamo North Texas Railroad Company, a Texas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Albert Frei &amp; Sons, Inc., a Colorado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American Aggregates Corporation, a North Carolina corporation</w:t>
      </w:r>
    </w:p>
    <w:p>
      <w:pPr>
        <w:spacing w:after="0" w:line="198" w:lineRule="exact"/>
        <w:rPr>
          <w:sz w:val="20"/>
          <w:szCs w:val="20"/>
          <w:color w:val="auto"/>
        </w:rPr>
      </w:pPr>
    </w:p>
    <w:p>
      <w:pPr>
        <w:ind w:right="3140"/>
        <w:spacing w:after="0" w:line="469" w:lineRule="auto"/>
        <w:rPr>
          <w:sz w:val="20"/>
          <w:szCs w:val="20"/>
          <w:color w:val="auto"/>
        </w:rPr>
      </w:pPr>
      <w:r>
        <w:rPr>
          <w:rFonts w:ascii="Arial" w:cs="Arial" w:eastAsia="Arial" w:hAnsi="Arial"/>
          <w:sz w:val="18"/>
          <w:szCs w:val="18"/>
          <w:color w:val="auto"/>
        </w:rPr>
        <w:t>American Materials Technologies, LLC, a Tennessee limited liability company American Stone Company, a North Carolina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 &amp; MJ Frei Limited Partnership, a Colorado limited liability partnership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Bahama Aggregates Company, LLC, a Delaware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Bahama Cement Company, a Liberian nonresident domestic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Bahama Rock Limited, a Bahamas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Bluegrass – Blue Mount, LLC, a North Carolina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Bluegrass Materials Company, LLC, a North Carolina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Bluegrass-St. Marys, LLC, a North Carolina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Brookhollow Corporation, a Delaware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Campbell’s C-Ment Contracting, Inc., a Colorado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Carolina Quarries, Inc., a Delaware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CIG MC LLC, a Colorado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Creole Corporation, a Delaware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FRI Ready Mix of Tennessee, LLC, a Florida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Front Range Aggregates LLC, a Delaware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Granite Canyon Quarry, a Wyoming joint venture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Harding Street Corporation, a North Carolina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HSMM LLC, a North Carolina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Kent Sand &amp; Gravel Company, LLC, a North Carolina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Percent</w:t>
      </w:r>
    </w:p>
    <w:p>
      <w:pPr>
        <w:ind w:left="460"/>
        <w:spacing w:after="0" w:line="218" w:lineRule="auto"/>
        <w:rPr>
          <w:sz w:val="20"/>
          <w:szCs w:val="20"/>
          <w:color w:val="auto"/>
        </w:rPr>
      </w:pPr>
      <w:r>
        <w:rPr>
          <w:rFonts w:ascii="Arial" w:cs="Arial" w:eastAsia="Arial" w:hAnsi="Arial"/>
          <w:sz w:val="18"/>
          <w:szCs w:val="18"/>
          <w:b w:val="1"/>
          <w:bCs w:val="1"/>
          <w:u w:val="single" w:color="auto"/>
          <w:color w:val="auto"/>
        </w:rPr>
        <w:t>Owned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2</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99.5%</w:t>
      </w:r>
      <w:r>
        <w:rPr>
          <w:rFonts w:ascii="Arial" w:cs="Arial" w:eastAsia="Arial" w:hAnsi="Arial"/>
          <w:sz w:val="24"/>
          <w:szCs w:val="24"/>
          <w:color w:val="auto"/>
          <w:vertAlign w:val="superscript"/>
        </w:rPr>
        <w:t>3</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99.5%</w:t>
      </w:r>
      <w:r>
        <w:rPr>
          <w:rFonts w:ascii="Arial" w:cs="Arial" w:eastAsia="Arial" w:hAnsi="Arial"/>
          <w:sz w:val="24"/>
          <w:szCs w:val="24"/>
          <w:color w:val="auto"/>
          <w:vertAlign w:val="superscript"/>
        </w:rPr>
        <w:t>4</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5</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6</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50%</w:t>
      </w:r>
      <w:r>
        <w:rPr>
          <w:rFonts w:ascii="Arial" w:cs="Arial" w:eastAsia="Arial" w:hAnsi="Arial"/>
          <w:sz w:val="24"/>
          <w:szCs w:val="24"/>
          <w:color w:val="auto"/>
          <w:vertAlign w:val="superscript"/>
        </w:rPr>
        <w:t>7</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8</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9</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10</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11</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12</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13</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14</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15</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16</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17</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18</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perscript"/>
        </w:rPr>
        <w:t>19</w:t>
      </w:r>
    </w:p>
    <w:p>
      <w:pPr>
        <w:sectPr>
          <w:pgSz w:w="11900" w:h="16838" w:orient="portrait"/>
          <w:cols w:equalWidth="0" w:num="2">
            <w:col w:w="9320" w:space="720"/>
            <w:col w:w="1200"/>
          </w:cols>
          <w:pgMar w:left="320" w:top="769"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323"/>
        </w:trPr>
        <w:tc>
          <w:tcPr>
            <w:tcW w:w="8820" w:type="dxa"/>
            <w:vAlign w:val="bottom"/>
          </w:tcPr>
          <w:p>
            <w:pPr>
              <w:spacing w:after="0"/>
              <w:rPr>
                <w:sz w:val="20"/>
                <w:szCs w:val="20"/>
                <w:color w:val="auto"/>
              </w:rPr>
            </w:pPr>
            <w:r>
              <w:rPr>
                <w:rFonts w:ascii="Arial" w:cs="Arial" w:eastAsia="Arial" w:hAnsi="Arial"/>
                <w:sz w:val="18"/>
                <w:szCs w:val="18"/>
                <w:color w:val="auto"/>
              </w:rPr>
              <w:t>Mardell Trucking Company, Inc., a North Carolina corporation</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20</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Marlin Acquisition Company 2, Inc., a Delaware corporation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ALTN Aggregates, Inc., a Tennessee corporation</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21</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ALTN Holdings, Inc., a Delaware corporation</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22</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Arizona, LLC, a North Carolina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23</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Bluegrass, LLC, a North Carolina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California A&amp;P, LLC, a North Carolina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24</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California Ready-Mix,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25</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Exchange Entity, LLC, a North Carolina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Fleet Management LLC, a North Carolina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26</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Funding LLC, a Delaware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Inc., a North Carolina corporation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Kansas City,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27</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Magnesia Specialties, LLC, a Delaware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Marine Finance, LLC, a California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28</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Marine Operations, LLC, a California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29</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Materials Canada Limited, a Nova Scotia, Canada corporation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Materials of Missouri, Inc., a North Carolina corporation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Materials Real Estate Investments, Inc., a North Carolina corporation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Materials Southwest, LLC, a Delaware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Materials West Division, LLC, a North Carolina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Northern California Aggregates,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30</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North Texas Cement, LLC, a Delaware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Pacific District Cement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31</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San Diego Aggregates LLC, a California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32</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Southern California Aggregates,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33</w:t>
            </w:r>
          </w:p>
        </w:tc>
      </w:tr>
      <w:tr>
        <w:trPr>
          <w:trHeight w:val="342"/>
        </w:trPr>
        <w:tc>
          <w:tcPr>
            <w:tcW w:w="8820" w:type="dxa"/>
            <w:vAlign w:val="bottom"/>
          </w:tcPr>
          <w:p>
            <w:pPr>
              <w:spacing w:after="0"/>
              <w:rPr>
                <w:sz w:val="20"/>
                <w:szCs w:val="20"/>
                <w:color w:val="auto"/>
              </w:rPr>
            </w:pPr>
            <w:r>
              <w:rPr>
                <w:rFonts w:ascii="Arial" w:cs="Arial" w:eastAsia="Arial" w:hAnsi="Arial"/>
                <w:sz w:val="18"/>
                <w:szCs w:val="18"/>
                <w:color w:val="auto"/>
              </w:rPr>
              <w:t>Martin Marietta South Texas Cement, LLC, a Delaware limited liability company</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99"/>
              </w:rPr>
              <w:t>100%</w:t>
            </w:r>
          </w:p>
        </w:tc>
      </w:tr>
      <w:tr>
        <w:trPr>
          <w:trHeight w:val="468"/>
        </w:trPr>
        <w:tc>
          <w:tcPr>
            <w:tcW w:w="8820" w:type="dxa"/>
            <w:vAlign w:val="bottom"/>
          </w:tcPr>
          <w:p>
            <w:pPr>
              <w:spacing w:after="0"/>
              <w:rPr>
                <w:sz w:val="20"/>
                <w:szCs w:val="20"/>
                <w:color w:val="auto"/>
              </w:rPr>
            </w:pPr>
            <w:r>
              <w:rPr>
                <w:rFonts w:ascii="Arial" w:cs="Arial" w:eastAsia="Arial" w:hAnsi="Arial"/>
                <w:sz w:val="18"/>
                <w:szCs w:val="18"/>
                <w:color w:val="auto"/>
              </w:rPr>
              <w:t>Martin Marietta Texas Ready-Mix, LLC, a Texas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34</w:t>
            </w:r>
          </w:p>
        </w:tc>
      </w:tr>
      <w:tr>
        <w:trPr>
          <w:trHeight w:val="405"/>
        </w:trPr>
        <w:tc>
          <w:tcPr>
            <w:tcW w:w="8820" w:type="dxa"/>
            <w:vAlign w:val="bottom"/>
          </w:tcPr>
          <w:p>
            <w:pPr>
              <w:spacing w:after="0"/>
              <w:rPr>
                <w:sz w:val="20"/>
                <w:szCs w:val="20"/>
                <w:color w:val="auto"/>
              </w:rPr>
            </w:pPr>
            <w:r>
              <w:rPr>
                <w:rFonts w:ascii="Arial" w:cs="Arial" w:eastAsia="Arial" w:hAnsi="Arial"/>
                <w:sz w:val="18"/>
                <w:szCs w:val="18"/>
                <w:color w:val="auto"/>
              </w:rPr>
              <w:t>Martin Marietta Southeast AGG Operations, LLC, a Delaware limited liability company</w:t>
            </w:r>
          </w:p>
        </w:tc>
        <w:tc>
          <w:tcPr>
            <w:tcW w:w="2420" w:type="dxa"/>
            <w:vAlign w:val="bottom"/>
          </w:tcPr>
          <w:p>
            <w:pPr>
              <w:jc w:val="center"/>
              <w:ind w:left="145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35</w:t>
            </w:r>
          </w:p>
        </w:tc>
      </w:tr>
      <w:tr>
        <w:trPr>
          <w:trHeight w:val="683"/>
        </w:trPr>
        <w:tc>
          <w:tcPr>
            <w:tcW w:w="88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9"/>
        </w:trPr>
        <w:tc>
          <w:tcPr>
            <w:tcW w:w="9000" w:type="dxa"/>
            <w:vAlign w:val="bottom"/>
          </w:tcPr>
          <w:p>
            <w:pPr>
              <w:spacing w:after="0"/>
              <w:rPr>
                <w:sz w:val="20"/>
                <w:szCs w:val="20"/>
                <w:color w:val="auto"/>
              </w:rPr>
            </w:pPr>
            <w:r>
              <w:rPr>
                <w:rFonts w:ascii="Arial" w:cs="Arial" w:eastAsia="Arial" w:hAnsi="Arial"/>
                <w:sz w:val="18"/>
                <w:szCs w:val="18"/>
                <w:color w:val="auto"/>
              </w:rPr>
              <w:t>Martin Marietta Southeast Aggregates, Inc., a Delaware corporation</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Martin Marietta Southwest Ready-Mix, Inc., a Delaware corporation</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68"/>
        </w:trPr>
        <w:tc>
          <w:tcPr>
            <w:tcW w:w="9000" w:type="dxa"/>
            <w:vAlign w:val="bottom"/>
          </w:tcPr>
          <w:p>
            <w:pPr>
              <w:spacing w:after="0"/>
              <w:rPr>
                <w:sz w:val="20"/>
                <w:szCs w:val="20"/>
                <w:color w:val="auto"/>
              </w:rPr>
            </w:pPr>
            <w:r>
              <w:rPr>
                <w:rFonts w:ascii="Arial" w:cs="Arial" w:eastAsia="Arial" w:hAnsi="Arial"/>
                <w:sz w:val="18"/>
                <w:szCs w:val="18"/>
                <w:color w:val="auto"/>
              </w:rPr>
              <w:t>Martin Marietta Stockton, LLC, a Delaware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36</w:t>
            </w:r>
          </w:p>
        </w:tc>
      </w:tr>
      <w:tr>
        <w:trPr>
          <w:trHeight w:val="342"/>
        </w:trPr>
        <w:tc>
          <w:tcPr>
            <w:tcW w:w="9000" w:type="dxa"/>
            <w:vAlign w:val="bottom"/>
          </w:tcPr>
          <w:p>
            <w:pPr>
              <w:spacing w:after="0"/>
              <w:rPr>
                <w:sz w:val="20"/>
                <w:szCs w:val="20"/>
                <w:color w:val="auto"/>
              </w:rPr>
            </w:pPr>
            <w:r>
              <w:rPr>
                <w:rFonts w:ascii="Arial" w:cs="Arial" w:eastAsia="Arial" w:hAnsi="Arial"/>
                <w:sz w:val="18"/>
                <w:szCs w:val="18"/>
                <w:color w:val="auto"/>
              </w:rPr>
              <w:t>Martin Marietta Transportation and Distribution, LLC, a North Carolina limited liability company</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68"/>
        </w:trPr>
        <w:tc>
          <w:tcPr>
            <w:tcW w:w="9000" w:type="dxa"/>
            <w:vAlign w:val="bottom"/>
          </w:tcPr>
          <w:p>
            <w:pPr>
              <w:spacing w:after="0"/>
              <w:rPr>
                <w:sz w:val="20"/>
                <w:szCs w:val="20"/>
                <w:color w:val="auto"/>
              </w:rPr>
            </w:pPr>
            <w:r>
              <w:rPr>
                <w:rFonts w:ascii="Arial" w:cs="Arial" w:eastAsia="Arial" w:hAnsi="Arial"/>
                <w:sz w:val="18"/>
                <w:szCs w:val="18"/>
                <w:color w:val="auto"/>
              </w:rPr>
              <w:t>Material Producers, Inc., an Oklahoma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37</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Maryland Materials, Inc., a North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38</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Meridian Aggregates Company, a Limited Partnership, a North Carolina limited partnership</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39</w:t>
            </w:r>
          </w:p>
        </w:tc>
      </w:tr>
      <w:tr>
        <w:trPr>
          <w:trHeight w:val="342"/>
        </w:trPr>
        <w:tc>
          <w:tcPr>
            <w:tcW w:w="9000" w:type="dxa"/>
            <w:vAlign w:val="bottom"/>
          </w:tcPr>
          <w:p>
            <w:pPr>
              <w:spacing w:after="0"/>
              <w:rPr>
                <w:sz w:val="20"/>
                <w:szCs w:val="20"/>
                <w:color w:val="auto"/>
              </w:rPr>
            </w:pPr>
            <w:r>
              <w:rPr>
                <w:rFonts w:ascii="Arial" w:cs="Arial" w:eastAsia="Arial" w:hAnsi="Arial"/>
                <w:sz w:val="18"/>
                <w:szCs w:val="18"/>
                <w:color w:val="auto"/>
              </w:rPr>
              <w:t>Meridian Aggregates Company Northwest, LLC, a North Carolina limited liability company</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68"/>
        </w:trPr>
        <w:tc>
          <w:tcPr>
            <w:tcW w:w="9000" w:type="dxa"/>
            <w:vAlign w:val="bottom"/>
          </w:tcPr>
          <w:p>
            <w:pPr>
              <w:spacing w:after="0"/>
              <w:rPr>
                <w:sz w:val="20"/>
                <w:szCs w:val="20"/>
                <w:color w:val="auto"/>
              </w:rPr>
            </w:pPr>
            <w:r>
              <w:rPr>
                <w:rFonts w:ascii="Arial" w:cs="Arial" w:eastAsia="Arial" w:hAnsi="Arial"/>
                <w:sz w:val="18"/>
                <w:szCs w:val="18"/>
                <w:color w:val="auto"/>
              </w:rPr>
              <w:t>Meridian Aggregates Investments,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40</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Meridian Granite Company, a North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41</w:t>
            </w:r>
          </w:p>
        </w:tc>
      </w:tr>
      <w:tr>
        <w:trPr>
          <w:trHeight w:val="342"/>
        </w:trPr>
        <w:tc>
          <w:tcPr>
            <w:tcW w:w="9000" w:type="dxa"/>
            <w:vAlign w:val="bottom"/>
          </w:tcPr>
          <w:p>
            <w:pPr>
              <w:spacing w:after="0"/>
              <w:rPr>
                <w:sz w:val="20"/>
                <w:szCs w:val="20"/>
                <w:color w:val="auto"/>
              </w:rPr>
            </w:pPr>
            <w:r>
              <w:rPr>
                <w:rFonts w:ascii="Arial" w:cs="Arial" w:eastAsia="Arial" w:hAnsi="Arial"/>
                <w:sz w:val="18"/>
                <w:szCs w:val="18"/>
                <w:color w:val="auto"/>
              </w:rPr>
              <w:t>Mid-State Construction &amp; Materials, Inc., an Arkansas corporation</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68"/>
        </w:trPr>
        <w:tc>
          <w:tcPr>
            <w:tcW w:w="9000" w:type="dxa"/>
            <w:vAlign w:val="bottom"/>
          </w:tcPr>
          <w:p>
            <w:pPr>
              <w:spacing w:after="0"/>
              <w:rPr>
                <w:sz w:val="20"/>
                <w:szCs w:val="20"/>
                <w:color w:val="auto"/>
              </w:rPr>
            </w:pPr>
            <w:r>
              <w:rPr>
                <w:rFonts w:ascii="Arial" w:cs="Arial" w:eastAsia="Arial" w:hAnsi="Arial"/>
                <w:sz w:val="18"/>
                <w:szCs w:val="18"/>
                <w:color w:val="auto"/>
              </w:rPr>
              <w:t>Mission Valley Rock Co., LLC, a California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42</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MMM Mexico I,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43</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MMM Mexico,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44</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MMMW AGG,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45</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MMMW CMT,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46</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MTD Pipeline LLC, a Delaware limited liability company</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2"/>
              </w:rPr>
              <w:t>50%</w:t>
            </w:r>
            <w:r>
              <w:rPr>
                <w:rFonts w:ascii="Arial" w:cs="Arial" w:eastAsia="Arial" w:hAnsi="Arial"/>
                <w:sz w:val="24"/>
                <w:szCs w:val="24"/>
                <w:color w:val="auto"/>
                <w:w w:val="92"/>
                <w:vertAlign w:val="superscript"/>
              </w:rPr>
              <w:t>47</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Mystic Valley LLC, a Colorado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48</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Northeast Land and Material Company, Inc., a North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49</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Palmetto Sand Company Inc., a South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50</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Panadero Midco,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51</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PCAz Leasing, LLC, an Arizona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52</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Petrillo Brothers, Inc., a North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53</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Piedras y Arenas Baja, S. de R.L. de C.V., a Mexico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54</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Powderly Transportation, Inc., a North Carolina corporation</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55</w:t>
            </w:r>
          </w:p>
        </w:tc>
      </w:tr>
      <w:tr>
        <w:trPr>
          <w:trHeight w:val="342"/>
        </w:trPr>
        <w:tc>
          <w:tcPr>
            <w:tcW w:w="9000" w:type="dxa"/>
            <w:vAlign w:val="bottom"/>
          </w:tcPr>
          <w:p>
            <w:pPr>
              <w:spacing w:after="0"/>
              <w:rPr>
                <w:sz w:val="20"/>
                <w:szCs w:val="20"/>
                <w:color w:val="auto"/>
              </w:rPr>
            </w:pPr>
            <w:r>
              <w:rPr>
                <w:rFonts w:ascii="Arial" w:cs="Arial" w:eastAsia="Arial" w:hAnsi="Arial"/>
                <w:sz w:val="18"/>
                <w:szCs w:val="18"/>
                <w:color w:val="auto"/>
              </w:rPr>
              <w:t>Premier Magnesia, LLC, a Delaware limited liability company</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468"/>
        </w:trPr>
        <w:tc>
          <w:tcPr>
            <w:tcW w:w="9000" w:type="dxa"/>
            <w:vAlign w:val="bottom"/>
          </w:tcPr>
          <w:p>
            <w:pPr>
              <w:spacing w:after="0"/>
              <w:rPr>
                <w:sz w:val="20"/>
                <w:szCs w:val="20"/>
                <w:color w:val="auto"/>
              </w:rPr>
            </w:pPr>
            <w:r>
              <w:rPr>
                <w:rFonts w:ascii="Arial" w:cs="Arial" w:eastAsia="Arial" w:hAnsi="Arial"/>
                <w:sz w:val="18"/>
                <w:szCs w:val="18"/>
                <w:color w:val="auto"/>
              </w:rPr>
              <w:t>R&amp;S Sand &amp; Gravel, LLC, a North Carolina limited liability company</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56</w:t>
            </w:r>
          </w:p>
        </w:tc>
      </w:tr>
      <w:tr>
        <w:trPr>
          <w:trHeight w:val="405"/>
        </w:trPr>
        <w:tc>
          <w:tcPr>
            <w:tcW w:w="9000" w:type="dxa"/>
            <w:vAlign w:val="bottom"/>
          </w:tcPr>
          <w:p>
            <w:pPr>
              <w:spacing w:after="0"/>
              <w:rPr>
                <w:sz w:val="20"/>
                <w:szCs w:val="20"/>
                <w:color w:val="auto"/>
              </w:rPr>
            </w:pPr>
            <w:r>
              <w:rPr>
                <w:rFonts w:ascii="Arial" w:cs="Arial" w:eastAsia="Arial" w:hAnsi="Arial"/>
                <w:sz w:val="18"/>
                <w:szCs w:val="18"/>
                <w:color w:val="auto"/>
              </w:rPr>
              <w:t>Riverside Cement Company, a California general partnership</w:t>
            </w:r>
          </w:p>
        </w:tc>
        <w:tc>
          <w:tcPr>
            <w:tcW w:w="2240" w:type="dxa"/>
            <w:vAlign w:val="bottom"/>
          </w:tcPr>
          <w:p>
            <w:pPr>
              <w:jc w:val="center"/>
              <w:ind w:left="127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57</w:t>
            </w:r>
          </w:p>
        </w:tc>
      </w:tr>
      <w:tr>
        <w:trPr>
          <w:trHeight w:val="342"/>
        </w:trPr>
        <w:tc>
          <w:tcPr>
            <w:tcW w:w="9000" w:type="dxa"/>
            <w:vAlign w:val="bottom"/>
          </w:tcPr>
          <w:p>
            <w:pPr>
              <w:spacing w:after="0"/>
              <w:rPr>
                <w:sz w:val="20"/>
                <w:szCs w:val="20"/>
                <w:color w:val="auto"/>
              </w:rPr>
            </w:pPr>
            <w:r>
              <w:rPr>
                <w:rFonts w:ascii="Arial" w:cs="Arial" w:eastAsia="Arial" w:hAnsi="Arial"/>
                <w:sz w:val="18"/>
                <w:szCs w:val="18"/>
                <w:color w:val="auto"/>
              </w:rPr>
              <w:t>Rock &amp; Rail LLC, a Colorado limited liability company</w:t>
            </w:r>
          </w:p>
        </w:tc>
        <w:tc>
          <w:tcPr>
            <w:tcW w:w="2240" w:type="dxa"/>
            <w:vAlign w:val="bottom"/>
          </w:tcPr>
          <w:p>
            <w:pPr>
              <w:jc w:val="center"/>
              <w:ind w:left="1250"/>
              <w:spacing w:after="0"/>
              <w:rPr>
                <w:sz w:val="20"/>
                <w:szCs w:val="20"/>
                <w:color w:val="auto"/>
              </w:rPr>
            </w:pPr>
            <w:r>
              <w:rPr>
                <w:rFonts w:ascii="Arial" w:cs="Arial" w:eastAsia="Arial" w:hAnsi="Arial"/>
                <w:sz w:val="18"/>
                <w:szCs w:val="18"/>
                <w:color w:val="auto"/>
                <w:w w:val="99"/>
              </w:rPr>
              <w:t>100%</w:t>
            </w:r>
          </w:p>
        </w:tc>
      </w:tr>
      <w:tr>
        <w:trPr>
          <w:trHeight w:val="745"/>
        </w:trPr>
        <w:tc>
          <w:tcPr>
            <w:tcW w:w="9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9"/>
        </w:trPr>
        <w:tc>
          <w:tcPr>
            <w:tcW w:w="8160" w:type="dxa"/>
            <w:vAlign w:val="bottom"/>
          </w:tcPr>
          <w:p>
            <w:pPr>
              <w:spacing w:after="0"/>
              <w:rPr>
                <w:sz w:val="20"/>
                <w:szCs w:val="20"/>
                <w:color w:val="auto"/>
              </w:rPr>
            </w:pPr>
            <w:r>
              <w:rPr>
                <w:rFonts w:ascii="Arial" w:cs="Arial" w:eastAsia="Arial" w:hAnsi="Arial"/>
                <w:sz w:val="18"/>
                <w:szCs w:val="18"/>
                <w:color w:val="auto"/>
              </w:rPr>
              <w:t>Rocky Mountain Materials and Asphalt, Inc., a Colorado corporation</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9"/>
              </w:rPr>
              <w:t>100%</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Rocky Mountain Premix, Inc., a Colorado corporation</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9"/>
              </w:rPr>
              <w:t>100%</w:t>
            </w:r>
          </w:p>
        </w:tc>
      </w:tr>
      <w:tr>
        <w:trPr>
          <w:trHeight w:val="468"/>
        </w:trPr>
        <w:tc>
          <w:tcPr>
            <w:tcW w:w="8160" w:type="dxa"/>
            <w:vAlign w:val="bottom"/>
          </w:tcPr>
          <w:p>
            <w:pPr>
              <w:spacing w:after="0"/>
              <w:rPr>
                <w:sz w:val="20"/>
                <w:szCs w:val="20"/>
                <w:color w:val="auto"/>
              </w:rPr>
            </w:pPr>
            <w:r>
              <w:rPr>
                <w:rFonts w:ascii="Arial" w:cs="Arial" w:eastAsia="Arial" w:hAnsi="Arial"/>
                <w:sz w:val="18"/>
                <w:szCs w:val="18"/>
                <w:color w:val="auto"/>
              </w:rPr>
              <w:t>Rocky Mountain Ready Mix Concrete, Inc., a Colorado corporation</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58</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Royal Gorge Express, LLC, a Colorado Limited Liability Company</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2"/>
              </w:rPr>
              <w:t>50%</w:t>
            </w:r>
            <w:r>
              <w:rPr>
                <w:rFonts w:ascii="Arial" w:cs="Arial" w:eastAsia="Arial" w:hAnsi="Arial"/>
                <w:sz w:val="24"/>
                <w:szCs w:val="24"/>
                <w:color w:val="auto"/>
                <w:w w:val="92"/>
                <w:vertAlign w:val="superscript"/>
              </w:rPr>
              <w:t>59</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St. Marys Sand Company, LLC, a North Carolina limited liability company</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60</w:t>
            </w:r>
          </w:p>
        </w:tc>
      </w:tr>
      <w:tr>
        <w:trPr>
          <w:trHeight w:val="342"/>
        </w:trPr>
        <w:tc>
          <w:tcPr>
            <w:tcW w:w="8160" w:type="dxa"/>
            <w:vAlign w:val="bottom"/>
          </w:tcPr>
          <w:p>
            <w:pPr>
              <w:spacing w:after="0"/>
              <w:rPr>
                <w:sz w:val="20"/>
                <w:szCs w:val="20"/>
                <w:color w:val="auto"/>
              </w:rPr>
            </w:pPr>
            <w:r>
              <w:rPr>
                <w:rFonts w:ascii="Arial" w:cs="Arial" w:eastAsia="Arial" w:hAnsi="Arial"/>
                <w:sz w:val="18"/>
                <w:szCs w:val="18"/>
                <w:color w:val="auto"/>
              </w:rPr>
              <w:t>Suburban Acquisition Company, a Colorado corporation</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9"/>
              </w:rPr>
              <w:t>100%</w:t>
            </w:r>
          </w:p>
        </w:tc>
      </w:tr>
      <w:tr>
        <w:trPr>
          <w:trHeight w:val="468"/>
        </w:trPr>
        <w:tc>
          <w:tcPr>
            <w:tcW w:w="8160" w:type="dxa"/>
            <w:vAlign w:val="bottom"/>
          </w:tcPr>
          <w:p>
            <w:pPr>
              <w:spacing w:after="0"/>
              <w:rPr>
                <w:sz w:val="20"/>
                <w:szCs w:val="20"/>
                <w:color w:val="auto"/>
              </w:rPr>
            </w:pPr>
            <w:r>
              <w:rPr>
                <w:rFonts w:ascii="Arial" w:cs="Arial" w:eastAsia="Arial" w:hAnsi="Arial"/>
                <w:sz w:val="18"/>
                <w:szCs w:val="18"/>
                <w:color w:val="auto"/>
              </w:rPr>
              <w:t>Theodore Holding, LLC, a Delaware limited liability company</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2"/>
              </w:rPr>
              <w:t>60.7%</w:t>
            </w:r>
            <w:r>
              <w:rPr>
                <w:rFonts w:ascii="Arial" w:cs="Arial" w:eastAsia="Arial" w:hAnsi="Arial"/>
                <w:sz w:val="24"/>
                <w:szCs w:val="24"/>
                <w:color w:val="auto"/>
                <w:w w:val="92"/>
                <w:vertAlign w:val="superscript"/>
              </w:rPr>
              <w:t>61</w:t>
            </w:r>
          </w:p>
        </w:tc>
      </w:tr>
      <w:tr>
        <w:trPr>
          <w:trHeight w:val="342"/>
        </w:trPr>
        <w:tc>
          <w:tcPr>
            <w:tcW w:w="8160" w:type="dxa"/>
            <w:vAlign w:val="bottom"/>
          </w:tcPr>
          <w:p>
            <w:pPr>
              <w:spacing w:after="0"/>
              <w:rPr>
                <w:sz w:val="20"/>
                <w:szCs w:val="20"/>
                <w:color w:val="auto"/>
              </w:rPr>
            </w:pPr>
            <w:r>
              <w:rPr>
                <w:rFonts w:ascii="Arial" w:cs="Arial" w:eastAsia="Arial" w:hAnsi="Arial"/>
                <w:sz w:val="18"/>
                <w:szCs w:val="18"/>
                <w:color w:val="auto"/>
              </w:rPr>
              <w:t>Tiller Corporation, a North Carolina corporation</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9"/>
              </w:rPr>
              <w:t>100%</w:t>
            </w:r>
          </w:p>
        </w:tc>
      </w:tr>
      <w:tr>
        <w:trPr>
          <w:trHeight w:val="468"/>
        </w:trPr>
        <w:tc>
          <w:tcPr>
            <w:tcW w:w="8160" w:type="dxa"/>
            <w:vAlign w:val="bottom"/>
          </w:tcPr>
          <w:p>
            <w:pPr>
              <w:spacing w:after="0"/>
              <w:rPr>
                <w:sz w:val="20"/>
                <w:szCs w:val="20"/>
                <w:color w:val="auto"/>
              </w:rPr>
            </w:pPr>
            <w:r>
              <w:rPr>
                <w:rFonts w:ascii="Arial" w:cs="Arial" w:eastAsia="Arial" w:hAnsi="Arial"/>
                <w:sz w:val="18"/>
                <w:szCs w:val="18"/>
                <w:color w:val="auto"/>
              </w:rPr>
              <w:t>TXI Aviation, Inc. dba TXI Retail, a Texas corporation</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62</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TXI California, LLC, a Delaware limited liability company</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63</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TXI Riverside, LLC, a Delaware limited liability company</w:t>
            </w:r>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3"/>
              </w:rPr>
              <w:t>100%</w:t>
            </w:r>
            <w:r>
              <w:rPr>
                <w:rFonts w:ascii="Arial" w:cs="Arial" w:eastAsia="Arial" w:hAnsi="Arial"/>
                <w:sz w:val="24"/>
                <w:szCs w:val="24"/>
                <w:color w:val="auto"/>
                <w:w w:val="93"/>
                <w:vertAlign w:val="superscript"/>
              </w:rPr>
              <w:t>64</w:t>
            </w: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Valley Stone LLC, a Virginia limited liability company</w:t>
            </w:r>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2"/>
              </w:rPr>
              <w:t>50%</w:t>
            </w:r>
            <w:r>
              <w:rPr>
                <w:rFonts w:ascii="Arial" w:cs="Arial" w:eastAsia="Arial" w:hAnsi="Arial"/>
                <w:sz w:val="24"/>
                <w:szCs w:val="24"/>
                <w:color w:val="auto"/>
                <w:w w:val="92"/>
                <w:vertAlign w:val="superscript"/>
              </w:rPr>
              <w:t>65</w:t>
            </w:r>
          </w:p>
        </w:tc>
      </w:tr>
      <w:tr>
        <w:trPr>
          <w:trHeight w:val="224"/>
        </w:trPr>
        <w:tc>
          <w:tcPr>
            <w:tcW w:w="8160" w:type="dxa"/>
            <w:vAlign w:val="bottom"/>
          </w:tcPr>
          <w:p>
            <w:pPr>
              <w:spacing w:after="0"/>
              <w:rPr>
                <w:sz w:val="20"/>
                <w:szCs w:val="20"/>
                <w:color w:val="auto"/>
              </w:rPr>
            </w:pPr>
            <w:r>
              <w:rPr>
                <w:rFonts w:ascii="Arial" w:cs="Arial" w:eastAsia="Arial" w:hAnsi="Arial"/>
                <w:sz w:val="11"/>
                <w:szCs w:val="11"/>
                <w:color w:val="auto"/>
              </w:rPr>
              <w:t>------------------------------------------------------------------------------------------------------------------</w:t>
            </w:r>
          </w:p>
        </w:tc>
        <w:tc>
          <w:tcPr>
            <w:tcW w:w="2960" w:type="dxa"/>
            <w:vAlign w:val="bottom"/>
          </w:tcPr>
          <w:p>
            <w:pPr>
              <w:spacing w:after="0"/>
              <w:rPr>
                <w:sz w:val="19"/>
                <w:szCs w:val="19"/>
                <w:color w:val="auto"/>
              </w:rPr>
            </w:pPr>
          </w:p>
        </w:tc>
      </w:tr>
    </w:tbl>
    <w:p>
      <w:pPr>
        <w:spacing w:after="0" w:line="249" w:lineRule="exact"/>
        <w:rPr>
          <w:sz w:val="20"/>
          <w:szCs w:val="20"/>
          <w:color w:val="auto"/>
        </w:rPr>
      </w:pPr>
    </w:p>
    <w:p>
      <w:pPr>
        <w:ind w:left="760" w:hanging="378"/>
        <w:spacing w:after="0"/>
        <w:tabs>
          <w:tab w:leader="none" w:pos="760" w:val="left"/>
        </w:tabs>
        <w:numPr>
          <w:ilvl w:val="0"/>
          <w:numId w:val="30"/>
        </w:numPr>
        <w:rPr>
          <w:rFonts w:ascii="Calibri" w:cs="Calibri" w:eastAsia="Calibri" w:hAnsi="Calibri"/>
          <w:sz w:val="16"/>
          <w:szCs w:val="16"/>
          <w:color w:val="auto"/>
        </w:rPr>
      </w:pPr>
      <w:r>
        <w:rPr>
          <w:rFonts w:ascii="Arial" w:cs="Arial" w:eastAsia="Arial" w:hAnsi="Arial"/>
          <w:sz w:val="16"/>
          <w:szCs w:val="16"/>
          <w:color w:val="auto"/>
        </w:rPr>
        <w:t>1560947 B.C. LTD. is a wholly owned subsidiary of Martin Marietta Materials Canada Limited.</w:t>
      </w:r>
    </w:p>
    <w:p>
      <w:pPr>
        <w:spacing w:after="0" w:line="21" w:lineRule="exact"/>
        <w:rPr>
          <w:sz w:val="20"/>
          <w:szCs w:val="20"/>
          <w:color w:val="auto"/>
        </w:rPr>
      </w:pPr>
    </w:p>
    <w:p>
      <w:pPr>
        <w:ind w:left="760" w:hanging="378"/>
        <w:spacing w:after="0"/>
        <w:tabs>
          <w:tab w:leader="none" w:pos="760" w:val="left"/>
        </w:tabs>
        <w:numPr>
          <w:ilvl w:val="0"/>
          <w:numId w:val="31"/>
        </w:numPr>
        <w:rPr>
          <w:rFonts w:ascii="Calibri" w:cs="Calibri" w:eastAsia="Calibri" w:hAnsi="Calibri"/>
          <w:sz w:val="16"/>
          <w:szCs w:val="16"/>
          <w:color w:val="auto"/>
        </w:rPr>
      </w:pPr>
      <w:r>
        <w:rPr>
          <w:rFonts w:ascii="Arial" w:cs="Arial" w:eastAsia="Arial" w:hAnsi="Arial"/>
          <w:sz w:val="16"/>
          <w:szCs w:val="16"/>
          <w:color w:val="auto"/>
        </w:rPr>
        <w:t>2M Lands, LLC is a wholly owned subsidiary of Martin Marietta Materials Real Estate Investments, Inc.</w:t>
      </w:r>
    </w:p>
    <w:p>
      <w:pPr>
        <w:spacing w:after="0" w:line="21" w:lineRule="exact"/>
        <w:rPr>
          <w:sz w:val="20"/>
          <w:szCs w:val="20"/>
          <w:color w:val="auto"/>
        </w:rPr>
      </w:pPr>
    </w:p>
    <w:p>
      <w:pPr>
        <w:ind w:left="760" w:hanging="378"/>
        <w:spacing w:after="0"/>
        <w:tabs>
          <w:tab w:leader="none" w:pos="760" w:val="left"/>
        </w:tabs>
        <w:numPr>
          <w:ilvl w:val="0"/>
          <w:numId w:val="32"/>
        </w:numPr>
        <w:rPr>
          <w:rFonts w:ascii="Calibri" w:cs="Calibri" w:eastAsia="Calibri" w:hAnsi="Calibri"/>
          <w:sz w:val="16"/>
          <w:szCs w:val="16"/>
          <w:color w:val="auto"/>
        </w:rPr>
      </w:pPr>
      <w:r>
        <w:rPr>
          <w:rFonts w:ascii="Arial" w:cs="Arial" w:eastAsia="Arial" w:hAnsi="Arial"/>
          <w:sz w:val="16"/>
          <w:szCs w:val="16"/>
          <w:color w:val="auto"/>
        </w:rPr>
        <w:t>Alamo Gulf Coast Railroad Company is owned by Martin Marietta Materials Southwest, LLC, (99.5%) and certain individuals (0.5%).</w:t>
      </w:r>
    </w:p>
    <w:p>
      <w:pPr>
        <w:spacing w:after="0" w:line="19"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4</w:t>
      </w:r>
      <w:r>
        <w:rPr>
          <w:rFonts w:ascii="Arial" w:cs="Arial" w:eastAsia="Arial" w:hAnsi="Arial"/>
          <w:sz w:val="16"/>
          <w:szCs w:val="16"/>
          <w:color w:val="auto"/>
        </w:rPr>
        <w:t>Alamo North Texas Railroad Company is owned by Martin Marietta Materials Southwest, LLC, (99.5%) and certain individuals (0.5%).</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5</w:t>
      </w:r>
      <w:r>
        <w:rPr>
          <w:rFonts w:ascii="Arial" w:cs="Arial" w:eastAsia="Arial" w:hAnsi="Arial"/>
          <w:sz w:val="16"/>
          <w:szCs w:val="16"/>
          <w:color w:val="auto"/>
        </w:rPr>
        <w:t>Albert Frei &amp; Sons, Inc. is a wholly owned subsidiary of AR &amp; MJ Frei Limited Partnership.</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6</w:t>
      </w:r>
      <w:r>
        <w:rPr>
          <w:rFonts w:ascii="Arial" w:cs="Arial" w:eastAsia="Arial" w:hAnsi="Arial"/>
          <w:sz w:val="16"/>
          <w:szCs w:val="16"/>
          <w:color w:val="auto"/>
        </w:rPr>
        <w:t>American Materials Technologies, LLC is a wholly owned subsidiary of Meridian Aggregates Company, a Limited Partnership.</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7</w:t>
      </w:r>
      <w:r>
        <w:rPr>
          <w:rFonts w:ascii="Arial" w:cs="Arial" w:eastAsia="Arial" w:hAnsi="Arial"/>
          <w:sz w:val="16"/>
          <w:szCs w:val="16"/>
          <w:color w:val="auto"/>
        </w:rPr>
        <w:t>Martin Marietta Materials, Inc. owns a 50% interest in American Stone Company.</w:t>
      </w:r>
    </w:p>
    <w:p>
      <w:pPr>
        <w:spacing w:after="0" w:line="22" w:lineRule="exact"/>
        <w:rPr>
          <w:rFonts w:ascii="Calibri" w:cs="Calibri" w:eastAsia="Calibri" w:hAnsi="Calibri"/>
          <w:sz w:val="16"/>
          <w:szCs w:val="16"/>
          <w:color w:val="auto"/>
        </w:rPr>
      </w:pPr>
    </w:p>
    <w:p>
      <w:pPr>
        <w:ind w:left="760" w:hanging="374"/>
        <w:spacing w:after="0" w:line="256" w:lineRule="auto"/>
        <w:rPr>
          <w:rFonts w:ascii="Calibri" w:cs="Calibri" w:eastAsia="Calibri" w:hAnsi="Calibri"/>
          <w:sz w:val="16"/>
          <w:szCs w:val="16"/>
          <w:color w:val="auto"/>
        </w:rPr>
      </w:pPr>
      <w:r>
        <w:rPr>
          <w:rFonts w:ascii="Calibri" w:cs="Calibri" w:eastAsia="Calibri" w:hAnsi="Calibri"/>
          <w:sz w:val="16"/>
          <w:szCs w:val="16"/>
          <w:color w:val="auto"/>
        </w:rPr>
        <w:t>8</w:t>
      </w:r>
      <w:r>
        <w:rPr>
          <w:rFonts w:ascii="Arial" w:cs="Arial" w:eastAsia="Arial" w:hAnsi="Arial"/>
          <w:sz w:val="16"/>
          <w:szCs w:val="16"/>
          <w:color w:val="auto"/>
        </w:rPr>
        <w:t>AR &amp; MJ Frei Limited Partnership is owned 98.11% by Rocky Mountain Ready Mix Concrete, Inc. (the Limited Partner). The remaining 1.89% is owned by Campbell’s C-Ment Contracting, Inc. (the General Partner).</w:t>
      </w:r>
    </w:p>
    <w:p>
      <w:pPr>
        <w:spacing w:after="0" w:line="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9</w:t>
      </w:r>
      <w:r>
        <w:rPr>
          <w:rFonts w:ascii="Arial" w:cs="Arial" w:eastAsia="Arial" w:hAnsi="Arial"/>
          <w:sz w:val="16"/>
          <w:szCs w:val="16"/>
          <w:color w:val="auto"/>
        </w:rPr>
        <w:t>Bahama Cement Company is a wholly owned subsidiary of Bahama Rock Limited.</w:t>
      </w:r>
    </w:p>
    <w:p>
      <w:pPr>
        <w:spacing w:after="0" w:line="13"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10   </w:t>
      </w:r>
      <w:r>
        <w:rPr>
          <w:rFonts w:ascii="Arial" w:cs="Arial" w:eastAsia="Arial" w:hAnsi="Arial"/>
          <w:sz w:val="16"/>
          <w:szCs w:val="16"/>
          <w:color w:val="auto"/>
        </w:rPr>
        <w:t>Bluegrass – Blue Mount, LLC is a wholly owned subsidiary of Bluegrass Materials Company,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11   </w:t>
      </w:r>
      <w:r>
        <w:rPr>
          <w:rFonts w:ascii="Arial" w:cs="Arial" w:eastAsia="Arial" w:hAnsi="Arial"/>
          <w:sz w:val="16"/>
          <w:szCs w:val="16"/>
          <w:color w:val="auto"/>
        </w:rPr>
        <w:t>Bluegrass Materials Company, LLC is a wholly owned subsidiary of Panadero Midco,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12   </w:t>
      </w:r>
      <w:r>
        <w:rPr>
          <w:rFonts w:ascii="Arial" w:cs="Arial" w:eastAsia="Arial" w:hAnsi="Arial"/>
          <w:sz w:val="16"/>
          <w:szCs w:val="16"/>
          <w:color w:val="auto"/>
        </w:rPr>
        <w:t>Bluegrass-St. Marys, LLC is a wholly owned subsidiary of Bluegrass Materials Company,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13   </w:t>
      </w:r>
      <w:r>
        <w:rPr>
          <w:rFonts w:ascii="Arial" w:cs="Arial" w:eastAsia="Arial" w:hAnsi="Arial"/>
          <w:sz w:val="16"/>
          <w:szCs w:val="16"/>
          <w:color w:val="auto"/>
        </w:rPr>
        <w:t>Brookhollow Corporation is a wholly owned subsidiary of Martin Marietta Southwest Ready-Mix,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14   </w:t>
      </w:r>
      <w:r>
        <w:rPr>
          <w:rFonts w:ascii="Arial" w:cs="Arial" w:eastAsia="Arial" w:hAnsi="Arial"/>
          <w:sz w:val="16"/>
          <w:szCs w:val="16"/>
          <w:color w:val="auto"/>
        </w:rPr>
        <w:t>Campbell’s C-Ment Contracting, Inc. is a wholly owned subsidiary of Suburban Acquisition Company.</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15   </w:t>
      </w:r>
      <w:r>
        <w:rPr>
          <w:rFonts w:ascii="Arial" w:cs="Arial" w:eastAsia="Arial" w:hAnsi="Arial"/>
          <w:sz w:val="16"/>
          <w:szCs w:val="16"/>
          <w:color w:val="auto"/>
        </w:rPr>
        <w:t>Carolina Quarries, Inc. is a wholly owned subsidiary of Martin Marietta Materials Real Estate Investments,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16   </w:t>
      </w:r>
      <w:r>
        <w:rPr>
          <w:rFonts w:ascii="Arial" w:cs="Arial" w:eastAsia="Arial" w:hAnsi="Arial"/>
          <w:sz w:val="16"/>
          <w:szCs w:val="16"/>
          <w:color w:val="auto"/>
        </w:rPr>
        <w:t>Creole Corporation is a wholly owned subsidiary of Martin Marietta Southwest Ready-Mix,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17   </w:t>
      </w:r>
      <w:r>
        <w:rPr>
          <w:rFonts w:ascii="Arial" w:cs="Arial" w:eastAsia="Arial" w:hAnsi="Arial"/>
          <w:sz w:val="16"/>
          <w:szCs w:val="16"/>
          <w:color w:val="auto"/>
        </w:rPr>
        <w:t>FRI Ready Mix of Tennessee, LLC is a wholly owned subsidiary of American Materials Technologies, LLC.</w:t>
      </w:r>
    </w:p>
    <w:p>
      <w:pPr>
        <w:spacing w:after="0" w:line="20" w:lineRule="exact"/>
        <w:rPr>
          <w:rFonts w:ascii="Calibri" w:cs="Calibri" w:eastAsia="Calibri" w:hAnsi="Calibri"/>
          <w:sz w:val="16"/>
          <w:szCs w:val="16"/>
          <w:color w:val="auto"/>
        </w:rPr>
      </w:pPr>
    </w:p>
    <w:p>
      <w:pPr>
        <w:ind w:left="380" w:right="660"/>
        <w:spacing w:after="0" w:line="265" w:lineRule="auto"/>
        <w:rPr>
          <w:rFonts w:ascii="Calibri" w:cs="Calibri" w:eastAsia="Calibri" w:hAnsi="Calibri"/>
          <w:sz w:val="16"/>
          <w:szCs w:val="16"/>
          <w:color w:val="auto"/>
        </w:rPr>
      </w:pPr>
      <w:r>
        <w:rPr>
          <w:rFonts w:ascii="Calibri" w:cs="Calibri" w:eastAsia="Calibri" w:hAnsi="Calibri"/>
          <w:sz w:val="16"/>
          <w:szCs w:val="16"/>
          <w:color w:val="auto"/>
        </w:rPr>
        <w:t xml:space="preserve">18 </w:t>
      </w:r>
      <w:r>
        <w:rPr>
          <w:rFonts w:ascii="Arial" w:cs="Arial" w:eastAsia="Arial" w:hAnsi="Arial"/>
          <w:sz w:val="16"/>
          <w:szCs w:val="16"/>
          <w:color w:val="auto"/>
        </w:rPr>
        <w:t>Granite Canyon Quarry is owned 51% by Meridian Granite Company and 49% by Martin Marietta Materials Real Estate Investments, Inc.</w:t>
      </w:r>
      <w:r>
        <w:rPr>
          <w:rFonts w:ascii="Calibri" w:cs="Calibri" w:eastAsia="Calibri" w:hAnsi="Calibri"/>
          <w:sz w:val="16"/>
          <w:szCs w:val="16"/>
          <w:color w:val="auto"/>
        </w:rPr>
        <w:t xml:space="preserve"> 19 </w:t>
      </w:r>
      <w:r>
        <w:rPr>
          <w:rFonts w:ascii="Arial" w:cs="Arial" w:eastAsia="Arial" w:hAnsi="Arial"/>
          <w:sz w:val="16"/>
          <w:szCs w:val="16"/>
          <w:color w:val="auto"/>
        </w:rPr>
        <w:t>Kent Sand &amp; Gravel Company, LLC is a wholly owned subsidiary of Bluegrass Materials Company, LLC.</w:t>
      </w: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20   </w:t>
      </w:r>
      <w:r>
        <w:rPr>
          <w:rFonts w:ascii="Arial" w:cs="Arial" w:eastAsia="Arial" w:hAnsi="Arial"/>
          <w:sz w:val="16"/>
          <w:szCs w:val="16"/>
          <w:color w:val="auto"/>
        </w:rPr>
        <w:t>Mardell Trucking Company, Inc. is owned 50% by Bluegrass Materials Company, LLC and 50% by Petrillo Brothers,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21   </w:t>
      </w:r>
      <w:r>
        <w:rPr>
          <w:rFonts w:ascii="Arial" w:cs="Arial" w:eastAsia="Arial" w:hAnsi="Arial"/>
          <w:sz w:val="16"/>
          <w:szCs w:val="16"/>
          <w:color w:val="auto"/>
        </w:rPr>
        <w:t>Martin Marietta ALTN Aggregates, Inc. is a wholly owned subsidiary of Martin Marietta ALTN Holdings,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22   </w:t>
      </w:r>
      <w:r>
        <w:rPr>
          <w:rFonts w:ascii="Arial" w:cs="Arial" w:eastAsia="Arial" w:hAnsi="Arial"/>
          <w:sz w:val="16"/>
          <w:szCs w:val="16"/>
          <w:color w:val="auto"/>
        </w:rPr>
        <w:t>Martin Marietta ALTN Holdings, Inc. is a wholly owned subsidiary of Marlin Acquisition Company 2, Inc.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23   </w:t>
      </w:r>
      <w:r>
        <w:rPr>
          <w:rFonts w:ascii="Arial" w:cs="Arial" w:eastAsia="Arial" w:hAnsi="Arial"/>
          <w:sz w:val="16"/>
          <w:szCs w:val="16"/>
          <w:color w:val="auto"/>
        </w:rPr>
        <w:t>Martin Marietta Arizona, LLC is a wholly owned subsidiary of Martin Marietta Materials West Division,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24   </w:t>
      </w:r>
      <w:r>
        <w:rPr>
          <w:rFonts w:ascii="Arial" w:cs="Arial" w:eastAsia="Arial" w:hAnsi="Arial"/>
          <w:sz w:val="16"/>
          <w:szCs w:val="16"/>
          <w:color w:val="auto"/>
        </w:rPr>
        <w:t>Martin Marietta California A&amp;P, LLC is a wholly owned subsidiary of Martin Marietta Materials West Division,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25   </w:t>
      </w:r>
      <w:r>
        <w:rPr>
          <w:rFonts w:ascii="Arial" w:cs="Arial" w:eastAsia="Arial" w:hAnsi="Arial"/>
          <w:sz w:val="16"/>
          <w:szCs w:val="16"/>
          <w:color w:val="auto"/>
        </w:rPr>
        <w:t>Martin Marietta California Ready-Mix, LLC is a wholly owned subsidiary of Martin Marietta Southern California Cement, LLC.</w:t>
      </w:r>
    </w:p>
    <w:p>
      <w:pPr>
        <w:spacing w:after="0" w:line="20"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26   </w:t>
      </w:r>
      <w:r>
        <w:rPr>
          <w:rFonts w:ascii="Arial" w:cs="Arial" w:eastAsia="Arial" w:hAnsi="Arial"/>
          <w:sz w:val="16"/>
          <w:szCs w:val="16"/>
          <w:color w:val="auto"/>
        </w:rPr>
        <w:t>Martin Marietta Fleet Management LLC, is a wholly owned subsidiary of Martin Marietta Texas Ready-Mix, LLC.</w:t>
      </w:r>
    </w:p>
    <w:p>
      <w:pPr>
        <w:spacing w:after="0" w:line="20" w:lineRule="exact"/>
        <w:rPr>
          <w:rFonts w:ascii="Calibri" w:cs="Calibri" w:eastAsia="Calibri" w:hAnsi="Calibri"/>
          <w:sz w:val="16"/>
          <w:szCs w:val="16"/>
          <w:color w:val="auto"/>
        </w:rPr>
      </w:pPr>
    </w:p>
    <w:p>
      <w:pPr>
        <w:ind w:left="380" w:right="820"/>
        <w:spacing w:after="0" w:line="265" w:lineRule="auto"/>
        <w:rPr>
          <w:rFonts w:ascii="Calibri" w:cs="Calibri" w:eastAsia="Calibri" w:hAnsi="Calibri"/>
          <w:sz w:val="16"/>
          <w:szCs w:val="16"/>
          <w:color w:val="auto"/>
        </w:rPr>
      </w:pPr>
      <w:r>
        <w:rPr>
          <w:rFonts w:ascii="Calibri" w:cs="Calibri" w:eastAsia="Calibri" w:hAnsi="Calibri"/>
          <w:sz w:val="16"/>
          <w:szCs w:val="16"/>
          <w:color w:val="auto"/>
        </w:rPr>
        <w:t xml:space="preserve">27 </w:t>
      </w:r>
      <w:r>
        <w:rPr>
          <w:rFonts w:ascii="Arial" w:cs="Arial" w:eastAsia="Arial" w:hAnsi="Arial"/>
          <w:sz w:val="16"/>
          <w:szCs w:val="16"/>
          <w:color w:val="auto"/>
        </w:rPr>
        <w:t>Martin Marietta Kansas City, LLC is owned 95% by Martin Marietta Materials, Inc. and 5% by Martin Marietta Materials of Missouri, Inc.</w:t>
      </w:r>
      <w:r>
        <w:rPr>
          <w:rFonts w:ascii="Calibri" w:cs="Calibri" w:eastAsia="Calibri" w:hAnsi="Calibri"/>
          <w:sz w:val="16"/>
          <w:szCs w:val="16"/>
          <w:color w:val="auto"/>
        </w:rPr>
        <w:t xml:space="preserve"> 28 </w:t>
      </w:r>
      <w:r>
        <w:rPr>
          <w:rFonts w:ascii="Arial" w:cs="Arial" w:eastAsia="Arial" w:hAnsi="Arial"/>
          <w:sz w:val="16"/>
          <w:szCs w:val="16"/>
          <w:color w:val="auto"/>
        </w:rPr>
        <w:t>Martin Marietta Marine Finance, LLC is a wholly owned subsidiary of Martin Marietta Northern California Aggregates, LLC.</w:t>
      </w: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 xml:space="preserve">29   </w:t>
      </w:r>
      <w:r>
        <w:rPr>
          <w:rFonts w:ascii="Arial" w:cs="Arial" w:eastAsia="Arial" w:hAnsi="Arial"/>
          <w:sz w:val="16"/>
          <w:szCs w:val="16"/>
          <w:color w:val="auto"/>
        </w:rPr>
        <w:t>Martin Marietta Marine Operations, LLC is a wholly owned subsidiary of Martin Marietta Northern California Aggregates,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26" w:name="page127"/>
    <w:bookmarkEnd w:id="126"/>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Northern California Aggregates, LLC is a wholly owned subsidiary of Martin Marietta Southern California Aggregates,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Pacific District Cement LLC is a wholly owned subsidiary of MMMW CMT,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San Diego Aggregates LLC is a wholly owned subsidiary of Martin Marietta Southern California Aggregates,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Southern California Aggregates, LLC is a wholly owned subsidiary of MMMW AGG,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Texas Ready-Mix, LLC is a wholly owned subsidiary of Martin Marietta Southwest Ready-Mix,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Southeast AGG Operations, LLC is a wholly owned subsidiary of Martin Marietta Southeast Aggregates,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Stockton, LLC is a wholly owned subsidiary of Martin Marietta Southern California Cement,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Material Producers, Inc. is a wholly owned subsidiary of Martin Marietta Materials Southwest,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Maryland Materials, Inc. is owned 50% by Bluegrass Materials Company, LLC and 50% by Petrillo Brothers, Inc.</w:t>
      </w:r>
    </w:p>
    <w:p>
      <w:pPr>
        <w:spacing w:after="0" w:line="20" w:lineRule="exact"/>
        <w:rPr>
          <w:rFonts w:ascii="Calibri" w:cs="Calibri" w:eastAsia="Calibri" w:hAnsi="Calibri"/>
          <w:sz w:val="16"/>
          <w:szCs w:val="16"/>
          <w:color w:val="auto"/>
        </w:rPr>
      </w:pPr>
    </w:p>
    <w:p>
      <w:pPr>
        <w:ind w:left="378" w:right="20" w:hanging="378"/>
        <w:spacing w:after="0" w:line="249" w:lineRule="auto"/>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Meridian Aggregates Company, a Limited Partnership, is owned 98% by Meridian Aggregates Investments, LLC. The remaining 2% is owned by Martin Marietta Materials, Inc.</w:t>
      </w:r>
    </w:p>
    <w:p>
      <w:pPr>
        <w:ind w:left="378" w:right="20" w:hanging="378"/>
        <w:spacing w:after="0" w:line="239" w:lineRule="auto"/>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Meridian Aggregates Investments, LLC is owned 99% by Martin Marietta Materials, Inc. and 1% by Martin Marietta Materials Real Estate Investments, Inc.</w:t>
      </w: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Meridian Granite Company is a wholly owned subsidiary of Meridian Aggregates Company, a Limited Partnership.</w:t>
      </w:r>
    </w:p>
    <w:p>
      <w:pPr>
        <w:spacing w:after="0" w:line="4"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Mission Valley Rock Co., LLC is a wholly owned subsidiary of Martin Marietta Northern California Aggregates,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MMM Mexico I, LLC is a wholly owned subsidiary of Martin Marietta Materials West Division,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MMM Mexico, LLC is a wholly owned subsidiary of Martin Marietta Materials West Division,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MMMW AGG, LLC is a wholly owned subsidiary of Martin Marietta Materials West Division,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MMMW CMT, LLC is a wholly owned subsidiary of Martin Marietta Materials West Division, LLC.</w:t>
      </w:r>
    </w:p>
    <w:p>
      <w:pPr>
        <w:spacing w:after="0" w:line="20" w:lineRule="exact"/>
        <w:rPr>
          <w:rFonts w:ascii="Calibri" w:cs="Calibri" w:eastAsia="Calibri" w:hAnsi="Calibri"/>
          <w:sz w:val="16"/>
          <w:szCs w:val="16"/>
          <w:color w:val="auto"/>
        </w:rPr>
      </w:pPr>
    </w:p>
    <w:p>
      <w:pPr>
        <w:ind w:left="378" w:hanging="378"/>
        <w:spacing w:after="0" w:line="242" w:lineRule="auto"/>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Magnesia Specialties, LLC, a wholly owned subsidiary of Martin Marietta Materials, Inc., owns a 50% interest in MTD Pipeline LLC.</w:t>
      </w:r>
    </w:p>
    <w:p>
      <w:pPr>
        <w:spacing w:after="0" w:line="197"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Mystic Valley LLC is a wholly owned subsidiary of AR &amp; MJ Frei Limited Partnership.</w:t>
      </w:r>
    </w:p>
    <w:p>
      <w:pPr>
        <w:spacing w:after="0" w:line="4"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Northeast Land and Material Company, Inc. is a wholly owned subsidiary of Maryland Materials,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Palmetto Sand Company Inc. is a wholly owned subsidiary of Martin Marietta Southeast AGG Operations,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Panadero Midco, LLC is a wholly owned subsidiary of Martin Marietta Bluegrass,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PCAz Leasing, LLC is a wholly owned subsidiary of Martin Marietta Arizona,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Petrillo Brothers, Inc. is a wholly owned subsidiary of Bluegrass Materials Company,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Piedras y Arenas Baja, S. De R.L. de C.V. is owned 99.9999% by MMM Mexico, LLC and 0.0001% by MMM Mexico I,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Powderly Transportation, Inc. is a wholly owned subsidiary of Meridian Aggregates Company, a Limited Partnership.</w:t>
      </w:r>
    </w:p>
    <w:p>
      <w:pPr>
        <w:spacing w:after="0" w:line="20" w:lineRule="exact"/>
        <w:rPr>
          <w:rFonts w:ascii="Calibri" w:cs="Calibri" w:eastAsia="Calibri" w:hAnsi="Calibri"/>
          <w:sz w:val="16"/>
          <w:szCs w:val="16"/>
          <w:color w:val="auto"/>
        </w:rPr>
      </w:pPr>
    </w:p>
    <w:p>
      <w:pPr>
        <w:ind w:left="378" w:hanging="378"/>
        <w:spacing w:after="0" w:line="249" w:lineRule="auto"/>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Materials, Inc. is the manager of and owns a 90% interest in R&amp;S Sand &amp; Gravel, LLC. The other 10% is owned by Harding Street Corporation, a wholly owned subsidiary of Martin Marietta Materials, Inc.</w:t>
      </w: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Riverside Cement Company is owned 49% by TXI California, LLC. and 51% by TXI Riverside LLC.</w:t>
      </w:r>
    </w:p>
    <w:p>
      <w:pPr>
        <w:spacing w:after="0" w:line="4"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Rocky Mountain Ready Mix Concrete, Inc. is a wholly owned subsidiary of Campbell’s C-Ment Contracting,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Rock &amp; Rail LLC, a wholly owned subsidiary of Martin Marietta Materials, Inc., owns a 50% interest in Royal Gorge Express,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St. Marys Sand Company, LLC is a wholly owned subsidiary of Bluegrass-St. Marys,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Materials, Inc. is the manager of and owns a 60.7% interest in Theodore Holdings, LLC.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TXI Aviation, Inc. is a wholly owned subsidiary of Martin Marietta Southwest Ready-Mix,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TXI California, LLC is a wholly owned subsidiary of Martin Marietta Southwest Ready-Mix,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TXI Riverside, LLC is a wholly owned subsidiary of Martin Marietta Southwest Ready-Mix, Inc.</w:t>
      </w:r>
    </w:p>
    <w:p>
      <w:pPr>
        <w:spacing w:after="0" w:line="20" w:lineRule="exact"/>
        <w:rPr>
          <w:rFonts w:ascii="Calibri" w:cs="Calibri" w:eastAsia="Calibri" w:hAnsi="Calibri"/>
          <w:sz w:val="16"/>
          <w:szCs w:val="16"/>
          <w:color w:val="auto"/>
        </w:rPr>
      </w:pPr>
    </w:p>
    <w:p>
      <w:pPr>
        <w:ind w:left="378" w:hanging="378"/>
        <w:spacing w:after="0"/>
        <w:tabs>
          <w:tab w:leader="none" w:pos="378" w:val="left"/>
        </w:tabs>
        <w:numPr>
          <w:ilvl w:val="0"/>
          <w:numId w:val="33"/>
        </w:numPr>
        <w:rPr>
          <w:rFonts w:ascii="Calibri" w:cs="Calibri" w:eastAsia="Calibri" w:hAnsi="Calibri"/>
          <w:sz w:val="16"/>
          <w:szCs w:val="16"/>
          <w:color w:val="auto"/>
        </w:rPr>
      </w:pPr>
      <w:r>
        <w:rPr>
          <w:rFonts w:ascii="Arial" w:cs="Arial" w:eastAsia="Arial" w:hAnsi="Arial"/>
          <w:sz w:val="16"/>
          <w:szCs w:val="16"/>
          <w:color w:val="auto"/>
        </w:rPr>
        <w:t>Martin Marietta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523875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7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23.01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hereby consent to the incorporation by reference in the Registration Statements on Form S-3 (No. 333-271686) and Form S-8 (Nos. 33-83516, 333-37886, 333-79039, 333-115918, 333-85608, 333-15429, 333-211735, 333-197201 and 333-291504) of Martin Marietta Materials, Inc. of our report dated February 19, 2026 relating to the financial statements, financial statement schedule and the effectiveness of internal control over financial reporting, which appears in this Form 10-K.</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9" w:lineRule="auto"/>
        <w:rPr>
          <w:sz w:val="20"/>
          <w:szCs w:val="20"/>
          <w:color w:val="auto"/>
        </w:rPr>
      </w:pPr>
      <w:r>
        <w:rPr>
          <w:rFonts w:ascii="Arial" w:cs="Arial" w:eastAsia="Arial" w:hAnsi="Arial"/>
          <w:sz w:val="20"/>
          <w:szCs w:val="20"/>
          <w:color w:val="auto"/>
        </w:rPr>
        <w:t>Raleigh,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189" w:lineRule="exact"/>
        <w:rPr>
          <w:sz w:val="20"/>
          <w:szCs w:val="20"/>
          <w:color w:val="auto"/>
        </w:rPr>
      </w:pPr>
    </w:p>
    <w:p>
      <w:pPr>
        <w:ind w:left="1140" w:hanging="383"/>
        <w:spacing w:after="0"/>
        <w:tabs>
          <w:tab w:leader="none" w:pos="1140" w:val="left"/>
        </w:tabs>
        <w:numPr>
          <w:ilvl w:val="0"/>
          <w:numId w:val="34"/>
        </w:numPr>
        <w:rPr>
          <w:rFonts w:ascii="Calibri" w:cs="Calibri" w:eastAsia="Calibri" w:hAnsi="Calibri"/>
          <w:sz w:val="20"/>
          <w:szCs w:val="20"/>
          <w:color w:val="auto"/>
        </w:rPr>
      </w:pPr>
      <w:r>
        <w:rPr>
          <w:rFonts w:ascii="Arial" w:cs="Arial" w:eastAsia="Arial" w:hAnsi="Arial"/>
          <w:sz w:val="20"/>
          <w:szCs w:val="20"/>
          <w:color w:val="auto"/>
        </w:rPr>
        <w:t>I have reviewed this Form 10-K of Martin Marietta Materials, Inc.;</w:t>
      </w:r>
    </w:p>
    <w:p>
      <w:pPr>
        <w:spacing w:after="0" w:line="214"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4"/>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4"/>
        </w:numPr>
        <w:rPr>
          <w:rFonts w:ascii="Calibri" w:cs="Calibri" w:eastAsia="Calibri" w:hAnsi="Calibri"/>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4"/>
        </w:numPr>
        <w:rPr>
          <w:rFonts w:ascii="Calibri" w:cs="Calibri" w:eastAsia="Calibri" w:hAnsi="Calibri"/>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4"/>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4"/>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4"/>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4"/>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9" w:name="page130"/>
    <w:bookmarkEnd w:id="129"/>
    <w:p>
      <w:pPr>
        <w:spacing w:after="0" w:line="177" w:lineRule="exact"/>
        <w:rPr>
          <w:sz w:val="20"/>
          <w:szCs w:val="20"/>
          <w:color w:val="auto"/>
        </w:rPr>
      </w:pPr>
    </w:p>
    <w:p>
      <w:pPr>
        <w:jc w:val="both"/>
        <w:ind w:left="1140" w:hanging="383"/>
        <w:spacing w:after="0" w:line="236" w:lineRule="auto"/>
        <w:tabs>
          <w:tab w:leader="none" w:pos="1140" w:val="left"/>
        </w:tabs>
        <w:numPr>
          <w:ilvl w:val="0"/>
          <w:numId w:val="35"/>
        </w:numPr>
        <w:rPr>
          <w:rFonts w:ascii="Calibri" w:cs="Calibri" w:eastAsia="Calibri" w:hAnsi="Calibri"/>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5"/>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Calibri" w:cs="Calibri" w:eastAsia="Calibri" w:hAnsi="Calibri"/>
          <w:sz w:val="20"/>
          <w:szCs w:val="20"/>
          <w:color w:val="auto"/>
        </w:rPr>
      </w:pPr>
    </w:p>
    <w:p>
      <w:pPr>
        <w:ind w:left="1840" w:hanging="751"/>
        <w:spacing w:after="0" w:line="243" w:lineRule="auto"/>
        <w:tabs>
          <w:tab w:leader="none" w:pos="1840" w:val="left"/>
        </w:tabs>
        <w:numPr>
          <w:ilvl w:val="1"/>
          <w:numId w:val="35"/>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720" w:val="left"/>
          <w:tab w:leader="none" w:pos="6960" w:val="left"/>
          <w:tab w:leader="none" w:pos="7420" w:val="left"/>
          <w:tab w:leader="none" w:pos="7900" w:val="left"/>
        </w:tabs>
        <w:rPr>
          <w:sz w:val="20"/>
          <w:szCs w:val="20"/>
          <w:color w:val="auto"/>
        </w:rPr>
      </w:pPr>
      <w:r>
        <w:rPr>
          <w:rFonts w:ascii="Arial" w:cs="Arial" w:eastAsia="Arial" w:hAnsi="Arial"/>
          <w:sz w:val="20"/>
          <w:szCs w:val="20"/>
          <w:color w:val="auto"/>
        </w:rPr>
        <w:t>Date:</w:t>
        <w:tab/>
        <w:t>February 19, 2026</w:t>
      </w:r>
      <w:r>
        <w:rPr>
          <w:sz w:val="20"/>
          <w:szCs w:val="20"/>
          <w:color w:val="auto"/>
        </w:rPr>
        <w:tab/>
      </w:r>
      <w:r>
        <w:rPr>
          <w:rFonts w:ascii="Arial" w:cs="Arial" w:eastAsia="Arial" w:hAnsi="Arial"/>
          <w:sz w:val="20"/>
          <w:szCs w:val="20"/>
          <w:color w:val="auto"/>
        </w:rPr>
        <w:t>By:</w:t>
        <w:tab/>
        <w:t>/s/</w:t>
      </w:r>
      <w:r>
        <w:rPr>
          <w:sz w:val="20"/>
          <w:szCs w:val="20"/>
          <w:color w:val="auto"/>
        </w:rPr>
        <w:tab/>
      </w:r>
      <w:r>
        <w:rPr>
          <w:rFonts w:ascii="Arial" w:cs="Arial" w:eastAsia="Arial" w:hAnsi="Arial"/>
          <w:sz w:val="19"/>
          <w:szCs w:val="19"/>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5080</wp:posOffset>
            </wp:positionV>
            <wp:extent cx="270891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4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7920"/>
        <w:spacing w:after="0"/>
        <w:rPr>
          <w:sz w:val="20"/>
          <w:szCs w:val="20"/>
          <w:color w:val="auto"/>
        </w:rPr>
      </w:pPr>
      <w:r>
        <w:rPr>
          <w:rFonts w:ascii="Arial" w:cs="Arial" w:eastAsia="Arial" w:hAnsi="Arial"/>
          <w:sz w:val="20"/>
          <w:szCs w:val="20"/>
          <w:color w:val="auto"/>
        </w:rPr>
        <w:t>C. Howard Nye</w:t>
      </w:r>
    </w:p>
    <w:p>
      <w:pPr>
        <w:ind w:left="7920"/>
        <w:spacing w:after="0" w:line="225" w:lineRule="auto"/>
        <w:rPr>
          <w:sz w:val="20"/>
          <w:szCs w:val="20"/>
          <w:color w:val="auto"/>
        </w:rPr>
      </w:pPr>
      <w:r>
        <w:rPr>
          <w:rFonts w:ascii="Arial" w:cs="Arial" w:eastAsia="Arial" w:hAnsi="Arial"/>
          <w:sz w:val="20"/>
          <w:szCs w:val="20"/>
          <w:color w:val="auto"/>
        </w:rPr>
        <w:t>Chair, President and</w:t>
      </w:r>
    </w:p>
    <w:p>
      <w:pPr>
        <w:ind w:left="792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31.02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 Michael J. Petro, certify that:</w:t>
      </w:r>
    </w:p>
    <w:p>
      <w:pPr>
        <w:spacing w:after="0" w:line="189" w:lineRule="exact"/>
        <w:rPr>
          <w:sz w:val="20"/>
          <w:szCs w:val="20"/>
          <w:color w:val="auto"/>
        </w:rPr>
      </w:pPr>
    </w:p>
    <w:p>
      <w:pPr>
        <w:ind w:left="1140" w:hanging="383"/>
        <w:spacing w:after="0"/>
        <w:tabs>
          <w:tab w:leader="none" w:pos="1140" w:val="left"/>
        </w:tabs>
        <w:numPr>
          <w:ilvl w:val="0"/>
          <w:numId w:val="36"/>
        </w:numPr>
        <w:rPr>
          <w:rFonts w:ascii="Calibri" w:cs="Calibri" w:eastAsia="Calibri" w:hAnsi="Calibri"/>
          <w:sz w:val="20"/>
          <w:szCs w:val="20"/>
          <w:color w:val="auto"/>
        </w:rPr>
      </w:pPr>
      <w:r>
        <w:rPr>
          <w:rFonts w:ascii="Arial" w:cs="Arial" w:eastAsia="Arial" w:hAnsi="Arial"/>
          <w:sz w:val="20"/>
          <w:szCs w:val="20"/>
          <w:color w:val="auto"/>
        </w:rPr>
        <w:t>I have reviewed this Form 10-K of Martin Marietta Materials, Inc.;</w:t>
      </w:r>
    </w:p>
    <w:p>
      <w:pPr>
        <w:spacing w:after="0" w:line="214"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6"/>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6"/>
        </w:numPr>
        <w:rPr>
          <w:rFonts w:ascii="Calibri" w:cs="Calibri" w:eastAsia="Calibri" w:hAnsi="Calibri"/>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6"/>
        </w:numPr>
        <w:rPr>
          <w:rFonts w:ascii="Calibri" w:cs="Calibri" w:eastAsia="Calibri" w:hAnsi="Calibri"/>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6"/>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6"/>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6"/>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Calibri" w:cs="Calibri" w:eastAsia="Calibri" w:hAnsi="Calibri"/>
          <w:sz w:val="20"/>
          <w:szCs w:val="20"/>
          <w:color w:val="auto"/>
        </w:rPr>
      </w:pPr>
    </w:p>
    <w:p>
      <w:pPr>
        <w:jc w:val="both"/>
        <w:ind w:left="1840" w:hanging="751"/>
        <w:spacing w:after="0" w:line="233" w:lineRule="auto"/>
        <w:tabs>
          <w:tab w:leader="none" w:pos="1840" w:val="left"/>
        </w:tabs>
        <w:numPr>
          <w:ilvl w:val="1"/>
          <w:numId w:val="36"/>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1" w:name="page132"/>
    <w:bookmarkEnd w:id="131"/>
    <w:p>
      <w:pPr>
        <w:spacing w:after="0" w:line="177" w:lineRule="exact"/>
        <w:rPr>
          <w:sz w:val="20"/>
          <w:szCs w:val="20"/>
          <w:color w:val="auto"/>
        </w:rPr>
      </w:pPr>
    </w:p>
    <w:p>
      <w:pPr>
        <w:jc w:val="both"/>
        <w:ind w:left="1140" w:hanging="383"/>
        <w:spacing w:after="0" w:line="236" w:lineRule="auto"/>
        <w:tabs>
          <w:tab w:leader="none" w:pos="1140" w:val="left"/>
        </w:tabs>
        <w:numPr>
          <w:ilvl w:val="0"/>
          <w:numId w:val="37"/>
        </w:numPr>
        <w:rPr>
          <w:rFonts w:ascii="Calibri" w:cs="Calibri" w:eastAsia="Calibri" w:hAnsi="Calibri"/>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7"/>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Calibri" w:cs="Calibri" w:eastAsia="Calibri" w:hAnsi="Calibri"/>
          <w:sz w:val="20"/>
          <w:szCs w:val="20"/>
          <w:color w:val="auto"/>
        </w:rPr>
      </w:pPr>
    </w:p>
    <w:p>
      <w:pPr>
        <w:ind w:left="1840" w:hanging="751"/>
        <w:spacing w:after="0" w:line="243" w:lineRule="auto"/>
        <w:tabs>
          <w:tab w:leader="none" w:pos="1840" w:val="left"/>
        </w:tabs>
        <w:numPr>
          <w:ilvl w:val="1"/>
          <w:numId w:val="37"/>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720" w:val="left"/>
          <w:tab w:leader="none" w:pos="7080" w:val="left"/>
          <w:tab w:leader="none" w:pos="7900" w:val="left"/>
        </w:tabs>
        <w:rPr>
          <w:sz w:val="20"/>
          <w:szCs w:val="20"/>
          <w:color w:val="auto"/>
        </w:rPr>
      </w:pPr>
      <w:r>
        <w:rPr>
          <w:rFonts w:ascii="Arial" w:cs="Arial" w:eastAsia="Arial" w:hAnsi="Arial"/>
          <w:sz w:val="20"/>
          <w:szCs w:val="20"/>
          <w:color w:val="auto"/>
        </w:rPr>
        <w:t>Date:</w:t>
        <w:tab/>
        <w:t>February 19, 2026</w:t>
      </w:r>
      <w:r>
        <w:rPr>
          <w:sz w:val="20"/>
          <w:szCs w:val="20"/>
          <w:color w:val="auto"/>
        </w:rPr>
        <w:tab/>
      </w:r>
      <w:r>
        <w:rPr>
          <w:rFonts w:ascii="Arial" w:cs="Arial" w:eastAsia="Arial" w:hAnsi="Arial"/>
          <w:sz w:val="20"/>
          <w:szCs w:val="20"/>
          <w:color w:val="auto"/>
        </w:rPr>
        <w:t>By:  /s/</w:t>
      </w:r>
      <w:r>
        <w:rPr>
          <w:sz w:val="20"/>
          <w:szCs w:val="20"/>
          <w:color w:val="auto"/>
        </w:rPr>
        <w:tab/>
      </w:r>
      <w:r>
        <w:rPr>
          <w:rFonts w:ascii="Arial" w:cs="Arial" w:eastAsia="Arial" w:hAnsi="Arial"/>
          <w:sz w:val="19"/>
          <w:szCs w:val="19"/>
          <w:color w:val="auto"/>
        </w:rPr>
        <w:t>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5080</wp:posOffset>
            </wp:positionV>
            <wp:extent cx="263144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7920"/>
        <w:spacing w:after="0"/>
        <w:rPr>
          <w:sz w:val="20"/>
          <w:szCs w:val="20"/>
          <w:color w:val="auto"/>
        </w:rPr>
      </w:pPr>
      <w:r>
        <w:rPr>
          <w:rFonts w:ascii="Arial" w:cs="Arial" w:eastAsia="Arial" w:hAnsi="Arial"/>
          <w:sz w:val="20"/>
          <w:szCs w:val="20"/>
          <w:color w:val="auto"/>
        </w:rPr>
        <w:t>Michael J. Petro</w:t>
      </w:r>
    </w:p>
    <w:p>
      <w:pPr>
        <w:ind w:left="7920"/>
        <w:spacing w:after="0" w:line="225" w:lineRule="auto"/>
        <w:rPr>
          <w:sz w:val="20"/>
          <w:szCs w:val="20"/>
          <w:color w:val="auto"/>
        </w:rPr>
      </w:pPr>
      <w:r>
        <w:rPr>
          <w:rFonts w:ascii="Arial" w:cs="Arial" w:eastAsia="Arial" w:hAnsi="Arial"/>
          <w:sz w:val="20"/>
          <w:szCs w:val="20"/>
          <w:color w:val="auto"/>
        </w:rPr>
        <w:t>Senior Vice President and</w:t>
      </w:r>
    </w:p>
    <w:p>
      <w:pPr>
        <w:ind w:left="808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32.01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191" w:lineRule="exact"/>
        <w:rPr>
          <w:sz w:val="20"/>
          <w:szCs w:val="20"/>
          <w:color w:val="auto"/>
        </w:rPr>
      </w:pPr>
    </w:p>
    <w:p>
      <w:pPr>
        <w:ind w:firstLine="509"/>
        <w:spacing w:after="0" w:line="284" w:lineRule="auto"/>
        <w:rPr>
          <w:sz w:val="20"/>
          <w:szCs w:val="20"/>
          <w:color w:val="auto"/>
        </w:rPr>
      </w:pPr>
      <w:r>
        <w:rPr>
          <w:rFonts w:ascii="Arial" w:cs="Arial" w:eastAsia="Arial" w:hAnsi="Arial"/>
          <w:sz w:val="19"/>
          <w:szCs w:val="19"/>
          <w:color w:val="auto"/>
        </w:rPr>
        <w:t>In connection with the 2025 Annual Report on Form 10-K (the Report) of Martin Marietta Materials, Inc. (the Registrant), as filed with the Securities and Exchange Commission, I, C. Howard Nye, the Chief Executive Officer of the Registrant, certify that:</w:t>
      </w:r>
    </w:p>
    <w:p>
      <w:pPr>
        <w:spacing w:after="0" w:line="23" w:lineRule="exact"/>
        <w:rPr>
          <w:sz w:val="20"/>
          <w:szCs w:val="20"/>
          <w:color w:val="auto"/>
        </w:rPr>
      </w:pPr>
    </w:p>
    <w:p>
      <w:pPr>
        <w:ind w:left="1020" w:hanging="503"/>
        <w:spacing w:after="0" w:line="243" w:lineRule="auto"/>
        <w:tabs>
          <w:tab w:leader="none" w:pos="1020" w:val="left"/>
        </w:tabs>
        <w:numPr>
          <w:ilvl w:val="0"/>
          <w:numId w:val="38"/>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59" w:lineRule="exact"/>
        <w:rPr>
          <w:rFonts w:ascii="Calibri" w:cs="Calibri" w:eastAsia="Calibri" w:hAnsi="Calibri"/>
          <w:sz w:val="20"/>
          <w:szCs w:val="20"/>
          <w:color w:val="auto"/>
        </w:rPr>
      </w:pPr>
    </w:p>
    <w:p>
      <w:pPr>
        <w:ind w:left="1020" w:hanging="503"/>
        <w:spacing w:after="0" w:line="243" w:lineRule="auto"/>
        <w:tabs>
          <w:tab w:leader="none" w:pos="1020" w:val="left"/>
        </w:tabs>
        <w:numPr>
          <w:ilvl w:val="0"/>
          <w:numId w:val="38"/>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6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ind w:left="6760"/>
        <w:spacing w:after="0"/>
        <w:rPr>
          <w:sz w:val="20"/>
          <w:szCs w:val="20"/>
          <w:color w:val="auto"/>
        </w:rPr>
      </w:pPr>
      <w:r>
        <w:rPr>
          <w:rFonts w:ascii="Arial" w:cs="Arial" w:eastAsia="Arial" w:hAnsi="Arial"/>
          <w:sz w:val="20"/>
          <w:szCs w:val="20"/>
          <w:color w:val="auto"/>
        </w:rPr>
        <w:t>Chief Executive Officer</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February 19, 2026</w:t>
      </w:r>
    </w:p>
    <w:p>
      <w:pPr>
        <w:spacing w:after="0" w:line="1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1395730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32.02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191" w:lineRule="exact"/>
        <w:rPr>
          <w:sz w:val="20"/>
          <w:szCs w:val="20"/>
          <w:color w:val="auto"/>
        </w:rPr>
      </w:pPr>
    </w:p>
    <w:p>
      <w:pPr>
        <w:ind w:firstLine="509"/>
        <w:spacing w:after="0" w:line="284" w:lineRule="auto"/>
        <w:rPr>
          <w:sz w:val="20"/>
          <w:szCs w:val="20"/>
          <w:color w:val="auto"/>
        </w:rPr>
      </w:pPr>
      <w:r>
        <w:rPr>
          <w:rFonts w:ascii="Arial" w:cs="Arial" w:eastAsia="Arial" w:hAnsi="Arial"/>
          <w:sz w:val="19"/>
          <w:szCs w:val="19"/>
          <w:color w:val="auto"/>
        </w:rPr>
        <w:t>In connection with the 2025 Annual Report on Form 10-K (the Report) of Martin Marietta Materials, Inc. (the Registrant), as filed with the Securities and Exchange Commission, I, Michael J. Petro, the Chief Financial Officer of the Registrant, certify that:</w:t>
      </w:r>
    </w:p>
    <w:p>
      <w:pPr>
        <w:spacing w:after="0" w:line="23" w:lineRule="exact"/>
        <w:rPr>
          <w:sz w:val="20"/>
          <w:szCs w:val="20"/>
          <w:color w:val="auto"/>
        </w:rPr>
      </w:pPr>
    </w:p>
    <w:p>
      <w:pPr>
        <w:ind w:left="1020" w:hanging="503"/>
        <w:spacing w:after="0" w:line="243" w:lineRule="auto"/>
        <w:tabs>
          <w:tab w:leader="none" w:pos="1020" w:val="left"/>
        </w:tabs>
        <w:numPr>
          <w:ilvl w:val="0"/>
          <w:numId w:val="39"/>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59" w:lineRule="exact"/>
        <w:rPr>
          <w:rFonts w:ascii="Calibri" w:cs="Calibri" w:eastAsia="Calibri" w:hAnsi="Calibri"/>
          <w:sz w:val="20"/>
          <w:szCs w:val="20"/>
          <w:color w:val="auto"/>
        </w:rPr>
      </w:pPr>
    </w:p>
    <w:p>
      <w:pPr>
        <w:ind w:left="1020" w:hanging="503"/>
        <w:spacing w:after="0" w:line="243" w:lineRule="auto"/>
        <w:tabs>
          <w:tab w:leader="none" w:pos="1020" w:val="left"/>
        </w:tabs>
        <w:numPr>
          <w:ilvl w:val="0"/>
          <w:numId w:val="39"/>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6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Michael J. Petro</w:t>
      </w:r>
    </w:p>
    <w:p>
      <w:pPr>
        <w:ind w:left="6760"/>
        <w:spacing w:after="0"/>
        <w:rPr>
          <w:sz w:val="20"/>
          <w:szCs w:val="20"/>
          <w:color w:val="auto"/>
        </w:rPr>
      </w:pPr>
      <w:r>
        <w:rPr>
          <w:rFonts w:ascii="Arial" w:cs="Arial" w:eastAsia="Arial" w:hAnsi="Arial"/>
          <w:sz w:val="20"/>
          <w:szCs w:val="20"/>
          <w:color w:val="auto"/>
        </w:rPr>
        <w:t>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19, 2026</w:t>
      </w:r>
    </w:p>
    <w:p>
      <w:pPr>
        <w:spacing w:after="0" w:line="1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1395730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 EXHIBIT</w:t>
      </w:r>
    </w:p>
    <w:p>
      <w:pPr>
        <w:spacing w:after="0" w:line="3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presents the following items regarding certain mining safety and health matters for the year ended December 31, 2025 (Appendix 1):</w:t>
      </w:r>
    </w:p>
    <w:p>
      <w:pPr>
        <w:spacing w:after="0" w:line="46" w:lineRule="exact"/>
        <w:rPr>
          <w:sz w:val="20"/>
          <w:szCs w:val="20"/>
          <w:color w:val="auto"/>
        </w:rPr>
      </w:pPr>
    </w:p>
    <w:p>
      <w:pPr>
        <w:jc w:val="both"/>
        <w:ind w:left="1020" w:hanging="503"/>
        <w:spacing w:after="0" w:line="242" w:lineRule="auto"/>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69" w:lineRule="exact"/>
        <w:rPr>
          <w:rFonts w:ascii="Times New Roman" w:cs="Times New Roman" w:eastAsia="Times New Roman" w:hAnsi="Times New Roman"/>
          <w:sz w:val="18"/>
          <w:szCs w:val="18"/>
          <w:b w:val="1"/>
          <w:bCs w:val="1"/>
          <w:color w:val="auto"/>
        </w:rPr>
      </w:pPr>
    </w:p>
    <w:p>
      <w:pPr>
        <w:jc w:val="both"/>
        <w:ind w:left="1020" w:hanging="503"/>
        <w:spacing w:after="0" w:line="246" w:lineRule="auto"/>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68" w:lineRule="exact"/>
        <w:rPr>
          <w:rFonts w:ascii="Times New Roman" w:cs="Times New Roman" w:eastAsia="Times New Roman" w:hAnsi="Times New Roman"/>
          <w:sz w:val="18"/>
          <w:szCs w:val="18"/>
          <w:b w:val="1"/>
          <w:bCs w:val="1"/>
          <w:color w:val="auto"/>
        </w:rPr>
      </w:pPr>
    </w:p>
    <w:p>
      <w:pPr>
        <w:jc w:val="both"/>
        <w:ind w:left="1020" w:hanging="503"/>
        <w:spacing w:after="0" w:line="243" w:lineRule="auto"/>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71" w:lineRule="exact"/>
        <w:rPr>
          <w:rFonts w:ascii="Times New Roman" w:cs="Times New Roman" w:eastAsia="Times New Roman" w:hAnsi="Times New Roman"/>
          <w:sz w:val="18"/>
          <w:szCs w:val="18"/>
          <w:b w:val="1"/>
          <w:bCs w:val="1"/>
          <w:color w:val="auto"/>
        </w:rPr>
      </w:pPr>
    </w:p>
    <w:p>
      <w:pPr>
        <w:jc w:val="both"/>
        <w:ind w:left="1020" w:hanging="503"/>
        <w:spacing w:after="0" w:line="243" w:lineRule="auto"/>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spacing w:after="0" w:line="85" w:lineRule="exact"/>
        <w:rPr>
          <w:sz w:val="20"/>
          <w:szCs w:val="20"/>
          <w:color w:val="auto"/>
        </w:rPr>
      </w:pPr>
    </w:p>
    <w:p>
      <w:pPr>
        <w:jc w:val="both"/>
        <w:ind w:left="1020" w:hanging="503"/>
        <w:spacing w:after="0" w:line="246" w:lineRule="auto"/>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68" w:lineRule="exact"/>
        <w:rPr>
          <w:rFonts w:ascii="Times New Roman" w:cs="Times New Roman" w:eastAsia="Times New Roman" w:hAnsi="Times New Roman"/>
          <w:sz w:val="18"/>
          <w:szCs w:val="18"/>
          <w:b w:val="1"/>
          <w:bCs w:val="1"/>
          <w:color w:val="auto"/>
        </w:rPr>
      </w:pPr>
    </w:p>
    <w:p>
      <w:pPr>
        <w:jc w:val="both"/>
        <w:ind w:left="1020" w:hanging="503"/>
        <w:spacing w:after="0" w:line="246" w:lineRule="auto"/>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68" w:lineRule="exact"/>
        <w:rPr>
          <w:rFonts w:ascii="Times New Roman" w:cs="Times New Roman" w:eastAsia="Times New Roman" w:hAnsi="Times New Roman"/>
          <w:sz w:val="18"/>
          <w:szCs w:val="18"/>
          <w:b w:val="1"/>
          <w:bCs w:val="1"/>
          <w:color w:val="auto"/>
        </w:rPr>
      </w:pPr>
    </w:p>
    <w:p>
      <w:pPr>
        <w:jc w:val="both"/>
        <w:ind w:left="1020" w:hanging="503"/>
        <w:spacing w:after="0" w:line="246" w:lineRule="auto"/>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68" w:lineRule="exact"/>
        <w:rPr>
          <w:rFonts w:ascii="Times New Roman" w:cs="Times New Roman" w:eastAsia="Times New Roman" w:hAnsi="Times New Roman"/>
          <w:sz w:val="18"/>
          <w:szCs w:val="18"/>
          <w:b w:val="1"/>
          <w:bCs w:val="1"/>
          <w:color w:val="auto"/>
        </w:rPr>
      </w:pPr>
    </w:p>
    <w:p>
      <w:pPr>
        <w:jc w:val="both"/>
        <w:ind w:left="1020" w:hanging="503"/>
        <w:spacing w:after="0" w:line="243" w:lineRule="auto"/>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Legal Actions Pending as of the Last Day of Period.</w:t>
      </w:r>
    </w:p>
    <w:p>
      <w:pPr>
        <w:spacing w:after="0" w:line="116"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Legal Actions Initiated During Period.</w:t>
      </w:r>
    </w:p>
    <w:p>
      <w:pPr>
        <w:spacing w:after="0" w:line="116"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Legal Actions Resolved During Period.</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2025,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1359535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Appendix 1</w:t>
            </w:r>
          </w:p>
        </w:tc>
      </w:tr>
      <w:tr>
        <w:trPr>
          <w:trHeight w:val="612"/>
        </w:trPr>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Legal</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Receive Receive</w:t>
            </w:r>
          </w:p>
        </w:tc>
        <w:tc>
          <w:tcPr>
            <w:tcW w:w="5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Actio</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d Notice d Notice</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ns</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Legal</w:t>
            </w: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17"/>
                <w:szCs w:val="17"/>
                <w:color w:val="auto"/>
              </w:rPr>
            </w:pPr>
          </w:p>
        </w:tc>
        <w:tc>
          <w:tcPr>
            <w:tcW w:w="80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of</w:t>
            </w:r>
          </w:p>
        </w:tc>
        <w:tc>
          <w:tcPr>
            <w:tcW w:w="7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of</w:t>
            </w:r>
          </w:p>
        </w:tc>
        <w:tc>
          <w:tcPr>
            <w:tcW w:w="11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Pendi Actio</w:t>
            </w: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Sectio</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Dollar</w:t>
            </w:r>
          </w:p>
        </w:tc>
        <w:tc>
          <w:tcPr>
            <w:tcW w:w="960" w:type="dxa"/>
            <w:vAlign w:val="bottom"/>
          </w:tcPr>
          <w:p>
            <w:pPr>
              <w:spacing w:after="0"/>
              <w:rPr>
                <w:sz w:val="17"/>
                <w:szCs w:val="17"/>
                <w:color w:val="auto"/>
              </w:rPr>
            </w:pPr>
          </w:p>
        </w:tc>
        <w:tc>
          <w:tcPr>
            <w:tcW w:w="212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Pattern Potential ng as</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ns</w:t>
            </w: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Secti Section</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w:t>
            </w:r>
          </w:p>
        </w:tc>
        <w:tc>
          <w:tcPr>
            <w:tcW w:w="13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Secti Value of</w:t>
            </w:r>
          </w:p>
        </w:tc>
        <w:tc>
          <w:tcPr>
            <w:tcW w:w="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80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of</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 have</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Institu</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Legal</w:t>
            </w:r>
          </w:p>
        </w:tc>
      </w:tr>
      <w:tr>
        <w:trPr>
          <w:trHeight w:val="202"/>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Section</w:t>
            </w:r>
          </w:p>
        </w:tc>
        <w:tc>
          <w:tcPr>
            <w:tcW w:w="5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on</w:t>
            </w: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104(d)</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110(b)</w:t>
            </w:r>
          </w:p>
        </w:tc>
        <w:tc>
          <w:tcPr>
            <w:tcW w:w="4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on</w:t>
            </w:r>
          </w:p>
        </w:tc>
        <w:tc>
          <w:tcPr>
            <w:tcW w:w="120" w:type="dxa"/>
            <w:vAlign w:val="bottom"/>
          </w:tcPr>
          <w:p>
            <w:pPr>
              <w:spacing w:after="0"/>
              <w:rPr>
                <w:sz w:val="17"/>
                <w:szCs w:val="17"/>
                <w:color w:val="auto"/>
              </w:rPr>
            </w:pPr>
          </w:p>
        </w:tc>
        <w:tc>
          <w:tcPr>
            <w:tcW w:w="7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MSHA</w:t>
            </w:r>
          </w:p>
        </w:tc>
        <w:tc>
          <w:tcPr>
            <w:tcW w:w="254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Number of Violatio Pattern</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Last</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ted</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Actions</w:t>
            </w: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104</w:t>
            </w:r>
          </w:p>
        </w:tc>
        <w:tc>
          <w:tcPr>
            <w:tcW w:w="12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104(b Citation</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3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107(a Assessm</w:t>
            </w:r>
          </w:p>
        </w:tc>
        <w:tc>
          <w:tcPr>
            <w:tcW w:w="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Mining</w:t>
            </w:r>
          </w:p>
        </w:tc>
        <w:tc>
          <w:tcPr>
            <w:tcW w:w="80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n Under</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Day</w:t>
            </w:r>
          </w:p>
        </w:tc>
        <w:tc>
          <w:tcPr>
            <w:tcW w:w="13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Durin Resolve</w:t>
            </w:r>
          </w:p>
        </w:tc>
      </w:tr>
      <w:tr>
        <w:trPr>
          <w:trHeight w:val="203"/>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S&amp;S</w:t>
            </w:r>
          </w:p>
        </w:tc>
        <w:tc>
          <w:tcPr>
            <w:tcW w:w="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 and</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Violati</w:t>
            </w:r>
          </w:p>
        </w:tc>
        <w:tc>
          <w:tcPr>
            <w:tcW w:w="4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ent/$</w:t>
            </w:r>
          </w:p>
        </w:tc>
        <w:tc>
          <w:tcPr>
            <w:tcW w:w="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Related</w:t>
            </w:r>
          </w:p>
        </w:tc>
        <w:tc>
          <w:tcPr>
            <w:tcW w:w="80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Section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Section</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g</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 During</w:t>
            </w:r>
          </w:p>
        </w:tc>
      </w:tr>
      <w:tr>
        <w:trPr>
          <w:trHeight w:val="203"/>
        </w:trPr>
        <w:tc>
          <w:tcPr>
            <w:tcW w:w="204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MSHA</w:t>
            </w:r>
          </w:p>
        </w:tc>
        <w:tc>
          <w:tcPr>
            <w:tcW w:w="202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Citation Orde Orders</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ons</w:t>
            </w:r>
          </w:p>
        </w:tc>
        <w:tc>
          <w:tcPr>
            <w:tcW w:w="13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Orde Propose</w:t>
            </w:r>
          </w:p>
        </w:tc>
        <w:tc>
          <w:tcPr>
            <w:tcW w:w="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Fatalities</w:t>
            </w:r>
          </w:p>
        </w:tc>
        <w:tc>
          <w:tcPr>
            <w:tcW w:w="8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104(e)</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104(e)</w:t>
            </w:r>
          </w:p>
        </w:tc>
        <w:tc>
          <w:tcPr>
            <w:tcW w:w="5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Perio</w:t>
            </w:r>
          </w:p>
        </w:tc>
        <w:tc>
          <w:tcPr>
            <w:tcW w:w="58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Perio</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Period</w:t>
            </w:r>
          </w:p>
        </w:tc>
      </w:tr>
      <w:tr>
        <w:trPr>
          <w:trHeight w:val="203"/>
        </w:trPr>
        <w:tc>
          <w:tcPr>
            <w:tcW w:w="204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Location</w:t>
            </w:r>
          </w:p>
        </w:tc>
        <w:tc>
          <w:tcPr>
            <w:tcW w:w="7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ID</w:t>
            </w:r>
          </w:p>
        </w:tc>
        <w:tc>
          <w:tcPr>
            <w:tcW w:w="78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w w:val="97"/>
              </w:rPr>
              <w:t>s (#)</w:t>
            </w:r>
          </w:p>
        </w:tc>
        <w:tc>
          <w:tcPr>
            <w:tcW w:w="5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rs (#)</w:t>
            </w: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9"/>
              </w:rPr>
              <w:t>rs (#)</w:t>
            </w:r>
          </w:p>
        </w:tc>
        <w:tc>
          <w:tcPr>
            <w:tcW w:w="120" w:type="dxa"/>
            <w:vAlign w:val="bottom"/>
          </w:tcPr>
          <w:p>
            <w:pPr>
              <w:spacing w:after="0"/>
              <w:rPr>
                <w:sz w:val="17"/>
                <w:szCs w:val="17"/>
                <w:color w:val="auto"/>
              </w:rPr>
            </w:pP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d</w:t>
            </w:r>
          </w:p>
        </w:tc>
        <w:tc>
          <w:tcPr>
            <w:tcW w:w="96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w:t>
            </w:r>
          </w:p>
        </w:tc>
        <w:tc>
          <w:tcPr>
            <w:tcW w:w="158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(yes/no) (yes/no)</w:t>
            </w:r>
          </w:p>
        </w:tc>
        <w:tc>
          <w:tcPr>
            <w:tcW w:w="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 (#)*</w:t>
            </w:r>
          </w:p>
        </w:tc>
        <w:tc>
          <w:tcPr>
            <w:tcW w:w="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 (#)</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r>
      <w:tr>
        <w:trPr>
          <w:trHeight w:val="203"/>
        </w:trPr>
        <w:tc>
          <w:tcPr>
            <w:tcW w:w="204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44000</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Abingdon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03</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31016</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Alexander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36</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10201</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Allsboro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4</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44073</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Amelia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72</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31001</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American Stone</w:t>
            </w:r>
          </w:p>
        </w:tc>
        <w:tc>
          <w:tcPr>
            <w:tcW w:w="740" w:type="dxa"/>
            <w:vAlign w:val="bottom"/>
          </w:tcPr>
          <w:p>
            <w:pPr>
              <w:ind w:left="120"/>
              <w:spacing w:after="0"/>
              <w:rPr>
                <w:sz w:val="20"/>
                <w:szCs w:val="20"/>
                <w:color w:val="auto"/>
              </w:rPr>
            </w:pPr>
            <w:r>
              <w:rPr>
                <w:rFonts w:ascii="Arial" w:cs="Arial" w:eastAsia="Arial" w:hAnsi="Arial"/>
                <w:sz w:val="18"/>
                <w:szCs w:val="18"/>
                <w:color w:val="auto"/>
              </w:rPr>
              <w:t>89</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44029</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Anderson Creek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63</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90108</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Appling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3</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Arrowood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59</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1</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7,376</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1</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1</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1</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Asheboro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66</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10000</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Auburn Al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6</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90043</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Auburn GA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6</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90006</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Augusta GA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151</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Bakers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71</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90095</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Ball Ground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Belgrade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64</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31019</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Benson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79</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38000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Berkeley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72</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31011</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Bessemer City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05</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31019</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Bonds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63</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18000</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Boonesboro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151</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Burlington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42</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31018</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Caldwell Quarry</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69</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40033</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Calhoun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95</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38007</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Calhoun Sand</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Castle Hayne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63</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38000</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Cayce</w:t>
            </w:r>
          </w:p>
        </w:tc>
        <w:tc>
          <w:tcPr>
            <w:tcW w:w="740" w:type="dxa"/>
            <w:vAlign w:val="bottom"/>
            <w:shd w:val="clear" w:color="auto" w:fill="E5F1F8"/>
          </w:tcPr>
          <w:p>
            <w:pPr>
              <w:ind w:left="12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1,930</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tcPr>
          <w:p>
            <w:pPr>
              <w:spacing w:after="0"/>
              <w:rPr>
                <w:sz w:val="15"/>
                <w:szCs w:val="15"/>
                <w:color w:val="auto"/>
              </w:rPr>
            </w:pPr>
          </w:p>
        </w:tc>
        <w:tc>
          <w:tcPr>
            <w:tcW w:w="74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Central Rock Quarry</w:t>
            </w:r>
          </w:p>
        </w:tc>
        <w:tc>
          <w:tcPr>
            <w:tcW w:w="740" w:type="dxa"/>
            <w:vAlign w:val="bottom"/>
          </w:tcPr>
          <w:p>
            <w:pPr>
              <w:ind w:left="120"/>
              <w:spacing w:after="0"/>
              <w:rPr>
                <w:sz w:val="20"/>
                <w:szCs w:val="20"/>
                <w:color w:val="auto"/>
              </w:rPr>
            </w:pPr>
            <w:r>
              <w:rPr>
                <w:rFonts w:ascii="Arial" w:cs="Arial" w:eastAsia="Arial" w:hAnsi="Arial"/>
                <w:sz w:val="18"/>
                <w:szCs w:val="18"/>
                <w:color w:val="auto"/>
              </w:rPr>
              <w:t>50</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tcPr>
          <w:p>
            <w:pPr>
              <w:ind w:left="20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184"/>
        </w:trPr>
        <w:tc>
          <w:tcPr>
            <w:tcW w:w="2040" w:type="dxa"/>
            <w:vAlign w:val="bottom"/>
            <w:shd w:val="clear" w:color="auto" w:fill="E5F1F8"/>
          </w:tcPr>
          <w:p>
            <w:pPr>
              <w:spacing w:after="0"/>
              <w:rPr>
                <w:sz w:val="15"/>
                <w:szCs w:val="15"/>
                <w:color w:val="auto"/>
              </w:rPr>
            </w:pPr>
          </w:p>
        </w:tc>
        <w:tc>
          <w:tcPr>
            <w:tcW w:w="74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31023</w:t>
            </w: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12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r>
      <w:tr>
        <w:trPr>
          <w:trHeight w:val="221"/>
        </w:trPr>
        <w:tc>
          <w:tcPr>
            <w:tcW w:w="2780" w:type="dxa"/>
            <w:vAlign w:val="bottom"/>
            <w:gridSpan w:val="2"/>
            <w:shd w:val="clear" w:color="auto" w:fill="E5F1F8"/>
          </w:tcPr>
          <w:p>
            <w:pPr>
              <w:spacing w:after="0"/>
              <w:rPr>
                <w:sz w:val="20"/>
                <w:szCs w:val="20"/>
                <w:color w:val="auto"/>
              </w:rPr>
            </w:pPr>
            <w:r>
              <w:rPr>
                <w:rFonts w:ascii="Arial" w:cs="Arial" w:eastAsia="Arial" w:hAnsi="Arial"/>
                <w:sz w:val="18"/>
                <w:szCs w:val="18"/>
                <w:color w:val="auto"/>
              </w:rPr>
              <w:t>Charlotte Portable Plant 1 41</w:t>
            </w:r>
          </w:p>
        </w:tc>
        <w:tc>
          <w:tcPr>
            <w:tcW w:w="78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6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E5F1F8"/>
          </w:tcPr>
          <w:p>
            <w:pPr>
              <w:ind w:lef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center"/>
              <w:ind w:left="10"/>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612"/>
        </w:trPr>
        <w:tc>
          <w:tcPr>
            <w:tcW w:w="204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31000</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Charlotte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57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40031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Chattanooga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18000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Churchville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12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Clarks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396</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40024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Coy Stone Plant</w:t>
            </w:r>
          </w:p>
        </w:tc>
        <w:tc>
          <w:tcPr>
            <w:tcW w:w="880" w:type="dxa"/>
            <w:vAlign w:val="bottom"/>
          </w:tcPr>
          <w:p>
            <w:pPr>
              <w:ind w:left="120"/>
              <w:spacing w:after="0"/>
              <w:rPr>
                <w:sz w:val="20"/>
                <w:szCs w:val="20"/>
                <w:color w:val="auto"/>
              </w:rPr>
            </w:pPr>
            <w:r>
              <w:rPr>
                <w:rFonts w:ascii="Arial" w:cs="Arial" w:eastAsia="Arial" w:hAnsi="Arial"/>
                <w:sz w:val="18"/>
                <w:szCs w:val="18"/>
                <w:color w:val="auto"/>
              </w:rPr>
              <w:t>65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Cumberland Quarry</w:t>
            </w: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15000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(Kentucky)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37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90046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Cumming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31019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Denver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71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662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44000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Doswell Quarry VA</w:t>
            </w:r>
          </w:p>
        </w:tc>
        <w:tc>
          <w:tcPr>
            <w:tcW w:w="880" w:type="dxa"/>
            <w:vAlign w:val="bottom"/>
          </w:tcPr>
          <w:p>
            <w:pPr>
              <w:ind w:left="120"/>
              <w:spacing w:after="0"/>
              <w:rPr>
                <w:sz w:val="20"/>
                <w:szCs w:val="20"/>
                <w:color w:val="auto"/>
              </w:rPr>
            </w:pPr>
            <w:r>
              <w:rPr>
                <w:rFonts w:ascii="Arial" w:cs="Arial" w:eastAsia="Arial" w:hAnsi="Arial"/>
                <w:sz w:val="18"/>
                <w:szCs w:val="18"/>
                <w:color w:val="auto"/>
              </w:rPr>
              <w:t>45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90002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Douglasville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31020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East Alamance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21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38007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Edgefield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313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38006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Edmund Sand</w:t>
            </w:r>
          </w:p>
        </w:tc>
        <w:tc>
          <w:tcPr>
            <w:tcW w:w="880" w:type="dxa"/>
            <w:vAlign w:val="bottom"/>
          </w:tcPr>
          <w:p>
            <w:pPr>
              <w:ind w:left="120"/>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697</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40030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Elizabethton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75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40016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8"/>
                <w:szCs w:val="18"/>
                <w:color w:val="auto"/>
              </w:rPr>
              <w:t>Forks of The River Quarry 10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377</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80120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Fort Myers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Fountain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65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Franklin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30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18000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Frederick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13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Fuquay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Garner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72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38005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Georgetown II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679</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40031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Grasselli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31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40024</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Greenback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88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31023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Greensboro Portable Plt</w:t>
            </w:r>
          </w:p>
        </w:tc>
        <w:tc>
          <w:tcPr>
            <w:tcW w:w="880" w:type="dxa"/>
            <w:vAlign w:val="bottom"/>
          </w:tcPr>
          <w:p>
            <w:pPr>
              <w:ind w:left="120"/>
              <w:spacing w:after="0"/>
              <w:rPr>
                <w:sz w:val="20"/>
                <w:szCs w:val="20"/>
                <w:color w:val="auto"/>
              </w:rPr>
            </w:pPr>
            <w:r>
              <w:rPr>
                <w:rFonts w:ascii="Arial" w:cs="Arial" w:eastAsia="Arial" w:hAnsi="Arial"/>
                <w:sz w:val="18"/>
                <w:szCs w:val="18"/>
                <w:color w:val="auto"/>
              </w:rPr>
              <w:t>36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31023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920" w:type="dxa"/>
            <w:vAlign w:val="bottom"/>
            <w:gridSpan w:val="2"/>
            <w:shd w:val="clear" w:color="auto" w:fill="E5F1F8"/>
          </w:tcPr>
          <w:p>
            <w:pPr>
              <w:spacing w:after="0"/>
              <w:rPr>
                <w:sz w:val="20"/>
                <w:szCs w:val="20"/>
                <w:color w:val="auto"/>
              </w:rPr>
            </w:pPr>
            <w:r>
              <w:rPr>
                <w:rFonts w:ascii="Arial" w:cs="Arial" w:eastAsia="Arial" w:hAnsi="Arial"/>
                <w:sz w:val="18"/>
                <w:szCs w:val="18"/>
                <w:color w:val="auto"/>
              </w:rPr>
              <w:t>Greensboro Portable Plt II 35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15000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Harlan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71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Hickory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43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90095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Homer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10266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Huntsville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40012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I-75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47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233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Jamestown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90110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Jefferson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90102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Junction City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698</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Kannapolis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70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18007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Kent Sand &amp; Gravel</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700</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7"/>
        </w:trPr>
        <w:tc>
          <w:tcPr>
            <w:tcW w:w="2040" w:type="dxa"/>
            <w:vAlign w:val="bottom"/>
          </w:tcPr>
          <w:p>
            <w:pPr>
              <w:spacing w:after="0"/>
              <w:rPr>
                <w:sz w:val="20"/>
                <w:szCs w:val="20"/>
                <w:color w:val="auto"/>
              </w:rPr>
            </w:pPr>
            <w:r>
              <w:rPr>
                <w:rFonts w:ascii="Arial" w:cs="Arial" w:eastAsia="Arial" w:hAnsi="Arial"/>
                <w:sz w:val="18"/>
                <w:szCs w:val="18"/>
                <w:color w:val="auto"/>
              </w:rPr>
              <w:t>Kings Mountain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47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642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0"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428"/>
        </w:trPr>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31011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Lemon Springs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90002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Lithonia Quarry</w:t>
            </w:r>
          </w:p>
        </w:tc>
        <w:tc>
          <w:tcPr>
            <w:tcW w:w="840" w:type="dxa"/>
            <w:vAlign w:val="bottom"/>
          </w:tcPr>
          <w:p>
            <w:pPr>
              <w:ind w:left="80"/>
              <w:spacing w:after="0"/>
              <w:rPr>
                <w:sz w:val="20"/>
                <w:szCs w:val="20"/>
                <w:color w:val="auto"/>
              </w:rPr>
            </w:pPr>
            <w:r>
              <w:rPr>
                <w:rFonts w:ascii="Arial" w:cs="Arial" w:eastAsia="Arial" w:hAnsi="Arial"/>
                <w:sz w:val="18"/>
                <w:szCs w:val="18"/>
                <w:color w:val="auto"/>
              </w:rPr>
              <w:t>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38007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Loamy Sand Gravel</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21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377</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40001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Locust Mount Quarry</w:t>
            </w:r>
          </w:p>
        </w:tc>
        <w:tc>
          <w:tcPr>
            <w:tcW w:w="840" w:type="dxa"/>
            <w:vAlign w:val="bottom"/>
          </w:tcPr>
          <w:p>
            <w:pPr>
              <w:ind w:left="80"/>
              <w:spacing w:after="0"/>
              <w:rPr>
                <w:sz w:val="20"/>
                <w:szCs w:val="20"/>
                <w:color w:val="auto"/>
              </w:rPr>
            </w:pPr>
            <w:r>
              <w:rPr>
                <w:rFonts w:ascii="Arial" w:cs="Arial" w:eastAsia="Arial" w:hAnsi="Arial"/>
                <w:sz w:val="18"/>
                <w:szCs w:val="18"/>
                <w:color w:val="auto"/>
              </w:rPr>
              <w:t>22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Maiden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31020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Mallard Creek Quarry</w:t>
            </w:r>
          </w:p>
        </w:tc>
        <w:tc>
          <w:tcPr>
            <w:tcW w:w="840" w:type="dxa"/>
            <w:vAlign w:val="bottom"/>
          </w:tcPr>
          <w:p>
            <w:pPr>
              <w:ind w:left="80"/>
              <w:spacing w:after="0"/>
              <w:rPr>
                <w:sz w:val="20"/>
                <w:szCs w:val="20"/>
                <w:color w:val="auto"/>
              </w:rPr>
            </w:pPr>
            <w:r>
              <w:rPr>
                <w:rFonts w:ascii="Arial" w:cs="Arial" w:eastAsia="Arial" w:hAnsi="Arial"/>
                <w:sz w:val="18"/>
                <w:szCs w:val="18"/>
                <w:color w:val="auto"/>
              </w:rPr>
              <w:t>06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Matthews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84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755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10063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Maylene Quarry</w:t>
            </w:r>
          </w:p>
        </w:tc>
        <w:tc>
          <w:tcPr>
            <w:tcW w:w="840" w:type="dxa"/>
            <w:vAlign w:val="bottom"/>
          </w:tcPr>
          <w:p>
            <w:pPr>
              <w:ind w:left="8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18000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Medford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44037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Midlothian Quarry</w:t>
            </w:r>
          </w:p>
        </w:tc>
        <w:tc>
          <w:tcPr>
            <w:tcW w:w="840" w:type="dxa"/>
            <w:vAlign w:val="bottom"/>
          </w:tcPr>
          <w:p>
            <w:pPr>
              <w:ind w:left="80"/>
              <w:spacing w:after="0"/>
              <w:rPr>
                <w:sz w:val="20"/>
                <w:szCs w:val="20"/>
                <w:color w:val="auto"/>
              </w:rPr>
            </w:pPr>
            <w:r>
              <w:rPr>
                <w:rFonts w:ascii="Arial" w:cs="Arial" w:eastAsia="Arial" w:hAnsi="Arial"/>
                <w:sz w:val="18"/>
                <w:szCs w:val="18"/>
                <w:color w:val="auto"/>
              </w:rPr>
              <w:t>67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40011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Midway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69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00B86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Misc Greensboro District</w:t>
            </w:r>
          </w:p>
        </w:tc>
        <w:tc>
          <w:tcPr>
            <w:tcW w:w="84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40007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Monterey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98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90112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Morgan County</w:t>
            </w:r>
          </w:p>
        </w:tc>
        <w:tc>
          <w:tcPr>
            <w:tcW w:w="840" w:type="dxa"/>
            <w:vAlign w:val="bottom"/>
          </w:tcPr>
          <w:p>
            <w:pPr>
              <w:ind w:left="8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90089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Newton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38001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North Columbia</w:t>
            </w:r>
          </w:p>
        </w:tc>
        <w:tc>
          <w:tcPr>
            <w:tcW w:w="840" w:type="dxa"/>
            <w:vAlign w:val="bottom"/>
          </w:tcPr>
          <w:p>
            <w:pPr>
              <w:ind w:left="80"/>
              <w:spacing w:after="0"/>
              <w:rPr>
                <w:sz w:val="20"/>
                <w:szCs w:val="20"/>
                <w:color w:val="auto"/>
              </w:rPr>
            </w:pPr>
            <w:r>
              <w:rPr>
                <w:rFonts w:ascii="Arial" w:cs="Arial" w:eastAsia="Arial" w:hAnsi="Arial"/>
                <w:sz w:val="18"/>
                <w:szCs w:val="18"/>
                <w:color w:val="auto"/>
              </w:rPr>
              <w:t>46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18004</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North East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10307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O'Neal Plant  Co 19</w:t>
            </w:r>
          </w:p>
        </w:tc>
        <w:tc>
          <w:tcPr>
            <w:tcW w:w="840" w:type="dxa"/>
            <w:vAlign w:val="bottom"/>
          </w:tcPr>
          <w:p>
            <w:pPr>
              <w:ind w:left="8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38007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Old Charleston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31021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Onslow Quarry</w:t>
            </w:r>
          </w:p>
        </w:tc>
        <w:tc>
          <w:tcPr>
            <w:tcW w:w="840" w:type="dxa"/>
            <w:vAlign w:val="bottom"/>
          </w:tcPr>
          <w:p>
            <w:pPr>
              <w:ind w:left="80"/>
              <w:spacing w:after="0"/>
              <w:rPr>
                <w:sz w:val="20"/>
                <w:szCs w:val="20"/>
                <w:color w:val="auto"/>
              </w:rPr>
            </w:pPr>
            <w:r>
              <w:rPr>
                <w:rFonts w:ascii="Arial" w:cs="Arial" w:eastAsia="Arial" w:hAnsi="Arial"/>
                <w:sz w:val="18"/>
                <w:szCs w:val="18"/>
                <w:color w:val="auto"/>
              </w:rPr>
              <w:t>20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38007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Palmetto Sand Company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90110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Paulding Quarry</w:t>
            </w:r>
          </w:p>
        </w:tc>
        <w:tc>
          <w:tcPr>
            <w:tcW w:w="840" w:type="dxa"/>
            <w:vAlign w:val="bottom"/>
          </w:tcPr>
          <w:p>
            <w:pPr>
              <w:ind w:left="80"/>
              <w:spacing w:after="0"/>
              <w:rPr>
                <w:sz w:val="20"/>
                <w:szCs w:val="20"/>
                <w:color w:val="auto"/>
              </w:rPr>
            </w:pPr>
            <w:r>
              <w:rPr>
                <w:rFonts w:ascii="Arial" w:cs="Arial" w:eastAsia="Arial" w:hAnsi="Arial"/>
                <w:sz w:val="18"/>
                <w:szCs w:val="18"/>
                <w:color w:val="auto"/>
              </w:rPr>
              <w:t>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80108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Perry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604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18000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Pinesburg Quarry</w:t>
            </w:r>
          </w:p>
        </w:tc>
        <w:tc>
          <w:tcPr>
            <w:tcW w:w="840" w:type="dxa"/>
            <w:vAlign w:val="bottom"/>
          </w:tcPr>
          <w:p>
            <w:pPr>
              <w:ind w:left="80"/>
              <w:spacing w:after="0"/>
              <w:rPr>
                <w:sz w:val="20"/>
                <w:szCs w:val="20"/>
                <w:color w:val="auto"/>
              </w:rPr>
            </w:pPr>
            <w:r>
              <w:rPr>
                <w:rFonts w:ascii="Arial" w:cs="Arial" w:eastAsia="Arial" w:hAnsi="Arial"/>
                <w:sz w:val="18"/>
                <w:szCs w:val="18"/>
                <w:color w:val="auto"/>
              </w:rPr>
              <w:t>21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Pomona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31019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Raleigh Durham Quarry</w:t>
            </w:r>
          </w:p>
        </w:tc>
        <w:tc>
          <w:tcPr>
            <w:tcW w:w="84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44000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Red Hill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72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90006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Red Oak Quarry</w:t>
            </w:r>
          </w:p>
        </w:tc>
        <w:tc>
          <w:tcPr>
            <w:tcW w:w="840" w:type="dxa"/>
            <w:vAlign w:val="bottom"/>
          </w:tcPr>
          <w:p>
            <w:pPr>
              <w:ind w:left="8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Reidsville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68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40032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Riverbend Quarry</w:t>
            </w:r>
          </w:p>
        </w:tc>
        <w:tc>
          <w:tcPr>
            <w:tcW w:w="840" w:type="dxa"/>
            <w:vAlign w:val="bottom"/>
          </w:tcPr>
          <w:p>
            <w:pPr>
              <w:ind w:left="80"/>
              <w:spacing w:after="0"/>
              <w:rPr>
                <w:sz w:val="20"/>
                <w:szCs w:val="20"/>
                <w:color w:val="auto"/>
              </w:rPr>
            </w:pPr>
            <w:r>
              <w:rPr>
                <w:rFonts w:ascii="Arial" w:cs="Arial" w:eastAsia="Arial" w:hAnsi="Arial"/>
                <w:sz w:val="18"/>
                <w:szCs w:val="18"/>
                <w:color w:val="auto"/>
              </w:rPr>
              <w:t>24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38000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Rock Hill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26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603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31019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Rocky Point Quarry</w:t>
            </w:r>
          </w:p>
        </w:tc>
        <w:tc>
          <w:tcPr>
            <w:tcW w:w="840" w:type="dxa"/>
            <w:vAlign w:val="bottom"/>
          </w:tcPr>
          <w:p>
            <w:pPr>
              <w:ind w:left="80"/>
              <w:spacing w:after="0"/>
              <w:rPr>
                <w:sz w:val="20"/>
                <w:szCs w:val="20"/>
                <w:color w:val="auto"/>
              </w:rPr>
            </w:pPr>
            <w:r>
              <w:rPr>
                <w:rFonts w:ascii="Arial" w:cs="Arial" w:eastAsia="Arial" w:hAnsi="Arial"/>
                <w:sz w:val="18"/>
                <w:szCs w:val="18"/>
                <w:color w:val="auto"/>
              </w:rPr>
              <w:t>56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90007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Ruby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38007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Salem Sand</w:t>
            </w:r>
          </w:p>
        </w:tc>
        <w:tc>
          <w:tcPr>
            <w:tcW w:w="840" w:type="dxa"/>
            <w:vAlign w:val="bottom"/>
          </w:tcPr>
          <w:p>
            <w:pPr>
              <w:ind w:left="80"/>
              <w:spacing w:after="0"/>
              <w:rPr>
                <w:sz w:val="20"/>
                <w:szCs w:val="20"/>
                <w:color w:val="auto"/>
              </w:rPr>
            </w:pPr>
            <w:r>
              <w:rPr>
                <w:rFonts w:ascii="Arial" w:cs="Arial" w:eastAsia="Arial" w:hAnsi="Arial"/>
                <w:sz w:val="18"/>
                <w:szCs w:val="18"/>
                <w:color w:val="auto"/>
              </w:rPr>
              <w:t>58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31020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80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Salem Stone</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line="183" w:lineRule="exact"/>
              <w:rPr>
                <w:sz w:val="20"/>
                <w:szCs w:val="20"/>
                <w:color w:val="auto"/>
              </w:rPr>
            </w:pPr>
            <w:r>
              <w:rPr>
                <w:rFonts w:ascii="Arial" w:cs="Arial" w:eastAsia="Arial" w:hAnsi="Arial"/>
                <w:sz w:val="18"/>
                <w:szCs w:val="18"/>
                <w:color w:val="auto"/>
              </w:rPr>
              <w:t>Salisbury Pink Quarry</w:t>
            </w: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(Carolina Quarry)</w:t>
            </w:r>
          </w:p>
        </w:tc>
        <w:tc>
          <w:tcPr>
            <w:tcW w:w="840" w:type="dxa"/>
            <w:vAlign w:val="bottom"/>
          </w:tcPr>
          <w:p>
            <w:pPr>
              <w:ind w:left="80"/>
              <w:spacing w:after="0"/>
              <w:rPr>
                <w:sz w:val="20"/>
                <w:szCs w:val="20"/>
                <w:color w:val="auto"/>
              </w:rPr>
            </w:pPr>
            <w:r>
              <w:rPr>
                <w:rFonts w:ascii="Arial" w:cs="Arial" w:eastAsia="Arial" w:hAnsi="Arial"/>
                <w:sz w:val="18"/>
                <w:szCs w:val="18"/>
                <w:color w:val="auto"/>
              </w:rPr>
              <w:t>00017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232"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9"/>
        </w:trPr>
        <w:tc>
          <w:tcPr>
            <w:tcW w:w="2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428"/>
        </w:trPr>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80133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SDI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90114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Six Mile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90119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St. Marys Sand Company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193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Statesville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55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18000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Texas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31014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Thomasville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75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40016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Tri Cities Airport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90030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Tyrone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40020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Unicoi</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75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10302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Vance Quarry  Co 19</w:t>
            </w:r>
          </w:p>
        </w:tc>
        <w:tc>
          <w:tcPr>
            <w:tcW w:w="820" w:type="dxa"/>
            <w:vAlign w:val="bottom"/>
          </w:tcPr>
          <w:p>
            <w:pPr>
              <w:ind w:left="6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36001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Warfordsburg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68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90058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Warrenton Quarry</w:t>
            </w: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336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40001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Watauga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31013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Wilmington Sand</w:t>
            </w:r>
          </w:p>
        </w:tc>
        <w:tc>
          <w:tcPr>
            <w:tcW w:w="820" w:type="dxa"/>
            <w:vAlign w:val="bottom"/>
          </w:tcPr>
          <w:p>
            <w:pPr>
              <w:ind w:left="60"/>
              <w:spacing w:after="0"/>
              <w:rPr>
                <w:sz w:val="20"/>
                <w:szCs w:val="20"/>
                <w:color w:val="auto"/>
              </w:rPr>
            </w:pPr>
            <w:r>
              <w:rPr>
                <w:rFonts w:ascii="Arial" w:cs="Arial" w:eastAsia="Arial" w:hAnsi="Arial"/>
                <w:sz w:val="18"/>
                <w:szCs w:val="18"/>
                <w:color w:val="auto"/>
              </w:rPr>
              <w:t>08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31022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Wilson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30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Woodleaf Quarry</w:t>
            </w:r>
          </w:p>
        </w:tc>
        <w:tc>
          <w:tcPr>
            <w:tcW w:w="820" w:type="dxa"/>
            <w:vAlign w:val="bottom"/>
          </w:tcPr>
          <w:p>
            <w:pPr>
              <w:ind w:left="60"/>
              <w:spacing w:after="0"/>
              <w:rPr>
                <w:sz w:val="20"/>
                <w:szCs w:val="20"/>
                <w:color w:val="auto"/>
              </w:rPr>
            </w:pPr>
            <w:r>
              <w:rPr>
                <w:rFonts w:ascii="Arial" w:cs="Arial" w:eastAsia="Arial" w:hAnsi="Arial"/>
                <w:sz w:val="18"/>
                <w:szCs w:val="18"/>
                <w:color w:val="auto"/>
              </w:rPr>
              <w:t>69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(45) North Indianapolis</w:t>
            </w: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SURFACE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6,024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2</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13020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Alden Portable Plant #2</w:t>
            </w:r>
          </w:p>
        </w:tc>
        <w:tc>
          <w:tcPr>
            <w:tcW w:w="820" w:type="dxa"/>
            <w:vAlign w:val="bottom"/>
          </w:tcPr>
          <w:p>
            <w:pPr>
              <w:ind w:left="60"/>
              <w:spacing w:after="0"/>
              <w:rPr>
                <w:sz w:val="20"/>
                <w:szCs w:val="20"/>
                <w:color w:val="auto"/>
              </w:rPr>
            </w:pPr>
            <w:r>
              <w:rPr>
                <w:rFonts w:ascii="Arial" w:cs="Arial" w:eastAsia="Arial" w:hAnsi="Arial"/>
                <w:sz w:val="18"/>
                <w:szCs w:val="18"/>
                <w:color w:val="auto"/>
              </w:rPr>
              <w:t>33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Alden Portable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37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13002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Alden Quarry</w:t>
            </w:r>
          </w:p>
        </w:tc>
        <w:tc>
          <w:tcPr>
            <w:tcW w:w="820" w:type="dxa"/>
            <w:vAlign w:val="bottom"/>
          </w:tcPr>
          <w:p>
            <w:pPr>
              <w:ind w:left="60"/>
              <w:spacing w:after="0"/>
              <w:rPr>
                <w:sz w:val="20"/>
                <w:szCs w:val="20"/>
                <w:color w:val="auto"/>
              </w:rPr>
            </w:pPr>
            <w:r>
              <w:rPr>
                <w:rFonts w:ascii="Arial" w:cs="Arial" w:eastAsia="Arial" w:hAnsi="Arial"/>
                <w:sz w:val="18"/>
                <w:szCs w:val="18"/>
                <w:color w:val="auto"/>
              </w:rPr>
              <w:t>28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226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Ames Mine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2,461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33016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Apple Grove S G</w:t>
            </w:r>
          </w:p>
        </w:tc>
        <w:tc>
          <w:tcPr>
            <w:tcW w:w="820" w:type="dxa"/>
            <w:vAlign w:val="bottom"/>
          </w:tcPr>
          <w:p>
            <w:pPr>
              <w:ind w:left="60"/>
              <w:spacing w:after="0"/>
              <w:rPr>
                <w:sz w:val="20"/>
                <w:szCs w:val="20"/>
                <w:color w:val="auto"/>
              </w:rPr>
            </w:pPr>
            <w:r>
              <w:rPr>
                <w:rFonts w:ascii="Arial" w:cs="Arial" w:eastAsia="Arial" w:hAnsi="Arial"/>
                <w:sz w:val="18"/>
                <w:szCs w:val="18"/>
                <w:color w:val="auto"/>
              </w:rPr>
              <w:t>76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12019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Belmont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344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line="183" w:lineRule="exact"/>
              <w:rPr>
                <w:sz w:val="20"/>
                <w:szCs w:val="20"/>
                <w:color w:val="auto"/>
              </w:rPr>
            </w:pPr>
            <w:r>
              <w:rPr>
                <w:rFonts w:ascii="Arial" w:cs="Arial" w:eastAsia="Arial" w:hAnsi="Arial"/>
                <w:sz w:val="18"/>
                <w:szCs w:val="18"/>
                <w:color w:val="auto"/>
              </w:rPr>
              <w:t>Bowling Green North</w:t>
            </w: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15000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Quarry</w:t>
            </w:r>
          </w:p>
        </w:tc>
        <w:tc>
          <w:tcPr>
            <w:tcW w:w="820" w:type="dxa"/>
            <w:vAlign w:val="bottom"/>
          </w:tcPr>
          <w:p>
            <w:pPr>
              <w:ind w:left="60"/>
              <w:spacing w:after="0"/>
              <w:rPr>
                <w:sz w:val="20"/>
                <w:szCs w:val="20"/>
                <w:color w:val="auto"/>
              </w:rPr>
            </w:pPr>
            <w:r>
              <w:rPr>
                <w:rFonts w:ascii="Arial" w:cs="Arial" w:eastAsia="Arial" w:hAnsi="Arial"/>
                <w:sz w:val="18"/>
                <w:szCs w:val="18"/>
                <w:color w:val="auto"/>
              </w:rPr>
              <w:t>65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1,345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Bowling Green South</w:t>
            </w: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15000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906</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46088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Burning Springs Mine</w:t>
            </w:r>
          </w:p>
        </w:tc>
        <w:tc>
          <w:tcPr>
            <w:tcW w:w="820" w:type="dxa"/>
            <w:vAlign w:val="bottom"/>
          </w:tcPr>
          <w:p>
            <w:pPr>
              <w:ind w:left="60"/>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Carmel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13001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Cedar Rapids Quarry</w:t>
            </w:r>
          </w:p>
        </w:tc>
        <w:tc>
          <w:tcPr>
            <w:tcW w:w="820" w:type="dxa"/>
            <w:vAlign w:val="bottom"/>
          </w:tcPr>
          <w:p>
            <w:pPr>
              <w:ind w:left="60"/>
              <w:spacing w:after="0"/>
              <w:rPr>
                <w:sz w:val="20"/>
                <w:szCs w:val="20"/>
                <w:color w:val="auto"/>
              </w:rPr>
            </w:pPr>
            <w:r>
              <w:rPr>
                <w:rFonts w:ascii="Arial" w:cs="Arial" w:eastAsia="Arial" w:hAnsi="Arial"/>
                <w:sz w:val="18"/>
                <w:szCs w:val="18"/>
                <w:color w:val="auto"/>
              </w:rPr>
              <w:t>22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33040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Cedarville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72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12017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Cloverdale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44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616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Des Moines Portable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line="183" w:lineRule="exact"/>
              <w:rPr>
                <w:sz w:val="20"/>
                <w:szCs w:val="20"/>
                <w:color w:val="auto"/>
              </w:rPr>
            </w:pPr>
            <w:r>
              <w:rPr>
                <w:rFonts w:ascii="Arial" w:cs="Arial" w:eastAsia="Arial" w:hAnsi="Arial"/>
                <w:sz w:val="18"/>
                <w:szCs w:val="18"/>
                <w:color w:val="auto"/>
              </w:rPr>
              <w:t>Des Moines Portable #2</w:t>
            </w: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13009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Primary</w:t>
            </w:r>
          </w:p>
        </w:tc>
        <w:tc>
          <w:tcPr>
            <w:tcW w:w="820" w:type="dxa"/>
            <w:vAlign w:val="bottom"/>
          </w:tcPr>
          <w:p>
            <w:pPr>
              <w:ind w:left="60"/>
              <w:spacing w:after="0"/>
              <w:rPr>
                <w:sz w:val="20"/>
                <w:szCs w:val="20"/>
                <w:color w:val="auto"/>
              </w:rPr>
            </w:pPr>
            <w:r>
              <w:rPr>
                <w:rFonts w:ascii="Arial" w:cs="Arial" w:eastAsia="Arial" w:hAnsi="Arial"/>
                <w:sz w:val="18"/>
                <w:szCs w:val="18"/>
                <w:color w:val="auto"/>
              </w:rPr>
              <w:t>32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DES MOINES</w:t>
            </w: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13025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PORTABLE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1,303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25010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Dubois Quarry</w:t>
            </w:r>
          </w:p>
        </w:tc>
        <w:tc>
          <w:tcPr>
            <w:tcW w:w="820" w:type="dxa"/>
            <w:vAlign w:val="bottom"/>
          </w:tcPr>
          <w:p>
            <w:pPr>
              <w:ind w:left="60"/>
              <w:spacing w:after="0"/>
              <w:rPr>
                <w:sz w:val="20"/>
                <w:szCs w:val="20"/>
                <w:color w:val="auto"/>
              </w:rPr>
            </w:pPr>
            <w:r>
              <w:rPr>
                <w:rFonts w:ascii="Arial" w:cs="Arial" w:eastAsia="Arial" w:hAnsi="Arial"/>
                <w:sz w:val="18"/>
                <w:szCs w:val="18"/>
                <w:color w:val="auto"/>
              </w:rPr>
              <w:t>46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13012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Durham Mine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2,225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33042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E Town Sand Gravel</w:t>
            </w:r>
          </w:p>
        </w:tc>
        <w:tc>
          <w:tcPr>
            <w:tcW w:w="820" w:type="dxa"/>
            <w:vAlign w:val="bottom"/>
          </w:tcPr>
          <w:p>
            <w:pPr>
              <w:ind w:left="60"/>
              <w:spacing w:after="0"/>
              <w:rPr>
                <w:sz w:val="20"/>
                <w:szCs w:val="20"/>
                <w:color w:val="auto"/>
              </w:rPr>
            </w:pPr>
            <w:r>
              <w:rPr>
                <w:rFonts w:ascii="Arial" w:cs="Arial" w:eastAsia="Arial" w:hAnsi="Arial"/>
                <w:sz w:val="18"/>
                <w:szCs w:val="18"/>
                <w:color w:val="auto"/>
              </w:rPr>
              <w:t>79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13017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Earlham Grading Crew</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0"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9"/>
        </w:trPr>
        <w:tc>
          <w:tcPr>
            <w:tcW w:w="2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612"/>
        </w:trPr>
        <w:tc>
          <w:tcPr>
            <w:tcW w:w="210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13021</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Earlham Quarry</w:t>
            </w:r>
          </w:p>
        </w:tc>
        <w:tc>
          <w:tcPr>
            <w:tcW w:w="820" w:type="dxa"/>
            <w:vAlign w:val="bottom"/>
          </w:tcPr>
          <w:p>
            <w:pPr>
              <w:ind w:left="60"/>
              <w:spacing w:after="0"/>
              <w:rPr>
                <w:sz w:val="20"/>
                <w:szCs w:val="20"/>
                <w:color w:val="auto"/>
              </w:rPr>
            </w:pPr>
            <w:r>
              <w:rPr>
                <w:rFonts w:ascii="Arial" w:cs="Arial" w:eastAsia="Arial" w:hAnsi="Arial"/>
                <w:sz w:val="18"/>
                <w:szCs w:val="18"/>
                <w:color w:val="auto"/>
              </w:rPr>
              <w:t>23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21012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Elk River Wash Plant</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33013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Fairfield Sand &amp; Gravel</w:t>
            </w:r>
          </w:p>
        </w:tc>
        <w:tc>
          <w:tcPr>
            <w:tcW w:w="820" w:type="dxa"/>
            <w:vAlign w:val="bottom"/>
          </w:tcPr>
          <w:p>
            <w:pPr>
              <w:ind w:left="60"/>
              <w:spacing w:after="0"/>
              <w:rPr>
                <w:sz w:val="20"/>
                <w:szCs w:val="20"/>
                <w:color w:val="auto"/>
              </w:rPr>
            </w:pPr>
            <w:r>
              <w:rPr>
                <w:rFonts w:ascii="Arial" w:cs="Arial" w:eastAsia="Arial" w:hAnsi="Arial"/>
                <w:sz w:val="18"/>
                <w:szCs w:val="18"/>
                <w:color w:val="auto"/>
              </w:rPr>
              <w:t>96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Ferguson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615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25013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Fort Calhoun Mine UG</w:t>
            </w:r>
          </w:p>
        </w:tc>
        <w:tc>
          <w:tcPr>
            <w:tcW w:w="820" w:type="dxa"/>
            <w:vAlign w:val="bottom"/>
          </w:tcPr>
          <w:p>
            <w:pPr>
              <w:ind w:left="60"/>
              <w:spacing w:after="0"/>
              <w:rPr>
                <w:sz w:val="20"/>
                <w:szCs w:val="20"/>
                <w:color w:val="auto"/>
              </w:rPr>
            </w:pPr>
            <w:r>
              <w:rPr>
                <w:rFonts w:ascii="Arial" w:cs="Arial" w:eastAsia="Arial" w:hAnsi="Arial"/>
                <w:sz w:val="18"/>
                <w:szCs w:val="18"/>
                <w:color w:val="auto"/>
              </w:rPr>
              <w:t>00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1,506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Fort Dodge Mine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2,609</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23001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Greenwood Quarry  New</w:t>
            </w:r>
          </w:p>
        </w:tc>
        <w:tc>
          <w:tcPr>
            <w:tcW w:w="820" w:type="dxa"/>
            <w:vAlign w:val="bottom"/>
          </w:tcPr>
          <w:p>
            <w:pPr>
              <w:ind w:left="60"/>
              <w:spacing w:after="0"/>
              <w:rPr>
                <w:sz w:val="20"/>
                <w:szCs w:val="20"/>
                <w:color w:val="auto"/>
              </w:rPr>
            </w:pPr>
            <w:r>
              <w:rPr>
                <w:rFonts w:ascii="Arial" w:cs="Arial" w:eastAsia="Arial" w:hAnsi="Arial"/>
                <w:sz w:val="18"/>
                <w:szCs w:val="18"/>
                <w:color w:val="auto"/>
              </w:rPr>
              <w:t>41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698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15000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Hartford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Iowa Grading Plant 854</w:t>
            </w:r>
          </w:p>
        </w:tc>
        <w:tc>
          <w:tcPr>
            <w:tcW w:w="820" w:type="dxa"/>
            <w:vAlign w:val="bottom"/>
          </w:tcPr>
          <w:p>
            <w:pPr>
              <w:ind w:left="60"/>
              <w:spacing w:after="0"/>
              <w:rPr>
                <w:sz w:val="20"/>
                <w:szCs w:val="20"/>
                <w:color w:val="auto"/>
              </w:rPr>
            </w:pPr>
            <w:r>
              <w:rPr>
                <w:rFonts w:ascii="Arial" w:cs="Arial" w:eastAsia="Arial" w:hAnsi="Arial"/>
                <w:sz w:val="18"/>
                <w:szCs w:val="18"/>
                <w:color w:val="auto"/>
              </w:rPr>
              <w:t>26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13023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Iowa Grading 2</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line="183" w:lineRule="exact"/>
              <w:rPr>
                <w:sz w:val="20"/>
                <w:szCs w:val="20"/>
                <w:color w:val="auto"/>
              </w:rPr>
            </w:pPr>
            <w:r>
              <w:rPr>
                <w:rFonts w:ascii="Arial" w:cs="Arial" w:eastAsia="Arial" w:hAnsi="Arial"/>
                <w:sz w:val="18"/>
                <w:szCs w:val="18"/>
                <w:color w:val="auto"/>
              </w:rPr>
              <w:t>Johnson County Sand &amp;</w:t>
            </w: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12025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Gravel</w:t>
            </w:r>
          </w:p>
        </w:tc>
        <w:tc>
          <w:tcPr>
            <w:tcW w:w="820" w:type="dxa"/>
            <w:vAlign w:val="bottom"/>
          </w:tcPr>
          <w:p>
            <w:pPr>
              <w:ind w:left="60"/>
              <w:spacing w:after="0"/>
              <w:rPr>
                <w:sz w:val="20"/>
                <w:szCs w:val="20"/>
                <w:color w:val="auto"/>
              </w:rPr>
            </w:pPr>
            <w:r>
              <w:rPr>
                <w:rFonts w:ascii="Arial" w:cs="Arial" w:eastAsia="Arial" w:hAnsi="Arial"/>
                <w:sz w:val="18"/>
                <w:szCs w:val="18"/>
                <w:color w:val="auto"/>
              </w:rPr>
              <w:t>06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12017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Kentucky Ave Mine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62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7</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14,261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12021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Kokomo Mine UG</w:t>
            </w:r>
          </w:p>
        </w:tc>
        <w:tc>
          <w:tcPr>
            <w:tcW w:w="820" w:type="dxa"/>
            <w:vAlign w:val="bottom"/>
          </w:tcPr>
          <w:p>
            <w:pPr>
              <w:ind w:left="60"/>
              <w:spacing w:after="0"/>
              <w:rPr>
                <w:sz w:val="20"/>
                <w:szCs w:val="20"/>
                <w:color w:val="auto"/>
              </w:rPr>
            </w:pPr>
            <w:r>
              <w:rPr>
                <w:rFonts w:ascii="Arial" w:cs="Arial" w:eastAsia="Arial" w:hAnsi="Arial"/>
                <w:sz w:val="18"/>
                <w:szCs w:val="18"/>
                <w:color w:val="auto"/>
              </w:rPr>
              <w:t>05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12022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Kokomo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03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12001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Kokomo Stone (Surface)</w:t>
            </w:r>
          </w:p>
        </w:tc>
        <w:tc>
          <w:tcPr>
            <w:tcW w:w="820" w:type="dxa"/>
            <w:vAlign w:val="bottom"/>
          </w:tcPr>
          <w:p>
            <w:pPr>
              <w:ind w:left="60"/>
              <w:spacing w:after="0"/>
              <w:rPr>
                <w:sz w:val="20"/>
                <w:szCs w:val="20"/>
                <w:color w:val="auto"/>
              </w:rPr>
            </w:pPr>
            <w:r>
              <w:rPr>
                <w:rFonts w:ascii="Arial" w:cs="Arial" w:eastAsia="Arial" w:hAnsi="Arial"/>
                <w:sz w:val="18"/>
                <w:szCs w:val="18"/>
                <w:color w:val="auto"/>
              </w:rPr>
              <w:t>42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697</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40030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Lebanon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13022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Linn County Sand</w:t>
            </w:r>
          </w:p>
        </w:tc>
        <w:tc>
          <w:tcPr>
            <w:tcW w:w="820" w:type="dxa"/>
            <w:vAlign w:val="bottom"/>
          </w:tcPr>
          <w:p>
            <w:pPr>
              <w:ind w:left="60"/>
              <w:spacing w:after="0"/>
              <w:rPr>
                <w:sz w:val="20"/>
                <w:szCs w:val="20"/>
                <w:color w:val="auto"/>
              </w:rPr>
            </w:pPr>
            <w:r>
              <w:rPr>
                <w:rFonts w:ascii="Arial" w:cs="Arial" w:eastAsia="Arial" w:hAnsi="Arial"/>
                <w:sz w:val="18"/>
                <w:szCs w:val="18"/>
                <w:color w:val="auto"/>
              </w:rPr>
              <w:t>08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13001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Malcom Mine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730</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00A23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Midwest Division OH</w:t>
            </w:r>
          </w:p>
        </w:tc>
        <w:tc>
          <w:tcPr>
            <w:tcW w:w="820" w:type="dxa"/>
            <w:vAlign w:val="bottom"/>
          </w:tcPr>
          <w:p>
            <w:pPr>
              <w:ind w:left="60"/>
              <w:spacing w:after="0"/>
              <w:rPr>
                <w:sz w:val="20"/>
                <w:szCs w:val="20"/>
                <w:color w:val="auto"/>
              </w:rPr>
            </w:pPr>
            <w:r>
              <w:rPr>
                <w:rFonts w:ascii="Arial" w:cs="Arial" w:eastAsia="Arial" w:hAnsi="Arial"/>
                <w:sz w:val="18"/>
                <w:szCs w:val="18"/>
                <w:color w:val="auto"/>
              </w:rPr>
              <w:t>54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21011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MN Portable # 1</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21015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MN Portable # 2</w:t>
            </w:r>
          </w:p>
        </w:tc>
        <w:tc>
          <w:tcPr>
            <w:tcW w:w="820" w:type="dxa"/>
            <w:vAlign w:val="bottom"/>
          </w:tcPr>
          <w:p>
            <w:pPr>
              <w:ind w:left="60"/>
              <w:spacing w:after="0"/>
              <w:rPr>
                <w:sz w:val="20"/>
                <w:szCs w:val="20"/>
                <w:color w:val="auto"/>
              </w:rPr>
            </w:pPr>
            <w:r>
              <w:rPr>
                <w:rFonts w:ascii="Arial" w:cs="Arial" w:eastAsia="Arial" w:hAnsi="Arial"/>
                <w:sz w:val="18"/>
                <w:szCs w:val="18"/>
                <w:color w:val="auto"/>
              </w:rPr>
              <w:t>93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21031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MN Portable # 3</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21032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MN Portable # 4</w:t>
            </w:r>
          </w:p>
        </w:tc>
        <w:tc>
          <w:tcPr>
            <w:tcW w:w="820" w:type="dxa"/>
            <w:vAlign w:val="bottom"/>
          </w:tcPr>
          <w:p>
            <w:pPr>
              <w:ind w:left="60"/>
              <w:spacing w:after="0"/>
              <w:rPr>
                <w:sz w:val="20"/>
                <w:szCs w:val="20"/>
                <w:color w:val="auto"/>
              </w:rPr>
            </w:pPr>
            <w:r>
              <w:rPr>
                <w:rFonts w:ascii="Arial" w:cs="Arial" w:eastAsia="Arial" w:hAnsi="Arial"/>
                <w:sz w:val="18"/>
                <w:szCs w:val="18"/>
                <w:color w:val="auto"/>
              </w:rPr>
              <w:t>87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21011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MN Portable # 5</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21031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MN Portable # 6</w:t>
            </w:r>
          </w:p>
        </w:tc>
        <w:tc>
          <w:tcPr>
            <w:tcW w:w="820" w:type="dxa"/>
            <w:vAlign w:val="bottom"/>
          </w:tcPr>
          <w:p>
            <w:pPr>
              <w:ind w:left="60"/>
              <w:spacing w:after="0"/>
              <w:rPr>
                <w:sz w:val="20"/>
                <w:szCs w:val="20"/>
                <w:color w:val="auto"/>
              </w:rPr>
            </w:pPr>
            <w:r>
              <w:rPr>
                <w:rFonts w:ascii="Arial" w:cs="Arial" w:eastAsia="Arial" w:hAnsi="Arial"/>
                <w:sz w:val="18"/>
                <w:szCs w:val="18"/>
                <w:color w:val="auto"/>
              </w:rPr>
              <w:t>20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21033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MN Portable # 7</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21018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MN Portable # 8</w:t>
            </w:r>
          </w:p>
        </w:tc>
        <w:tc>
          <w:tcPr>
            <w:tcW w:w="820" w:type="dxa"/>
            <w:vAlign w:val="bottom"/>
          </w:tcPr>
          <w:p>
            <w:pPr>
              <w:ind w:left="60"/>
              <w:spacing w:after="0"/>
              <w:rPr>
                <w:sz w:val="20"/>
                <w:szCs w:val="20"/>
                <w:color w:val="auto"/>
              </w:rPr>
            </w:pPr>
            <w:r>
              <w:rPr>
                <w:rFonts w:ascii="Arial" w:cs="Arial" w:eastAsia="Arial" w:hAnsi="Arial"/>
                <w:sz w:val="18"/>
                <w:szCs w:val="18"/>
                <w:color w:val="auto"/>
              </w:rPr>
              <w:t>43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21036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MN Reclamation</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13021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Moore Quarry</w:t>
            </w:r>
          </w:p>
        </w:tc>
        <w:tc>
          <w:tcPr>
            <w:tcW w:w="820" w:type="dxa"/>
            <w:vAlign w:val="bottom"/>
          </w:tcPr>
          <w:p>
            <w:pPr>
              <w:ind w:left="60"/>
              <w:spacing w:after="0"/>
              <w:rPr>
                <w:sz w:val="20"/>
                <w:szCs w:val="20"/>
                <w:color w:val="auto"/>
              </w:rPr>
            </w:pPr>
            <w:r>
              <w:rPr>
                <w:rFonts w:ascii="Arial" w:cs="Arial" w:eastAsia="Arial" w:hAnsi="Arial"/>
                <w:sz w:val="18"/>
                <w:szCs w:val="18"/>
                <w:color w:val="auto"/>
              </w:rPr>
              <w:t>88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2,881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40000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Murfreesboro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33043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New Miami Plant</w:t>
            </w:r>
          </w:p>
        </w:tc>
        <w:tc>
          <w:tcPr>
            <w:tcW w:w="820" w:type="dxa"/>
            <w:vAlign w:val="bottom"/>
          </w:tcPr>
          <w:p>
            <w:pPr>
              <w:ind w:left="60"/>
              <w:spacing w:after="0"/>
              <w:rPr>
                <w:sz w:val="20"/>
                <w:szCs w:val="20"/>
                <w:color w:val="auto"/>
              </w:rPr>
            </w:pPr>
            <w:r>
              <w:rPr>
                <w:rFonts w:ascii="Arial" w:cs="Arial" w:eastAsia="Arial" w:hAnsi="Arial"/>
                <w:sz w:val="18"/>
                <w:szCs w:val="18"/>
                <w:color w:val="auto"/>
              </w:rPr>
              <w:t>83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12019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Noblesville Sand</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12021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Noblesville Stone</w:t>
            </w:r>
          </w:p>
        </w:tc>
        <w:tc>
          <w:tcPr>
            <w:tcW w:w="820" w:type="dxa"/>
            <w:vAlign w:val="bottom"/>
          </w:tcPr>
          <w:p>
            <w:pPr>
              <w:ind w:left="60"/>
              <w:spacing w:after="0"/>
              <w:rPr>
                <w:sz w:val="20"/>
                <w:szCs w:val="20"/>
                <w:color w:val="auto"/>
              </w:rPr>
            </w:pPr>
            <w:r>
              <w:rPr>
                <w:rFonts w:ascii="Arial" w:cs="Arial" w:eastAsia="Arial" w:hAnsi="Arial"/>
                <w:sz w:val="18"/>
                <w:szCs w:val="18"/>
                <w:color w:val="auto"/>
              </w:rPr>
              <w:t>76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9,415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12019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North Indianapolis Quarry</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8,938</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25012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North Valley Sand</w:t>
            </w:r>
          </w:p>
        </w:tc>
        <w:tc>
          <w:tcPr>
            <w:tcW w:w="820" w:type="dxa"/>
            <w:vAlign w:val="bottom"/>
          </w:tcPr>
          <w:p>
            <w:pPr>
              <w:ind w:left="60"/>
              <w:spacing w:after="0"/>
              <w:rPr>
                <w:sz w:val="20"/>
                <w:szCs w:val="20"/>
                <w:color w:val="auto"/>
              </w:rPr>
            </w:pPr>
            <w:r>
              <w:rPr>
                <w:rFonts w:ascii="Arial" w:cs="Arial" w:eastAsia="Arial" w:hAnsi="Arial"/>
                <w:sz w:val="18"/>
                <w:szCs w:val="18"/>
                <w:color w:val="auto"/>
              </w:rPr>
              <w:t>71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shd w:val="clear" w:color="auto" w:fill="E5F1F8"/>
          </w:tcPr>
          <w:p>
            <w:pPr>
              <w:spacing w:after="0"/>
              <w:rPr>
                <w:sz w:val="15"/>
                <w:szCs w:val="15"/>
                <w:color w:val="auto"/>
              </w:rPr>
            </w:pPr>
          </w:p>
        </w:tc>
        <w:tc>
          <w:tcPr>
            <w:tcW w:w="820" w:type="dxa"/>
            <w:vAlign w:val="bottom"/>
            <w:shd w:val="clear" w:color="auto" w:fill="E5F1F8"/>
          </w:tcPr>
          <w:p>
            <w:pPr>
              <w:ind w:left="60"/>
              <w:spacing w:after="0" w:line="183" w:lineRule="exact"/>
              <w:rPr>
                <w:sz w:val="20"/>
                <w:szCs w:val="20"/>
                <w:color w:val="auto"/>
              </w:rPr>
            </w:pPr>
            <w:r>
              <w:rPr>
                <w:rFonts w:ascii="Arial" w:cs="Arial" w:eastAsia="Arial" w:hAnsi="Arial"/>
                <w:sz w:val="18"/>
                <w:szCs w:val="18"/>
                <w:color w:val="auto"/>
              </w:rPr>
              <w:t>33047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00" w:type="dxa"/>
            <w:vAlign w:val="bottom"/>
            <w:shd w:val="clear" w:color="auto" w:fill="E5F1F8"/>
          </w:tcPr>
          <w:p>
            <w:pPr>
              <w:spacing w:after="0"/>
              <w:rPr>
                <w:sz w:val="20"/>
                <w:szCs w:val="20"/>
                <w:color w:val="auto"/>
              </w:rPr>
            </w:pPr>
            <w:r>
              <w:rPr>
                <w:rFonts w:ascii="Arial" w:cs="Arial" w:eastAsia="Arial" w:hAnsi="Arial"/>
                <w:sz w:val="18"/>
                <w:szCs w:val="18"/>
                <w:color w:val="auto"/>
              </w:rPr>
              <w:t>Ohio District Portable</w:t>
            </w:r>
          </w:p>
        </w:tc>
        <w:tc>
          <w:tcPr>
            <w:tcW w:w="820" w:type="dxa"/>
            <w:vAlign w:val="bottom"/>
            <w:shd w:val="clear" w:color="auto" w:fill="E5F1F8"/>
          </w:tcPr>
          <w:p>
            <w:pPr>
              <w:ind w:left="60"/>
              <w:spacing w:after="0"/>
              <w:rPr>
                <w:sz w:val="20"/>
                <w:szCs w:val="20"/>
                <w:color w:val="auto"/>
              </w:rPr>
            </w:pPr>
            <w:r>
              <w:rPr>
                <w:rFonts w:ascii="Arial" w:cs="Arial" w:eastAsia="Arial" w:hAnsi="Arial"/>
                <w:sz w:val="18"/>
                <w:szCs w:val="18"/>
                <w:color w:val="auto"/>
              </w:rPr>
              <w:t>93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00" w:type="dxa"/>
            <w:vAlign w:val="bottom"/>
          </w:tcPr>
          <w:p>
            <w:pPr>
              <w:spacing w:after="0"/>
              <w:rPr>
                <w:sz w:val="15"/>
                <w:szCs w:val="15"/>
                <w:color w:val="auto"/>
              </w:rPr>
            </w:pPr>
          </w:p>
        </w:tc>
        <w:tc>
          <w:tcPr>
            <w:tcW w:w="820" w:type="dxa"/>
            <w:vAlign w:val="bottom"/>
          </w:tcPr>
          <w:p>
            <w:pPr>
              <w:ind w:left="60"/>
              <w:spacing w:after="0" w:line="183" w:lineRule="exact"/>
              <w:rPr>
                <w:sz w:val="20"/>
                <w:szCs w:val="20"/>
                <w:color w:val="auto"/>
              </w:rPr>
            </w:pPr>
            <w:r>
              <w:rPr>
                <w:rFonts w:ascii="Arial" w:cs="Arial" w:eastAsia="Arial" w:hAnsi="Arial"/>
                <w:sz w:val="18"/>
                <w:szCs w:val="18"/>
                <w:color w:val="auto"/>
              </w:rPr>
              <w:t>14015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7"/>
        </w:trPr>
        <w:tc>
          <w:tcPr>
            <w:tcW w:w="2100" w:type="dxa"/>
            <w:vAlign w:val="bottom"/>
          </w:tcPr>
          <w:p>
            <w:pPr>
              <w:spacing w:after="0"/>
              <w:rPr>
                <w:sz w:val="20"/>
                <w:szCs w:val="20"/>
                <w:color w:val="auto"/>
              </w:rPr>
            </w:pPr>
            <w:r>
              <w:rPr>
                <w:rFonts w:ascii="Arial" w:cs="Arial" w:eastAsia="Arial" w:hAnsi="Arial"/>
                <w:sz w:val="18"/>
                <w:szCs w:val="18"/>
                <w:color w:val="auto"/>
              </w:rPr>
              <w:t>Ottawa Quarry New</w:t>
            </w:r>
          </w:p>
        </w:tc>
        <w:tc>
          <w:tcPr>
            <w:tcW w:w="820" w:type="dxa"/>
            <w:vAlign w:val="bottom"/>
          </w:tcPr>
          <w:p>
            <w:pPr>
              <w:ind w:left="60"/>
              <w:spacing w:after="0"/>
              <w:rPr>
                <w:sz w:val="20"/>
                <w:szCs w:val="20"/>
                <w:color w:val="auto"/>
              </w:rPr>
            </w:pPr>
            <w:r>
              <w:rPr>
                <w:rFonts w:ascii="Arial" w:cs="Arial" w:eastAsia="Arial" w:hAnsi="Arial"/>
                <w:sz w:val="18"/>
                <w:szCs w:val="18"/>
                <w:color w:val="auto"/>
              </w:rPr>
              <w:t>90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0"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428"/>
        </w:trPr>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13021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Pedersen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92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line="183" w:lineRule="exact"/>
              <w:rPr>
                <w:sz w:val="20"/>
                <w:szCs w:val="20"/>
                <w:color w:val="auto"/>
              </w:rPr>
            </w:pPr>
            <w:r>
              <w:rPr>
                <w:rFonts w:ascii="Arial" w:cs="Arial" w:eastAsia="Arial" w:hAnsi="Arial"/>
                <w:sz w:val="18"/>
                <w:szCs w:val="18"/>
                <w:color w:val="auto"/>
              </w:rPr>
              <w:t>Perkinsville Sand and</w:t>
            </w: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12023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Gravel</w:t>
            </w:r>
          </w:p>
        </w:tc>
        <w:tc>
          <w:tcPr>
            <w:tcW w:w="840" w:type="dxa"/>
            <w:vAlign w:val="bottom"/>
          </w:tcPr>
          <w:p>
            <w:pPr>
              <w:ind w:left="80"/>
              <w:spacing w:after="0"/>
              <w:rPr>
                <w:sz w:val="20"/>
                <w:szCs w:val="20"/>
                <w:color w:val="auto"/>
              </w:rPr>
            </w:pPr>
            <w:r>
              <w:rPr>
                <w:rFonts w:ascii="Arial" w:cs="Arial" w:eastAsia="Arial" w:hAnsi="Arial"/>
                <w:sz w:val="18"/>
                <w:szCs w:val="18"/>
                <w:color w:val="auto"/>
              </w:rPr>
              <w:t>78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15168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Petersburg Ky Gravel</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95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33000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Phillipsburg Quarry</w:t>
            </w:r>
          </w:p>
        </w:tc>
        <w:tc>
          <w:tcPr>
            <w:tcW w:w="840" w:type="dxa"/>
            <w:vAlign w:val="bottom"/>
          </w:tcPr>
          <w:p>
            <w:pPr>
              <w:ind w:left="80"/>
              <w:spacing w:after="0"/>
              <w:rPr>
                <w:sz w:val="20"/>
                <w:szCs w:val="20"/>
                <w:color w:val="auto"/>
              </w:rPr>
            </w:pPr>
            <w:r>
              <w:rPr>
                <w:rFonts w:ascii="Arial" w:cs="Arial" w:eastAsia="Arial" w:hAnsi="Arial"/>
                <w:sz w:val="18"/>
                <w:szCs w:val="18"/>
                <w:color w:val="auto"/>
              </w:rPr>
              <w:t>06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Portland Quarry (Alden</w:t>
            </w: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13021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Portable Wash)</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22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12022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Putnam Quarry</w:t>
            </w:r>
          </w:p>
        </w:tc>
        <w:tc>
          <w:tcPr>
            <w:tcW w:w="840" w:type="dxa"/>
            <w:vAlign w:val="bottom"/>
          </w:tcPr>
          <w:p>
            <w:pPr>
              <w:ind w:left="80"/>
              <w:spacing w:after="0"/>
              <w:rPr>
                <w:sz w:val="20"/>
                <w:szCs w:val="20"/>
                <w:color w:val="auto"/>
              </w:rPr>
            </w:pPr>
            <w:r>
              <w:rPr>
                <w:rFonts w:ascii="Arial" w:cs="Arial" w:eastAsia="Arial" w:hAnsi="Arial"/>
                <w:sz w:val="18"/>
                <w:szCs w:val="18"/>
                <w:color w:val="auto"/>
              </w:rPr>
              <w:t>42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13023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Raccoon River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23023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Randolph Mine</w:t>
            </w:r>
          </w:p>
        </w:tc>
        <w:tc>
          <w:tcPr>
            <w:tcW w:w="840" w:type="dxa"/>
            <w:vAlign w:val="bottom"/>
          </w:tcPr>
          <w:p>
            <w:pPr>
              <w:ind w:left="80"/>
              <w:spacing w:after="0"/>
              <w:rPr>
                <w:sz w:val="20"/>
                <w:szCs w:val="20"/>
                <w:color w:val="auto"/>
              </w:rPr>
            </w:pPr>
            <w:r>
              <w:rPr>
                <w:rFonts w:ascii="Arial" w:cs="Arial" w:eastAsia="Arial" w:hAnsi="Arial"/>
                <w:sz w:val="18"/>
                <w:szCs w:val="18"/>
                <w:color w:val="auto"/>
              </w:rPr>
              <w:t>08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5,321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13008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Reasnor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13022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Saylorville Sand</w:t>
            </w:r>
          </w:p>
        </w:tc>
        <w:tc>
          <w:tcPr>
            <w:tcW w:w="840" w:type="dxa"/>
            <w:vAlign w:val="bottom"/>
          </w:tcPr>
          <w:p>
            <w:pPr>
              <w:ind w:left="80"/>
              <w:spacing w:after="0"/>
              <w:rPr>
                <w:sz w:val="20"/>
                <w:szCs w:val="20"/>
                <w:color w:val="auto"/>
              </w:rPr>
            </w:pPr>
            <w:r>
              <w:rPr>
                <w:rFonts w:ascii="Arial" w:cs="Arial" w:eastAsia="Arial" w:hAnsi="Arial"/>
                <w:sz w:val="18"/>
                <w:szCs w:val="18"/>
                <w:color w:val="auto"/>
              </w:rPr>
              <w:t>90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33040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Shamrock SG</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40029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Smyrna Quarry</w:t>
            </w:r>
          </w:p>
        </w:tc>
        <w:tc>
          <w:tcPr>
            <w:tcW w:w="840" w:type="dxa"/>
            <w:vAlign w:val="bottom"/>
          </w:tcPr>
          <w:p>
            <w:pPr>
              <w:ind w:left="80"/>
              <w:spacing w:after="0"/>
              <w:rPr>
                <w:sz w:val="20"/>
                <w:szCs w:val="20"/>
                <w:color w:val="auto"/>
              </w:rPr>
            </w:pPr>
            <w:r>
              <w:rPr>
                <w:rFonts w:ascii="Arial" w:cs="Arial" w:eastAsia="Arial" w:hAnsi="Arial"/>
                <w:sz w:val="18"/>
                <w:szCs w:val="18"/>
                <w:color w:val="auto"/>
              </w:rPr>
              <w:t>40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396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33045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920" w:type="dxa"/>
            <w:vAlign w:val="bottom"/>
            <w:gridSpan w:val="2"/>
            <w:shd w:val="clear" w:color="auto" w:fill="E5F1F8"/>
          </w:tcPr>
          <w:p>
            <w:pPr>
              <w:spacing w:after="0"/>
              <w:rPr>
                <w:sz w:val="20"/>
                <w:szCs w:val="20"/>
                <w:color w:val="auto"/>
              </w:rPr>
            </w:pPr>
            <w:r>
              <w:rPr>
                <w:rFonts w:ascii="Arial" w:cs="Arial" w:eastAsia="Arial" w:hAnsi="Arial"/>
                <w:sz w:val="18"/>
                <w:szCs w:val="18"/>
                <w:color w:val="auto"/>
              </w:rPr>
              <w:t>Spring Valley Cook Rd SG 34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21000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St Cloud Quarry</w:t>
            </w:r>
          </w:p>
        </w:tc>
        <w:tc>
          <w:tcPr>
            <w:tcW w:w="840" w:type="dxa"/>
            <w:vAlign w:val="bottom"/>
          </w:tcPr>
          <w:p>
            <w:pPr>
              <w:ind w:left="80"/>
              <w:spacing w:after="0"/>
              <w:rPr>
                <w:sz w:val="20"/>
                <w:szCs w:val="20"/>
                <w:color w:val="auto"/>
              </w:rPr>
            </w:pPr>
            <w:r>
              <w:rPr>
                <w:rFonts w:ascii="Arial" w:cs="Arial" w:eastAsia="Arial" w:hAnsi="Arial"/>
                <w:sz w:val="18"/>
                <w:szCs w:val="18"/>
                <w:color w:val="auto"/>
              </w:rPr>
              <w:t>81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23022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Stamper Mine</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528</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40034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Stones River Quarry</w:t>
            </w:r>
          </w:p>
        </w:tc>
        <w:tc>
          <w:tcPr>
            <w:tcW w:w="840" w:type="dxa"/>
            <w:vAlign w:val="bottom"/>
          </w:tcPr>
          <w:p>
            <w:pPr>
              <w:ind w:left="80"/>
              <w:spacing w:after="0"/>
              <w:rPr>
                <w:sz w:val="20"/>
                <w:szCs w:val="20"/>
                <w:color w:val="auto"/>
              </w:rPr>
            </w:pPr>
            <w:r>
              <w:rPr>
                <w:rFonts w:ascii="Arial" w:cs="Arial" w:eastAsia="Arial" w:hAnsi="Arial"/>
                <w:sz w:val="18"/>
                <w:szCs w:val="18"/>
                <w:color w:val="auto"/>
              </w:rPr>
              <w:t>15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13000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Sully Mine</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63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1,584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14015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Sunflower Qy  Co 61</w:t>
            </w:r>
          </w:p>
        </w:tc>
        <w:tc>
          <w:tcPr>
            <w:tcW w:w="840" w:type="dxa"/>
            <w:vAlign w:val="bottom"/>
          </w:tcPr>
          <w:p>
            <w:pPr>
              <w:ind w:left="80"/>
              <w:spacing w:after="0"/>
              <w:rPr>
                <w:sz w:val="20"/>
                <w:szCs w:val="20"/>
                <w:color w:val="auto"/>
              </w:rPr>
            </w:pPr>
            <w:r>
              <w:rPr>
                <w:rFonts w:ascii="Arial" w:cs="Arial" w:eastAsia="Arial" w:hAnsi="Arial"/>
                <w:sz w:val="18"/>
                <w:szCs w:val="18"/>
                <w:color w:val="auto"/>
              </w:rPr>
              <w:t>56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4,970</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33016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Troy Gravel</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25013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Walterloo Sand</w:t>
            </w:r>
          </w:p>
        </w:tc>
        <w:tc>
          <w:tcPr>
            <w:tcW w:w="840" w:type="dxa"/>
            <w:vAlign w:val="bottom"/>
          </w:tcPr>
          <w:p>
            <w:pPr>
              <w:ind w:left="80"/>
              <w:spacing w:after="0"/>
              <w:rPr>
                <w:sz w:val="20"/>
                <w:szCs w:val="20"/>
                <w:color w:val="auto"/>
              </w:rPr>
            </w:pPr>
            <w:r>
              <w:rPr>
                <w:rFonts w:ascii="Arial" w:cs="Arial" w:eastAsia="Arial" w:hAnsi="Arial"/>
                <w:sz w:val="18"/>
                <w:szCs w:val="18"/>
                <w:color w:val="auto"/>
              </w:rPr>
              <w:t>14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12020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Waverly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25009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Weeping Water Mine</w:t>
            </w:r>
          </w:p>
        </w:tc>
        <w:tc>
          <w:tcPr>
            <w:tcW w:w="840" w:type="dxa"/>
            <w:vAlign w:val="bottom"/>
          </w:tcPr>
          <w:p>
            <w:pPr>
              <w:ind w:left="80"/>
              <w:spacing w:after="0"/>
              <w:rPr>
                <w:sz w:val="20"/>
                <w:szCs w:val="20"/>
                <w:color w:val="auto"/>
              </w:rPr>
            </w:pPr>
            <w:r>
              <w:rPr>
                <w:rFonts w:ascii="Arial" w:cs="Arial" w:eastAsia="Arial" w:hAnsi="Arial"/>
                <w:sz w:val="18"/>
                <w:szCs w:val="18"/>
                <w:color w:val="auto"/>
              </w:rPr>
              <w:t>98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1,771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25012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West Center Sand</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33013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Xenia Gravel</w:t>
            </w:r>
          </w:p>
        </w:tc>
        <w:tc>
          <w:tcPr>
            <w:tcW w:w="840" w:type="dxa"/>
            <w:vAlign w:val="bottom"/>
          </w:tcPr>
          <w:p>
            <w:pPr>
              <w:ind w:left="80"/>
              <w:spacing w:after="0"/>
              <w:rPr>
                <w:sz w:val="20"/>
                <w:szCs w:val="20"/>
                <w:color w:val="auto"/>
              </w:rPr>
            </w:pPr>
            <w:r>
              <w:rPr>
                <w:rFonts w:ascii="Arial" w:cs="Arial" w:eastAsia="Arial" w:hAnsi="Arial"/>
                <w:sz w:val="18"/>
                <w:szCs w:val="18"/>
                <w:color w:val="auto"/>
              </w:rPr>
              <w:t>93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21000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Yellow Medicine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50092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Bennett Sand &amp; Gravel</w:t>
            </w:r>
          </w:p>
        </w:tc>
        <w:tc>
          <w:tcPr>
            <w:tcW w:w="840" w:type="dxa"/>
            <w:vAlign w:val="bottom"/>
          </w:tcPr>
          <w:p>
            <w:pPr>
              <w:ind w:left="8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20252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Clarkdale Sand &amp; Gravel</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576</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40015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Clayton</w:t>
            </w:r>
          </w:p>
        </w:tc>
        <w:tc>
          <w:tcPr>
            <w:tcW w:w="840" w:type="dxa"/>
            <w:vAlign w:val="bottom"/>
          </w:tcPr>
          <w:p>
            <w:pPr>
              <w:ind w:left="8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679</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20317</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Coolidge Plant 65</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40475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Eagle Valley Plant</w:t>
            </w:r>
          </w:p>
        </w:tc>
        <w:tc>
          <w:tcPr>
            <w:tcW w:w="840" w:type="dxa"/>
            <w:vAlign w:val="bottom"/>
          </w:tcPr>
          <w:p>
            <w:pPr>
              <w:ind w:left="80"/>
              <w:spacing w:after="0"/>
              <w:rPr>
                <w:sz w:val="20"/>
                <w:szCs w:val="20"/>
                <w:color w:val="auto"/>
              </w:rPr>
            </w:pPr>
            <w:r>
              <w:rPr>
                <w:rFonts w:ascii="Arial" w:cs="Arial" w:eastAsia="Arial" w:hAnsi="Arial"/>
                <w:sz w:val="18"/>
                <w:szCs w:val="18"/>
                <w:color w:val="auto"/>
              </w:rPr>
              <w:t>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48000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Granite Canyon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2,805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50461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8"/>
                <w:szCs w:val="18"/>
                <w:color w:val="auto"/>
              </w:rPr>
              <w:t>Greeley 35th Sand Gravel3</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48000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Guernsey Quarry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604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20267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Hassayampa</w:t>
            </w:r>
          </w:p>
        </w:tc>
        <w:tc>
          <w:tcPr>
            <w:tcW w:w="840" w:type="dxa"/>
            <w:vAlign w:val="bottom"/>
          </w:tcPr>
          <w:p>
            <w:pPr>
              <w:ind w:left="8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shd w:val="clear" w:color="auto" w:fill="E5F1F8"/>
          </w:tcPr>
          <w:p>
            <w:pPr>
              <w:spacing w:after="0"/>
              <w:rPr>
                <w:sz w:val="15"/>
                <w:szCs w:val="15"/>
                <w:color w:val="auto"/>
              </w:rPr>
            </w:pPr>
          </w:p>
        </w:tc>
        <w:tc>
          <w:tcPr>
            <w:tcW w:w="840" w:type="dxa"/>
            <w:vAlign w:val="bottom"/>
            <w:shd w:val="clear" w:color="auto" w:fill="E5F1F8"/>
          </w:tcPr>
          <w:p>
            <w:pPr>
              <w:ind w:left="80"/>
              <w:spacing w:after="0" w:line="183" w:lineRule="exact"/>
              <w:rPr>
                <w:sz w:val="20"/>
                <w:szCs w:val="20"/>
                <w:color w:val="auto"/>
              </w:rPr>
            </w:pPr>
            <w:r>
              <w:rPr>
                <w:rFonts w:ascii="Arial" w:cs="Arial" w:eastAsia="Arial" w:hAnsi="Arial"/>
                <w:sz w:val="18"/>
                <w:szCs w:val="18"/>
                <w:color w:val="auto"/>
              </w:rPr>
              <w:t>50095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80" w:type="dxa"/>
            <w:vAlign w:val="bottom"/>
            <w:shd w:val="clear" w:color="auto" w:fill="E5F1F8"/>
          </w:tcPr>
          <w:p>
            <w:pPr>
              <w:spacing w:after="0"/>
              <w:rPr>
                <w:sz w:val="20"/>
                <w:szCs w:val="20"/>
                <w:color w:val="auto"/>
              </w:rPr>
            </w:pPr>
            <w:r>
              <w:rPr>
                <w:rFonts w:ascii="Arial" w:cs="Arial" w:eastAsia="Arial" w:hAnsi="Arial"/>
                <w:sz w:val="18"/>
                <w:szCs w:val="18"/>
                <w:color w:val="auto"/>
              </w:rPr>
              <w:t>Hatchery</w:t>
            </w:r>
          </w:p>
        </w:tc>
        <w:tc>
          <w:tcPr>
            <w:tcW w:w="840" w:type="dxa"/>
            <w:vAlign w:val="bottom"/>
            <w:shd w:val="clear" w:color="auto" w:fill="E5F1F8"/>
          </w:tcPr>
          <w:p>
            <w:pPr>
              <w:ind w:left="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80" w:type="dxa"/>
            <w:vAlign w:val="bottom"/>
          </w:tcPr>
          <w:p>
            <w:pPr>
              <w:spacing w:after="0"/>
              <w:rPr>
                <w:sz w:val="15"/>
                <w:szCs w:val="15"/>
                <w:color w:val="auto"/>
              </w:rPr>
            </w:pPr>
          </w:p>
        </w:tc>
        <w:tc>
          <w:tcPr>
            <w:tcW w:w="840" w:type="dxa"/>
            <w:vAlign w:val="bottom"/>
          </w:tcPr>
          <w:p>
            <w:pPr>
              <w:ind w:left="80"/>
              <w:spacing w:after="0" w:line="183" w:lineRule="exact"/>
              <w:rPr>
                <w:sz w:val="20"/>
                <w:szCs w:val="20"/>
                <w:color w:val="auto"/>
              </w:rPr>
            </w:pPr>
            <w:r>
              <w:rPr>
                <w:rFonts w:ascii="Arial" w:cs="Arial" w:eastAsia="Arial" w:hAnsi="Arial"/>
                <w:sz w:val="18"/>
                <w:szCs w:val="18"/>
                <w:color w:val="auto"/>
              </w:rPr>
              <w:t>40176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Hughson AGG &amp; HMA</w:t>
            </w:r>
          </w:p>
        </w:tc>
        <w:tc>
          <w:tcPr>
            <w:tcW w:w="840" w:type="dxa"/>
            <w:vAlign w:val="bottom"/>
          </w:tcPr>
          <w:p>
            <w:pPr>
              <w:ind w:left="8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232"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9"/>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428"/>
        </w:trPr>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40183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Irwindale Plant</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40268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Lakeside Vigilante Plant</w:t>
            </w:r>
          </w:p>
        </w:tc>
        <w:tc>
          <w:tcPr>
            <w:tcW w:w="780" w:type="dxa"/>
            <w:vAlign w:val="bottom"/>
          </w:tcPr>
          <w:p>
            <w:pPr>
              <w:ind w:left="2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1,613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Maitri Road Sand &amp;</w:t>
            </w: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40415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Gravel Oper</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40284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Merced AGG &amp; HMA</w:t>
            </w:r>
          </w:p>
        </w:tc>
        <w:tc>
          <w:tcPr>
            <w:tcW w:w="780" w:type="dxa"/>
            <w:vAlign w:val="bottom"/>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42021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Milford Quarry  Utah</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1,195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40291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Miramar Recycle Plant</w:t>
            </w:r>
          </w:p>
        </w:tc>
        <w:tc>
          <w:tcPr>
            <w:tcW w:w="780" w:type="dxa"/>
            <w:vAlign w:val="bottom"/>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Northern Portable</w:t>
            </w: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50453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Crushing #10</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50473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w w:val="99"/>
              </w:rPr>
              <w:t>Northern Portable Plant 17</w:t>
            </w:r>
          </w:p>
        </w:tc>
        <w:tc>
          <w:tcPr>
            <w:tcW w:w="780" w:type="dxa"/>
            <w:vAlign w:val="bottom"/>
          </w:tcPr>
          <w:p>
            <w:pPr>
              <w:ind w:left="2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48015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Northern Portable Plant 4</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65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45008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Pacific Quarry</w:t>
            </w:r>
          </w:p>
        </w:tc>
        <w:tc>
          <w:tcPr>
            <w:tcW w:w="780" w:type="dxa"/>
            <w:vAlign w:val="bottom"/>
          </w:tcPr>
          <w:p>
            <w:pPr>
              <w:ind w:left="20"/>
              <w:spacing w:after="0"/>
              <w:rPr>
                <w:sz w:val="20"/>
                <w:szCs w:val="20"/>
                <w:color w:val="auto"/>
              </w:rPr>
            </w:pPr>
            <w:r>
              <w:rPr>
                <w:rFonts w:ascii="Arial" w:cs="Arial" w:eastAsia="Arial" w:hAnsi="Arial"/>
                <w:sz w:val="18"/>
                <w:szCs w:val="18"/>
                <w:color w:val="auto"/>
              </w:rPr>
              <w:t>44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720</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50463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Parkdale Quarry</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50321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Parsons Sand Gravel</w:t>
            </w:r>
          </w:p>
        </w:tc>
        <w:tc>
          <w:tcPr>
            <w:tcW w:w="780" w:type="dxa"/>
            <w:vAlign w:val="bottom"/>
          </w:tcPr>
          <w:p>
            <w:pPr>
              <w:ind w:left="2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50450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Penrose Sand and Gravel</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344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line="183" w:lineRule="exact"/>
              <w:rPr>
                <w:sz w:val="20"/>
                <w:szCs w:val="20"/>
                <w:color w:val="auto"/>
              </w:rPr>
            </w:pPr>
            <w:r>
              <w:rPr>
                <w:rFonts w:ascii="Arial" w:cs="Arial" w:eastAsia="Arial" w:hAnsi="Arial"/>
                <w:sz w:val="18"/>
                <w:szCs w:val="18"/>
                <w:color w:val="auto"/>
              </w:rPr>
              <w:t>Pier 92 Marine</w:t>
            </w: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40526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Aggregates</w:t>
            </w:r>
          </w:p>
        </w:tc>
        <w:tc>
          <w:tcPr>
            <w:tcW w:w="780" w:type="dxa"/>
            <w:vAlign w:val="bottom"/>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50441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Platte Sand and Gravel</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50435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Portable Plant 1</w:t>
            </w:r>
          </w:p>
        </w:tc>
        <w:tc>
          <w:tcPr>
            <w:tcW w:w="780" w:type="dxa"/>
            <w:vAlign w:val="bottom"/>
          </w:tcPr>
          <w:p>
            <w:pPr>
              <w:ind w:left="2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50398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Portable Plant 11</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50452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Portable Plant 21</w:t>
            </w:r>
          </w:p>
        </w:tc>
        <w:tc>
          <w:tcPr>
            <w:tcW w:w="780" w:type="dxa"/>
            <w:vAlign w:val="bottom"/>
          </w:tcPr>
          <w:p>
            <w:pPr>
              <w:ind w:left="2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50413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Red Canyon Quarry</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662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50418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Rich Sand &amp; Gravel</w:t>
            </w:r>
          </w:p>
        </w:tc>
        <w:tc>
          <w:tcPr>
            <w:tcW w:w="780" w:type="dxa"/>
            <w:vAlign w:val="bottom"/>
          </w:tcPr>
          <w:p>
            <w:pPr>
              <w:ind w:left="2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20264</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River Ranch AGG</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50484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Riverbend Sand Gravel</w:t>
            </w:r>
          </w:p>
        </w:tc>
        <w:tc>
          <w:tcPr>
            <w:tcW w:w="780" w:type="dxa"/>
            <w:vAlign w:val="bottom"/>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668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40225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Salughterhouse AGG</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40053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San Andreas AGG</w:t>
            </w:r>
          </w:p>
        </w:tc>
        <w:tc>
          <w:tcPr>
            <w:tcW w:w="780" w:type="dxa"/>
            <w:vAlign w:val="bottom"/>
          </w:tcPr>
          <w:p>
            <w:pPr>
              <w:ind w:left="2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40579</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Sanger AGG</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1,918</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line="183" w:lineRule="exact"/>
              <w:rPr>
                <w:sz w:val="20"/>
                <w:szCs w:val="20"/>
                <w:color w:val="auto"/>
              </w:rPr>
            </w:pPr>
            <w:r>
              <w:rPr>
                <w:rFonts w:ascii="Arial" w:cs="Arial" w:eastAsia="Arial" w:hAnsi="Arial"/>
                <w:sz w:val="18"/>
                <w:szCs w:val="18"/>
                <w:color w:val="auto"/>
              </w:rPr>
              <w:t>Santa Margarita</w:t>
            </w: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40161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Aggregates</w:t>
            </w:r>
          </w:p>
        </w:tc>
        <w:tc>
          <w:tcPr>
            <w:tcW w:w="780" w:type="dxa"/>
            <w:vAlign w:val="bottom"/>
          </w:tcPr>
          <w:p>
            <w:pPr>
              <w:ind w:left="2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40556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Santee Plant</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604</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40195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Sisquoc Aggregates</w:t>
            </w:r>
          </w:p>
        </w:tc>
        <w:tc>
          <w:tcPr>
            <w:tcW w:w="780" w:type="dxa"/>
            <w:vAlign w:val="bottom"/>
          </w:tcPr>
          <w:p>
            <w:pPr>
              <w:ind w:left="2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50086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Spec Agg Quarry</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40185</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Sunol Plant</w:t>
            </w:r>
          </w:p>
        </w:tc>
        <w:tc>
          <w:tcPr>
            <w:tcW w:w="780" w:type="dxa"/>
            <w:vAlign w:val="bottom"/>
          </w:tcPr>
          <w:p>
            <w:pPr>
              <w:ind w:left="20"/>
              <w:spacing w:after="0"/>
              <w:rPr>
                <w:sz w:val="20"/>
                <w:szCs w:val="20"/>
                <w:color w:val="auto"/>
              </w:rPr>
            </w:pPr>
            <w:r>
              <w:rPr>
                <w:rFonts w:ascii="Arial" w:cs="Arial" w:eastAsia="Arial" w:hAnsi="Arial"/>
                <w:sz w:val="18"/>
                <w:szCs w:val="18"/>
                <w:color w:val="auto"/>
              </w:rPr>
              <w:t>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19,891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50452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Taft Sand Gravel</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line="183" w:lineRule="exact"/>
              <w:rPr>
                <w:sz w:val="20"/>
                <w:szCs w:val="20"/>
                <w:color w:val="auto"/>
              </w:rPr>
            </w:pPr>
            <w:r>
              <w:rPr>
                <w:rFonts w:ascii="Arial" w:cs="Arial" w:eastAsia="Arial" w:hAnsi="Arial"/>
                <w:sz w:val="18"/>
                <w:szCs w:val="18"/>
                <w:color w:val="auto"/>
              </w:rPr>
              <w:t>Tidewater Oakland Marine</w:t>
            </w: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40300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Agg</w:t>
            </w:r>
          </w:p>
        </w:tc>
        <w:tc>
          <w:tcPr>
            <w:tcW w:w="780" w:type="dxa"/>
            <w:vAlign w:val="bottom"/>
          </w:tcPr>
          <w:p>
            <w:pPr>
              <w:ind w:left="2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50393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Walstrum Quarry</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5</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2,096</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4</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20122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Yavapai AGG</w:t>
            </w:r>
          </w:p>
        </w:tc>
        <w:tc>
          <w:tcPr>
            <w:tcW w:w="780" w:type="dxa"/>
            <w:vAlign w:val="bottom"/>
          </w:tcPr>
          <w:p>
            <w:pPr>
              <w:ind w:left="2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41053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51 Sand &amp; Gravel</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81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tcPr>
          <w:p>
            <w:pPr>
              <w:spacing w:after="0"/>
              <w:rPr>
                <w:sz w:val="15"/>
                <w:szCs w:val="15"/>
                <w:color w:val="auto"/>
              </w:rPr>
            </w:pPr>
          </w:p>
        </w:tc>
        <w:tc>
          <w:tcPr>
            <w:tcW w:w="780" w:type="dxa"/>
            <w:vAlign w:val="bottom"/>
          </w:tcPr>
          <w:p>
            <w:pPr>
              <w:ind w:left="20"/>
              <w:spacing w:after="0" w:line="183" w:lineRule="exact"/>
              <w:rPr>
                <w:sz w:val="20"/>
                <w:szCs w:val="20"/>
                <w:color w:val="auto"/>
              </w:rPr>
            </w:pPr>
            <w:r>
              <w:rPr>
                <w:rFonts w:ascii="Arial" w:cs="Arial" w:eastAsia="Arial" w:hAnsi="Arial"/>
                <w:sz w:val="18"/>
                <w:szCs w:val="18"/>
                <w:color w:val="auto"/>
              </w:rPr>
              <w:t>41013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Beckmann Quarry</w:t>
            </w:r>
          </w:p>
        </w:tc>
        <w:tc>
          <w:tcPr>
            <w:tcW w:w="780" w:type="dxa"/>
            <w:vAlign w:val="bottom"/>
          </w:tcPr>
          <w:p>
            <w:pPr>
              <w:ind w:left="20"/>
              <w:spacing w:after="0"/>
              <w:rPr>
                <w:sz w:val="20"/>
                <w:szCs w:val="20"/>
                <w:color w:val="auto"/>
              </w:rPr>
            </w:pPr>
            <w:r>
              <w:rPr>
                <w:rFonts w:ascii="Arial" w:cs="Arial" w:eastAsia="Arial" w:hAnsi="Arial"/>
                <w:sz w:val="18"/>
                <w:szCs w:val="18"/>
                <w:color w:val="auto"/>
              </w:rPr>
              <w:t>35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2,265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140" w:type="dxa"/>
            <w:vAlign w:val="bottom"/>
            <w:shd w:val="clear" w:color="auto" w:fill="E5F1F8"/>
          </w:tcPr>
          <w:p>
            <w:pPr>
              <w:spacing w:after="0"/>
              <w:rPr>
                <w:sz w:val="15"/>
                <w:szCs w:val="15"/>
                <w:color w:val="auto"/>
              </w:rPr>
            </w:pPr>
          </w:p>
        </w:tc>
        <w:tc>
          <w:tcPr>
            <w:tcW w:w="780" w:type="dxa"/>
            <w:vAlign w:val="bottom"/>
            <w:shd w:val="clear" w:color="auto" w:fill="E5F1F8"/>
          </w:tcPr>
          <w:p>
            <w:pPr>
              <w:ind w:left="20"/>
              <w:spacing w:after="0" w:line="183" w:lineRule="exact"/>
              <w:rPr>
                <w:sz w:val="20"/>
                <w:szCs w:val="20"/>
                <w:color w:val="auto"/>
              </w:rPr>
            </w:pPr>
            <w:r>
              <w:rPr>
                <w:rFonts w:ascii="Arial" w:cs="Arial" w:eastAsia="Arial" w:hAnsi="Arial"/>
                <w:sz w:val="18"/>
                <w:szCs w:val="18"/>
                <w:color w:val="auto"/>
              </w:rPr>
              <w:t>41032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140" w:type="dxa"/>
            <w:vAlign w:val="bottom"/>
            <w:shd w:val="clear" w:color="auto" w:fill="E5F1F8"/>
          </w:tcPr>
          <w:p>
            <w:pPr>
              <w:spacing w:after="0"/>
              <w:rPr>
                <w:sz w:val="20"/>
                <w:szCs w:val="20"/>
                <w:color w:val="auto"/>
              </w:rPr>
            </w:pPr>
            <w:r>
              <w:rPr>
                <w:rFonts w:ascii="Arial" w:cs="Arial" w:eastAsia="Arial" w:hAnsi="Arial"/>
                <w:sz w:val="18"/>
                <w:szCs w:val="18"/>
                <w:color w:val="auto"/>
              </w:rPr>
              <w:t>Bedrock Sand Gravel</w:t>
            </w:r>
          </w:p>
        </w:tc>
        <w:tc>
          <w:tcPr>
            <w:tcW w:w="780" w:type="dxa"/>
            <w:vAlign w:val="bottom"/>
            <w:shd w:val="clear" w:color="auto" w:fill="E5F1F8"/>
          </w:tcPr>
          <w:p>
            <w:pPr>
              <w:ind w:left="20"/>
              <w:spacing w:after="0"/>
              <w:rPr>
                <w:sz w:val="20"/>
                <w:szCs w:val="20"/>
                <w:color w:val="auto"/>
              </w:rPr>
            </w:pPr>
            <w:r>
              <w:rPr>
                <w:rFonts w:ascii="Arial" w:cs="Arial" w:eastAsia="Arial" w:hAnsi="Arial"/>
                <w:sz w:val="18"/>
                <w:szCs w:val="18"/>
                <w:color w:val="auto"/>
              </w:rPr>
              <w:t>83</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0"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612"/>
        </w:trPr>
        <w:tc>
          <w:tcPr>
            <w:tcW w:w="204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41040</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Bells Savoy SG</w:t>
            </w:r>
          </w:p>
        </w:tc>
        <w:tc>
          <w:tcPr>
            <w:tcW w:w="880" w:type="dxa"/>
            <w:vAlign w:val="bottom"/>
          </w:tcPr>
          <w:p>
            <w:pPr>
              <w:ind w:left="120"/>
              <w:spacing w:after="0"/>
              <w:rPr>
                <w:sz w:val="20"/>
                <w:szCs w:val="20"/>
                <w:color w:val="auto"/>
              </w:rPr>
            </w:pPr>
            <w:r>
              <w:rPr>
                <w:rFonts w:ascii="Arial" w:cs="Arial" w:eastAsia="Arial" w:hAnsi="Arial"/>
                <w:sz w:val="18"/>
                <w:szCs w:val="18"/>
                <w:color w:val="auto"/>
              </w:rPr>
              <w:t>19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1,509</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30001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***Black Rock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1,069</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41041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Black Spur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59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***Bridgeport Stone</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755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2</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34004</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Broken Bow SG</w:t>
            </w:r>
          </w:p>
        </w:tc>
        <w:tc>
          <w:tcPr>
            <w:tcW w:w="880" w:type="dxa"/>
            <w:vAlign w:val="bottom"/>
          </w:tcPr>
          <w:p>
            <w:pPr>
              <w:ind w:left="120"/>
              <w:spacing w:after="0"/>
              <w:rPr>
                <w:sz w:val="20"/>
                <w:szCs w:val="20"/>
                <w:color w:val="auto"/>
              </w:rPr>
            </w:pPr>
            <w:r>
              <w:rPr>
                <w:rFonts w:ascii="Arial" w:cs="Arial" w:eastAsia="Arial" w:hAnsi="Arial"/>
                <w:sz w:val="18"/>
                <w:szCs w:val="18"/>
                <w:color w:val="auto"/>
              </w:rPr>
              <w:t>60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34012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Davis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99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41039</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Garfield SG</w:t>
            </w:r>
          </w:p>
        </w:tc>
        <w:tc>
          <w:tcPr>
            <w:tcW w:w="880" w:type="dxa"/>
            <w:vAlign w:val="bottom"/>
          </w:tcPr>
          <w:p>
            <w:pPr>
              <w:ind w:left="120"/>
              <w:spacing w:after="0"/>
              <w:rPr>
                <w:sz w:val="20"/>
                <w:szCs w:val="20"/>
                <w:color w:val="auto"/>
              </w:rPr>
            </w:pPr>
            <w:r>
              <w:rPr>
                <w:rFonts w:ascii="Arial" w:cs="Arial" w:eastAsia="Arial" w:hAnsi="Arial"/>
                <w:sz w:val="18"/>
                <w:szCs w:val="18"/>
                <w:color w:val="auto"/>
              </w:rPr>
              <w:t>09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755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41028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Garwood Gravel</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86</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782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000C3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GMS</w:t>
            </w:r>
          </w:p>
        </w:tc>
        <w:tc>
          <w:tcPr>
            <w:tcW w:w="880" w:type="dxa"/>
            <w:vAlign w:val="bottom"/>
          </w:tcPr>
          <w:p>
            <w:pPr>
              <w:ind w:left="120"/>
              <w:spacing w:after="0"/>
              <w:rPr>
                <w:sz w:val="20"/>
                <w:szCs w:val="20"/>
                <w:color w:val="auto"/>
              </w:rPr>
            </w:pPr>
            <w:r>
              <w:rPr>
                <w:rFonts w:ascii="Arial" w:cs="Arial" w:eastAsia="Arial" w:hAnsi="Arial"/>
                <w:sz w:val="18"/>
                <w:szCs w:val="18"/>
                <w:color w:val="auto"/>
              </w:rPr>
              <w:t>35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30161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Hatton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755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41031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Helotes</w:t>
            </w:r>
          </w:p>
        </w:tc>
        <w:tc>
          <w:tcPr>
            <w:tcW w:w="880" w:type="dxa"/>
            <w:vAlign w:val="bottom"/>
          </w:tcPr>
          <w:p>
            <w:pPr>
              <w:ind w:left="120"/>
              <w:spacing w:after="0"/>
              <w:rPr>
                <w:sz w:val="20"/>
                <w:szCs w:val="20"/>
                <w:color w:val="auto"/>
              </w:rPr>
            </w:pPr>
            <w:r>
              <w:rPr>
                <w:rFonts w:ascii="Arial" w:cs="Arial" w:eastAsia="Arial" w:hAnsi="Arial"/>
                <w:sz w:val="18"/>
                <w:szCs w:val="18"/>
                <w:color w:val="auto"/>
              </w:rPr>
              <w:t>37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41038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Highway 211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29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41047</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Hondo</w:t>
            </w:r>
          </w:p>
        </w:tc>
        <w:tc>
          <w:tcPr>
            <w:tcW w:w="880" w:type="dxa"/>
            <w:vAlign w:val="bottom"/>
          </w:tcPr>
          <w:p>
            <w:pPr>
              <w:ind w:left="120"/>
              <w:spacing w:after="0"/>
              <w:rPr>
                <w:sz w:val="20"/>
                <w:szCs w:val="20"/>
                <w:color w:val="auto"/>
              </w:rPr>
            </w:pPr>
            <w:r>
              <w:rPr>
                <w:rFonts w:ascii="Arial" w:cs="Arial" w:eastAsia="Arial" w:hAnsi="Arial"/>
                <w:sz w:val="18"/>
                <w:szCs w:val="18"/>
                <w:color w:val="auto"/>
              </w:rPr>
              <w:t>08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34000</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Hugo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61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41052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Hunter Stone</w:t>
            </w:r>
          </w:p>
        </w:tc>
        <w:tc>
          <w:tcPr>
            <w:tcW w:w="880" w:type="dxa"/>
            <w:vAlign w:val="bottom"/>
          </w:tcPr>
          <w:p>
            <w:pPr>
              <w:ind w:left="120"/>
              <w:spacing w:after="0"/>
              <w:rPr>
                <w:sz w:val="20"/>
                <w:szCs w:val="20"/>
                <w:color w:val="auto"/>
              </w:rPr>
            </w:pPr>
            <w:r>
              <w:rPr>
                <w:rFonts w:ascii="Arial" w:cs="Arial" w:eastAsia="Arial" w:hAnsi="Arial"/>
                <w:sz w:val="18"/>
                <w:szCs w:val="18"/>
                <w:color w:val="auto"/>
              </w:rPr>
              <w:t>30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34005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Idabel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30158</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Jones Mill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698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41052</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Liberty Ranch Sand</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68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3</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41051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Medina Rock Rail</w:t>
            </w:r>
          </w:p>
        </w:tc>
        <w:tc>
          <w:tcPr>
            <w:tcW w:w="880" w:type="dxa"/>
            <w:vAlign w:val="bottom"/>
          </w:tcPr>
          <w:p>
            <w:pPr>
              <w:ind w:left="120"/>
              <w:spacing w:after="0"/>
              <w:rPr>
                <w:sz w:val="20"/>
                <w:szCs w:val="20"/>
                <w:color w:val="auto"/>
              </w:rPr>
            </w:pPr>
            <w:r>
              <w:rPr>
                <w:rFonts w:ascii="Arial" w:cs="Arial" w:eastAsia="Arial" w:hAnsi="Arial"/>
                <w:sz w:val="18"/>
                <w:szCs w:val="18"/>
                <w:color w:val="auto"/>
              </w:rPr>
              <w:t>70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569</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41038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Merkel Plant</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48</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920</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41000</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Midlothian Cement</w:t>
            </w:r>
          </w:p>
        </w:tc>
        <w:tc>
          <w:tcPr>
            <w:tcW w:w="880" w:type="dxa"/>
            <w:vAlign w:val="bottom"/>
          </w:tcPr>
          <w:p>
            <w:pPr>
              <w:ind w:left="120"/>
              <w:spacing w:after="0"/>
              <w:rPr>
                <w:sz w:val="20"/>
                <w:szCs w:val="20"/>
                <w:color w:val="auto"/>
              </w:rPr>
            </w:pPr>
            <w:r>
              <w:rPr>
                <w:rFonts w:ascii="Arial" w:cs="Arial" w:eastAsia="Arial" w:hAnsi="Arial"/>
                <w:sz w:val="18"/>
                <w:szCs w:val="18"/>
                <w:color w:val="auto"/>
              </w:rPr>
              <w:t>71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17,656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5</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34018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Mill Creek Limestone</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1,208</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34012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Mill Creek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85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41043</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North Austin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453</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line="183" w:lineRule="exact"/>
              <w:rPr>
                <w:sz w:val="20"/>
                <w:szCs w:val="20"/>
                <w:color w:val="auto"/>
              </w:rPr>
            </w:pPr>
            <w:r>
              <w:rPr>
                <w:rFonts w:ascii="Arial" w:cs="Arial" w:eastAsia="Arial" w:hAnsi="Arial"/>
                <w:sz w:val="18"/>
                <w:szCs w:val="18"/>
                <w:color w:val="auto"/>
              </w:rPr>
              <w:t>North Bridgeport Quarry</w:t>
            </w: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41033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(Chico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60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1,359</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16014</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Perryville Aggregates</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Poteet Sand</w:t>
            </w:r>
          </w:p>
        </w:tc>
        <w:tc>
          <w:tcPr>
            <w:tcW w:w="880" w:type="dxa"/>
            <w:vAlign w:val="bottom"/>
          </w:tcPr>
          <w:p>
            <w:pPr>
              <w:ind w:left="120"/>
              <w:spacing w:after="0"/>
              <w:rPr>
                <w:sz w:val="20"/>
                <w:szCs w:val="20"/>
                <w:color w:val="auto"/>
              </w:rPr>
            </w:pPr>
            <w:r>
              <w:rPr>
                <w:rFonts w:ascii="Arial" w:cs="Arial" w:eastAsia="Arial" w:hAnsi="Arial"/>
                <w:sz w:val="18"/>
                <w:szCs w:val="18"/>
                <w:color w:val="auto"/>
              </w:rPr>
              <w:t>42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41035</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Rio Medina</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94</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755</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41013</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San Pedro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37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line="183" w:lineRule="exact"/>
              <w:rPr>
                <w:sz w:val="20"/>
                <w:szCs w:val="20"/>
                <w:color w:val="auto"/>
              </w:rPr>
            </w:pPr>
            <w:r>
              <w:rPr>
                <w:rFonts w:ascii="Arial" w:cs="Arial" w:eastAsia="Arial" w:hAnsi="Arial"/>
                <w:sz w:val="18"/>
                <w:szCs w:val="18"/>
                <w:color w:val="auto"/>
              </w:rPr>
              <w:t>Sawyer East Quarry</w:t>
            </w: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34018</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Portable</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34016</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Sawyer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34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41011</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Slaton Plant</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1,739</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2</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tcPr>
          <w:p>
            <w:pPr>
              <w:spacing w:after="0"/>
              <w:rPr>
                <w:sz w:val="15"/>
                <w:szCs w:val="15"/>
                <w:color w:val="auto"/>
              </w:rPr>
            </w:pPr>
          </w:p>
        </w:tc>
        <w:tc>
          <w:tcPr>
            <w:tcW w:w="880" w:type="dxa"/>
            <w:vAlign w:val="bottom"/>
          </w:tcPr>
          <w:p>
            <w:pPr>
              <w:ind w:left="120"/>
              <w:spacing w:after="0" w:line="183" w:lineRule="exact"/>
              <w:rPr>
                <w:sz w:val="20"/>
                <w:szCs w:val="20"/>
                <w:color w:val="auto"/>
              </w:rPr>
            </w:pPr>
            <w:r>
              <w:rPr>
                <w:rFonts w:ascii="Arial" w:cs="Arial" w:eastAsia="Arial" w:hAnsi="Arial"/>
                <w:sz w:val="18"/>
                <w:szCs w:val="18"/>
                <w:color w:val="auto"/>
              </w:rPr>
              <w:t>41041</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Smithson Valley Quarry</w:t>
            </w:r>
          </w:p>
        </w:tc>
        <w:tc>
          <w:tcPr>
            <w:tcW w:w="880" w:type="dxa"/>
            <w:vAlign w:val="bottom"/>
          </w:tcPr>
          <w:p>
            <w:pPr>
              <w:ind w:left="120"/>
              <w:spacing w:after="0"/>
              <w:rPr>
                <w:sz w:val="20"/>
                <w:szCs w:val="20"/>
                <w:color w:val="auto"/>
              </w:rPr>
            </w:pPr>
            <w:r>
              <w:rPr>
                <w:rFonts w:ascii="Arial" w:cs="Arial" w:eastAsia="Arial" w:hAnsi="Arial"/>
                <w:sz w:val="18"/>
                <w:szCs w:val="18"/>
                <w:color w:val="auto"/>
              </w:rPr>
              <w:t>08</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040" w:type="dxa"/>
            <w:vAlign w:val="bottom"/>
            <w:shd w:val="clear" w:color="auto" w:fill="E5F1F8"/>
          </w:tcPr>
          <w:p>
            <w:pPr>
              <w:spacing w:after="0"/>
              <w:rPr>
                <w:sz w:val="15"/>
                <w:szCs w:val="15"/>
                <w:color w:val="auto"/>
              </w:rPr>
            </w:pPr>
          </w:p>
        </w:tc>
        <w:tc>
          <w:tcPr>
            <w:tcW w:w="880" w:type="dxa"/>
            <w:vAlign w:val="bottom"/>
            <w:shd w:val="clear" w:color="auto" w:fill="E5F1F8"/>
          </w:tcPr>
          <w:p>
            <w:pPr>
              <w:ind w:left="120"/>
              <w:spacing w:after="0" w:line="183" w:lineRule="exact"/>
              <w:rPr>
                <w:sz w:val="20"/>
                <w:szCs w:val="20"/>
                <w:color w:val="auto"/>
              </w:rPr>
            </w:pPr>
            <w:r>
              <w:rPr>
                <w:rFonts w:ascii="Arial" w:cs="Arial" w:eastAsia="Arial" w:hAnsi="Arial"/>
                <w:sz w:val="18"/>
                <w:szCs w:val="18"/>
                <w:color w:val="auto"/>
              </w:rPr>
              <w:t>34016</w:t>
            </w:r>
          </w:p>
        </w:tc>
        <w:tc>
          <w:tcPr>
            <w:tcW w:w="60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66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80" w:type="dxa"/>
            <w:vAlign w:val="bottom"/>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4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40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r>
      <w:tr>
        <w:trPr>
          <w:trHeight w:val="221"/>
        </w:trPr>
        <w:tc>
          <w:tcPr>
            <w:tcW w:w="2040" w:type="dxa"/>
            <w:vAlign w:val="bottom"/>
            <w:shd w:val="clear" w:color="auto" w:fill="E5F1F8"/>
          </w:tcPr>
          <w:p>
            <w:pPr>
              <w:spacing w:after="0"/>
              <w:rPr>
                <w:sz w:val="20"/>
                <w:szCs w:val="20"/>
                <w:color w:val="auto"/>
              </w:rPr>
            </w:pPr>
            <w:r>
              <w:rPr>
                <w:rFonts w:ascii="Arial" w:cs="Arial" w:eastAsia="Arial" w:hAnsi="Arial"/>
                <w:sz w:val="18"/>
                <w:szCs w:val="18"/>
                <w:color w:val="auto"/>
              </w:rPr>
              <w:t>Snyder Quarry</w:t>
            </w:r>
          </w:p>
        </w:tc>
        <w:tc>
          <w:tcPr>
            <w:tcW w:w="880" w:type="dxa"/>
            <w:vAlign w:val="bottom"/>
            <w:shd w:val="clear" w:color="auto" w:fill="E5F1F8"/>
          </w:tcPr>
          <w:p>
            <w:pPr>
              <w:ind w:left="120"/>
              <w:spacing w:after="0"/>
              <w:rPr>
                <w:sz w:val="20"/>
                <w:szCs w:val="20"/>
                <w:color w:val="auto"/>
              </w:rPr>
            </w:pPr>
            <w:r>
              <w:rPr>
                <w:rFonts w:ascii="Arial" w:cs="Arial" w:eastAsia="Arial" w:hAnsi="Arial"/>
                <w:sz w:val="18"/>
                <w:szCs w:val="18"/>
                <w:color w:val="auto"/>
              </w:rPr>
              <w:t>51</w:t>
            </w:r>
          </w:p>
        </w:tc>
        <w:tc>
          <w:tcPr>
            <w:tcW w:w="6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700</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r>
      <w:tr>
        <w:trPr>
          <w:trHeight w:val="184"/>
        </w:trPr>
        <w:tc>
          <w:tcPr>
            <w:tcW w:w="2920" w:type="dxa"/>
            <w:vAlign w:val="bottom"/>
            <w:gridSpan w:val="2"/>
          </w:tcPr>
          <w:p>
            <w:pPr>
              <w:spacing w:after="0" w:line="183" w:lineRule="exact"/>
              <w:rPr>
                <w:sz w:val="20"/>
                <w:szCs w:val="20"/>
                <w:color w:val="auto"/>
              </w:rPr>
            </w:pPr>
            <w:r>
              <w:rPr>
                <w:rFonts w:ascii="Arial" w:cs="Arial" w:eastAsia="Arial" w:hAnsi="Arial"/>
                <w:sz w:val="18"/>
                <w:szCs w:val="18"/>
                <w:color w:val="auto"/>
              </w:rPr>
              <w:t>South Texas Port #2 (Gulf 41042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7"/>
        </w:trPr>
        <w:tc>
          <w:tcPr>
            <w:tcW w:w="2040" w:type="dxa"/>
            <w:vAlign w:val="bottom"/>
          </w:tcPr>
          <w:p>
            <w:pPr>
              <w:spacing w:after="0"/>
              <w:rPr>
                <w:sz w:val="20"/>
                <w:szCs w:val="20"/>
                <w:color w:val="auto"/>
              </w:rPr>
            </w:pPr>
            <w:r>
              <w:rPr>
                <w:rFonts w:ascii="Arial" w:cs="Arial" w:eastAsia="Arial" w:hAnsi="Arial"/>
                <w:sz w:val="18"/>
                <w:szCs w:val="18"/>
                <w:color w:val="auto"/>
              </w:rPr>
              <w:t>Coast Portable #2 )</w:t>
            </w:r>
          </w:p>
        </w:tc>
        <w:tc>
          <w:tcPr>
            <w:tcW w:w="880" w:type="dxa"/>
            <w:vAlign w:val="bottom"/>
          </w:tcPr>
          <w:p>
            <w:pPr>
              <w:ind w:left="120"/>
              <w:spacing w:after="0"/>
              <w:rPr>
                <w:sz w:val="20"/>
                <w:szCs w:val="20"/>
                <w:color w:val="auto"/>
              </w:rPr>
            </w:pPr>
            <w:r>
              <w:rPr>
                <w:rFonts w:ascii="Arial" w:cs="Arial" w:eastAsia="Arial" w:hAnsi="Arial"/>
                <w:sz w:val="18"/>
                <w:szCs w:val="18"/>
                <w:color w:val="auto"/>
              </w:rPr>
              <w:t>04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793</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240"/>
          </w:cols>
          <w:pgMar w:left="320" w:top="769" w:right="339" w:bottom="637"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8">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9"/>
        </w:trPr>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7"/>
              </w:rPr>
              <w:t>Appendix 1</w:t>
            </w:r>
          </w:p>
        </w:tc>
      </w:tr>
      <w:tr>
        <w:trPr>
          <w:trHeight w:val="428"/>
        </w:trPr>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4"/>
        </w:trPr>
        <w:tc>
          <w:tcPr>
            <w:tcW w:w="2060" w:type="dxa"/>
            <w:vAlign w:val="bottom"/>
            <w:shd w:val="clear" w:color="auto" w:fill="E5F1F8"/>
          </w:tcPr>
          <w:p>
            <w:pPr>
              <w:spacing w:after="0"/>
              <w:rPr>
                <w:sz w:val="15"/>
                <w:szCs w:val="15"/>
                <w:color w:val="auto"/>
              </w:rPr>
            </w:pPr>
          </w:p>
        </w:tc>
        <w:tc>
          <w:tcPr>
            <w:tcW w:w="880" w:type="dxa"/>
            <w:vAlign w:val="bottom"/>
            <w:shd w:val="clear" w:color="auto" w:fill="E5F1F8"/>
          </w:tcPr>
          <w:p>
            <w:pPr>
              <w:ind w:left="100"/>
              <w:spacing w:after="0" w:line="183" w:lineRule="exact"/>
              <w:rPr>
                <w:sz w:val="20"/>
                <w:szCs w:val="20"/>
                <w:color w:val="auto"/>
              </w:rPr>
            </w:pPr>
            <w:r>
              <w:rPr>
                <w:rFonts w:ascii="Arial" w:cs="Arial" w:eastAsia="Arial" w:hAnsi="Arial"/>
                <w:sz w:val="18"/>
                <w:szCs w:val="18"/>
                <w:color w:val="auto"/>
              </w:rPr>
              <w:t>410285</w:t>
            </w:r>
          </w:p>
        </w:tc>
        <w:tc>
          <w:tcPr>
            <w:tcW w:w="62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64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4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2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940" w:type="dxa"/>
            <w:vAlign w:val="bottom"/>
            <w:shd w:val="clear" w:color="auto" w:fill="E5F1F8"/>
          </w:tcPr>
          <w:p>
            <w:pPr>
              <w:spacing w:after="0"/>
              <w:rPr>
                <w:sz w:val="15"/>
                <w:szCs w:val="15"/>
                <w:color w:val="auto"/>
              </w:rPr>
            </w:pPr>
          </w:p>
        </w:tc>
      </w:tr>
      <w:tr>
        <w:trPr>
          <w:trHeight w:val="221"/>
        </w:trPr>
        <w:tc>
          <w:tcPr>
            <w:tcW w:w="2060" w:type="dxa"/>
            <w:vAlign w:val="bottom"/>
            <w:shd w:val="clear" w:color="auto" w:fill="E5F1F8"/>
          </w:tcPr>
          <w:p>
            <w:pPr>
              <w:spacing w:after="0"/>
              <w:rPr>
                <w:sz w:val="20"/>
                <w:szCs w:val="20"/>
                <w:color w:val="auto"/>
              </w:rPr>
            </w:pPr>
            <w:r>
              <w:rPr>
                <w:rFonts w:ascii="Arial" w:cs="Arial" w:eastAsia="Arial" w:hAnsi="Arial"/>
                <w:sz w:val="18"/>
                <w:szCs w:val="18"/>
                <w:color w:val="auto"/>
              </w:rPr>
              <w:t>Tin Top SG</w:t>
            </w:r>
          </w:p>
        </w:tc>
        <w:tc>
          <w:tcPr>
            <w:tcW w:w="880" w:type="dxa"/>
            <w:vAlign w:val="bottom"/>
            <w:shd w:val="clear" w:color="auto" w:fill="E5F1F8"/>
          </w:tcPr>
          <w:p>
            <w:pPr>
              <w:ind w:left="100"/>
              <w:spacing w:after="0"/>
              <w:rPr>
                <w:sz w:val="20"/>
                <w:szCs w:val="20"/>
                <w:color w:val="auto"/>
              </w:rPr>
            </w:pPr>
            <w:r>
              <w:rPr>
                <w:rFonts w:ascii="Arial" w:cs="Arial" w:eastAsia="Arial" w:hAnsi="Arial"/>
                <w:sz w:val="18"/>
                <w:szCs w:val="18"/>
                <w:color w:val="auto"/>
              </w:rPr>
              <w:t>2</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0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20" w:type="dxa"/>
            <w:vAlign w:val="bottom"/>
            <w:shd w:val="clear" w:color="auto" w:fill="E5F1F8"/>
          </w:tcPr>
          <w:p>
            <w:pPr>
              <w:jc w:val="center"/>
              <w:ind w:left="70"/>
              <w:spacing w:after="0"/>
              <w:rPr>
                <w:sz w:val="20"/>
                <w:szCs w:val="20"/>
                <w:color w:val="auto"/>
              </w:rPr>
            </w:pPr>
            <w:r>
              <w:rPr>
                <w:rFonts w:ascii="Arial" w:cs="Arial" w:eastAsia="Arial" w:hAnsi="Arial"/>
                <w:sz w:val="18"/>
                <w:szCs w:val="18"/>
                <w:color w:val="auto"/>
                <w:w w:val="99"/>
              </w:rPr>
              <w:t>0</w:t>
            </w:r>
          </w:p>
        </w:tc>
        <w:tc>
          <w:tcPr>
            <w:tcW w:w="94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tcPr>
          <w:p>
            <w:pPr>
              <w:spacing w:after="0"/>
              <w:rPr>
                <w:sz w:val="15"/>
                <w:szCs w:val="15"/>
                <w:color w:val="auto"/>
              </w:rPr>
            </w:pPr>
          </w:p>
        </w:tc>
        <w:tc>
          <w:tcPr>
            <w:tcW w:w="880" w:type="dxa"/>
            <w:vAlign w:val="bottom"/>
          </w:tcPr>
          <w:p>
            <w:pPr>
              <w:ind w:left="100"/>
              <w:spacing w:after="0" w:line="183" w:lineRule="exact"/>
              <w:rPr>
                <w:sz w:val="20"/>
                <w:szCs w:val="20"/>
                <w:color w:val="auto"/>
              </w:rPr>
            </w:pPr>
            <w:r>
              <w:rPr>
                <w:rFonts w:ascii="Arial" w:cs="Arial" w:eastAsia="Arial" w:hAnsi="Arial"/>
                <w:sz w:val="18"/>
                <w:szCs w:val="18"/>
                <w:color w:val="auto"/>
              </w:rPr>
              <w:t>410113</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2060" w:type="dxa"/>
            <w:vAlign w:val="bottom"/>
          </w:tcPr>
          <w:p>
            <w:pPr>
              <w:spacing w:after="0"/>
              <w:rPr>
                <w:sz w:val="20"/>
                <w:szCs w:val="20"/>
                <w:color w:val="auto"/>
              </w:rPr>
            </w:pPr>
            <w:r>
              <w:rPr>
                <w:rFonts w:ascii="Arial" w:cs="Arial" w:eastAsia="Arial" w:hAnsi="Arial"/>
                <w:sz w:val="18"/>
                <w:szCs w:val="18"/>
                <w:color w:val="auto"/>
              </w:rPr>
              <w:t>Vealmoor Plant</w:t>
            </w:r>
          </w:p>
        </w:tc>
        <w:tc>
          <w:tcPr>
            <w:tcW w:w="880" w:type="dxa"/>
            <w:vAlign w:val="bottom"/>
          </w:tcPr>
          <w:p>
            <w:pPr>
              <w:ind w:left="100"/>
              <w:spacing w:after="0"/>
              <w:rPr>
                <w:sz w:val="20"/>
                <w:szCs w:val="20"/>
                <w:color w:val="auto"/>
              </w:rPr>
            </w:pPr>
            <w:r>
              <w:rPr>
                <w:rFonts w:ascii="Arial" w:cs="Arial" w:eastAsia="Arial" w:hAnsi="Arial"/>
                <w:sz w:val="18"/>
                <w:szCs w:val="18"/>
                <w:color w:val="auto"/>
              </w:rPr>
              <w:t>7</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302</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00" w:type="dxa"/>
            <w:vAlign w:val="bottom"/>
          </w:tcPr>
          <w:p>
            <w:pPr>
              <w:ind w:left="280"/>
              <w:spacing w:after="0"/>
              <w:rPr>
                <w:sz w:val="20"/>
                <w:szCs w:val="20"/>
                <w:color w:val="auto"/>
              </w:rPr>
            </w:pPr>
            <w:r>
              <w:rPr>
                <w:rFonts w:ascii="Arial" w:cs="Arial" w:eastAsia="Arial" w:hAnsi="Arial"/>
                <w:sz w:val="18"/>
                <w:szCs w:val="18"/>
                <w:color w:val="auto"/>
              </w:rPr>
              <w:t>no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2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shd w:val="clear" w:color="auto" w:fill="E5F1F8"/>
          </w:tcPr>
          <w:p>
            <w:pPr>
              <w:spacing w:after="0"/>
              <w:rPr>
                <w:sz w:val="15"/>
                <w:szCs w:val="15"/>
                <w:color w:val="auto"/>
              </w:rPr>
            </w:pPr>
          </w:p>
        </w:tc>
        <w:tc>
          <w:tcPr>
            <w:tcW w:w="880" w:type="dxa"/>
            <w:vAlign w:val="bottom"/>
            <w:shd w:val="clear" w:color="auto" w:fill="E5F1F8"/>
          </w:tcPr>
          <w:p>
            <w:pPr>
              <w:ind w:left="100"/>
              <w:spacing w:after="0" w:line="183" w:lineRule="exact"/>
              <w:rPr>
                <w:sz w:val="20"/>
                <w:szCs w:val="20"/>
                <w:color w:val="auto"/>
              </w:rPr>
            </w:pPr>
            <w:r>
              <w:rPr>
                <w:rFonts w:ascii="Arial" w:cs="Arial" w:eastAsia="Arial" w:hAnsi="Arial"/>
                <w:sz w:val="18"/>
                <w:szCs w:val="18"/>
                <w:color w:val="auto"/>
              </w:rPr>
              <w:t>340204</w:t>
            </w:r>
          </w:p>
        </w:tc>
        <w:tc>
          <w:tcPr>
            <w:tcW w:w="62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64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4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2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940" w:type="dxa"/>
            <w:vAlign w:val="bottom"/>
            <w:shd w:val="clear" w:color="auto" w:fill="E5F1F8"/>
          </w:tcPr>
          <w:p>
            <w:pPr>
              <w:spacing w:after="0"/>
              <w:rPr>
                <w:sz w:val="15"/>
                <w:szCs w:val="15"/>
                <w:color w:val="auto"/>
              </w:rPr>
            </w:pPr>
          </w:p>
        </w:tc>
      </w:tr>
      <w:tr>
        <w:trPr>
          <w:trHeight w:val="221"/>
        </w:trPr>
        <w:tc>
          <w:tcPr>
            <w:tcW w:w="2060" w:type="dxa"/>
            <w:vAlign w:val="bottom"/>
            <w:shd w:val="clear" w:color="auto" w:fill="E5F1F8"/>
          </w:tcPr>
          <w:p>
            <w:pPr>
              <w:spacing w:after="0"/>
              <w:rPr>
                <w:sz w:val="20"/>
                <w:szCs w:val="20"/>
                <w:color w:val="auto"/>
              </w:rPr>
            </w:pPr>
            <w:r>
              <w:rPr>
                <w:rFonts w:ascii="Arial" w:cs="Arial" w:eastAsia="Arial" w:hAnsi="Arial"/>
                <w:sz w:val="18"/>
                <w:szCs w:val="18"/>
                <w:color w:val="auto"/>
              </w:rPr>
              <w:t>Washita Quarry</w:t>
            </w:r>
          </w:p>
        </w:tc>
        <w:tc>
          <w:tcPr>
            <w:tcW w:w="880" w:type="dxa"/>
            <w:vAlign w:val="bottom"/>
            <w:shd w:val="clear" w:color="auto" w:fill="E5F1F8"/>
          </w:tcPr>
          <w:p>
            <w:pPr>
              <w:ind w:left="100"/>
              <w:spacing w:after="0"/>
              <w:rPr>
                <w:sz w:val="20"/>
                <w:szCs w:val="20"/>
                <w:color w:val="auto"/>
              </w:rPr>
            </w:pPr>
            <w:r>
              <w:rPr>
                <w:rFonts w:ascii="Arial" w:cs="Arial" w:eastAsia="Arial" w:hAnsi="Arial"/>
                <w:sz w:val="18"/>
                <w:szCs w:val="18"/>
                <w:color w:val="auto"/>
              </w:rPr>
              <w:t>9</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1</w:t>
            </w:r>
          </w:p>
        </w:tc>
        <w:tc>
          <w:tcPr>
            <w:tcW w:w="5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1,397</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0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20" w:type="dxa"/>
            <w:vAlign w:val="bottom"/>
            <w:shd w:val="clear" w:color="auto" w:fill="E5F1F8"/>
          </w:tcPr>
          <w:p>
            <w:pPr>
              <w:jc w:val="center"/>
              <w:ind w:left="70"/>
              <w:spacing w:after="0"/>
              <w:rPr>
                <w:sz w:val="20"/>
                <w:szCs w:val="20"/>
                <w:color w:val="auto"/>
              </w:rPr>
            </w:pPr>
            <w:r>
              <w:rPr>
                <w:rFonts w:ascii="Arial" w:cs="Arial" w:eastAsia="Arial" w:hAnsi="Arial"/>
                <w:sz w:val="18"/>
                <w:szCs w:val="18"/>
                <w:color w:val="auto"/>
                <w:w w:val="99"/>
              </w:rPr>
              <w:t>0</w:t>
            </w:r>
          </w:p>
        </w:tc>
        <w:tc>
          <w:tcPr>
            <w:tcW w:w="94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tcPr>
          <w:p>
            <w:pPr>
              <w:spacing w:after="0"/>
              <w:rPr>
                <w:sz w:val="15"/>
                <w:szCs w:val="15"/>
                <w:color w:val="auto"/>
              </w:rPr>
            </w:pPr>
          </w:p>
        </w:tc>
        <w:tc>
          <w:tcPr>
            <w:tcW w:w="880" w:type="dxa"/>
            <w:vAlign w:val="bottom"/>
          </w:tcPr>
          <w:p>
            <w:pPr>
              <w:ind w:left="100"/>
              <w:spacing w:after="0" w:line="183" w:lineRule="exact"/>
              <w:rPr>
                <w:sz w:val="20"/>
                <w:szCs w:val="20"/>
                <w:color w:val="auto"/>
              </w:rPr>
            </w:pPr>
            <w:r>
              <w:rPr>
                <w:rFonts w:ascii="Arial" w:cs="Arial" w:eastAsia="Arial" w:hAnsi="Arial"/>
                <w:sz w:val="18"/>
                <w:szCs w:val="18"/>
                <w:color w:val="auto"/>
              </w:rPr>
              <w:t>410436</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2060" w:type="dxa"/>
            <w:vAlign w:val="bottom"/>
          </w:tcPr>
          <w:p>
            <w:pPr>
              <w:spacing w:after="0"/>
              <w:rPr>
                <w:sz w:val="20"/>
                <w:szCs w:val="20"/>
                <w:color w:val="auto"/>
              </w:rPr>
            </w:pPr>
            <w:r>
              <w:rPr>
                <w:rFonts w:ascii="Arial" w:cs="Arial" w:eastAsia="Arial" w:hAnsi="Arial"/>
                <w:sz w:val="18"/>
                <w:szCs w:val="18"/>
                <w:color w:val="auto"/>
              </w:rPr>
              <w:t>Webberville</w:t>
            </w:r>
          </w:p>
        </w:tc>
        <w:tc>
          <w:tcPr>
            <w:tcW w:w="880" w:type="dxa"/>
            <w:vAlign w:val="bottom"/>
          </w:tcPr>
          <w:p>
            <w:pPr>
              <w:ind w:left="100"/>
              <w:spacing w:after="0"/>
              <w:rPr>
                <w:sz w:val="20"/>
                <w:szCs w:val="20"/>
                <w:color w:val="auto"/>
              </w:rPr>
            </w:pPr>
            <w:r>
              <w:rPr>
                <w:rFonts w:ascii="Arial" w:cs="Arial" w:eastAsia="Arial" w:hAnsi="Arial"/>
                <w:sz w:val="18"/>
                <w:szCs w:val="18"/>
                <w:color w:val="auto"/>
              </w:rPr>
              <w:t>3</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1,778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00" w:type="dxa"/>
            <w:vAlign w:val="bottom"/>
          </w:tcPr>
          <w:p>
            <w:pPr>
              <w:ind w:left="280"/>
              <w:spacing w:after="0"/>
              <w:rPr>
                <w:sz w:val="20"/>
                <w:szCs w:val="20"/>
                <w:color w:val="auto"/>
              </w:rPr>
            </w:pPr>
            <w:r>
              <w:rPr>
                <w:rFonts w:ascii="Arial" w:cs="Arial" w:eastAsia="Arial" w:hAnsi="Arial"/>
                <w:sz w:val="18"/>
                <w:szCs w:val="18"/>
                <w:color w:val="auto"/>
              </w:rPr>
              <w:t>no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shd w:val="clear" w:color="auto" w:fill="E5F1F8"/>
          </w:tcPr>
          <w:p>
            <w:pPr>
              <w:spacing w:after="0"/>
              <w:rPr>
                <w:sz w:val="15"/>
                <w:szCs w:val="15"/>
                <w:color w:val="auto"/>
              </w:rPr>
            </w:pPr>
          </w:p>
        </w:tc>
        <w:tc>
          <w:tcPr>
            <w:tcW w:w="880" w:type="dxa"/>
            <w:vAlign w:val="bottom"/>
            <w:shd w:val="clear" w:color="auto" w:fill="E5F1F8"/>
          </w:tcPr>
          <w:p>
            <w:pPr>
              <w:ind w:left="100"/>
              <w:spacing w:after="0" w:line="183" w:lineRule="exact"/>
              <w:rPr>
                <w:sz w:val="20"/>
                <w:szCs w:val="20"/>
                <w:color w:val="auto"/>
              </w:rPr>
            </w:pPr>
            <w:r>
              <w:rPr>
                <w:rFonts w:ascii="Arial" w:cs="Arial" w:eastAsia="Arial" w:hAnsi="Arial"/>
                <w:sz w:val="18"/>
                <w:szCs w:val="18"/>
                <w:color w:val="auto"/>
              </w:rPr>
              <w:t>260000</w:t>
            </w:r>
          </w:p>
        </w:tc>
        <w:tc>
          <w:tcPr>
            <w:tcW w:w="62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64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4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2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940" w:type="dxa"/>
            <w:vAlign w:val="bottom"/>
            <w:shd w:val="clear" w:color="auto" w:fill="E5F1F8"/>
          </w:tcPr>
          <w:p>
            <w:pPr>
              <w:spacing w:after="0"/>
              <w:rPr>
                <w:sz w:val="15"/>
                <w:szCs w:val="15"/>
                <w:color w:val="auto"/>
              </w:rPr>
            </w:pPr>
          </w:p>
        </w:tc>
      </w:tr>
      <w:tr>
        <w:trPr>
          <w:trHeight w:val="221"/>
        </w:trPr>
        <w:tc>
          <w:tcPr>
            <w:tcW w:w="2060" w:type="dxa"/>
            <w:vAlign w:val="bottom"/>
            <w:shd w:val="clear" w:color="auto" w:fill="E5F1F8"/>
          </w:tcPr>
          <w:p>
            <w:pPr>
              <w:spacing w:after="0"/>
              <w:rPr>
                <w:sz w:val="20"/>
                <w:szCs w:val="20"/>
                <w:color w:val="auto"/>
              </w:rPr>
            </w:pPr>
            <w:r>
              <w:rPr>
                <w:rFonts w:ascii="Arial" w:cs="Arial" w:eastAsia="Arial" w:hAnsi="Arial"/>
                <w:sz w:val="18"/>
                <w:szCs w:val="18"/>
                <w:color w:val="auto"/>
              </w:rPr>
              <w:t>**Gabbs Mining Ops</w:t>
            </w:r>
          </w:p>
        </w:tc>
        <w:tc>
          <w:tcPr>
            <w:tcW w:w="880" w:type="dxa"/>
            <w:vAlign w:val="bottom"/>
            <w:shd w:val="clear" w:color="auto" w:fill="E5F1F8"/>
          </w:tcPr>
          <w:p>
            <w:pPr>
              <w:ind w:left="100"/>
              <w:spacing w:after="0"/>
              <w:rPr>
                <w:sz w:val="20"/>
                <w:szCs w:val="20"/>
                <w:color w:val="auto"/>
              </w:rPr>
            </w:pPr>
            <w:r>
              <w:rPr>
                <w:rFonts w:ascii="Arial" w:cs="Arial" w:eastAsia="Arial" w:hAnsi="Arial"/>
                <w:sz w:val="18"/>
                <w:szCs w:val="18"/>
                <w:color w:val="auto"/>
              </w:rPr>
              <w:t>2</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3</w:t>
            </w:r>
          </w:p>
        </w:tc>
        <w:tc>
          <w:tcPr>
            <w:tcW w:w="5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34,140</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0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1</w:t>
            </w:r>
          </w:p>
        </w:tc>
        <w:tc>
          <w:tcPr>
            <w:tcW w:w="420" w:type="dxa"/>
            <w:vAlign w:val="bottom"/>
            <w:shd w:val="clear" w:color="auto" w:fill="E5F1F8"/>
          </w:tcPr>
          <w:p>
            <w:pPr>
              <w:jc w:val="center"/>
              <w:ind w:lef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tcPr>
          <w:p>
            <w:pPr>
              <w:spacing w:after="0"/>
              <w:rPr>
                <w:sz w:val="15"/>
                <w:szCs w:val="15"/>
                <w:color w:val="auto"/>
              </w:rPr>
            </w:pPr>
          </w:p>
        </w:tc>
        <w:tc>
          <w:tcPr>
            <w:tcW w:w="880" w:type="dxa"/>
            <w:vAlign w:val="bottom"/>
          </w:tcPr>
          <w:p>
            <w:pPr>
              <w:jc w:val="right"/>
              <w:ind w:right="90"/>
              <w:spacing w:after="0" w:line="183" w:lineRule="exact"/>
              <w:rPr>
                <w:sz w:val="20"/>
                <w:szCs w:val="20"/>
                <w:color w:val="auto"/>
              </w:rPr>
            </w:pPr>
            <w:r>
              <w:rPr>
                <w:rFonts w:ascii="Arial" w:cs="Arial" w:eastAsia="Arial" w:hAnsi="Arial"/>
                <w:sz w:val="18"/>
                <w:szCs w:val="18"/>
                <w:color w:val="auto"/>
              </w:rPr>
              <w:t>3300</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2060" w:type="dxa"/>
            <w:vAlign w:val="bottom"/>
          </w:tcPr>
          <w:p>
            <w:pPr>
              <w:spacing w:after="0"/>
              <w:rPr>
                <w:sz w:val="20"/>
                <w:szCs w:val="20"/>
                <w:color w:val="auto"/>
              </w:rPr>
            </w:pPr>
            <w:r>
              <w:rPr>
                <w:rFonts w:ascii="Arial" w:cs="Arial" w:eastAsia="Arial" w:hAnsi="Arial"/>
                <w:sz w:val="18"/>
                <w:szCs w:val="18"/>
                <w:color w:val="auto"/>
              </w:rPr>
              <w:t>Woodville - Stone</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6,456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no</w:t>
            </w:r>
          </w:p>
        </w:tc>
        <w:tc>
          <w:tcPr>
            <w:tcW w:w="700" w:type="dxa"/>
            <w:vAlign w:val="bottom"/>
          </w:tcPr>
          <w:p>
            <w:pPr>
              <w:ind w:left="280"/>
              <w:spacing w:after="0"/>
              <w:rPr>
                <w:sz w:val="20"/>
                <w:szCs w:val="20"/>
                <w:color w:val="auto"/>
              </w:rPr>
            </w:pPr>
            <w:r>
              <w:rPr>
                <w:rFonts w:ascii="Arial" w:cs="Arial" w:eastAsia="Arial" w:hAnsi="Arial"/>
                <w:sz w:val="18"/>
                <w:szCs w:val="18"/>
                <w:color w:val="auto"/>
              </w:rPr>
              <w:t>no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20" w:type="dxa"/>
            <w:vAlign w:val="bottom"/>
          </w:tcPr>
          <w:p>
            <w:pPr>
              <w:jc w:val="center"/>
              <w:ind w:left="70"/>
              <w:spacing w:after="0"/>
              <w:rPr>
                <w:sz w:val="20"/>
                <w:szCs w:val="20"/>
                <w:color w:val="auto"/>
              </w:rPr>
            </w:pPr>
            <w:r>
              <w:rPr>
                <w:rFonts w:ascii="Arial" w:cs="Arial" w:eastAsia="Arial" w:hAnsi="Arial"/>
                <w:sz w:val="18"/>
                <w:szCs w:val="18"/>
                <w:color w:val="auto"/>
                <w:w w:val="99"/>
              </w:rPr>
              <w:t>2</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shd w:val="clear" w:color="auto" w:fill="E5F1F8"/>
          </w:tcPr>
          <w:p>
            <w:pPr>
              <w:spacing w:after="0"/>
              <w:rPr>
                <w:sz w:val="15"/>
                <w:szCs w:val="15"/>
                <w:color w:val="auto"/>
              </w:rPr>
            </w:pPr>
          </w:p>
        </w:tc>
        <w:tc>
          <w:tcPr>
            <w:tcW w:w="880" w:type="dxa"/>
            <w:vAlign w:val="bottom"/>
            <w:shd w:val="clear" w:color="auto" w:fill="E5F1F8"/>
          </w:tcPr>
          <w:p>
            <w:pPr>
              <w:ind w:left="100"/>
              <w:spacing w:after="0" w:line="183" w:lineRule="exact"/>
              <w:rPr>
                <w:sz w:val="20"/>
                <w:szCs w:val="20"/>
                <w:color w:val="auto"/>
              </w:rPr>
            </w:pPr>
            <w:r>
              <w:rPr>
                <w:rFonts w:ascii="Arial" w:cs="Arial" w:eastAsia="Arial" w:hAnsi="Arial"/>
                <w:sz w:val="18"/>
                <w:szCs w:val="18"/>
                <w:color w:val="auto"/>
              </w:rPr>
              <w:t>00B71</w:t>
            </w:r>
          </w:p>
        </w:tc>
        <w:tc>
          <w:tcPr>
            <w:tcW w:w="62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640" w:type="dxa"/>
            <w:vAlign w:val="bottom"/>
            <w:shd w:val="clear" w:color="auto" w:fill="E5F1F8"/>
          </w:tcPr>
          <w:p>
            <w:pPr>
              <w:spacing w:after="0"/>
              <w:rPr>
                <w:sz w:val="15"/>
                <w:szCs w:val="15"/>
                <w:color w:val="auto"/>
              </w:rPr>
            </w:pPr>
          </w:p>
        </w:tc>
        <w:tc>
          <w:tcPr>
            <w:tcW w:w="60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240" w:type="dxa"/>
            <w:vAlign w:val="bottom"/>
            <w:shd w:val="clear" w:color="auto" w:fill="E5F1F8"/>
          </w:tcPr>
          <w:p>
            <w:pPr>
              <w:spacing w:after="0"/>
              <w:rPr>
                <w:sz w:val="15"/>
                <w:szCs w:val="15"/>
                <w:color w:val="auto"/>
              </w:rPr>
            </w:pPr>
          </w:p>
        </w:tc>
        <w:tc>
          <w:tcPr>
            <w:tcW w:w="960" w:type="dxa"/>
            <w:vAlign w:val="bottom"/>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840" w:type="dxa"/>
            <w:vAlign w:val="bottom"/>
            <w:shd w:val="clear" w:color="auto" w:fill="E5F1F8"/>
          </w:tcPr>
          <w:p>
            <w:pPr>
              <w:spacing w:after="0"/>
              <w:rPr>
                <w:sz w:val="15"/>
                <w:szCs w:val="15"/>
                <w:color w:val="auto"/>
              </w:rPr>
            </w:pPr>
          </w:p>
        </w:tc>
        <w:tc>
          <w:tcPr>
            <w:tcW w:w="700" w:type="dxa"/>
            <w:vAlign w:val="bottom"/>
            <w:shd w:val="clear" w:color="auto" w:fill="E5F1F8"/>
          </w:tcPr>
          <w:p>
            <w:pPr>
              <w:spacing w:after="0"/>
              <w:rPr>
                <w:sz w:val="15"/>
                <w:szCs w:val="15"/>
                <w:color w:val="auto"/>
              </w:rPr>
            </w:pPr>
          </w:p>
        </w:tc>
        <w:tc>
          <w:tcPr>
            <w:tcW w:w="620" w:type="dxa"/>
            <w:vAlign w:val="bottom"/>
            <w:shd w:val="clear" w:color="auto" w:fill="E5F1F8"/>
          </w:tcPr>
          <w:p>
            <w:pPr>
              <w:spacing w:after="0"/>
              <w:rPr>
                <w:sz w:val="15"/>
                <w:szCs w:val="15"/>
                <w:color w:val="auto"/>
              </w:rPr>
            </w:pPr>
          </w:p>
        </w:tc>
        <w:tc>
          <w:tcPr>
            <w:tcW w:w="420" w:type="dxa"/>
            <w:vAlign w:val="bottom"/>
            <w:shd w:val="clear" w:color="auto" w:fill="E5F1F8"/>
          </w:tcPr>
          <w:p>
            <w:pPr>
              <w:spacing w:after="0"/>
              <w:rPr>
                <w:sz w:val="15"/>
                <w:szCs w:val="15"/>
                <w:color w:val="auto"/>
              </w:rPr>
            </w:pPr>
          </w:p>
        </w:tc>
        <w:tc>
          <w:tcPr>
            <w:tcW w:w="940" w:type="dxa"/>
            <w:vAlign w:val="bottom"/>
            <w:shd w:val="clear" w:color="auto" w:fill="E5F1F8"/>
          </w:tcPr>
          <w:p>
            <w:pPr>
              <w:spacing w:after="0"/>
              <w:rPr>
                <w:sz w:val="15"/>
                <w:szCs w:val="15"/>
                <w:color w:val="auto"/>
              </w:rPr>
            </w:pPr>
          </w:p>
        </w:tc>
      </w:tr>
      <w:tr>
        <w:trPr>
          <w:trHeight w:val="221"/>
        </w:trPr>
        <w:tc>
          <w:tcPr>
            <w:tcW w:w="2060" w:type="dxa"/>
            <w:vAlign w:val="bottom"/>
            <w:shd w:val="clear" w:color="auto" w:fill="E5F1F8"/>
          </w:tcPr>
          <w:p>
            <w:pPr>
              <w:spacing w:after="0"/>
              <w:rPr>
                <w:sz w:val="20"/>
                <w:szCs w:val="20"/>
                <w:color w:val="auto"/>
              </w:rPr>
            </w:pPr>
            <w:r>
              <w:rPr>
                <w:rFonts w:ascii="Arial" w:cs="Arial" w:eastAsia="Arial" w:hAnsi="Arial"/>
                <w:sz w:val="18"/>
                <w:szCs w:val="18"/>
                <w:color w:val="auto"/>
              </w:rPr>
              <w:t>Geology and Exploration</w:t>
            </w:r>
          </w:p>
        </w:tc>
        <w:tc>
          <w:tcPr>
            <w:tcW w:w="880" w:type="dxa"/>
            <w:vAlign w:val="bottom"/>
            <w:shd w:val="clear" w:color="auto" w:fill="E5F1F8"/>
          </w:tcPr>
          <w:p>
            <w:pPr>
              <w:ind w:left="100"/>
              <w:spacing w:after="0"/>
              <w:rPr>
                <w:sz w:val="20"/>
                <w:szCs w:val="20"/>
                <w:color w:val="auto"/>
              </w:rPr>
            </w:pPr>
            <w:r>
              <w:rPr>
                <w:rFonts w:ascii="Arial" w:cs="Arial" w:eastAsia="Arial" w:hAnsi="Arial"/>
                <w:sz w:val="18"/>
                <w:szCs w:val="18"/>
                <w:color w:val="auto"/>
              </w:rPr>
              <w:t>27</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5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no</w:t>
            </w:r>
          </w:p>
        </w:tc>
        <w:tc>
          <w:tcPr>
            <w:tcW w:w="700" w:type="dxa"/>
            <w:vAlign w:val="bottom"/>
            <w:shd w:val="clear" w:color="auto" w:fill="E5F1F8"/>
          </w:tcPr>
          <w:p>
            <w:pPr>
              <w:ind w:lef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9"/>
              </w:rPr>
              <w:t>0</w:t>
            </w:r>
          </w:p>
        </w:tc>
        <w:tc>
          <w:tcPr>
            <w:tcW w:w="420" w:type="dxa"/>
            <w:vAlign w:val="bottom"/>
            <w:shd w:val="clear" w:color="auto" w:fill="E5F1F8"/>
          </w:tcPr>
          <w:p>
            <w:pPr>
              <w:jc w:val="center"/>
              <w:ind w:left="70"/>
              <w:spacing w:after="0"/>
              <w:rPr>
                <w:sz w:val="20"/>
                <w:szCs w:val="20"/>
                <w:color w:val="auto"/>
              </w:rPr>
            </w:pPr>
            <w:r>
              <w:rPr>
                <w:rFonts w:ascii="Arial" w:cs="Arial" w:eastAsia="Arial" w:hAnsi="Arial"/>
                <w:sz w:val="18"/>
                <w:szCs w:val="18"/>
                <w:color w:val="auto"/>
                <w:w w:val="99"/>
              </w:rPr>
              <w:t>0</w:t>
            </w:r>
          </w:p>
        </w:tc>
        <w:tc>
          <w:tcPr>
            <w:tcW w:w="940" w:type="dxa"/>
            <w:vAlign w:val="bottom"/>
            <w:shd w:val="clear" w:color="auto" w:fill="E5F1F8"/>
          </w:tcPr>
          <w:p>
            <w:pPr>
              <w:jc w:val="center"/>
              <w:ind w:left="30"/>
              <w:spacing w:after="0"/>
              <w:rPr>
                <w:sz w:val="20"/>
                <w:szCs w:val="20"/>
                <w:color w:val="auto"/>
              </w:rPr>
            </w:pPr>
            <w:r>
              <w:rPr>
                <w:rFonts w:ascii="Arial" w:cs="Arial" w:eastAsia="Arial" w:hAnsi="Arial"/>
                <w:sz w:val="18"/>
                <w:szCs w:val="18"/>
                <w:color w:val="auto"/>
                <w:w w:val="99"/>
              </w:rPr>
              <w:t>0</w:t>
            </w:r>
          </w:p>
        </w:tc>
      </w:tr>
      <w:tr>
        <w:trPr>
          <w:trHeight w:val="184"/>
        </w:trPr>
        <w:tc>
          <w:tcPr>
            <w:tcW w:w="2060" w:type="dxa"/>
            <w:vAlign w:val="bottom"/>
          </w:tcPr>
          <w:p>
            <w:pPr>
              <w:spacing w:after="0"/>
              <w:rPr>
                <w:sz w:val="15"/>
                <w:szCs w:val="15"/>
                <w:color w:val="auto"/>
              </w:rPr>
            </w:pPr>
          </w:p>
        </w:tc>
        <w:tc>
          <w:tcPr>
            <w:tcW w:w="880" w:type="dxa"/>
            <w:vAlign w:val="bottom"/>
          </w:tcPr>
          <w:p>
            <w:pPr>
              <w:ind w:left="100"/>
              <w:spacing w:after="0" w:line="183" w:lineRule="exact"/>
              <w:rPr>
                <w:sz w:val="20"/>
                <w:szCs w:val="20"/>
                <w:color w:val="auto"/>
              </w:rPr>
            </w:pPr>
            <w:r>
              <w:rPr>
                <w:rFonts w:ascii="Arial" w:cs="Arial" w:eastAsia="Arial" w:hAnsi="Arial"/>
                <w:sz w:val="18"/>
                <w:szCs w:val="18"/>
                <w:color w:val="auto"/>
              </w:rPr>
              <w:t>00B93</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2060" w:type="dxa"/>
            <w:vAlign w:val="bottom"/>
          </w:tcPr>
          <w:p>
            <w:pPr>
              <w:spacing w:after="0" w:line="198" w:lineRule="exact"/>
              <w:rPr>
                <w:sz w:val="20"/>
                <w:szCs w:val="20"/>
                <w:color w:val="auto"/>
              </w:rPr>
            </w:pPr>
            <w:r>
              <w:rPr>
                <w:rFonts w:ascii="Arial" w:cs="Arial" w:eastAsia="Arial" w:hAnsi="Arial"/>
                <w:sz w:val="18"/>
                <w:szCs w:val="18"/>
                <w:color w:val="auto"/>
              </w:rPr>
              <w:t>Salisbury Shop</w:t>
            </w:r>
          </w:p>
        </w:tc>
        <w:tc>
          <w:tcPr>
            <w:tcW w:w="880" w:type="dxa"/>
            <w:vAlign w:val="bottom"/>
          </w:tcPr>
          <w:p>
            <w:pPr>
              <w:ind w:left="100"/>
              <w:spacing w:after="0" w:line="198" w:lineRule="exact"/>
              <w:rPr>
                <w:sz w:val="20"/>
                <w:szCs w:val="20"/>
                <w:color w:val="auto"/>
              </w:rPr>
            </w:pPr>
            <w:r>
              <w:rPr>
                <w:rFonts w:ascii="Arial" w:cs="Arial" w:eastAsia="Arial" w:hAnsi="Arial"/>
                <w:sz w:val="18"/>
                <w:szCs w:val="18"/>
                <w:color w:val="auto"/>
              </w:rPr>
              <w:t>38</w:t>
            </w:r>
          </w:p>
        </w:tc>
        <w:tc>
          <w:tcPr>
            <w:tcW w:w="62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580" w:type="dxa"/>
            <w:vAlign w:val="bottom"/>
          </w:tcPr>
          <w:p>
            <w:pPr>
              <w:jc w:val="right"/>
              <w:ind w:right="17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jc w:val="right"/>
              <w:ind w:right="190"/>
              <w:spacing w:after="0" w:line="198" w:lineRule="exact"/>
              <w:rPr>
                <w:sz w:val="20"/>
                <w:szCs w:val="20"/>
                <w:color w:val="auto"/>
              </w:rPr>
            </w:pPr>
            <w:r>
              <w:rPr>
                <w:rFonts w:ascii="Arial" w:cs="Arial" w:eastAsia="Arial" w:hAnsi="Arial"/>
                <w:sz w:val="18"/>
                <w:szCs w:val="18"/>
                <w:color w:val="auto"/>
              </w:rPr>
              <w:t>0</w:t>
            </w:r>
          </w:p>
        </w:tc>
        <w:tc>
          <w:tcPr>
            <w:tcW w:w="600" w:type="dxa"/>
            <w:vAlign w:val="bottom"/>
          </w:tcPr>
          <w:p>
            <w:pPr>
              <w:jc w:val="right"/>
              <w:ind w:right="130"/>
              <w:spacing w:after="0" w:line="198"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0"/>
              <w:spacing w:after="0" w:line="198"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70"/>
              <w:spacing w:after="0" w:line="198" w:lineRule="exact"/>
              <w:rPr>
                <w:sz w:val="20"/>
                <w:szCs w:val="20"/>
                <w:color w:val="auto"/>
              </w:rPr>
            </w:pPr>
            <w:r>
              <w:rPr>
                <w:rFonts w:ascii="Arial" w:cs="Arial" w:eastAsia="Arial" w:hAnsi="Arial"/>
                <w:sz w:val="18"/>
                <w:szCs w:val="18"/>
                <w:color w:val="auto"/>
              </w:rPr>
              <w:t>0</w:t>
            </w:r>
          </w:p>
        </w:tc>
        <w:tc>
          <w:tcPr>
            <w:tcW w:w="840" w:type="dxa"/>
            <w:vAlign w:val="bottom"/>
          </w:tcPr>
          <w:p>
            <w:pPr>
              <w:ind w:left="340"/>
              <w:spacing w:after="0" w:line="198" w:lineRule="exact"/>
              <w:rPr>
                <w:sz w:val="20"/>
                <w:szCs w:val="20"/>
                <w:color w:val="auto"/>
              </w:rPr>
            </w:pPr>
            <w:r>
              <w:rPr>
                <w:rFonts w:ascii="Arial" w:cs="Arial" w:eastAsia="Arial" w:hAnsi="Arial"/>
                <w:sz w:val="18"/>
                <w:szCs w:val="18"/>
                <w:color w:val="auto"/>
              </w:rPr>
              <w:t>no</w:t>
            </w:r>
          </w:p>
        </w:tc>
        <w:tc>
          <w:tcPr>
            <w:tcW w:w="700" w:type="dxa"/>
            <w:vAlign w:val="bottom"/>
          </w:tcPr>
          <w:p>
            <w:pPr>
              <w:ind w:left="280"/>
              <w:spacing w:after="0" w:line="198" w:lineRule="exact"/>
              <w:rPr>
                <w:sz w:val="20"/>
                <w:szCs w:val="20"/>
                <w:color w:val="auto"/>
              </w:rPr>
            </w:pPr>
            <w:r>
              <w:rPr>
                <w:rFonts w:ascii="Arial" w:cs="Arial" w:eastAsia="Arial" w:hAnsi="Arial"/>
                <w:sz w:val="18"/>
                <w:szCs w:val="18"/>
                <w:color w:val="auto"/>
              </w:rPr>
              <w:t>no</w:t>
            </w:r>
          </w:p>
        </w:tc>
        <w:tc>
          <w:tcPr>
            <w:tcW w:w="620" w:type="dxa"/>
            <w:vAlign w:val="bottom"/>
          </w:tcPr>
          <w:p>
            <w:pPr>
              <w:jc w:val="center"/>
              <w:spacing w:after="0" w:line="198" w:lineRule="exact"/>
              <w:rPr>
                <w:sz w:val="20"/>
                <w:szCs w:val="20"/>
                <w:color w:val="auto"/>
              </w:rPr>
            </w:pPr>
            <w:r>
              <w:rPr>
                <w:rFonts w:ascii="Arial" w:cs="Arial" w:eastAsia="Arial" w:hAnsi="Arial"/>
                <w:sz w:val="18"/>
                <w:szCs w:val="18"/>
                <w:color w:val="auto"/>
                <w:w w:val="99"/>
              </w:rPr>
              <w:t>0</w:t>
            </w:r>
          </w:p>
        </w:tc>
        <w:tc>
          <w:tcPr>
            <w:tcW w:w="420" w:type="dxa"/>
            <w:vAlign w:val="bottom"/>
          </w:tcPr>
          <w:p>
            <w:pPr>
              <w:jc w:val="center"/>
              <w:ind w:left="70"/>
              <w:spacing w:after="0" w:line="198" w:lineRule="exact"/>
              <w:rPr>
                <w:sz w:val="20"/>
                <w:szCs w:val="20"/>
                <w:color w:val="auto"/>
              </w:rPr>
            </w:pPr>
            <w:r>
              <w:rPr>
                <w:rFonts w:ascii="Arial" w:cs="Arial" w:eastAsia="Arial" w:hAnsi="Arial"/>
                <w:sz w:val="18"/>
                <w:szCs w:val="18"/>
                <w:color w:val="auto"/>
                <w:w w:val="99"/>
              </w:rPr>
              <w:t>0</w:t>
            </w:r>
          </w:p>
        </w:tc>
        <w:tc>
          <w:tcPr>
            <w:tcW w:w="940" w:type="dxa"/>
            <w:vAlign w:val="bottom"/>
          </w:tcPr>
          <w:p>
            <w:pPr>
              <w:jc w:val="center"/>
              <w:ind w:left="30"/>
              <w:spacing w:after="0" w:line="198" w:lineRule="exact"/>
              <w:rPr>
                <w:sz w:val="20"/>
                <w:szCs w:val="20"/>
                <w:color w:val="auto"/>
              </w:rPr>
            </w:pPr>
            <w:r>
              <w:rPr>
                <w:rFonts w:ascii="Arial" w:cs="Arial" w:eastAsia="Arial" w:hAnsi="Arial"/>
                <w:sz w:val="18"/>
                <w:szCs w:val="18"/>
                <w:color w:val="auto"/>
                <w:w w:val="99"/>
              </w:rPr>
              <w:t>0</w:t>
            </w:r>
          </w:p>
        </w:tc>
      </w:tr>
      <w:tr>
        <w:trPr>
          <w:trHeight w:val="273"/>
        </w:trPr>
        <w:tc>
          <w:tcPr>
            <w:tcW w:w="20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8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62</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2</w:t>
            </w: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0</w:t>
            </w: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rPr>
              <w:t>0</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219,777</w:t>
            </w:r>
          </w:p>
        </w:tc>
        <w:tc>
          <w:tcPr>
            <w:tcW w:w="720" w:type="dxa"/>
            <w:vAlign w:val="bottom"/>
          </w:tcPr>
          <w:p>
            <w:pPr>
              <w:jc w:val="right"/>
              <w:ind w:right="270"/>
              <w:spacing w:after="0"/>
              <w:rPr>
                <w:sz w:val="20"/>
                <w:szCs w:val="20"/>
                <w:color w:val="auto"/>
              </w:rPr>
            </w:pPr>
            <w:r>
              <w:rPr>
                <w:rFonts w:ascii="Arial" w:cs="Arial" w:eastAsia="Arial" w:hAnsi="Arial"/>
                <w:sz w:val="18"/>
                <w:szCs w:val="18"/>
                <w:b w:val="1"/>
                <w:bCs w:val="1"/>
                <w:color w:val="auto"/>
              </w:rPr>
              <w:t>1</w:t>
            </w: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14</w:t>
            </w:r>
          </w:p>
        </w:tc>
        <w:tc>
          <w:tcPr>
            <w:tcW w:w="42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23</w:t>
            </w: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23</w:t>
            </w:r>
          </w:p>
        </w:tc>
      </w:tr>
    </w:tbl>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*Of the 14 legal actions pending on December 31, 2025, 1 was a contest of citations or orders referenced in Subpart B of CFR Part 2700, which includes contests of citations and orders issued under Section 104 of the Mine Act and contests of imminent danger orders under Section 107 of the Mine Act, 11 were contests of proposed penalties referenced in Subpart C of 29 CFR Part 2700, which are administrative proceedings before the Commission challenging a civil penalty that MSHA has proposed for the violation contained in a citation or order and 2 were contests of an order issued under Section 103 (K) of the Mine Act.</w:t>
      </w:r>
    </w:p>
    <w:p>
      <w:pPr>
        <w:spacing w:after="0" w:line="4" w:lineRule="exact"/>
        <w:rPr>
          <w:sz w:val="20"/>
          <w:szCs w:val="20"/>
          <w:color w:val="auto"/>
        </w:rPr>
      </w:pPr>
    </w:p>
    <w:p>
      <w:pPr>
        <w:ind w:right="3460"/>
        <w:spacing w:after="0" w:line="234" w:lineRule="auto"/>
        <w:rPr>
          <w:sz w:val="20"/>
          <w:szCs w:val="20"/>
          <w:color w:val="auto"/>
        </w:rPr>
      </w:pPr>
      <w:r>
        <w:rPr>
          <w:rFonts w:ascii="Arial" w:cs="Arial" w:eastAsia="Arial" w:hAnsi="Arial"/>
          <w:sz w:val="18"/>
          <w:szCs w:val="18"/>
          <w:color w:val="auto"/>
        </w:rPr>
        <w:t>**Site acquired by the Company on July 25, 2025 as part of the acquisition of assets from Premier Magnesia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***Bridgeport Stone Plant and Black Rock Quarry instituted in Q2 2025 and previously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lvl w:ilvl="1">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1"/>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3"/>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2"/>
      <w:numFmt w:val="bullet"/>
      <w:start w:val="1"/>
    </w:lvl>
  </w:abstractNum>
  <w:abstractNum w:abstractNumId="31">
    <w:nsid w:val="3804823E"/>
    <w:multiLevelType w:val="hybridMultilevel"/>
    <w:lvl w:ilvl="0">
      <w:lvlJc w:val="left"/>
      <w:lvlText w:val="3"/>
      <w:numFmt w:val="bullet"/>
      <w:start w:val="1"/>
    </w:lvl>
  </w:abstractNum>
  <w:abstractNum w:abstractNumId="32">
    <w:nsid w:val="77465F01"/>
    <w:multiLevelType w:val="hybridMultilevel"/>
    <w:lvl w:ilvl="0">
      <w:lvlJc w:val="left"/>
      <w:lvlText w:val="%1"/>
      <w:numFmt w:val="decimal"/>
      <w:start w:val="30"/>
    </w:lvl>
  </w:abstractNum>
  <w:abstractNum w:abstractNumId="33">
    <w:nsid w:val="7724C67E"/>
    <w:multiLevelType w:val="hybridMultilevel"/>
    <w:lvl w:ilvl="0">
      <w:lvlJc w:val="left"/>
      <w:lvlText w:val="%1."/>
      <w:numFmt w:val="decimal"/>
      <w:start w:val="1"/>
    </w:lvl>
    <w:lvl w:ilvl="1">
      <w:lvlJc w:val="left"/>
      <w:lvlText w:val="(%2)"/>
      <w:numFmt w:val="lowerLetter"/>
      <w:start w:val="1"/>
    </w:lvl>
  </w:abstractNum>
  <w:abstractNum w:abstractNumId="34">
    <w:nsid w:val="5C482A97"/>
    <w:multiLevelType w:val="hybridMultilevel"/>
    <w:lvl w:ilvl="0">
      <w:lvlJc w:val="left"/>
      <w:lvlText w:val="%1."/>
      <w:numFmt w:val="decimal"/>
      <w:start w:val="5"/>
    </w:lvl>
    <w:lvl w:ilvl="1">
      <w:lvlJc w:val="left"/>
      <w:lvlText w:val="(%2)"/>
      <w:numFmt w:val="lowerLetter"/>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5"/>
    </w:lvl>
    <w:lvl w:ilvl="1">
      <w:lvlJc w:val="left"/>
      <w:lvlText w:val="(%2)"/>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jpe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5" Type="http://schemas.openxmlformats.org/officeDocument/2006/relationships/image" Target="media/image743.png"/><Relationship Id="rId756" Type="http://schemas.openxmlformats.org/officeDocument/2006/relationships/image" Target="media/image744.png"/><Relationship Id="rId757" Type="http://schemas.openxmlformats.org/officeDocument/2006/relationships/image" Target="media/image745.jpeg"/><Relationship Id="rId767" Type="http://schemas.openxmlformats.org/officeDocument/2006/relationships/image" Target="media/image746.png"/><Relationship Id="rId768" Type="http://schemas.openxmlformats.org/officeDocument/2006/relationships/image" Target="media/image747.png"/><Relationship Id="rId769" Type="http://schemas.openxmlformats.org/officeDocument/2006/relationships/image" Target="media/image748.jpeg"/><Relationship Id="rId779" Type="http://schemas.openxmlformats.org/officeDocument/2006/relationships/image" Target="media/image749.png"/><Relationship Id="rId780" Type="http://schemas.openxmlformats.org/officeDocument/2006/relationships/image" Target="media/image750.png"/><Relationship Id="rId781" Type="http://schemas.openxmlformats.org/officeDocument/2006/relationships/image" Target="media/image751.jpeg"/><Relationship Id="rId790" Type="http://schemas.openxmlformats.org/officeDocument/2006/relationships/image" Target="media/image752.png"/><Relationship Id="rId791" Type="http://schemas.openxmlformats.org/officeDocument/2006/relationships/image" Target="media/image753.png"/><Relationship Id="rId792" Type="http://schemas.openxmlformats.org/officeDocument/2006/relationships/image" Target="media/image754.jpeg"/><Relationship Id="rId808" Type="http://schemas.openxmlformats.org/officeDocument/2006/relationships/image" Target="media/image755.png"/><Relationship Id="rId809" Type="http://schemas.openxmlformats.org/officeDocument/2006/relationships/image" Target="media/image756.png"/><Relationship Id="rId810" Type="http://schemas.openxmlformats.org/officeDocument/2006/relationships/image" Target="media/image757.jpeg"/><Relationship Id="rId818" Type="http://schemas.openxmlformats.org/officeDocument/2006/relationships/image" Target="media/image758.png"/><Relationship Id="rId819" Type="http://schemas.openxmlformats.org/officeDocument/2006/relationships/image" Target="media/image759.jpeg"/><Relationship Id="rId820" Type="http://schemas.openxmlformats.org/officeDocument/2006/relationships/image" Target="media/image760.png"/><Relationship Id="rId821" Type="http://schemas.openxmlformats.org/officeDocument/2006/relationships/image" Target="media/image761.png"/><Relationship Id="rId822" Type="http://schemas.openxmlformats.org/officeDocument/2006/relationships/image" Target="media/image762.png"/><Relationship Id="rId823" Type="http://schemas.openxmlformats.org/officeDocument/2006/relationships/image" Target="media/image763.png"/><Relationship Id="rId824" Type="http://schemas.openxmlformats.org/officeDocument/2006/relationships/image" Target="media/image764.jpeg"/><Relationship Id="rId825" Type="http://schemas.openxmlformats.org/officeDocument/2006/relationships/image" Target="media/image765.png"/><Relationship Id="rId826" Type="http://schemas.openxmlformats.org/officeDocument/2006/relationships/image" Target="media/image766.png"/><Relationship Id="rId827" Type="http://schemas.openxmlformats.org/officeDocument/2006/relationships/image" Target="media/image767.jpeg"/><Relationship Id="rId828" Type="http://schemas.openxmlformats.org/officeDocument/2006/relationships/image" Target="media/image768.png"/><Relationship Id="rId829" Type="http://schemas.openxmlformats.org/officeDocument/2006/relationships/image" Target="media/image769.png"/><Relationship Id="rId830" Type="http://schemas.openxmlformats.org/officeDocument/2006/relationships/image" Target="media/image770.jpeg"/><Relationship Id="rId831" Type="http://schemas.openxmlformats.org/officeDocument/2006/relationships/image" Target="media/image771.png"/><Relationship Id="rId832" Type="http://schemas.openxmlformats.org/officeDocument/2006/relationships/image" Target="media/image772.png"/><Relationship Id="rId833" Type="http://schemas.openxmlformats.org/officeDocument/2006/relationships/image" Target="media/image773.png"/><Relationship Id="rId834" Type="http://schemas.openxmlformats.org/officeDocument/2006/relationships/image" Target="media/image774.png"/><Relationship Id="rId835" Type="http://schemas.openxmlformats.org/officeDocument/2006/relationships/image" Target="media/image775.png"/><Relationship Id="rId836" Type="http://schemas.openxmlformats.org/officeDocument/2006/relationships/image" Target="media/image776.png"/><Relationship Id="rId837" Type="http://schemas.openxmlformats.org/officeDocument/2006/relationships/image" Target="media/image777.png"/><Relationship Id="rId838" Type="http://schemas.openxmlformats.org/officeDocument/2006/relationships/image" Target="media/image778.png"/><Relationship Id="rId839" Type="http://schemas.openxmlformats.org/officeDocument/2006/relationships/image" Target="media/image779.png"/><Relationship Id="rId840" Type="http://schemas.openxmlformats.org/officeDocument/2006/relationships/image" Target="media/image780.png"/><Relationship Id="rId841" Type="http://schemas.openxmlformats.org/officeDocument/2006/relationships/image" Target="media/image781.png"/><Relationship Id="rId842" Type="http://schemas.openxmlformats.org/officeDocument/2006/relationships/image" Target="media/image782.png"/><Relationship Id="rId843" Type="http://schemas.openxmlformats.org/officeDocument/2006/relationships/image" Target="media/image783.png"/><Relationship Id="rId844" Type="http://schemas.openxmlformats.org/officeDocument/2006/relationships/image" Target="media/image784.png"/><Relationship Id="rId845" Type="http://schemas.openxmlformats.org/officeDocument/2006/relationships/image" Target="media/image785.png"/><Relationship Id="rId846" Type="http://schemas.openxmlformats.org/officeDocument/2006/relationships/image" Target="media/image786.png"/><Relationship Id="rId847" Type="http://schemas.openxmlformats.org/officeDocument/2006/relationships/image" Target="media/image787.png"/><Relationship Id="rId848" Type="http://schemas.openxmlformats.org/officeDocument/2006/relationships/image" Target="media/image788.png"/><Relationship Id="rId849" Type="http://schemas.openxmlformats.org/officeDocument/2006/relationships/image" Target="media/image789.png"/><Relationship Id="rId850" Type="http://schemas.openxmlformats.org/officeDocument/2006/relationships/image" Target="media/image790.png"/><Relationship Id="rId851" Type="http://schemas.openxmlformats.org/officeDocument/2006/relationships/image" Target="media/image791.png"/><Relationship Id="rId852" Type="http://schemas.openxmlformats.org/officeDocument/2006/relationships/image" Target="media/image792.png"/><Relationship Id="rId853" Type="http://schemas.openxmlformats.org/officeDocument/2006/relationships/image" Target="media/image793.png"/><Relationship Id="rId854" Type="http://schemas.openxmlformats.org/officeDocument/2006/relationships/image" Target="media/image794.png"/><Relationship Id="rId855" Type="http://schemas.openxmlformats.org/officeDocument/2006/relationships/image" Target="media/image795.png"/><Relationship Id="rId856" Type="http://schemas.openxmlformats.org/officeDocument/2006/relationships/image" Target="media/image796.png"/><Relationship Id="rId857" Type="http://schemas.openxmlformats.org/officeDocument/2006/relationships/image" Target="media/image797.png"/><Relationship Id="rId858" Type="http://schemas.openxmlformats.org/officeDocument/2006/relationships/image" Target="media/image798.png"/><Relationship Id="rId859" Type="http://schemas.openxmlformats.org/officeDocument/2006/relationships/image" Target="media/image799.png"/><Relationship Id="rId743" Type="http://schemas.openxmlformats.org/officeDocument/2006/relationships/hyperlink" Target="https://www.sec.gov/Archives/edgar/data/916076/000095017025024770/mlm-ex19_01.htm" TargetMode="External"/><Relationship Id="rId751" Type="http://schemas.openxmlformats.org/officeDocument/2006/relationships/hyperlink" Target="https://www.sec.gov/Archives/edgar/data/916076/000095015723001164/ex2-1.htm" TargetMode="External"/><Relationship Id="rId752" Type="http://schemas.openxmlformats.org/officeDocument/2006/relationships/hyperlink" Target="https://www.sec.gov/Archives/edgar/data/916076/000095015725000633/ex2-1.htm" TargetMode="External"/><Relationship Id="rId753" Type="http://schemas.openxmlformats.org/officeDocument/2006/relationships/hyperlink" Target="https://www.sec.gov/Archives/edgar/data/916076/000119312517056282/d344578dex301.htm" TargetMode="External"/><Relationship Id="rId754" Type="http://schemas.openxmlformats.org/officeDocument/2006/relationships/hyperlink" Target="https://www.sec.gov/Archives/edgar/data/916076/000095017022025069/mlm-ex3_1.htm" TargetMode="External"/><Relationship Id="rId758" Type="http://schemas.openxmlformats.org/officeDocument/2006/relationships/hyperlink" Target="https://www.sec.gov/Archives/edgar/data/916076/000095014407003966/g07010exv4w1.htm" TargetMode="External"/><Relationship Id="rId759" Type="http://schemas.openxmlformats.org/officeDocument/2006/relationships/hyperlink" Target="https://www.sec.gov/Archives/edgar/data/916076/000095014407003966/g07010exv4w3.htm" TargetMode="External"/><Relationship Id="rId760" Type="http://schemas.openxmlformats.org/officeDocument/2006/relationships/hyperlink" Target="https://www.sec.gov/Archives/edgar/data/916076/000119312517178064/d401743dex41.htm" TargetMode="External"/><Relationship Id="rId761" Type="http://schemas.openxmlformats.org/officeDocument/2006/relationships/hyperlink" Target="https://www.sec.gov/Archives/edgar/data/916076/000119312517178064/d401743dex42.htm" TargetMode="External"/><Relationship Id="rId762" Type="http://schemas.openxmlformats.org/officeDocument/2006/relationships/hyperlink" Target="https://www.sec.gov/Archives/edgar/data/916076/000119312517374738/d499713dex42.htm" TargetMode="External"/><Relationship Id="rId763" Type="http://schemas.openxmlformats.org/officeDocument/2006/relationships/hyperlink" Target="https://www.sec.gov/Archives/edgar/data/916076/000095015720000377/ex4-2.htm" TargetMode="External"/><Relationship Id="rId764" Type="http://schemas.openxmlformats.org/officeDocument/2006/relationships/hyperlink" Target="https://www.sec.gov/Archives/edgar/data/916076/000095015721000738/ex4-2.htm" TargetMode="External"/><Relationship Id="rId765" Type="http://schemas.openxmlformats.org/officeDocument/2006/relationships/hyperlink" Target="https://www.sec.gov/Archives/edgar/data/916076/000095015724001472/ex4-2.htm" TargetMode="External"/><Relationship Id="rId766" Type="http://schemas.openxmlformats.org/officeDocument/2006/relationships/hyperlink" Target="https://www.sec.gov/Archives/edgar/data/916076/000156459020005784/mlm-ex417_265.htm" TargetMode="External"/><Relationship Id="rId770" Type="http://schemas.openxmlformats.org/officeDocument/2006/relationships/hyperlink" Target="https://www.sec.gov/Archives/edgar/data/916076/000095015722001348/ex10-1.htm" TargetMode="External"/><Relationship Id="rId771" Type="http://schemas.openxmlformats.org/officeDocument/2006/relationships/hyperlink" Target="https://www.sec.gov/Archives/edgar/data/916076/000095015723001269/ex10-1.htm" TargetMode="External"/><Relationship Id="rId772" Type="http://schemas.openxmlformats.org/officeDocument/2006/relationships/hyperlink" Target="https://www.sec.gov/Archives/edgar/data/916076/000095015725001013/ex10-1.htm" TargetMode="External"/><Relationship Id="rId773" Type="http://schemas.openxmlformats.org/officeDocument/2006/relationships/hyperlink" Target="https://www.sec.gov/Archives/edgar/data/916076/000119312513169367/d524115dex1001.htm" TargetMode="External"/><Relationship Id="rId774" Type="http://schemas.openxmlformats.org/officeDocument/2006/relationships/hyperlink" Target="https://www.sec.gov/Archives/edgar/data/916076/000095015714000705/ex10-1.htm" TargetMode="External"/><Relationship Id="rId775" Type="http://schemas.openxmlformats.org/officeDocument/2006/relationships/hyperlink" Target="https://www.sec.gov/Archives/edgar/data/916076/000119312514156286/d714228dex1001.htm" TargetMode="External"/><Relationship Id="rId776" Type="http://schemas.openxmlformats.org/officeDocument/2006/relationships/hyperlink" Target="https://www.sec.gov/Archives/edgar/data/916076/000119312514363178/d799882dex1001.htm" TargetMode="External"/><Relationship Id="rId777" Type="http://schemas.openxmlformats.org/officeDocument/2006/relationships/hyperlink" Target="https://www.sec.gov/Archives/edgar/data/916076/000156459016025538/mlm-ex1001_6.htm" TargetMode="External"/><Relationship Id="rId778" Type="http://schemas.openxmlformats.org/officeDocument/2006/relationships/hyperlink" Target="https://www.sec.gov/Archives/edgar/data/916076/000095015718000431/ex10-1.htm" TargetMode="External"/><Relationship Id="rId782" Type="http://schemas.openxmlformats.org/officeDocument/2006/relationships/hyperlink" Target="https://www.sec.gov/Archives/edgar/data/916076/000095015718001002/ex10-1.htm" TargetMode="External"/><Relationship Id="rId783" Type="http://schemas.openxmlformats.org/officeDocument/2006/relationships/hyperlink" Target="https://www.sec.gov/Archives/edgar/data/916076/000095015719001073/ex10-01.htm" TargetMode="External"/><Relationship Id="rId784" Type="http://schemas.openxmlformats.org/officeDocument/2006/relationships/hyperlink" Target="https://www.sec.gov/Archives/edgar/data/916076/000095015720001165/ex10-1.htm" TargetMode="External"/><Relationship Id="rId785" Type="http://schemas.openxmlformats.org/officeDocument/2006/relationships/hyperlink" Target="https://www.sec.gov/Archives/edgar/data/916076/000095015721001045/ex10-01.htm" TargetMode="External"/><Relationship Id="rId786" Type="http://schemas.openxmlformats.org/officeDocument/2006/relationships/hyperlink" Target="https://www.sec.gov/Archives/edgar/data/916076/000095015722001037/ex10-01.htm" TargetMode="External"/><Relationship Id="rId787" Type="http://schemas.openxmlformats.org/officeDocument/2006/relationships/hyperlink" Target="https://www.sec.gov/Archives/edgar/data/916076/000095015723000976/ex10-1.htm" TargetMode="External"/><Relationship Id="rId788" Type="http://schemas.openxmlformats.org/officeDocument/2006/relationships/hyperlink" Target="https://www.sec.gov/Archives/edgar/data/916076/000095015724001270/ex10-01.htm" TargetMode="External"/><Relationship Id="rId789" Type="http://schemas.openxmlformats.org/officeDocument/2006/relationships/hyperlink" Target="https://www.sec.gov/Archives/edgar/data/916076/000095015725000794/ex10-01.htm" TargetMode="External"/><Relationship Id="rId793" Type="http://schemas.openxmlformats.org/officeDocument/2006/relationships/hyperlink" Target="https://www.sec.gov/Archives/edgar/data/916076/000119312513169367/d524115dex1002.htm" TargetMode="External"/><Relationship Id="rId794" Type="http://schemas.openxmlformats.org/officeDocument/2006/relationships/hyperlink" Target="https://www.sec.gov/Archives/edgar/data/916076/000095014408006590/g14828k1exv10w1.htm" TargetMode="External"/><Relationship Id="rId795" Type="http://schemas.openxmlformats.org/officeDocument/2006/relationships/hyperlink" Target="https://www.sec.gov/Archives/edgar/data/916076/000119312514064999/d654417dex1005.htm" TargetMode="External"/><Relationship Id="rId796" Type="http://schemas.openxmlformats.org/officeDocument/2006/relationships/hyperlink" Target="https://www.sec.gov/Archives/edgar/data/916076/000095014409001377/g17638exv10w05.htm" TargetMode="External"/><Relationship Id="rId797" Type="http://schemas.openxmlformats.org/officeDocument/2006/relationships/hyperlink" Target="https://www.sec.gov/Archives/edgar/data/916076/000095014409001377/g17638exv10w06.htm" TargetMode="External"/><Relationship Id="rId798" Type="http://schemas.openxmlformats.org/officeDocument/2006/relationships/hyperlink" Target="https://www.sec.gov/Archives/edgar/data/916076/000156459016022616/mlm-ex1001_10.htm" TargetMode="External"/><Relationship Id="rId799" Type="http://schemas.openxmlformats.org/officeDocument/2006/relationships/hyperlink" Target="https://www.sec.gov/Archives/edgar/data/916076/000156459016022616/mlm-ex1002_8.htm" TargetMode="External"/><Relationship Id="rId800" Type="http://schemas.openxmlformats.org/officeDocument/2006/relationships/hyperlink" Target="https://www.sec.gov/Archives/edgar/data/916076/000095014401003808/g67160ex10-16.txt" TargetMode="External"/><Relationship Id="rId801" Type="http://schemas.openxmlformats.org/officeDocument/2006/relationships/hyperlink" Target="https://www.sec.gov/Archives/edgar/data/916076/000119312512337410/d367571dex10.htm" TargetMode="External"/><Relationship Id="rId802" Type="http://schemas.openxmlformats.org/officeDocument/2006/relationships/hyperlink" Target="https://www.sec.gov/Archives/edgar/data/916076/000095014409001377/g17638exv10w11.htm" TargetMode="External"/><Relationship Id="rId803" Type="http://schemas.openxmlformats.org/officeDocument/2006/relationships/hyperlink" Target="https://www.sec.gov/Archives/edgar/data/916076/000095014409001377/g17638exv10w13.htm" TargetMode="External"/><Relationship Id="rId804" Type="http://schemas.openxmlformats.org/officeDocument/2006/relationships/hyperlink" Target="https://www.sec.gov/Archives/edgar/data/916076/000119312514064999/d654417dex1014.htm" TargetMode="External"/><Relationship Id="rId805" Type="http://schemas.openxmlformats.org/officeDocument/2006/relationships/hyperlink" Target="https://www.sec.gov/Archives/edgar/data/916076/000119312515060008/d877241dex1019.htm" TargetMode="External"/><Relationship Id="rId806" Type="http://schemas.openxmlformats.org/officeDocument/2006/relationships/hyperlink" Target="https://www.sec.gov/Archives/edgar/data/916076/000156459017010260/mlm-ex1002_99.htm" TargetMode="External"/><Relationship Id="rId807" Type="http://schemas.openxmlformats.org/officeDocument/2006/relationships/hyperlink" Target="https://www.sec.gov/Archives/edgar/data/916076/000095015718001227/ex10_1.htm" TargetMode="External"/><Relationship Id="rId811" Type="http://schemas.openxmlformats.org/officeDocument/2006/relationships/hyperlink" Target="https://www.sec.gov/Archives/edgar/data/916076/000095015718001227/ex10_2.htm" TargetMode="External"/><Relationship Id="rId812" Type="http://schemas.openxmlformats.org/officeDocument/2006/relationships/hyperlink" Target="https://www.sec.gov/Archives/edgar/data/916076/000095015718001227/ex10_3.htm" TargetMode="External"/><Relationship Id="rId813" Type="http://schemas.openxmlformats.org/officeDocument/2006/relationships/hyperlink" Target="https://www.sec.gov/Archives/edgar/data/916076/000119312519049961/d640896dex1027.htm" TargetMode="External"/><Relationship Id="rId814" Type="http://schemas.openxmlformats.org/officeDocument/2006/relationships/hyperlink" Target="https://www.sec.gov/Archives/edgar/data/916076/000119312520182492/d708540dex101.htm" TargetMode="External"/><Relationship Id="rId815" Type="http://schemas.openxmlformats.org/officeDocument/2006/relationships/hyperlink" Target="https://www.sec.gov/Archives/edgar/data/916076/000119312520182492/d708540dex102.htm" TargetMode="External"/><Relationship Id="rId816" Type="http://schemas.openxmlformats.org/officeDocument/2006/relationships/hyperlink" Target="https://www.sec.gov/Archives/edgar/data/916076/000156459019027408/mlm-ex1001_8.htm" TargetMode="External"/><Relationship Id="rId817" Type="http://schemas.openxmlformats.org/officeDocument/2006/relationships/hyperlink" Target="https://www.sec.gov/Archives/edgar/data/916076/000095017024019275/mlm-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2026-02-19T14:28:25Z</dcterms:created>
  <dcterms:modified xsi:type="dcterms:W3CDTF">2026-02-19T14:28:25Z</dcterms:modified>
</cp:coreProperties>
</file>