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177165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175895</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188595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Martin Marietta Materials,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175895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324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001-12744</w:t>
            </w:r>
          </w:p>
        </w:tc>
        <w:tc>
          <w:tcPr>
            <w:tcW w:w="33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56-1848578</w:t>
            </w:r>
          </w:p>
        </w:tc>
      </w:tr>
      <w:tr>
        <w:trPr>
          <w:trHeight w:val="238"/>
        </w:trPr>
        <w:tc>
          <w:tcPr>
            <w:tcW w:w="3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3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4123 Parklake Avenue</w:t>
            </w:r>
          </w:p>
        </w:tc>
        <w:tc>
          <w:tcPr>
            <w:tcW w:w="32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3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Raleigh, North Carolina</w:t>
            </w:r>
          </w:p>
        </w:tc>
        <w:tc>
          <w:tcPr>
            <w:tcW w:w="3240" w:type="dxa"/>
            <w:vAlign w:val="bottom"/>
          </w:tcPr>
          <w:p>
            <w:pPr>
              <w:spacing w:after="0"/>
              <w:rPr>
                <w:sz w:val="18"/>
                <w:szCs w:val="18"/>
                <w:color w:val="auto"/>
              </w:rPr>
            </w:pPr>
          </w:p>
        </w:tc>
        <w:tc>
          <w:tcPr>
            <w:tcW w:w="33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27612</w:t>
            </w:r>
          </w:p>
        </w:tc>
      </w:tr>
      <w:tr>
        <w:trPr>
          <w:trHeight w:val="238"/>
        </w:trPr>
        <w:tc>
          <w:tcPr>
            <w:tcW w:w="3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40" w:type="dxa"/>
            <w:vAlign w:val="bottom"/>
          </w:tcPr>
          <w:p>
            <w:pPr>
              <w:spacing w:after="0"/>
              <w:rPr>
                <w:sz w:val="20"/>
                <w:szCs w:val="20"/>
                <w:color w:val="auto"/>
              </w:rPr>
            </w:pPr>
          </w:p>
        </w:tc>
        <w:tc>
          <w:tcPr>
            <w:tcW w:w="33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919-781-4550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177165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620" w:hanging="3552"/>
        <w:spacing w:after="0" w:line="498" w:lineRule="auto"/>
        <w:tabs>
          <w:tab w:leader="none" w:pos="5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4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MLM</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disclosed, on August 21, 2026, Martin Marietta Materials, Inc. (“Martin Marietta” or the “Company”) consummated the previously announced acquisition (the “LNA Transaction”) of Lhoist North America, Inc. (“LNA”) from LNA Holding SRL (“LNA Holding”), a </w:t>
      </w:r>
      <w:r>
        <w:rPr>
          <w:rFonts w:ascii="Times New Roman" w:cs="Times New Roman" w:eastAsia="Times New Roman" w:hAnsi="Times New Roman"/>
          <w:sz w:val="18"/>
          <w:szCs w:val="18"/>
          <w:i w:val="1"/>
          <w:iCs w:val="1"/>
          <w:color w:val="auto"/>
        </w:rPr>
        <w:t>société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responsabilité limitée </w:t>
      </w:r>
      <w:r>
        <w:rPr>
          <w:rFonts w:ascii="Times New Roman" w:cs="Times New Roman" w:eastAsia="Times New Roman" w:hAnsi="Times New Roman"/>
          <w:sz w:val="18"/>
          <w:szCs w:val="18"/>
          <w:color w:val="auto"/>
        </w:rPr>
        <w:t>organized under the laws of Belgium, pursuant to the terms of that certain Securities Sale Agreement, dated June 27, 2026,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Company and LNA Holding.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24, 2026, Martin Marietta filed a Current Report on Form 8-K in connection with the closing of the LNA Transaction (the “Original Report”) that incorporated by reference into Item 9.01 thereof certain historical financial information of LNA and pro forma financial information to give effect to the LNA Transaction that was previously filed on a Current Report on Form 8-K on August 10, 2026. Martin Marietta is filing this Amendment No. 1 to the Original Report (the “Amendment”) solely to provide updated pro forma financial information for the year ended December 31, 2025 and as of and for the six months ended June 30, 2026 to reflect the impact of changes in the preliminary purchase price accounting, financing and expenses for the LNA Transaction. This Amendment reports no other updates or amendments to the Original Report and should be read in conjunction with the Original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Pro Forma Financial Information</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combining the historical consolidated financial statements of the Company and its subsidiaries and LNA and its subsidiaries to give effect to the LNA Transaction and give effect to the changes in preliminary purchase price accounting are filed as Exhibit 99.1 to this Amendment and are incorporated herein by reference:</w:t>
      </w:r>
    </w:p>
    <w:p>
      <w:pPr>
        <w:spacing w:after="0" w:line="176"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Balance Sheet as of June 30, 2026;</w:t>
      </w:r>
    </w:p>
    <w:p>
      <w:pPr>
        <w:spacing w:after="0" w:line="22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Statements of Earnings for the year ended December 31, 2025 and for the six months ended June 30, 2026; and</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Unaudited Pro Forma Condensed Combined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Unaudited Pro Forma Condensed Combined Financial Statements.</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2026</w:t>
            </w:r>
          </w:p>
        </w:tc>
        <w:tc>
          <w:tcPr>
            <w:tcW w:w="646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tc>
      </w:tr>
      <w:tr>
        <w:trPr>
          <w:trHeight w:val="432"/>
        </w:trPr>
        <w:tc>
          <w:tcPr>
            <w:tcW w:w="3440" w:type="dxa"/>
            <w:vAlign w:val="bottom"/>
          </w:tcPr>
          <w:p>
            <w:pPr>
              <w:spacing w:after="0"/>
              <w:rPr>
                <w:sz w:val="24"/>
                <w:szCs w:val="24"/>
                <w:color w:val="auto"/>
              </w:rPr>
            </w:pPr>
          </w:p>
        </w:tc>
        <w:tc>
          <w:tcPr>
            <w:tcW w:w="64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George F. Schoen</w:t>
            </w:r>
          </w:p>
        </w:tc>
      </w:tr>
      <w:tr>
        <w:trPr>
          <w:trHeight w:val="191"/>
        </w:trPr>
        <w:tc>
          <w:tcPr>
            <w:tcW w:w="3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George F. Schoen</w:t>
            </w:r>
          </w:p>
        </w:tc>
      </w:tr>
      <w:tr>
        <w:trPr>
          <w:trHeight w:val="216"/>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Executive Vice President, General Counsel and</w:t>
            </w:r>
          </w:p>
        </w:tc>
      </w:tr>
      <w:tr>
        <w:trPr>
          <w:trHeight w:val="234"/>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w:t>
      </w:r>
    </w:p>
    <w:p>
      <w:pPr>
        <w:spacing w:after="0" w:line="200" w:lineRule="exact"/>
        <w:rPr>
          <w:sz w:val="20"/>
          <w:szCs w:val="20"/>
          <w:color w:val="auto"/>
        </w:rPr>
      </w:pPr>
    </w:p>
    <w:p>
      <w:pPr>
        <w:spacing w:after="0" w:line="201"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On August 21, 2026, Martin Marietta Materials, Inc. (“Martin Marietta”) acquired all of the outstanding equity interests (the “Transaction”) in Lhoist North America, Inc. (“LNA”), a wholly owned subsidiary of LNA Holding SRL (“LNA Holding”), pursuant to a securities sale agreement (the “SSA”). In accordance with the SSA, the consideration paid by Martin Marietta to LNA Holding was $12,887 million, consisting of (i) $7,028 million of cash and (ii) 10,953,543 shares of newly-issued Martin Marietta common stock, with a value of $5,859 million based on Martin Marietta’s share price of $534.92 on the closing date of the Transaction.</w:t>
      </w:r>
    </w:p>
    <w:p>
      <w:pPr>
        <w:spacing w:after="0" w:line="163"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In connection with the Transaction, Martin Marietta issued $ 750 million aggregate principal amount of 4.850% Senior Notes due 2029 (the “2029 Notes”), $1,250 million aggregate principal amount of 5.200% Senior Notes due 2032 (the “2032 Notes”), $1,000 million aggregate principal amount of 5.400% Senior Notes due 2034 (the “2034 Notes”), $1,500 million aggregate principal amount of 5.625% Senior Notes due 2036 (the “2036 Notes”) and $1,000 million aggregate principal amount of 6.375% Senior Notes due 2056 (the “2056 Notes” and, together with the 2029 Notes, the 2032 Notes, the 2034 Notes and the 2036 Notes, the “Notes”), and incurred $1,500 million of indebtedness under a three-year unsecured term loan facility (the “Term Loan Facility”). The pro forma financial statements also reflect borrowings of $28 million under Martin Marietta’s $1,500 million revolving credit facility (the “Revolving Credit Facility”).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 forma financial statements have been derived from the historical consolidated financial statements of Martin Marietta and LNA.</w:t>
      </w:r>
    </w:p>
    <w:p>
      <w:pPr>
        <w:spacing w:after="0" w:line="198"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The unaudited pro forma condensed combined balance sheet (the “pro forma balance sheet”) as of June 30, 2026, gives effect to the Transaction and the related financings as if they were consummated on June 30, 2026. The unaudited pro forma condensed combined statements of earnings (the “pro forma statements of earnings”) for the year ended December 31, 2025 and for the six months ended June 30, 2026 give effect to the Transaction and the related financings as if they were consummated on January 1, 2025. Assumptions and estimates underlying the pro forma adjustments are described in the accompanying notes, which should be read in conjunction with the pro forma financial statements.</w:t>
      </w:r>
    </w:p>
    <w:p>
      <w:pPr>
        <w:spacing w:after="0" w:line="165"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 xml:space="preserve">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Transaction is being accounted for under the acquisition method with Martin Marietta as the acquirer. The purchase price has been allocated to the estimated fair values of the assets acquired and liabilities assumed from LNA using fair value concepts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Fair value is defined as the price that would be received to sell an asset or paid to transfer a liability in an orderly transaction between market participants as of the measurement date, which, in this case, is the closing date of the Transaction. The Transaction consideration and unaudited pro forma adjustments are subject to further adjustments as additional information becomes available and as additional analyses are performed, and such further adjustments may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t>The pro forma financial statements should be read in conjunction with:</w:t>
      </w:r>
    </w:p>
    <w:p>
      <w:pPr>
        <w:spacing w:after="0" w:line="198" w:lineRule="exact"/>
        <w:rPr>
          <w:sz w:val="20"/>
          <w:szCs w:val="20"/>
          <w:color w:val="auto"/>
        </w:rPr>
      </w:pPr>
    </w:p>
    <w:p>
      <w:pPr>
        <w:ind w:left="880" w:hanging="440"/>
        <w:spacing w:after="0"/>
        <w:tabs>
          <w:tab w:leader="none" w:pos="880" w:val="left"/>
        </w:tabs>
        <w:numPr>
          <w:ilvl w:val="1"/>
          <w:numId w:val="3"/>
        </w:numPr>
        <w:rPr>
          <w:rFonts w:ascii="Arial" w:cs="Arial" w:eastAsia="Arial" w:hAnsi="Arial"/>
          <w:sz w:val="20"/>
          <w:szCs w:val="20"/>
          <w:color w:val="auto"/>
        </w:rPr>
      </w:pPr>
      <w:r>
        <w:rPr>
          <w:rFonts w:ascii="Arial" w:cs="Arial" w:eastAsia="Arial" w:hAnsi="Arial"/>
          <w:sz w:val="18"/>
          <w:szCs w:val="18"/>
          <w:color w:val="auto"/>
        </w:rPr>
        <w:t>the accompanying notes to the pro forma financial statements;</w:t>
      </w:r>
    </w:p>
    <w:p>
      <w:pPr>
        <w:spacing w:after="0" w:line="188" w:lineRule="exact"/>
        <w:rPr>
          <w:rFonts w:ascii="Arial" w:cs="Arial" w:eastAsia="Arial" w:hAnsi="Arial"/>
          <w:sz w:val="20"/>
          <w:szCs w:val="20"/>
          <w:color w:val="auto"/>
        </w:rPr>
      </w:pPr>
    </w:p>
    <w:p>
      <w:pPr>
        <w:ind w:left="880" w:hanging="440"/>
        <w:spacing w:after="0" w:line="245" w:lineRule="auto"/>
        <w:tabs>
          <w:tab w:leader="none" w:pos="880" w:val="left"/>
        </w:tabs>
        <w:numPr>
          <w:ilvl w:val="1"/>
          <w:numId w:val="3"/>
        </w:numPr>
        <w:rPr>
          <w:rFonts w:ascii="Arial" w:cs="Arial" w:eastAsia="Arial" w:hAnsi="Arial"/>
          <w:sz w:val="20"/>
          <w:szCs w:val="20"/>
          <w:color w:val="auto"/>
        </w:rPr>
      </w:pPr>
      <w:r>
        <w:rPr>
          <w:rFonts w:ascii="Arial" w:cs="Arial" w:eastAsia="Arial" w:hAnsi="Arial"/>
          <w:sz w:val="18"/>
          <w:szCs w:val="18"/>
          <w:color w:val="auto"/>
        </w:rPr>
        <w:t>the historical audited consolidated financial statements of Martin Marietta as of and for the year ended December 31, 2025, included in Martin Marietta’s Form 10-K filed with the SEC on February 19, 2026;</w:t>
      </w:r>
    </w:p>
    <w:p>
      <w:pPr>
        <w:spacing w:after="0" w:line="161" w:lineRule="exact"/>
        <w:rPr>
          <w:rFonts w:ascii="Arial" w:cs="Arial" w:eastAsia="Arial" w:hAnsi="Arial"/>
          <w:sz w:val="20"/>
          <w:szCs w:val="20"/>
          <w:color w:val="auto"/>
        </w:rPr>
      </w:pPr>
    </w:p>
    <w:p>
      <w:pPr>
        <w:ind w:left="900" w:hanging="487"/>
        <w:spacing w:after="0" w:line="245" w:lineRule="auto"/>
        <w:tabs>
          <w:tab w:leader="none" w:pos="90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historical unaudited condensed consolidated interim financial statements of Martin Marietta as of and for the quarter and six months ended June 30, 2026, included in Martin Marietta’s Form 10-Q filed with the SEC on July 30, 2026;</w:t>
      </w:r>
    </w:p>
    <w:p>
      <w:pPr>
        <w:spacing w:after="0" w:line="161" w:lineRule="exact"/>
        <w:rPr>
          <w:rFonts w:ascii="Arial" w:cs="Arial" w:eastAsia="Arial" w:hAnsi="Arial"/>
          <w:sz w:val="20"/>
          <w:szCs w:val="20"/>
          <w:color w:val="auto"/>
        </w:rPr>
      </w:pPr>
    </w:p>
    <w:p>
      <w:pPr>
        <w:ind w:left="880" w:hanging="440"/>
        <w:spacing w:after="0" w:line="245" w:lineRule="auto"/>
        <w:tabs>
          <w:tab w:leader="none" w:pos="880" w:val="left"/>
        </w:tabs>
        <w:numPr>
          <w:ilvl w:val="1"/>
          <w:numId w:val="3"/>
        </w:numPr>
        <w:rPr>
          <w:rFonts w:ascii="Arial" w:cs="Arial" w:eastAsia="Arial" w:hAnsi="Arial"/>
          <w:sz w:val="20"/>
          <w:szCs w:val="20"/>
          <w:color w:val="auto"/>
        </w:rPr>
      </w:pPr>
      <w:r>
        <w:rPr>
          <w:rFonts w:ascii="Arial" w:cs="Arial" w:eastAsia="Arial" w:hAnsi="Arial"/>
          <w:sz w:val="18"/>
          <w:szCs w:val="18"/>
          <w:color w:val="auto"/>
        </w:rPr>
        <w:t>the historical audited consolidated financial statements of LNA as of and for the years ended December 31, 2025 and 2024, included in Exhibit 99.1 to Martin Marietta’s Current Report on Form 8-K filed with the SEC on August 10, 2026; and</w:t>
      </w:r>
    </w:p>
    <w:p>
      <w:pPr>
        <w:spacing w:after="0" w:line="161" w:lineRule="exact"/>
        <w:rPr>
          <w:rFonts w:ascii="Arial" w:cs="Arial" w:eastAsia="Arial" w:hAnsi="Arial"/>
          <w:sz w:val="20"/>
          <w:szCs w:val="20"/>
          <w:color w:val="auto"/>
        </w:rPr>
      </w:pPr>
    </w:p>
    <w:p>
      <w:pPr>
        <w:jc w:val="both"/>
        <w:ind w:left="880" w:hanging="440"/>
        <w:spacing w:after="0" w:line="239" w:lineRule="auto"/>
        <w:tabs>
          <w:tab w:leader="none" w:pos="880" w:val="left"/>
        </w:tabs>
        <w:numPr>
          <w:ilvl w:val="1"/>
          <w:numId w:val="3"/>
        </w:numPr>
        <w:rPr>
          <w:rFonts w:ascii="Arial" w:cs="Arial" w:eastAsia="Arial" w:hAnsi="Arial"/>
          <w:sz w:val="20"/>
          <w:szCs w:val="20"/>
          <w:color w:val="auto"/>
        </w:rPr>
      </w:pPr>
      <w:r>
        <w:rPr>
          <w:rFonts w:ascii="Arial" w:cs="Arial" w:eastAsia="Arial" w:hAnsi="Arial"/>
          <w:sz w:val="18"/>
          <w:szCs w:val="18"/>
          <w:color w:val="auto"/>
        </w:rPr>
        <w:t>the historical unaudited condensed consolidated interim financial statements of LNA as of June 30, 2026 and for the six months ended June 30, 2026 and 2025, included in Exhibit 99.2 to Martin Marietta’s Current Report on Form 8-K filed with the SEC on August 10, 2026.</w:t>
      </w:r>
    </w:p>
    <w:p>
      <w:pPr>
        <w:spacing w:after="0" w:line="169"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pro forma financial statements have been presented for illustrative purposes only and do not reflect the anticipated impact of synergies expected to be realized from the Transaction. Therefore, the pro forma financial statements are not indicative of the results of operations and financial position that would have been achieved had the pro forma events taken place on the dates indicated, or the future consolidated results of operations or financial position of the combined company. The following information is only for the limited purpose of presenting what the results of operations and financial position of the combined businesses of Martin Marietta and LNA might have looked like had the Transaction taken place at an earlier date and should not be relied on for any other purpose. All financial data included in the pro forma financial statements is presented in millions of U.S. Dollars and has been prepared on the basis of U.S. GAAP and Martin Marietta’s presentation and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2026</w:t>
      </w: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Lhoist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5"/>
              </w:rPr>
              <w:t>Lhoist North</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rPr>
              <w:t>North</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Martin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America,</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America, Inc.</w:t>
            </w:r>
          </w:p>
        </w:tc>
        <w:tc>
          <w:tcPr>
            <w:tcW w:w="40" w:type="dxa"/>
            <w:vAlign w:val="bottom"/>
          </w:tcPr>
          <w:p>
            <w:pPr>
              <w:spacing w:after="0"/>
              <w:rPr>
                <w:sz w:val="11"/>
                <w:szCs w:val="11"/>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Transaction</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Inc. and</w:t>
            </w:r>
          </w:p>
        </w:tc>
        <w:tc>
          <w:tcPr>
            <w:tcW w:w="6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Reclassifi-</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4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Marietta</w:t>
            </w:r>
          </w:p>
        </w:tc>
        <w:tc>
          <w:tcPr>
            <w:tcW w:w="960" w:type="dxa"/>
            <w:vAlign w:val="bottom"/>
            <w:gridSpan w:val="5"/>
          </w:tcPr>
          <w:p>
            <w:pPr>
              <w:ind w:left="120"/>
              <w:spacing w:after="0" w:line="135" w:lineRule="exact"/>
              <w:rPr>
                <w:sz w:val="20"/>
                <w:szCs w:val="20"/>
                <w:color w:val="auto"/>
              </w:rPr>
            </w:pPr>
            <w:r>
              <w:rPr>
                <w:rFonts w:ascii="Arial" w:cs="Arial" w:eastAsia="Arial" w:hAnsi="Arial"/>
                <w:sz w:val="13"/>
                <w:szCs w:val="13"/>
                <w:b w:val="1"/>
                <w:bCs w:val="1"/>
                <w:color w:val="auto"/>
              </w:rPr>
              <w:t>Subsidiaries</w:t>
            </w:r>
          </w:p>
        </w:tc>
        <w:tc>
          <w:tcPr>
            <w:tcW w:w="6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Note 3</w:t>
            </w:r>
          </w:p>
        </w:tc>
        <w:tc>
          <w:tcPr>
            <w:tcW w:w="100" w:type="dxa"/>
            <w:vAlign w:val="bottom"/>
          </w:tcPr>
          <w:p>
            <w:pPr>
              <w:spacing w:after="0"/>
              <w:rPr>
                <w:sz w:val="11"/>
                <w:szCs w:val="11"/>
                <w:color w:val="auto"/>
              </w:rPr>
            </w:pPr>
          </w:p>
        </w:tc>
        <w:tc>
          <w:tcPr>
            <w:tcW w:w="880" w:type="dxa"/>
            <w:vAlign w:val="bottom"/>
            <w:gridSpan w:val="4"/>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Subsidiaries</w:t>
            </w:r>
          </w:p>
        </w:tc>
        <w:tc>
          <w:tcPr>
            <w:tcW w:w="40" w:type="dxa"/>
            <w:vAlign w:val="bottom"/>
          </w:tcPr>
          <w:p>
            <w:pPr>
              <w:spacing w:after="0"/>
              <w:rPr>
                <w:sz w:val="11"/>
                <w:szCs w:val="11"/>
                <w:color w:val="auto"/>
              </w:rPr>
            </w:pPr>
          </w:p>
        </w:tc>
        <w:tc>
          <w:tcPr>
            <w:tcW w:w="86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Accounting</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Note 3</w:t>
            </w:r>
          </w:p>
        </w:tc>
        <w:tc>
          <w:tcPr>
            <w:tcW w:w="6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Financing</w:t>
            </w:r>
          </w:p>
        </w:tc>
        <w:tc>
          <w:tcPr>
            <w:tcW w:w="1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Note 3</w:t>
            </w:r>
          </w:p>
        </w:tc>
        <w:tc>
          <w:tcPr>
            <w:tcW w:w="10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4"/>
              </w:rPr>
              <w:t>(Historical)</w:t>
            </w:r>
          </w:p>
        </w:tc>
        <w:tc>
          <w:tcPr>
            <w:tcW w:w="120" w:type="dxa"/>
            <w:vAlign w:val="bottom"/>
          </w:tcPr>
          <w:p>
            <w:pPr>
              <w:spacing w:after="0"/>
              <w:rPr>
                <w:sz w:val="13"/>
                <w:szCs w:val="13"/>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7"/>
              </w:rPr>
              <w:t>(Historical)</w:t>
            </w: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6"/>
              </w:rPr>
              <w:t>cations</w:t>
            </w:r>
          </w:p>
        </w:tc>
        <w:tc>
          <w:tcPr>
            <w:tcW w:w="1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980" w:type="dxa"/>
            <w:vAlign w:val="bottom"/>
            <w:gridSpan w:val="5"/>
          </w:tcPr>
          <w:p>
            <w:pPr>
              <w:ind w:left="100"/>
              <w:spacing w:after="0"/>
              <w:rPr>
                <w:sz w:val="20"/>
                <w:szCs w:val="20"/>
                <w:color w:val="auto"/>
              </w:rPr>
            </w:pPr>
            <w:r>
              <w:rPr>
                <w:rFonts w:ascii="Arial" w:cs="Arial" w:eastAsia="Arial" w:hAnsi="Arial"/>
                <w:sz w:val="13"/>
                <w:szCs w:val="13"/>
                <w:b w:val="1"/>
                <w:bCs w:val="1"/>
                <w:color w:val="auto"/>
              </w:rPr>
              <w:t>(Reclassified)</w:t>
            </w:r>
          </w:p>
        </w:tc>
        <w:tc>
          <w:tcPr>
            <w:tcW w:w="900" w:type="dxa"/>
            <w:vAlign w:val="bottom"/>
            <w:gridSpan w:val="5"/>
          </w:tcPr>
          <w:p>
            <w:pPr>
              <w:ind w:left="40"/>
              <w:spacing w:after="0"/>
              <w:rPr>
                <w:sz w:val="20"/>
                <w:szCs w:val="20"/>
                <w:color w:val="auto"/>
              </w:rPr>
            </w:pPr>
            <w:r>
              <w:rPr>
                <w:rFonts w:ascii="Arial" w:cs="Arial" w:eastAsia="Arial" w:hAnsi="Arial"/>
                <w:sz w:val="13"/>
                <w:szCs w:val="13"/>
                <w:b w:val="1"/>
                <w:bCs w:val="1"/>
                <w:color w:val="auto"/>
              </w:rPr>
              <w:t>Adjustments</w:t>
            </w:r>
          </w:p>
        </w:tc>
        <w:tc>
          <w:tcPr>
            <w:tcW w:w="58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Combined</w:t>
            </w:r>
          </w:p>
        </w:tc>
        <w:tc>
          <w:tcPr>
            <w:tcW w:w="0" w:type="dxa"/>
            <w:vAlign w:val="bottom"/>
          </w:tcPr>
          <w:p>
            <w:pPr>
              <w:spacing w:after="0"/>
              <w:rPr>
                <w:sz w:val="1"/>
                <w:szCs w:val="1"/>
                <w:color w:val="auto"/>
              </w:rPr>
            </w:pPr>
          </w:p>
        </w:tc>
      </w:tr>
      <w:tr>
        <w:trPr>
          <w:trHeight w:val="156"/>
        </w:trPr>
        <w:tc>
          <w:tcPr>
            <w:tcW w:w="400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tcBorders>
            <w:shd w:val="clear" w:color="auto" w:fill="DBE2EF"/>
          </w:tcPr>
          <w:p>
            <w:pPr>
              <w:spacing w:after="0"/>
              <w:rPr>
                <w:sz w:val="13"/>
                <w:szCs w:val="13"/>
                <w:color w:val="auto"/>
              </w:rPr>
            </w:pPr>
          </w:p>
        </w:tc>
        <w:tc>
          <w:tcPr>
            <w:tcW w:w="540" w:type="dxa"/>
            <w:vAlign w:val="bottom"/>
            <w:tcBorders>
              <w:top w:val="single" w:sz="8" w:color="auto"/>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46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0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spacing w:after="0"/>
              <w:rPr>
                <w:sz w:val="13"/>
                <w:szCs w:val="13"/>
                <w:color w:val="auto"/>
              </w:rPr>
            </w:pPr>
          </w:p>
        </w:tc>
        <w:tc>
          <w:tcPr>
            <w:tcW w:w="60" w:type="dxa"/>
            <w:vAlign w:val="bottom"/>
            <w:tcBorders>
              <w:top w:val="single" w:sz="8" w:color="DBE2EF"/>
            </w:tcBorders>
            <w:shd w:val="clear" w:color="auto" w:fill="DBE2EF"/>
          </w:tcPr>
          <w:p>
            <w:pPr>
              <w:spacing w:after="0"/>
              <w:rPr>
                <w:sz w:val="13"/>
                <w:szCs w:val="13"/>
                <w:color w:val="auto"/>
              </w:rPr>
            </w:pPr>
          </w:p>
        </w:tc>
        <w:tc>
          <w:tcPr>
            <w:tcW w:w="40" w:type="dxa"/>
            <w:vAlign w:val="bottom"/>
            <w:tcBorders>
              <w:top w:val="single" w:sz="8" w:color="DBE2EF"/>
            </w:tcBorders>
            <w:shd w:val="clear" w:color="auto" w:fill="DBE2EF"/>
          </w:tcPr>
          <w:p>
            <w:pPr>
              <w:spacing w:after="0"/>
              <w:rPr>
                <w:sz w:val="13"/>
                <w:szCs w:val="13"/>
                <w:color w:val="auto"/>
              </w:rPr>
            </w:pPr>
          </w:p>
        </w:tc>
        <w:tc>
          <w:tcPr>
            <w:tcW w:w="1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spacing w:after="0"/>
              <w:rPr>
                <w:sz w:val="13"/>
                <w:szCs w:val="13"/>
                <w:color w:val="auto"/>
              </w:rPr>
            </w:pPr>
          </w:p>
        </w:tc>
        <w:tc>
          <w:tcPr>
            <w:tcW w:w="420" w:type="dxa"/>
            <w:vAlign w:val="bottom"/>
            <w:tcBorders>
              <w:top w:val="single" w:sz="8" w:color="auto"/>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4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46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(b)</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i w:val="1"/>
                <w:iCs w:val="1"/>
                <w:color w:val="auto"/>
              </w:rPr>
              <w:t>(b)</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8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Advances to affiliate</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279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1,020</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224</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137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7"/>
              </w:rPr>
              <w:t>(c)</w:t>
            </w: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Prepaid expenses and other</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8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Other current assets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13</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center"/>
              <w:ind w:right="80"/>
              <w:spacing w:after="0"/>
              <w:rPr>
                <w:sz w:val="20"/>
                <w:szCs w:val="20"/>
                <w:color w:val="auto"/>
              </w:rPr>
            </w:pPr>
            <w:r>
              <w:rPr>
                <w:rFonts w:ascii="Arial" w:cs="Arial" w:eastAsia="Arial" w:hAnsi="Arial"/>
                <w:sz w:val="14"/>
                <w:szCs w:val="14"/>
                <w:i w:val="1"/>
                <w:iCs w:val="1"/>
                <w:color w:val="auto"/>
              </w:rPr>
              <w:t>(d)</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20"/>
                <w:szCs w:val="20"/>
                <w:color w:val="auto"/>
              </w:rPr>
            </w:pPr>
            <w:r>
              <w:rPr>
                <w:rFonts w:ascii="Arial" w:cs="Arial" w:eastAsia="Arial" w:hAnsi="Arial"/>
                <w:sz w:val="14"/>
                <w:szCs w:val="14"/>
                <w:color w:val="auto"/>
              </w:rPr>
              <w:t>Current assets held for sale</w:t>
            </w: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5"/>
        </w:trPr>
        <w:tc>
          <w:tcPr>
            <w:tcW w:w="4000" w:type="dxa"/>
            <w:vAlign w:val="bottom"/>
            <w:tcBorders>
              <w:top w:val="single" w:sz="8" w:color="DBE2EF"/>
            </w:tcBorders>
            <w:shd w:val="clear" w:color="auto" w:fill="DBE2EF"/>
          </w:tcPr>
          <w:p>
            <w:pPr>
              <w:ind w:left="300"/>
              <w:spacing w:after="0" w:line="155" w:lineRule="exact"/>
              <w:rPr>
                <w:sz w:val="20"/>
                <w:szCs w:val="20"/>
                <w:color w:val="auto"/>
              </w:rPr>
            </w:pPr>
            <w:r>
              <w:rPr>
                <w:rFonts w:ascii="Arial" w:cs="Arial" w:eastAsia="Arial" w:hAnsi="Arial"/>
                <w:sz w:val="14"/>
                <w:szCs w:val="14"/>
                <w:b w:val="1"/>
                <w:bCs w:val="1"/>
                <w:color w:val="auto"/>
              </w:rPr>
              <w:t>Total Current Assets</w:t>
            </w: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2,446</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54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679</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0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679</w:t>
            </w:r>
          </w:p>
        </w:tc>
        <w:tc>
          <w:tcPr>
            <w:tcW w:w="140" w:type="dxa"/>
            <w:vAlign w:val="bottom"/>
            <w:tcBorders>
              <w:top w:val="single" w:sz="8" w:color="DBE2EF"/>
            </w:tcBorders>
            <w:shd w:val="clear" w:color="auto" w:fill="DBE2EF"/>
          </w:tcPr>
          <w:p>
            <w:pPr>
              <w:spacing w:after="0"/>
              <w:rPr>
                <w:sz w:val="13"/>
                <w:szCs w:val="13"/>
                <w:color w:val="auto"/>
              </w:rPr>
            </w:pPr>
          </w:p>
        </w:tc>
        <w:tc>
          <w:tcPr>
            <w:tcW w:w="60" w:type="dxa"/>
            <w:vAlign w:val="bottom"/>
            <w:tcBorders>
              <w:top w:val="single" w:sz="8" w:color="DBE2EF"/>
            </w:tcBorders>
            <w:shd w:val="clear" w:color="auto" w:fill="DBE2EF"/>
          </w:tcPr>
          <w:p>
            <w:pPr>
              <w:spacing w:after="0"/>
              <w:rPr>
                <w:sz w:val="13"/>
                <w:szCs w:val="13"/>
                <w:color w:val="auto"/>
              </w:rPr>
            </w:pPr>
          </w:p>
        </w:tc>
        <w:tc>
          <w:tcPr>
            <w:tcW w:w="40" w:type="dxa"/>
            <w:vAlign w:val="bottom"/>
            <w:tcBorders>
              <w:top w:val="single" w:sz="8" w:color="DBE2EF"/>
            </w:tcBorders>
            <w:shd w:val="clear" w:color="auto" w:fill="DBE2EF"/>
          </w:tcPr>
          <w:p>
            <w:pPr>
              <w:spacing w:after="0"/>
              <w:rPr>
                <w:sz w:val="13"/>
                <w:szCs w:val="13"/>
                <w:color w:val="auto"/>
              </w:rPr>
            </w:pPr>
          </w:p>
        </w:tc>
        <w:tc>
          <w:tcPr>
            <w:tcW w:w="16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(6,965</w:t>
            </w:r>
          </w:p>
        </w:tc>
        <w:tc>
          <w:tcPr>
            <w:tcW w:w="120" w:type="dxa"/>
            <w:vAlign w:val="bottom"/>
            <w:tcBorders>
              <w:top w:val="single" w:sz="8" w:color="DBE2EF"/>
            </w:tcBorders>
            <w:shd w:val="clear" w:color="auto" w:fill="DBE2E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bottom w:val="single" w:sz="8" w:color="auto"/>
            </w:tcBorders>
            <w:shd w:val="clear" w:color="auto" w:fill="DBE2EF"/>
          </w:tcPr>
          <w:p>
            <w:pPr>
              <w:spacing w:after="0"/>
              <w:rPr>
                <w:sz w:val="13"/>
                <w:szCs w:val="13"/>
                <w:color w:val="auto"/>
              </w:rPr>
            </w:pPr>
          </w:p>
        </w:tc>
        <w:tc>
          <w:tcPr>
            <w:tcW w:w="420" w:type="dxa"/>
            <w:vAlign w:val="bottom"/>
            <w:tcBorders>
              <w:top w:val="single" w:sz="8" w:color="auto"/>
              <w:bottom w:val="single" w:sz="8" w:color="auto"/>
            </w:tcBorders>
            <w:shd w:val="clear" w:color="auto" w:fill="DBE2EF"/>
          </w:tcPr>
          <w:p>
            <w:pPr>
              <w:ind w:left="60"/>
              <w:spacing w:after="0" w:line="155" w:lineRule="exact"/>
              <w:rPr>
                <w:sz w:val="20"/>
                <w:szCs w:val="20"/>
                <w:color w:val="auto"/>
              </w:rPr>
            </w:pPr>
            <w:r>
              <w:rPr>
                <w:rFonts w:ascii="Arial" w:cs="Arial" w:eastAsia="Arial" w:hAnsi="Arial"/>
                <w:sz w:val="14"/>
                <w:szCs w:val="14"/>
                <w:color w:val="auto"/>
                <w:w w:val="96"/>
              </w:rPr>
              <w:t>7,028</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3,188</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13,101</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939</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3,714</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i w:val="1"/>
                <w:iCs w:val="1"/>
                <w:color w:val="auto"/>
              </w:rPr>
              <w:t>(e)</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17,754</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3,959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4,141</w:t>
            </w:r>
          </w:p>
        </w:tc>
        <w:tc>
          <w:tcPr>
            <w:tcW w:w="10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(f)</w:t>
            </w: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8,207</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Other intangibles, net</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38</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5,931</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i w:val="1"/>
                <w:iCs w:val="1"/>
                <w:color w:val="auto"/>
              </w:rPr>
              <w:t>(g)</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6,534</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76"/>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Other noncurrent assets</w:t>
            </w:r>
          </w:p>
        </w:tc>
        <w:tc>
          <w:tcPr>
            <w:tcW w:w="80" w:type="dxa"/>
            <w:vAlign w:val="bottom"/>
            <w:shd w:val="clear" w:color="auto" w:fill="DBE2EF"/>
          </w:tcPr>
          <w:p>
            <w:pPr>
              <w:spacing w:after="0"/>
              <w:rPr>
                <w:sz w:val="15"/>
                <w:szCs w:val="15"/>
                <w:color w:val="auto"/>
              </w:rPr>
            </w:pPr>
          </w:p>
        </w:tc>
        <w:tc>
          <w:tcPr>
            <w:tcW w:w="480" w:type="dxa"/>
            <w:vAlign w:val="bottom"/>
            <w:shd w:val="clear" w:color="auto" w:fill="DBE2EF"/>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DBE2EF"/>
          </w:tcPr>
          <w:p>
            <w:pPr>
              <w:spacing w:after="0"/>
              <w:rPr>
                <w:sz w:val="15"/>
                <w:szCs w:val="15"/>
                <w:color w:val="auto"/>
              </w:rPr>
            </w:pPr>
          </w:p>
        </w:tc>
        <w:tc>
          <w:tcPr>
            <w:tcW w:w="120" w:type="dxa"/>
            <w:vAlign w:val="bottom"/>
            <w:shd w:val="clear" w:color="auto" w:fill="DBE2EF"/>
          </w:tcPr>
          <w:p>
            <w:pPr>
              <w:spacing w:after="0"/>
              <w:rPr>
                <w:sz w:val="15"/>
                <w:szCs w:val="15"/>
                <w:color w:val="auto"/>
              </w:rPr>
            </w:pPr>
          </w:p>
        </w:tc>
        <w:tc>
          <w:tcPr>
            <w:tcW w:w="80" w:type="dxa"/>
            <w:vAlign w:val="bottom"/>
            <w:shd w:val="clear" w:color="auto" w:fill="DBE2EF"/>
          </w:tcPr>
          <w:p>
            <w:pPr>
              <w:spacing w:after="0"/>
              <w:rPr>
                <w:sz w:val="15"/>
                <w:szCs w:val="15"/>
                <w:color w:val="auto"/>
              </w:rPr>
            </w:pPr>
          </w:p>
        </w:tc>
        <w:tc>
          <w:tcPr>
            <w:tcW w:w="540" w:type="dxa"/>
            <w:vAlign w:val="bottom"/>
            <w:shd w:val="clear" w:color="auto" w:fill="DBE2E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460" w:type="dxa"/>
            <w:vAlign w:val="bottom"/>
            <w:shd w:val="clear" w:color="auto" w:fill="DBE2E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5"/>
                <w:szCs w:val="15"/>
                <w:color w:val="auto"/>
              </w:rPr>
            </w:pPr>
          </w:p>
        </w:tc>
        <w:tc>
          <w:tcPr>
            <w:tcW w:w="120" w:type="dxa"/>
            <w:vAlign w:val="bottom"/>
            <w:shd w:val="clear" w:color="auto" w:fill="DBE2EF"/>
          </w:tcPr>
          <w:p>
            <w:pPr>
              <w:spacing w:after="0"/>
              <w:rPr>
                <w:sz w:val="15"/>
                <w:szCs w:val="15"/>
                <w:color w:val="auto"/>
              </w:rPr>
            </w:pPr>
          </w:p>
        </w:tc>
        <w:tc>
          <w:tcPr>
            <w:tcW w:w="40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200" w:type="dxa"/>
            <w:vAlign w:val="bottom"/>
            <w:shd w:val="clear" w:color="auto" w:fill="DBE2EF"/>
          </w:tcPr>
          <w:p>
            <w:pPr>
              <w:spacing w:after="0"/>
              <w:rPr>
                <w:sz w:val="15"/>
                <w:szCs w:val="15"/>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4</w:t>
            </w:r>
          </w:p>
        </w:tc>
        <w:tc>
          <w:tcPr>
            <w:tcW w:w="60" w:type="dxa"/>
            <w:vAlign w:val="bottom"/>
            <w:shd w:val="clear" w:color="auto" w:fill="DBE2EF"/>
          </w:tcPr>
          <w:p>
            <w:pPr>
              <w:spacing w:after="0"/>
              <w:rPr>
                <w:sz w:val="15"/>
                <w:szCs w:val="15"/>
                <w:color w:val="auto"/>
              </w:rPr>
            </w:pPr>
          </w:p>
        </w:tc>
        <w:tc>
          <w:tcPr>
            <w:tcW w:w="40" w:type="dxa"/>
            <w:vAlign w:val="bottom"/>
            <w:shd w:val="clear" w:color="auto" w:fill="DBE2EF"/>
          </w:tcPr>
          <w:p>
            <w:pPr>
              <w:spacing w:after="0"/>
              <w:rPr>
                <w:sz w:val="15"/>
                <w:szCs w:val="15"/>
                <w:color w:val="auto"/>
              </w:rPr>
            </w:pPr>
          </w:p>
        </w:tc>
        <w:tc>
          <w:tcPr>
            <w:tcW w:w="160" w:type="dxa"/>
            <w:vAlign w:val="bottom"/>
            <w:shd w:val="clear" w:color="auto" w:fill="DBE2EF"/>
          </w:tcPr>
          <w:p>
            <w:pPr>
              <w:spacing w:after="0"/>
              <w:rPr>
                <w:sz w:val="15"/>
                <w:szCs w:val="15"/>
                <w:color w:val="auto"/>
              </w:rPr>
            </w:pPr>
          </w:p>
        </w:tc>
        <w:tc>
          <w:tcPr>
            <w:tcW w:w="600" w:type="dxa"/>
            <w:vAlign w:val="bottom"/>
            <w:gridSpan w:val="2"/>
            <w:shd w:val="clear" w:color="auto" w:fill="DBE2EF"/>
          </w:tcPr>
          <w:p>
            <w:pPr>
              <w:jc w:val="right"/>
              <w:ind w:right="39"/>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E2EF"/>
          </w:tcPr>
          <w:p>
            <w:pPr>
              <w:spacing w:after="0"/>
              <w:rPr>
                <w:sz w:val="15"/>
                <w:szCs w:val="15"/>
                <w:color w:val="auto"/>
              </w:rPr>
            </w:pPr>
          </w:p>
        </w:tc>
        <w:tc>
          <w:tcPr>
            <w:tcW w:w="58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i w:val="1"/>
                <w:iCs w:val="1"/>
                <w:color w:val="auto"/>
              </w:rPr>
              <w:t>(h)</w:t>
            </w:r>
          </w:p>
        </w:tc>
        <w:tc>
          <w:tcPr>
            <w:tcW w:w="140" w:type="dxa"/>
            <w:vAlign w:val="bottom"/>
            <w:shd w:val="clear" w:color="auto" w:fill="DBE2EF"/>
          </w:tcPr>
          <w:p>
            <w:pPr>
              <w:spacing w:after="0"/>
              <w:rPr>
                <w:sz w:val="15"/>
                <w:szCs w:val="15"/>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5"/>
                <w:szCs w:val="15"/>
                <w:color w:val="auto"/>
              </w:rPr>
            </w:pPr>
          </w:p>
        </w:tc>
        <w:tc>
          <w:tcPr>
            <w:tcW w:w="44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 Assets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21,305</w:t>
            </w:r>
          </w:p>
        </w:tc>
        <w:tc>
          <w:tcPr>
            <w:tcW w:w="1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1,830</w:t>
            </w:r>
          </w:p>
        </w:tc>
        <w:tc>
          <w:tcPr>
            <w:tcW w:w="6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6,820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60"/>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36,983</w:t>
            </w:r>
          </w:p>
        </w:tc>
        <w:tc>
          <w:tcPr>
            <w:tcW w:w="0" w:type="dxa"/>
            <w:vAlign w:val="bottom"/>
          </w:tcPr>
          <w:p>
            <w:pPr>
              <w:spacing w:after="0"/>
              <w:rPr>
                <w:sz w:val="1"/>
                <w:szCs w:val="1"/>
                <w:color w:val="auto"/>
              </w:rPr>
            </w:pPr>
          </w:p>
        </w:tc>
      </w:tr>
      <w:tr>
        <w:trPr>
          <w:trHeight w:val="143"/>
        </w:trPr>
        <w:tc>
          <w:tcPr>
            <w:tcW w:w="4000" w:type="dxa"/>
            <w:vAlign w:val="bottom"/>
            <w:tcBorders>
              <w:top w:val="single" w:sz="8" w:color="DBE2EF"/>
            </w:tcBorders>
            <w:shd w:val="clear" w:color="auto" w:fill="DBE2EF"/>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80" w:type="dxa"/>
            <w:vAlign w:val="bottom"/>
            <w:tcBorders>
              <w:top w:val="single" w:sz="8" w:color="auto"/>
            </w:tcBorders>
            <w:shd w:val="clear" w:color="auto" w:fill="DBE2EF"/>
          </w:tcPr>
          <w:p>
            <w:pPr>
              <w:spacing w:after="0"/>
              <w:rPr>
                <w:sz w:val="12"/>
                <w:szCs w:val="12"/>
                <w:color w:val="auto"/>
              </w:rPr>
            </w:pPr>
          </w:p>
        </w:tc>
        <w:tc>
          <w:tcPr>
            <w:tcW w:w="48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auto"/>
            </w:tcBorders>
            <w:shd w:val="clear" w:color="auto" w:fill="DBE2EF"/>
          </w:tcPr>
          <w:p>
            <w:pPr>
              <w:spacing w:after="0"/>
              <w:rPr>
                <w:sz w:val="12"/>
                <w:szCs w:val="12"/>
                <w:color w:val="auto"/>
              </w:rPr>
            </w:pPr>
          </w:p>
        </w:tc>
        <w:tc>
          <w:tcPr>
            <w:tcW w:w="120" w:type="dxa"/>
            <w:vAlign w:val="bottom"/>
            <w:tcBorders>
              <w:top w:val="single" w:sz="8" w:color="DBE2EF"/>
            </w:tcBorders>
            <w:shd w:val="clear" w:color="auto" w:fill="DBE2EF"/>
          </w:tcPr>
          <w:p>
            <w:pPr>
              <w:spacing w:after="0"/>
              <w:rPr>
                <w:sz w:val="12"/>
                <w:szCs w:val="12"/>
                <w:color w:val="auto"/>
              </w:rPr>
            </w:pPr>
          </w:p>
        </w:tc>
        <w:tc>
          <w:tcPr>
            <w:tcW w:w="80" w:type="dxa"/>
            <w:vAlign w:val="bottom"/>
            <w:tcBorders>
              <w:top w:val="single" w:sz="8" w:color="auto"/>
            </w:tcBorders>
            <w:shd w:val="clear" w:color="auto" w:fill="DBE2EF"/>
          </w:tcPr>
          <w:p>
            <w:pPr>
              <w:spacing w:after="0"/>
              <w:rPr>
                <w:sz w:val="12"/>
                <w:szCs w:val="12"/>
                <w:color w:val="auto"/>
              </w:rPr>
            </w:pPr>
          </w:p>
        </w:tc>
        <w:tc>
          <w:tcPr>
            <w:tcW w:w="540" w:type="dxa"/>
            <w:vAlign w:val="bottom"/>
            <w:tcBorders>
              <w:top w:val="single" w:sz="8" w:color="auto"/>
            </w:tcBorders>
            <w:shd w:val="clear" w:color="auto" w:fill="DBE2EF"/>
          </w:tcPr>
          <w:p>
            <w:pPr>
              <w:spacing w:after="0"/>
              <w:rPr>
                <w:sz w:val="12"/>
                <w:szCs w:val="12"/>
                <w:color w:val="auto"/>
              </w:rPr>
            </w:pPr>
          </w:p>
        </w:tc>
        <w:tc>
          <w:tcPr>
            <w:tcW w:w="12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auto"/>
            </w:tcBorders>
            <w:shd w:val="clear" w:color="auto" w:fill="DBE2EF"/>
          </w:tcPr>
          <w:p>
            <w:pPr>
              <w:spacing w:after="0"/>
              <w:rPr>
                <w:sz w:val="12"/>
                <w:szCs w:val="12"/>
                <w:color w:val="auto"/>
              </w:rPr>
            </w:pPr>
          </w:p>
        </w:tc>
        <w:tc>
          <w:tcPr>
            <w:tcW w:w="46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auto"/>
            </w:tcBorders>
            <w:shd w:val="clear" w:color="auto" w:fill="DBE2EF"/>
          </w:tcPr>
          <w:p>
            <w:pPr>
              <w:spacing w:after="0"/>
              <w:rPr>
                <w:sz w:val="12"/>
                <w:szCs w:val="12"/>
                <w:color w:val="auto"/>
              </w:rPr>
            </w:pPr>
          </w:p>
        </w:tc>
        <w:tc>
          <w:tcPr>
            <w:tcW w:w="120" w:type="dxa"/>
            <w:vAlign w:val="bottom"/>
            <w:tcBorders>
              <w:top w:val="single" w:sz="8" w:color="DBE2EF"/>
            </w:tcBorders>
            <w:shd w:val="clear" w:color="auto" w:fill="DBE2EF"/>
          </w:tcPr>
          <w:p>
            <w:pPr>
              <w:spacing w:after="0"/>
              <w:rPr>
                <w:sz w:val="12"/>
                <w:szCs w:val="12"/>
                <w:color w:val="auto"/>
              </w:rPr>
            </w:pPr>
          </w:p>
        </w:tc>
        <w:tc>
          <w:tcPr>
            <w:tcW w:w="400" w:type="dxa"/>
            <w:vAlign w:val="bottom"/>
            <w:tcBorders>
              <w:top w:val="single" w:sz="8" w:color="DBE2EF"/>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200" w:type="dxa"/>
            <w:vAlign w:val="bottom"/>
            <w:tcBorders>
              <w:top w:val="single" w:sz="8" w:color="auto"/>
            </w:tcBorders>
            <w:shd w:val="clear" w:color="auto" w:fill="DBE2EF"/>
          </w:tcPr>
          <w:p>
            <w:pPr>
              <w:spacing w:after="0"/>
              <w:rPr>
                <w:sz w:val="12"/>
                <w:szCs w:val="12"/>
                <w:color w:val="auto"/>
              </w:rPr>
            </w:pPr>
          </w:p>
        </w:tc>
        <w:tc>
          <w:tcPr>
            <w:tcW w:w="480" w:type="dxa"/>
            <w:vAlign w:val="bottom"/>
            <w:tcBorders>
              <w:top w:val="single" w:sz="8" w:color="auto"/>
            </w:tcBorders>
            <w:shd w:val="clear" w:color="auto" w:fill="DBE2EF"/>
          </w:tcPr>
          <w:p>
            <w:pPr>
              <w:spacing w:after="0"/>
              <w:rPr>
                <w:sz w:val="12"/>
                <w:szCs w:val="12"/>
                <w:color w:val="auto"/>
              </w:rPr>
            </w:pPr>
          </w:p>
        </w:tc>
        <w:tc>
          <w:tcPr>
            <w:tcW w:w="140" w:type="dxa"/>
            <w:vAlign w:val="bottom"/>
            <w:tcBorders>
              <w:top w:val="single" w:sz="8" w:color="auto"/>
            </w:tcBorders>
            <w:shd w:val="clear" w:color="auto" w:fill="DBE2EF"/>
          </w:tcPr>
          <w:p>
            <w:pPr>
              <w:spacing w:after="0"/>
              <w:rPr>
                <w:sz w:val="12"/>
                <w:szCs w:val="12"/>
                <w:color w:val="auto"/>
              </w:rPr>
            </w:pPr>
          </w:p>
        </w:tc>
        <w:tc>
          <w:tcPr>
            <w:tcW w:w="60" w:type="dxa"/>
            <w:vAlign w:val="bottom"/>
            <w:tcBorders>
              <w:top w:val="single" w:sz="8" w:color="auto"/>
            </w:tcBorders>
            <w:shd w:val="clear" w:color="auto" w:fill="DBE2EF"/>
          </w:tcPr>
          <w:p>
            <w:pPr>
              <w:spacing w:after="0"/>
              <w:rPr>
                <w:sz w:val="12"/>
                <w:szCs w:val="12"/>
                <w:color w:val="auto"/>
              </w:rPr>
            </w:pPr>
          </w:p>
        </w:tc>
        <w:tc>
          <w:tcPr>
            <w:tcW w:w="40" w:type="dxa"/>
            <w:vAlign w:val="bottom"/>
            <w:tcBorders>
              <w:top w:val="single" w:sz="8" w:color="auto"/>
            </w:tcBorders>
            <w:shd w:val="clear" w:color="auto" w:fill="DBE2EF"/>
          </w:tcPr>
          <w:p>
            <w:pPr>
              <w:spacing w:after="0"/>
              <w:rPr>
                <w:sz w:val="12"/>
                <w:szCs w:val="12"/>
                <w:color w:val="auto"/>
              </w:rPr>
            </w:pPr>
          </w:p>
        </w:tc>
        <w:tc>
          <w:tcPr>
            <w:tcW w:w="160" w:type="dxa"/>
            <w:vAlign w:val="bottom"/>
            <w:tcBorders>
              <w:top w:val="single" w:sz="8" w:color="auto"/>
            </w:tcBorders>
            <w:shd w:val="clear" w:color="auto" w:fill="DBE2EF"/>
          </w:tcPr>
          <w:p>
            <w:pPr>
              <w:spacing w:after="0"/>
              <w:rPr>
                <w:sz w:val="12"/>
                <w:szCs w:val="12"/>
                <w:color w:val="auto"/>
              </w:rPr>
            </w:pPr>
          </w:p>
        </w:tc>
        <w:tc>
          <w:tcPr>
            <w:tcW w:w="480" w:type="dxa"/>
            <w:vAlign w:val="bottom"/>
            <w:tcBorders>
              <w:top w:val="single" w:sz="8" w:color="auto"/>
            </w:tcBorders>
            <w:shd w:val="clear" w:color="auto" w:fill="DBE2EF"/>
          </w:tcPr>
          <w:p>
            <w:pPr>
              <w:spacing w:after="0"/>
              <w:rPr>
                <w:sz w:val="12"/>
                <w:szCs w:val="12"/>
                <w:color w:val="auto"/>
              </w:rPr>
            </w:pPr>
          </w:p>
        </w:tc>
        <w:tc>
          <w:tcPr>
            <w:tcW w:w="12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480" w:type="dxa"/>
            <w:vAlign w:val="bottom"/>
            <w:tcBorders>
              <w:top w:val="single" w:sz="8" w:color="DBE2EF"/>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140" w:type="dxa"/>
            <w:vAlign w:val="bottom"/>
            <w:tcBorders>
              <w:top w:val="single" w:sz="8" w:color="auto"/>
            </w:tcBorders>
            <w:shd w:val="clear" w:color="auto" w:fill="DBE2EF"/>
          </w:tcPr>
          <w:p>
            <w:pPr>
              <w:spacing w:after="0"/>
              <w:rPr>
                <w:sz w:val="12"/>
                <w:szCs w:val="12"/>
                <w:color w:val="auto"/>
              </w:rPr>
            </w:pPr>
          </w:p>
        </w:tc>
        <w:tc>
          <w:tcPr>
            <w:tcW w:w="420" w:type="dxa"/>
            <w:vAlign w:val="bottom"/>
            <w:tcBorders>
              <w:top w:val="single" w:sz="8" w:color="auto"/>
            </w:tcBorders>
            <w:shd w:val="clear" w:color="auto" w:fill="DBE2EF"/>
          </w:tcPr>
          <w:p>
            <w:pPr>
              <w:spacing w:after="0"/>
              <w:rPr>
                <w:sz w:val="12"/>
                <w:szCs w:val="12"/>
                <w:color w:val="auto"/>
              </w:rPr>
            </w:pPr>
          </w:p>
        </w:tc>
        <w:tc>
          <w:tcPr>
            <w:tcW w:w="12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440" w:type="dxa"/>
            <w:vAlign w:val="bottom"/>
            <w:tcBorders>
              <w:top w:val="single" w:sz="8" w:color="DBE2EF"/>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100" w:type="dxa"/>
            <w:vAlign w:val="bottom"/>
            <w:tcBorders>
              <w:top w:val="single" w:sz="8" w:color="auto"/>
            </w:tcBorders>
            <w:shd w:val="clear" w:color="auto" w:fill="DBE2EF"/>
          </w:tcPr>
          <w:p>
            <w:pPr>
              <w:spacing w:after="0"/>
              <w:rPr>
                <w:sz w:val="12"/>
                <w:szCs w:val="12"/>
                <w:color w:val="auto"/>
              </w:rPr>
            </w:pPr>
          </w:p>
        </w:tc>
        <w:tc>
          <w:tcPr>
            <w:tcW w:w="460" w:type="dxa"/>
            <w:vAlign w:val="bottom"/>
            <w:tcBorders>
              <w:top w:val="single" w:sz="8" w:color="auto"/>
            </w:tcBorders>
            <w:shd w:val="clear" w:color="auto" w:fill="DBE2EF"/>
          </w:tcPr>
          <w:p>
            <w:pPr>
              <w:spacing w:after="0"/>
              <w:rPr>
                <w:sz w:val="12"/>
                <w:szCs w:val="12"/>
                <w:color w:val="auto"/>
              </w:rPr>
            </w:pPr>
          </w:p>
        </w:tc>
        <w:tc>
          <w:tcPr>
            <w:tcW w:w="100" w:type="dxa"/>
            <w:vAlign w:val="bottom"/>
            <w:tcBorders>
              <w:top w:val="single" w:sz="8" w:color="DBE2EF"/>
            </w:tcBorders>
            <w:shd w:val="clear" w:color="auto" w:fill="DBE2E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349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60" w:type="dxa"/>
            <w:vAlign w:val="bottom"/>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Accrued salaries, benefits and payroll taxes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25</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Accrued income taxes</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Accrued other taxes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8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Current maturities of long-term debt</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31</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3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center"/>
              <w:ind w:right="60"/>
              <w:spacing w:after="0"/>
              <w:rPr>
                <w:sz w:val="20"/>
                <w:szCs w:val="20"/>
                <w:color w:val="auto"/>
              </w:rPr>
            </w:pPr>
            <w:r>
              <w:rPr>
                <w:rFonts w:ascii="Arial" w:cs="Arial" w:eastAsia="Arial" w:hAnsi="Arial"/>
                <w:sz w:val="14"/>
                <w:szCs w:val="14"/>
                <w:i w:val="1"/>
                <w:iCs w:val="1"/>
                <w:color w:val="auto"/>
                <w:w w:val="96"/>
              </w:rPr>
              <w:t>(i)</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Current operating lease liabilities</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Unpaid commitments to limited liability companies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8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w w:val="96"/>
              </w:rPr>
              <w:t>(j)</w:t>
            </w: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55"/>
        </w:trPr>
        <w:tc>
          <w:tcPr>
            <w:tcW w:w="4000" w:type="dxa"/>
            <w:vAlign w:val="bottom"/>
            <w:tcBorders>
              <w:top w:val="single" w:sz="8" w:color="DBE2EF"/>
            </w:tcBorders>
            <w:shd w:val="clear" w:color="auto" w:fill="DBE2EF"/>
          </w:tcPr>
          <w:p>
            <w:pPr>
              <w:ind w:left="300"/>
              <w:spacing w:after="0" w:line="155" w:lineRule="exact"/>
              <w:rPr>
                <w:sz w:val="20"/>
                <w:szCs w:val="20"/>
                <w:color w:val="auto"/>
              </w:rPr>
            </w:pPr>
            <w:r>
              <w:rPr>
                <w:rFonts w:ascii="Arial" w:cs="Arial" w:eastAsia="Arial" w:hAnsi="Arial"/>
                <w:sz w:val="14"/>
                <w:szCs w:val="14"/>
                <w:b w:val="1"/>
                <w:bCs w:val="1"/>
                <w:color w:val="auto"/>
              </w:rPr>
              <w:t>Total Current Liabilities</w:t>
            </w: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1,739</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54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226</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0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226</w:t>
            </w:r>
          </w:p>
        </w:tc>
        <w:tc>
          <w:tcPr>
            <w:tcW w:w="140" w:type="dxa"/>
            <w:vAlign w:val="bottom"/>
            <w:tcBorders>
              <w:top w:val="single" w:sz="8" w:color="DBE2EF"/>
            </w:tcBorders>
            <w:shd w:val="clear" w:color="auto" w:fill="DBE2EF"/>
          </w:tcPr>
          <w:p>
            <w:pPr>
              <w:spacing w:after="0"/>
              <w:rPr>
                <w:sz w:val="13"/>
                <w:szCs w:val="13"/>
                <w:color w:val="auto"/>
              </w:rPr>
            </w:pPr>
          </w:p>
        </w:tc>
        <w:tc>
          <w:tcPr>
            <w:tcW w:w="60" w:type="dxa"/>
            <w:vAlign w:val="bottom"/>
            <w:tcBorders>
              <w:top w:val="single" w:sz="8" w:color="DBE2EF"/>
            </w:tcBorders>
            <w:shd w:val="clear" w:color="auto" w:fill="DBE2EF"/>
          </w:tcPr>
          <w:p>
            <w:pPr>
              <w:spacing w:after="0"/>
              <w:rPr>
                <w:sz w:val="13"/>
                <w:szCs w:val="13"/>
                <w:color w:val="auto"/>
              </w:rPr>
            </w:pPr>
          </w:p>
        </w:tc>
        <w:tc>
          <w:tcPr>
            <w:tcW w:w="40" w:type="dxa"/>
            <w:vAlign w:val="bottom"/>
            <w:tcBorders>
              <w:top w:val="single" w:sz="8" w:color="DBE2EF"/>
            </w:tcBorders>
            <w:shd w:val="clear" w:color="auto" w:fill="DBE2EF"/>
          </w:tcPr>
          <w:p>
            <w:pPr>
              <w:spacing w:after="0"/>
              <w:rPr>
                <w:sz w:val="13"/>
                <w:szCs w:val="13"/>
                <w:color w:val="auto"/>
              </w:rPr>
            </w:pPr>
          </w:p>
        </w:tc>
        <w:tc>
          <w:tcPr>
            <w:tcW w:w="16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37</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bottom w:val="single" w:sz="8" w:color="auto"/>
            </w:tcBorders>
            <w:shd w:val="clear" w:color="auto" w:fill="DBE2EF"/>
          </w:tcPr>
          <w:p>
            <w:pPr>
              <w:spacing w:after="0"/>
              <w:rPr>
                <w:sz w:val="13"/>
                <w:szCs w:val="13"/>
                <w:color w:val="auto"/>
              </w:rPr>
            </w:pPr>
          </w:p>
        </w:tc>
        <w:tc>
          <w:tcPr>
            <w:tcW w:w="420" w:type="dxa"/>
            <w:vAlign w:val="bottom"/>
            <w:tcBorders>
              <w:top w:val="single" w:sz="8" w:color="auto"/>
              <w:bottom w:val="single" w:sz="8" w:color="auto"/>
            </w:tcBorders>
            <w:shd w:val="clear" w:color="auto" w:fill="DBE2EF"/>
          </w:tcPr>
          <w:p>
            <w:pPr>
              <w:ind w:left="20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2,002</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5,091</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892</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39"/>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center"/>
              <w:ind w:right="60"/>
              <w:spacing w:after="0"/>
              <w:rPr>
                <w:sz w:val="20"/>
                <w:szCs w:val="20"/>
                <w:color w:val="auto"/>
              </w:rPr>
            </w:pPr>
            <w:r>
              <w:rPr>
                <w:rFonts w:ascii="Arial" w:cs="Arial" w:eastAsia="Arial" w:hAnsi="Arial"/>
                <w:sz w:val="14"/>
                <w:szCs w:val="14"/>
                <w:i w:val="1"/>
                <w:iCs w:val="1"/>
                <w:color w:val="auto"/>
                <w:w w:val="96"/>
              </w:rPr>
              <w:t>(i)</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60"/>
              <w:spacing w:after="0"/>
              <w:rPr>
                <w:sz w:val="20"/>
                <w:szCs w:val="20"/>
                <w:color w:val="auto"/>
              </w:rPr>
            </w:pPr>
            <w:r>
              <w:rPr>
                <w:rFonts w:ascii="Arial" w:cs="Arial" w:eastAsia="Arial" w:hAnsi="Arial"/>
                <w:sz w:val="14"/>
                <w:szCs w:val="14"/>
                <w:color w:val="auto"/>
              </w:rPr>
              <w:t>7,028</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w w:val="93"/>
              </w:rPr>
              <w:t>(b)</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12,119</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100"/>
              <w:spacing w:after="0" w:line="155" w:lineRule="exact"/>
              <w:rPr>
                <w:sz w:val="20"/>
                <w:szCs w:val="20"/>
                <w:color w:val="auto"/>
              </w:rPr>
            </w:pPr>
            <w:r>
              <w:rPr>
                <w:rFonts w:ascii="Arial" w:cs="Arial" w:eastAsia="Arial" w:hAnsi="Arial"/>
                <w:sz w:val="14"/>
                <w:szCs w:val="14"/>
                <w:i w:val="1"/>
                <w:iCs w:val="1"/>
                <w:color w:val="auto"/>
                <w:w w:val="98"/>
              </w:rPr>
              <w:t>(c),</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vMerge w:val="restart"/>
          </w:tcPr>
          <w:p>
            <w:pPr>
              <w:spacing w:after="0"/>
              <w:rPr>
                <w:sz w:val="20"/>
                <w:szCs w:val="20"/>
                <w:color w:val="auto"/>
              </w:rPr>
            </w:pPr>
            <w:r>
              <w:rPr>
                <w:rFonts w:ascii="Arial" w:cs="Arial" w:eastAsia="Arial" w:hAnsi="Arial"/>
                <w:sz w:val="14"/>
                <w:szCs w:val="14"/>
                <w:color w:val="auto"/>
              </w:rPr>
              <w:t>Deferred income taxes, net</w:t>
            </w:r>
          </w:p>
        </w:tc>
        <w:tc>
          <w:tcPr>
            <w:tcW w:w="8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(e),</w:t>
            </w:r>
          </w:p>
        </w:tc>
        <w:tc>
          <w:tcPr>
            <w:tcW w:w="140" w:type="dxa"/>
            <w:vAlign w:val="bottom"/>
          </w:tcPr>
          <w:p>
            <w:pPr>
              <w:spacing w:after="0"/>
              <w:rPr>
                <w:sz w:val="14"/>
                <w:szCs w:val="14"/>
                <w:color w:val="auto"/>
              </w:rPr>
            </w:pPr>
          </w:p>
        </w:tc>
        <w:tc>
          <w:tcPr>
            <w:tcW w:w="540" w:type="dxa"/>
            <w:vAlign w:val="bottom"/>
            <w:gridSpan w:val="2"/>
            <w:vMerge w:val="restart"/>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169"/>
        </w:trPr>
        <w:tc>
          <w:tcPr>
            <w:tcW w:w="4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rPr>
              <w:t>(g)</w:t>
            </w: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Noncurrent operating lease liabilities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50</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148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55"/>
        </w:trPr>
        <w:tc>
          <w:tcPr>
            <w:tcW w:w="4000" w:type="dxa"/>
            <w:vAlign w:val="bottom"/>
            <w:tcBorders>
              <w:top w:val="single" w:sz="8" w:color="DBE2EF"/>
            </w:tcBorders>
            <w:shd w:val="clear" w:color="auto" w:fill="DBE2EF"/>
          </w:tcPr>
          <w:p>
            <w:pPr>
              <w:ind w:left="300"/>
              <w:spacing w:after="0" w:line="155"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9,757</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bottom w:val="single" w:sz="8" w:color="auto"/>
            </w:tcBorders>
            <w:shd w:val="clear" w:color="auto" w:fill="DBE2EF"/>
          </w:tcPr>
          <w:p>
            <w:pPr>
              <w:spacing w:after="0"/>
              <w:rPr>
                <w:sz w:val="13"/>
                <w:szCs w:val="13"/>
                <w:color w:val="auto"/>
              </w:rPr>
            </w:pPr>
          </w:p>
        </w:tc>
        <w:tc>
          <w:tcPr>
            <w:tcW w:w="54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1,334</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0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1,334</w:t>
            </w:r>
          </w:p>
        </w:tc>
        <w:tc>
          <w:tcPr>
            <w:tcW w:w="140" w:type="dxa"/>
            <w:vAlign w:val="bottom"/>
            <w:tcBorders>
              <w:top w:val="single" w:sz="8" w:color="DBE2EF"/>
            </w:tcBorders>
            <w:shd w:val="clear" w:color="auto" w:fill="DBE2EF"/>
          </w:tcPr>
          <w:p>
            <w:pPr>
              <w:spacing w:after="0"/>
              <w:rPr>
                <w:sz w:val="13"/>
                <w:szCs w:val="13"/>
                <w:color w:val="auto"/>
              </w:rPr>
            </w:pPr>
          </w:p>
        </w:tc>
        <w:tc>
          <w:tcPr>
            <w:tcW w:w="60" w:type="dxa"/>
            <w:vAlign w:val="bottom"/>
            <w:tcBorders>
              <w:top w:val="single" w:sz="8" w:color="DBE2EF"/>
            </w:tcBorders>
            <w:shd w:val="clear" w:color="auto" w:fill="DBE2EF"/>
          </w:tcPr>
          <w:p>
            <w:pPr>
              <w:spacing w:after="0"/>
              <w:rPr>
                <w:sz w:val="13"/>
                <w:szCs w:val="13"/>
                <w:color w:val="auto"/>
              </w:rPr>
            </w:pPr>
          </w:p>
        </w:tc>
        <w:tc>
          <w:tcPr>
            <w:tcW w:w="40" w:type="dxa"/>
            <w:vAlign w:val="bottom"/>
            <w:tcBorders>
              <w:top w:val="single" w:sz="8" w:color="DBE2EF"/>
            </w:tcBorders>
            <w:shd w:val="clear" w:color="auto" w:fill="DBE2EF"/>
          </w:tcPr>
          <w:p>
            <w:pPr>
              <w:spacing w:after="0"/>
              <w:rPr>
                <w:sz w:val="13"/>
                <w:szCs w:val="13"/>
                <w:color w:val="auto"/>
              </w:rPr>
            </w:pPr>
          </w:p>
        </w:tc>
        <w:tc>
          <w:tcPr>
            <w:tcW w:w="160" w:type="dxa"/>
            <w:vAlign w:val="bottom"/>
            <w:tcBorders>
              <w:top w:val="single" w:sz="8" w:color="auto"/>
              <w:bottom w:val="single" w:sz="8" w:color="auto"/>
            </w:tcBorders>
            <w:shd w:val="clear" w:color="auto" w:fill="DBE2EF"/>
          </w:tcPr>
          <w:p>
            <w:pPr>
              <w:spacing w:after="0"/>
              <w:rPr>
                <w:sz w:val="13"/>
                <w:szCs w:val="13"/>
                <w:color w:val="auto"/>
              </w:rPr>
            </w:pPr>
          </w:p>
        </w:tc>
        <w:tc>
          <w:tcPr>
            <w:tcW w:w="48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1,524</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bottom w:val="single" w:sz="8" w:color="auto"/>
            </w:tcBorders>
            <w:shd w:val="clear" w:color="auto" w:fill="DBE2EF"/>
          </w:tcPr>
          <w:p>
            <w:pPr>
              <w:spacing w:after="0"/>
              <w:rPr>
                <w:sz w:val="13"/>
                <w:szCs w:val="13"/>
                <w:color w:val="auto"/>
              </w:rPr>
            </w:pPr>
          </w:p>
        </w:tc>
        <w:tc>
          <w:tcPr>
            <w:tcW w:w="420" w:type="dxa"/>
            <w:vAlign w:val="bottom"/>
            <w:tcBorders>
              <w:top w:val="single" w:sz="8" w:color="auto"/>
              <w:bottom w:val="single" w:sz="8" w:color="auto"/>
            </w:tcBorders>
            <w:shd w:val="clear" w:color="auto" w:fill="DBE2EF"/>
          </w:tcPr>
          <w:p>
            <w:pPr>
              <w:ind w:left="60"/>
              <w:spacing w:after="0" w:line="155" w:lineRule="exact"/>
              <w:rPr>
                <w:sz w:val="20"/>
                <w:szCs w:val="20"/>
                <w:color w:val="auto"/>
              </w:rPr>
            </w:pPr>
            <w:r>
              <w:rPr>
                <w:rFonts w:ascii="Arial" w:cs="Arial" w:eastAsia="Arial" w:hAnsi="Arial"/>
                <w:sz w:val="14"/>
                <w:szCs w:val="14"/>
                <w:color w:val="auto"/>
                <w:w w:val="96"/>
              </w:rPr>
              <w:t>7,028</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bottom w:val="single" w:sz="8" w:color="auto"/>
            </w:tcBorders>
            <w:shd w:val="clear" w:color="auto" w:fill="DBE2EF"/>
          </w:tcPr>
          <w:p>
            <w:pPr>
              <w:spacing w:after="0"/>
              <w:rPr>
                <w:sz w:val="13"/>
                <w:szCs w:val="13"/>
                <w:color w:val="auto"/>
              </w:rPr>
            </w:pPr>
          </w:p>
        </w:tc>
        <w:tc>
          <w:tcPr>
            <w:tcW w:w="460" w:type="dxa"/>
            <w:vAlign w:val="bottom"/>
            <w:tcBorders>
              <w:top w:val="single" w:sz="8" w:color="auto"/>
              <w:bottom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19,643</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b w:val="1"/>
                <w:bCs w:val="1"/>
                <w:color w:val="auto"/>
              </w:rPr>
              <w:t>Equity</w:t>
            </w:r>
          </w:p>
        </w:tc>
        <w:tc>
          <w:tcPr>
            <w:tcW w:w="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54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46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46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Preferred stock</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6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8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3,587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5,799</w:t>
            </w:r>
          </w:p>
        </w:tc>
        <w:tc>
          <w:tcPr>
            <w:tcW w:w="100" w:type="dxa"/>
            <w:vAlign w:val="bottom"/>
          </w:tcPr>
          <w:p>
            <w:pPr>
              <w:spacing w:after="0"/>
              <w:rPr>
                <w:sz w:val="14"/>
                <w:szCs w:val="14"/>
                <w:color w:val="auto"/>
              </w:rPr>
            </w:pPr>
          </w:p>
        </w:tc>
        <w:tc>
          <w:tcPr>
            <w:tcW w:w="580" w:type="dxa"/>
            <w:vAlign w:val="bottom"/>
            <w:gridSpan w:val="2"/>
          </w:tcPr>
          <w:p>
            <w:pPr>
              <w:ind w:left="180"/>
              <w:spacing w:after="0"/>
              <w:rPr>
                <w:sz w:val="20"/>
                <w:szCs w:val="20"/>
                <w:color w:val="auto"/>
              </w:rPr>
            </w:pPr>
            <w:r>
              <w:rPr>
                <w:rFonts w:ascii="Arial" w:cs="Arial" w:eastAsia="Arial" w:hAnsi="Arial"/>
                <w:sz w:val="14"/>
                <w:szCs w:val="14"/>
                <w:i w:val="1"/>
                <w:iCs w:val="1"/>
                <w:color w:val="auto"/>
              </w:rPr>
              <w:t>(k)</w:t>
            </w:r>
          </w:p>
        </w:tc>
        <w:tc>
          <w:tcPr>
            <w:tcW w:w="14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9,446</w:t>
            </w:r>
          </w:p>
        </w:tc>
        <w:tc>
          <w:tcPr>
            <w:tcW w:w="0" w:type="dxa"/>
            <w:vAlign w:val="bottom"/>
          </w:tcPr>
          <w:p>
            <w:pPr>
              <w:spacing w:after="0"/>
              <w:rPr>
                <w:sz w:val="1"/>
                <w:szCs w:val="1"/>
                <w:color w:val="auto"/>
              </w:rPr>
            </w:pPr>
          </w:p>
        </w:tc>
      </w:tr>
      <w:tr>
        <w:trPr>
          <w:trHeight w:val="162"/>
        </w:trPr>
        <w:tc>
          <w:tcPr>
            <w:tcW w:w="4000" w:type="dxa"/>
            <w:vAlign w:val="bottom"/>
            <w:shd w:val="clear" w:color="auto" w:fill="DBE2EF"/>
          </w:tcPr>
          <w:p>
            <w:pPr>
              <w:spacing w:after="0"/>
              <w:rPr>
                <w:sz w:val="20"/>
                <w:szCs w:val="20"/>
                <w:color w:val="auto"/>
              </w:rPr>
            </w:pPr>
            <w:r>
              <w:rPr>
                <w:rFonts w:ascii="Arial" w:cs="Arial" w:eastAsia="Arial" w:hAnsi="Arial"/>
                <w:sz w:val="14"/>
                <w:szCs w:val="14"/>
                <w:color w:val="auto"/>
              </w:rPr>
              <w:t>Accumulated other comprehensive earnings</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94</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3</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39"/>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E2EF"/>
          </w:tcPr>
          <w:p>
            <w:pPr>
              <w:spacing w:after="0"/>
              <w:rPr>
                <w:sz w:val="14"/>
                <w:szCs w:val="14"/>
                <w:color w:val="auto"/>
              </w:rPr>
            </w:pPr>
          </w:p>
        </w:tc>
        <w:tc>
          <w:tcPr>
            <w:tcW w:w="580" w:type="dxa"/>
            <w:vAlign w:val="bottom"/>
            <w:gridSpan w:val="2"/>
            <w:shd w:val="clear" w:color="auto" w:fill="DBE2EF"/>
          </w:tcPr>
          <w:p>
            <w:pPr>
              <w:ind w:left="180"/>
              <w:spacing w:after="0"/>
              <w:rPr>
                <w:sz w:val="20"/>
                <w:szCs w:val="20"/>
                <w:color w:val="auto"/>
              </w:rPr>
            </w:pPr>
            <w:r>
              <w:rPr>
                <w:rFonts w:ascii="Arial" w:cs="Arial" w:eastAsia="Arial" w:hAnsi="Arial"/>
                <w:sz w:val="14"/>
                <w:szCs w:val="14"/>
                <w:i w:val="1"/>
                <w:iCs w:val="1"/>
                <w:color w:val="auto"/>
              </w:rPr>
              <w:t>(k)</w:t>
            </w: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55"/>
        </w:trPr>
        <w:tc>
          <w:tcPr>
            <w:tcW w:w="4000" w:type="dxa"/>
            <w:vAlign w:val="bottom"/>
            <w:vMerge w:val="restart"/>
          </w:tcPr>
          <w:p>
            <w:pPr>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restart"/>
          </w:tcPr>
          <w:p>
            <w:pPr>
              <w:jc w:val="right"/>
              <w:ind w:right="3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3"/>
                <w:szCs w:val="13"/>
                <w:color w:val="auto"/>
              </w:rPr>
            </w:pPr>
          </w:p>
        </w:tc>
        <w:tc>
          <w:tcPr>
            <w:tcW w:w="580" w:type="dxa"/>
            <w:vAlign w:val="bottom"/>
            <w:gridSpan w:val="2"/>
          </w:tcPr>
          <w:p>
            <w:pPr>
              <w:jc w:val="right"/>
              <w:ind w:right="200"/>
              <w:spacing w:after="0" w:line="155" w:lineRule="exact"/>
              <w:rPr>
                <w:sz w:val="20"/>
                <w:szCs w:val="20"/>
                <w:color w:val="auto"/>
              </w:rPr>
            </w:pPr>
            <w:r>
              <w:rPr>
                <w:rFonts w:ascii="Arial" w:cs="Arial" w:eastAsia="Arial" w:hAnsi="Arial"/>
                <w:sz w:val="14"/>
                <w:szCs w:val="14"/>
                <w:i w:val="1"/>
                <w:iCs w:val="1"/>
                <w:color w:val="auto"/>
              </w:rPr>
              <w:t>(d),</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7,864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433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7"/>
              </w:rPr>
              <w:t>(k)</w:t>
            </w:r>
          </w:p>
        </w:tc>
        <w:tc>
          <w:tcPr>
            <w:tcW w:w="140" w:type="dxa"/>
            <w:vAlign w:val="bottom"/>
          </w:tcPr>
          <w:p>
            <w:pPr>
              <w:spacing w:after="0"/>
              <w:rPr>
                <w:sz w:val="15"/>
                <w:szCs w:val="15"/>
                <w:color w:val="auto"/>
              </w:rPr>
            </w:pP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7,797</w:t>
            </w:r>
          </w:p>
        </w:tc>
        <w:tc>
          <w:tcPr>
            <w:tcW w:w="0" w:type="dxa"/>
            <w:vAlign w:val="bottom"/>
          </w:tcPr>
          <w:p>
            <w:pPr>
              <w:spacing w:after="0"/>
              <w:rPr>
                <w:sz w:val="1"/>
                <w:szCs w:val="1"/>
                <w:color w:val="auto"/>
              </w:rPr>
            </w:pPr>
          </w:p>
        </w:tc>
      </w:tr>
      <w:tr>
        <w:trPr>
          <w:trHeight w:val="156"/>
        </w:trPr>
        <w:tc>
          <w:tcPr>
            <w:tcW w:w="4000" w:type="dxa"/>
            <w:vAlign w:val="bottom"/>
            <w:tcBorders>
              <w:top w:val="single" w:sz="8" w:color="DBE2EF"/>
            </w:tcBorders>
            <w:shd w:val="clear" w:color="auto" w:fill="DBE2EF"/>
          </w:tcPr>
          <w:p>
            <w:pPr>
              <w:ind w:left="300"/>
              <w:spacing w:after="0" w:line="155" w:lineRule="exact"/>
              <w:rPr>
                <w:sz w:val="20"/>
                <w:szCs w:val="20"/>
                <w:color w:val="auto"/>
              </w:rPr>
            </w:pPr>
            <w:r>
              <w:rPr>
                <w:rFonts w:ascii="Arial" w:cs="Arial" w:eastAsia="Arial" w:hAnsi="Arial"/>
                <w:sz w:val="14"/>
                <w:szCs w:val="14"/>
                <w:color w:val="auto"/>
              </w:rPr>
              <w:t>Total Shareholders Equity</w:t>
            </w:r>
          </w:p>
        </w:tc>
        <w:tc>
          <w:tcPr>
            <w:tcW w:w="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11,546</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tcBorders>
            <w:shd w:val="clear" w:color="auto" w:fill="DBE2EF"/>
          </w:tcPr>
          <w:p>
            <w:pPr>
              <w:spacing w:after="0"/>
              <w:rPr>
                <w:sz w:val="13"/>
                <w:szCs w:val="13"/>
                <w:color w:val="auto"/>
              </w:rPr>
            </w:pPr>
          </w:p>
        </w:tc>
        <w:tc>
          <w:tcPr>
            <w:tcW w:w="54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496</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460" w:type="dxa"/>
            <w:vAlign w:val="bottom"/>
            <w:tcBorders>
              <w:top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0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496</w:t>
            </w:r>
          </w:p>
        </w:tc>
        <w:tc>
          <w:tcPr>
            <w:tcW w:w="140" w:type="dxa"/>
            <w:vAlign w:val="bottom"/>
            <w:tcBorders>
              <w:top w:val="single" w:sz="8" w:color="DBE2EF"/>
            </w:tcBorders>
            <w:shd w:val="clear" w:color="auto" w:fill="DBE2EF"/>
          </w:tcPr>
          <w:p>
            <w:pPr>
              <w:spacing w:after="0"/>
              <w:rPr>
                <w:sz w:val="13"/>
                <w:szCs w:val="13"/>
                <w:color w:val="auto"/>
              </w:rPr>
            </w:pPr>
          </w:p>
        </w:tc>
        <w:tc>
          <w:tcPr>
            <w:tcW w:w="60" w:type="dxa"/>
            <w:vAlign w:val="bottom"/>
            <w:tcBorders>
              <w:top w:val="single" w:sz="8" w:color="DBE2EF"/>
            </w:tcBorders>
            <w:shd w:val="clear" w:color="auto" w:fill="DBE2EF"/>
          </w:tcPr>
          <w:p>
            <w:pPr>
              <w:spacing w:after="0"/>
              <w:rPr>
                <w:sz w:val="13"/>
                <w:szCs w:val="13"/>
                <w:color w:val="auto"/>
              </w:rPr>
            </w:pPr>
          </w:p>
        </w:tc>
        <w:tc>
          <w:tcPr>
            <w:tcW w:w="40" w:type="dxa"/>
            <w:vAlign w:val="bottom"/>
            <w:tcBorders>
              <w:top w:val="single" w:sz="8" w:color="DBE2EF"/>
            </w:tcBorders>
            <w:shd w:val="clear" w:color="auto" w:fill="DBE2EF"/>
          </w:tcPr>
          <w:p>
            <w:pPr>
              <w:spacing w:after="0"/>
              <w:rPr>
                <w:sz w:val="13"/>
                <w:szCs w:val="13"/>
                <w:color w:val="auto"/>
              </w:rPr>
            </w:pPr>
          </w:p>
        </w:tc>
        <w:tc>
          <w:tcPr>
            <w:tcW w:w="1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5,296</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spacing w:after="0"/>
              <w:rPr>
                <w:sz w:val="13"/>
                <w:szCs w:val="13"/>
                <w:color w:val="auto"/>
              </w:rPr>
            </w:pPr>
          </w:p>
        </w:tc>
        <w:tc>
          <w:tcPr>
            <w:tcW w:w="420" w:type="dxa"/>
            <w:vAlign w:val="bottom"/>
            <w:tcBorders>
              <w:top w:val="single" w:sz="8" w:color="auto"/>
            </w:tcBorders>
            <w:shd w:val="clear" w:color="auto" w:fill="DBE2EF"/>
          </w:tcPr>
          <w:p>
            <w:pPr>
              <w:ind w:left="20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4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46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17,338</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DBE2EF"/>
            </w:tcBorders>
          </w:tcPr>
          <w:p>
            <w:pPr>
              <w:spacing w:after="0"/>
              <w:rPr>
                <w:sz w:val="20"/>
                <w:szCs w:val="20"/>
                <w:color w:val="auto"/>
              </w:rPr>
            </w:pPr>
            <w:r>
              <w:rPr>
                <w:rFonts w:ascii="Arial" w:cs="Arial" w:eastAsia="Arial" w:hAnsi="Arial"/>
                <w:sz w:val="14"/>
                <w:szCs w:val="14"/>
                <w:color w:val="auto"/>
              </w:rPr>
              <w:t>Noncontrolling interests</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BE2EF"/>
            </w:tcBorders>
          </w:tcPr>
          <w:p>
            <w:pPr>
              <w:spacing w:after="0"/>
              <w:rPr>
                <w:sz w:val="15"/>
                <w:szCs w:val="15"/>
                <w:color w:val="auto"/>
              </w:rPr>
            </w:pPr>
          </w:p>
        </w:tc>
        <w:tc>
          <w:tcPr>
            <w:tcW w:w="120" w:type="dxa"/>
            <w:vAlign w:val="bottom"/>
            <w:tcBorders>
              <w:bottom w:val="single" w:sz="8" w:color="DBE2E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E2E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E2EF"/>
            </w:tcBorders>
          </w:tcPr>
          <w:p>
            <w:pPr>
              <w:spacing w:after="0"/>
              <w:rPr>
                <w:sz w:val="15"/>
                <w:szCs w:val="15"/>
                <w:color w:val="auto"/>
              </w:rPr>
            </w:pPr>
          </w:p>
        </w:tc>
        <w:tc>
          <w:tcPr>
            <w:tcW w:w="120" w:type="dxa"/>
            <w:vAlign w:val="bottom"/>
            <w:tcBorders>
              <w:bottom w:val="single" w:sz="8" w:color="DBE2EF"/>
            </w:tcBorders>
          </w:tcPr>
          <w:p>
            <w:pPr>
              <w:spacing w:after="0"/>
              <w:rPr>
                <w:sz w:val="15"/>
                <w:szCs w:val="15"/>
                <w:color w:val="auto"/>
              </w:rPr>
            </w:pPr>
          </w:p>
        </w:tc>
        <w:tc>
          <w:tcPr>
            <w:tcW w:w="400" w:type="dxa"/>
            <w:vAlign w:val="bottom"/>
            <w:tcBorders>
              <w:bottom w:val="single" w:sz="8" w:color="DBE2EF"/>
            </w:tcBorders>
          </w:tcPr>
          <w:p>
            <w:pPr>
              <w:spacing w:after="0"/>
              <w:rPr>
                <w:sz w:val="15"/>
                <w:szCs w:val="15"/>
                <w:color w:val="auto"/>
              </w:rPr>
            </w:pPr>
          </w:p>
        </w:tc>
        <w:tc>
          <w:tcPr>
            <w:tcW w:w="100" w:type="dxa"/>
            <w:vAlign w:val="bottom"/>
            <w:tcBorders>
              <w:bottom w:val="single" w:sz="8" w:color="DBE2E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BE2EF"/>
            </w:tcBorders>
            <w:gridSpan w:val="2"/>
          </w:tcPr>
          <w:p>
            <w:pPr>
              <w:spacing w:after="0"/>
              <w:rPr>
                <w:sz w:val="15"/>
                <w:szCs w:val="15"/>
                <w:color w:val="auto"/>
              </w:rPr>
            </w:pPr>
          </w:p>
        </w:tc>
        <w:tc>
          <w:tcPr>
            <w:tcW w:w="40" w:type="dxa"/>
            <w:vAlign w:val="bottom"/>
            <w:tcBorders>
              <w:bottom w:val="single" w:sz="8" w:color="DBE2E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BE2EF"/>
            </w:tcBorders>
            <w:gridSpan w:val="2"/>
          </w:tcPr>
          <w:p>
            <w:pPr>
              <w:spacing w:after="0"/>
              <w:rPr>
                <w:sz w:val="15"/>
                <w:szCs w:val="15"/>
                <w:color w:val="auto"/>
              </w:rPr>
            </w:pPr>
          </w:p>
        </w:tc>
        <w:tc>
          <w:tcPr>
            <w:tcW w:w="480" w:type="dxa"/>
            <w:vAlign w:val="bottom"/>
            <w:tcBorders>
              <w:bottom w:val="single" w:sz="8" w:color="DBE2EF"/>
            </w:tcBorders>
          </w:tcPr>
          <w:p>
            <w:pPr>
              <w:spacing w:after="0"/>
              <w:rPr>
                <w:sz w:val="15"/>
                <w:szCs w:val="15"/>
                <w:color w:val="auto"/>
              </w:rPr>
            </w:pPr>
          </w:p>
        </w:tc>
        <w:tc>
          <w:tcPr>
            <w:tcW w:w="100" w:type="dxa"/>
            <w:vAlign w:val="bottom"/>
            <w:tcBorders>
              <w:bottom w:val="single" w:sz="8" w:color="DBE2E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BE2EF"/>
            </w:tcBorders>
          </w:tcPr>
          <w:p>
            <w:pPr>
              <w:spacing w:after="0"/>
              <w:rPr>
                <w:sz w:val="15"/>
                <w:szCs w:val="15"/>
                <w:color w:val="auto"/>
              </w:rPr>
            </w:pPr>
          </w:p>
        </w:tc>
        <w:tc>
          <w:tcPr>
            <w:tcW w:w="100" w:type="dxa"/>
            <w:vAlign w:val="bottom"/>
            <w:tcBorders>
              <w:bottom w:val="single" w:sz="8" w:color="DBE2EF"/>
            </w:tcBorders>
          </w:tcPr>
          <w:p>
            <w:pPr>
              <w:spacing w:after="0"/>
              <w:rPr>
                <w:sz w:val="15"/>
                <w:szCs w:val="15"/>
                <w:color w:val="auto"/>
              </w:rPr>
            </w:pPr>
          </w:p>
        </w:tc>
        <w:tc>
          <w:tcPr>
            <w:tcW w:w="440" w:type="dxa"/>
            <w:vAlign w:val="bottom"/>
            <w:tcBorders>
              <w:bottom w:val="single" w:sz="8" w:color="DBE2EF"/>
            </w:tcBorders>
          </w:tcPr>
          <w:p>
            <w:pPr>
              <w:spacing w:after="0"/>
              <w:rPr>
                <w:sz w:val="15"/>
                <w:szCs w:val="15"/>
                <w:color w:val="auto"/>
              </w:rPr>
            </w:pPr>
          </w:p>
        </w:tc>
        <w:tc>
          <w:tcPr>
            <w:tcW w:w="100" w:type="dxa"/>
            <w:vAlign w:val="bottom"/>
            <w:tcBorders>
              <w:bottom w:val="single" w:sz="8" w:color="DBE2E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BE2E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00" w:type="dxa"/>
            <w:vAlign w:val="bottom"/>
            <w:shd w:val="clear" w:color="auto" w:fill="DBE2EF"/>
          </w:tcPr>
          <w:p>
            <w:pPr>
              <w:ind w:left="300"/>
              <w:spacing w:after="0"/>
              <w:rPr>
                <w:sz w:val="20"/>
                <w:szCs w:val="20"/>
                <w:color w:val="auto"/>
              </w:rPr>
            </w:pPr>
            <w:r>
              <w:rPr>
                <w:rFonts w:ascii="Arial" w:cs="Arial" w:eastAsia="Arial" w:hAnsi="Arial"/>
                <w:sz w:val="14"/>
                <w:szCs w:val="14"/>
                <w:b w:val="1"/>
                <w:bCs w:val="1"/>
                <w:color w:val="auto"/>
              </w:rPr>
              <w:t>Total Equity</w:t>
            </w:r>
          </w:p>
        </w:tc>
        <w:tc>
          <w:tcPr>
            <w:tcW w:w="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11,548</w:t>
            </w:r>
          </w:p>
        </w:tc>
        <w:tc>
          <w:tcPr>
            <w:tcW w:w="12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00" w:type="dxa"/>
            <w:vAlign w:val="bottom"/>
            <w:shd w:val="clear" w:color="auto" w:fill="DBE2EF"/>
          </w:tcPr>
          <w:p>
            <w:pPr>
              <w:spacing w:after="0"/>
              <w:rPr>
                <w:sz w:val="14"/>
                <w:szCs w:val="14"/>
                <w:color w:val="auto"/>
              </w:rPr>
            </w:pP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496</w:t>
            </w:r>
          </w:p>
        </w:tc>
        <w:tc>
          <w:tcPr>
            <w:tcW w:w="60" w:type="dxa"/>
            <w:vAlign w:val="bottom"/>
            <w:shd w:val="clear" w:color="auto" w:fill="DBE2EF"/>
          </w:tcPr>
          <w:p>
            <w:pPr>
              <w:spacing w:after="0"/>
              <w:rPr>
                <w:sz w:val="14"/>
                <w:szCs w:val="14"/>
                <w:color w:val="auto"/>
              </w:rPr>
            </w:pPr>
          </w:p>
        </w:tc>
        <w:tc>
          <w:tcPr>
            <w:tcW w:w="40" w:type="dxa"/>
            <w:vAlign w:val="bottom"/>
            <w:shd w:val="clear" w:color="auto" w:fill="DBE2EF"/>
          </w:tcPr>
          <w:p>
            <w:pPr>
              <w:spacing w:after="0"/>
              <w:rPr>
                <w:sz w:val="14"/>
                <w:szCs w:val="14"/>
                <w:color w:val="auto"/>
              </w:rPr>
            </w:pPr>
          </w:p>
        </w:tc>
        <w:tc>
          <w:tcPr>
            <w:tcW w:w="1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5,296</w:t>
            </w:r>
          </w:p>
        </w:tc>
        <w:tc>
          <w:tcPr>
            <w:tcW w:w="10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540" w:type="dxa"/>
            <w:vAlign w:val="bottom"/>
            <w:gridSpan w:val="2"/>
            <w:shd w:val="clear" w:color="auto" w:fill="DBE2EF"/>
          </w:tcPr>
          <w:p>
            <w:pPr>
              <w:ind w:lef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4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17,340</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DBE2EF"/>
          </w:tcPr>
          <w:p>
            <w:pPr>
              <w:spacing w:after="0"/>
              <w:rPr>
                <w:sz w:val="20"/>
                <w:szCs w:val="20"/>
                <w:color w:val="auto"/>
              </w:rPr>
            </w:pPr>
            <w:r>
              <w:rPr>
                <w:rFonts w:ascii="Arial" w:cs="Arial" w:eastAsia="Arial" w:hAnsi="Arial"/>
                <w:sz w:val="14"/>
                <w:szCs w:val="14"/>
                <w:b w:val="1"/>
                <w:bCs w:val="1"/>
                <w:color w:val="auto"/>
              </w:rPr>
              <w:t>Total Liabilities and Equity</w:t>
            </w:r>
          </w:p>
        </w:tc>
        <w:tc>
          <w:tcPr>
            <w:tcW w:w="80" w:type="dxa"/>
            <w:vAlign w:val="bottom"/>
            <w:shd w:val="clear" w:color="auto" w:fill="DBE2EF"/>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21,305</w:t>
            </w:r>
          </w:p>
        </w:tc>
        <w:tc>
          <w:tcPr>
            <w:tcW w:w="200" w:type="dxa"/>
            <w:vAlign w:val="bottom"/>
            <w:gridSpan w:val="2"/>
            <w:shd w:val="clear" w:color="auto" w:fill="DBE2EF"/>
          </w:tcPr>
          <w:p>
            <w:pPr>
              <w:ind w:left="1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DBE2EF"/>
          </w:tcPr>
          <w:p>
            <w:pPr>
              <w:spacing w:after="0"/>
              <w:rPr>
                <w:sz w:val="16"/>
                <w:szCs w:val="16"/>
                <w:color w:val="auto"/>
              </w:rPr>
            </w:pPr>
          </w:p>
        </w:tc>
        <w:tc>
          <w:tcPr>
            <w:tcW w:w="100" w:type="dxa"/>
            <w:vAlign w:val="bottom"/>
            <w:shd w:val="clear" w:color="auto" w:fill="DBE2E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6"/>
                <w:szCs w:val="16"/>
                <w:color w:val="auto"/>
              </w:rPr>
            </w:pPr>
          </w:p>
        </w:tc>
        <w:tc>
          <w:tcPr>
            <w:tcW w:w="400" w:type="dxa"/>
            <w:vAlign w:val="bottom"/>
            <w:shd w:val="clear" w:color="auto" w:fill="DBE2EF"/>
          </w:tcPr>
          <w:p>
            <w:pPr>
              <w:spacing w:after="0"/>
              <w:rPr>
                <w:sz w:val="16"/>
                <w:szCs w:val="16"/>
                <w:color w:val="auto"/>
              </w:rPr>
            </w:pPr>
          </w:p>
        </w:tc>
        <w:tc>
          <w:tcPr>
            <w:tcW w:w="300" w:type="dxa"/>
            <w:vAlign w:val="bottom"/>
            <w:gridSpan w:val="2"/>
            <w:shd w:val="clear" w:color="auto" w:fill="DBE2E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1,830</w:t>
            </w:r>
          </w:p>
        </w:tc>
        <w:tc>
          <w:tcPr>
            <w:tcW w:w="60" w:type="dxa"/>
            <w:vAlign w:val="bottom"/>
            <w:shd w:val="clear" w:color="auto" w:fill="DBE2EF"/>
          </w:tcPr>
          <w:p>
            <w:pPr>
              <w:spacing w:after="0"/>
              <w:rPr>
                <w:sz w:val="16"/>
                <w:szCs w:val="16"/>
                <w:color w:val="auto"/>
              </w:rPr>
            </w:pPr>
          </w:p>
        </w:tc>
        <w:tc>
          <w:tcPr>
            <w:tcW w:w="200" w:type="dxa"/>
            <w:vAlign w:val="bottom"/>
            <w:gridSpan w:val="2"/>
            <w:shd w:val="clear" w:color="auto" w:fill="DBE2EF"/>
          </w:tcPr>
          <w:p>
            <w:pPr>
              <w:ind w:left="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6,820</w:t>
            </w:r>
          </w:p>
        </w:tc>
        <w:tc>
          <w:tcPr>
            <w:tcW w:w="100" w:type="dxa"/>
            <w:vAlign w:val="bottom"/>
            <w:shd w:val="clear" w:color="auto" w:fill="DBE2EF"/>
          </w:tcPr>
          <w:p>
            <w:pPr>
              <w:spacing w:after="0"/>
              <w:rPr>
                <w:sz w:val="16"/>
                <w:szCs w:val="16"/>
                <w:color w:val="auto"/>
              </w:rPr>
            </w:pPr>
          </w:p>
        </w:tc>
        <w:tc>
          <w:tcPr>
            <w:tcW w:w="480" w:type="dxa"/>
            <w:vAlign w:val="bottom"/>
            <w:shd w:val="clear" w:color="auto" w:fill="DBE2EF"/>
          </w:tcPr>
          <w:p>
            <w:pPr>
              <w:spacing w:after="0"/>
              <w:rPr>
                <w:sz w:val="16"/>
                <w:szCs w:val="16"/>
                <w:color w:val="auto"/>
              </w:rPr>
            </w:pPr>
          </w:p>
        </w:tc>
        <w:tc>
          <w:tcPr>
            <w:tcW w:w="100" w:type="dxa"/>
            <w:vAlign w:val="bottom"/>
            <w:shd w:val="clear" w:color="auto" w:fill="DBE2EF"/>
          </w:tcPr>
          <w:p>
            <w:pPr>
              <w:spacing w:after="0"/>
              <w:rPr>
                <w:sz w:val="16"/>
                <w:szCs w:val="16"/>
                <w:color w:val="auto"/>
              </w:rPr>
            </w:pPr>
          </w:p>
        </w:tc>
        <w:tc>
          <w:tcPr>
            <w:tcW w:w="14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DBE2EF"/>
          </w:tcPr>
          <w:p>
            <w:pPr>
              <w:ind w:left="60"/>
              <w:spacing w:after="0"/>
              <w:rPr>
                <w:sz w:val="20"/>
                <w:szCs w:val="20"/>
                <w:color w:val="auto"/>
              </w:rPr>
            </w:pPr>
            <w:r>
              <w:rPr>
                <w:rFonts w:ascii="Arial" w:cs="Arial" w:eastAsia="Arial" w:hAnsi="Arial"/>
                <w:sz w:val="14"/>
                <w:szCs w:val="14"/>
                <w:color w:val="auto"/>
              </w:rPr>
              <w:t>7,028</w:t>
            </w:r>
          </w:p>
        </w:tc>
        <w:tc>
          <w:tcPr>
            <w:tcW w:w="100" w:type="dxa"/>
            <w:vAlign w:val="bottom"/>
            <w:shd w:val="clear" w:color="auto" w:fill="DBE2EF"/>
          </w:tcPr>
          <w:p>
            <w:pPr>
              <w:spacing w:after="0"/>
              <w:rPr>
                <w:sz w:val="16"/>
                <w:szCs w:val="16"/>
                <w:color w:val="auto"/>
              </w:rPr>
            </w:pPr>
          </w:p>
        </w:tc>
        <w:tc>
          <w:tcPr>
            <w:tcW w:w="440" w:type="dxa"/>
            <w:vAlign w:val="bottom"/>
            <w:shd w:val="clear" w:color="auto" w:fill="DBE2EF"/>
          </w:tcPr>
          <w:p>
            <w:pPr>
              <w:spacing w:after="0"/>
              <w:rPr>
                <w:sz w:val="16"/>
                <w:szCs w:val="16"/>
                <w:color w:val="auto"/>
              </w:rPr>
            </w:pPr>
          </w:p>
        </w:tc>
        <w:tc>
          <w:tcPr>
            <w:tcW w:w="200" w:type="dxa"/>
            <w:vAlign w:val="bottom"/>
            <w:gridSpan w:val="2"/>
            <w:shd w:val="clear" w:color="auto" w:fill="DBE2EF"/>
          </w:tcPr>
          <w:p>
            <w:pPr>
              <w:ind w:left="1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36,983</w:t>
            </w:r>
          </w:p>
        </w:tc>
        <w:tc>
          <w:tcPr>
            <w:tcW w:w="0" w:type="dxa"/>
            <w:vAlign w:val="bottom"/>
          </w:tcPr>
          <w:p>
            <w:pPr>
              <w:spacing w:after="0"/>
              <w:rPr>
                <w:sz w:val="1"/>
                <w:szCs w:val="1"/>
                <w:color w:val="auto"/>
              </w:rPr>
            </w:pPr>
          </w:p>
        </w:tc>
      </w:tr>
      <w:tr>
        <w:trPr>
          <w:trHeight w:val="20"/>
        </w:trPr>
        <w:tc>
          <w:tcPr>
            <w:tcW w:w="4000" w:type="dxa"/>
            <w:vAlign w:val="bottom"/>
            <w:tcBorders>
              <w:top w:val="single" w:sz="8" w:color="DBE2E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40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BE2EF"/>
            </w:tcBorders>
          </w:tcPr>
          <w:p>
            <w:pPr>
              <w:spacing w:after="0" w:line="20" w:lineRule="exact"/>
              <w:rPr>
                <w:sz w:val="1"/>
                <w:szCs w:val="1"/>
                <w:color w:val="auto"/>
              </w:rPr>
            </w:pPr>
          </w:p>
        </w:tc>
        <w:tc>
          <w:tcPr>
            <w:tcW w:w="60" w:type="dxa"/>
            <w:vAlign w:val="bottom"/>
            <w:tcBorders>
              <w:top w:val="single" w:sz="8" w:color="DBE2EF"/>
            </w:tcBorders>
          </w:tcPr>
          <w:p>
            <w:pPr>
              <w:spacing w:after="0" w:line="20" w:lineRule="exact"/>
              <w:rPr>
                <w:sz w:val="1"/>
                <w:szCs w:val="1"/>
                <w:color w:val="auto"/>
              </w:rPr>
            </w:pPr>
          </w:p>
        </w:tc>
        <w:tc>
          <w:tcPr>
            <w:tcW w:w="40" w:type="dxa"/>
            <w:vAlign w:val="bottom"/>
            <w:tcBorders>
              <w:top w:val="single" w:sz="8" w:color="DB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48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44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2026</w:t>
      </w: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Lhoist North</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Lhoist North</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America,</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America, Inc.</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Martin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Inc. and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Transaction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Marietta</w:t>
            </w:r>
          </w:p>
        </w:tc>
        <w:tc>
          <w:tcPr>
            <w:tcW w:w="10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Reclassifi-</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Accounting</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cations</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(Reclassified)</w:t>
            </w:r>
          </w:p>
        </w:tc>
        <w:tc>
          <w:tcPr>
            <w:tcW w:w="1080" w:type="dxa"/>
            <w:vAlign w:val="bottom"/>
            <w:gridSpan w:val="5"/>
          </w:tcPr>
          <w:p>
            <w:pPr>
              <w:ind w:left="10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55"/>
        </w:trPr>
        <w:tc>
          <w:tcPr>
            <w:tcW w:w="444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Revenues/Sales</w:t>
            </w:r>
          </w:p>
        </w:tc>
        <w:tc>
          <w:tcPr>
            <w:tcW w:w="12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shd w:val="clear" w:color="auto" w:fill="DBE2EF"/>
          </w:tcPr>
          <w:p>
            <w:pPr>
              <w:jc w:val="right"/>
              <w:ind w:right="120"/>
              <w:spacing w:after="0" w:line="155" w:lineRule="exact"/>
              <w:rPr>
                <w:sz w:val="20"/>
                <w:szCs w:val="20"/>
                <w:color w:val="auto"/>
              </w:rPr>
            </w:pPr>
            <w:r>
              <w:rPr>
                <w:rFonts w:ascii="Arial" w:cs="Arial" w:eastAsia="Arial" w:hAnsi="Arial"/>
                <w:sz w:val="14"/>
                <w:szCs w:val="14"/>
                <w:color w:val="auto"/>
              </w:rPr>
              <w:t>3,309</w:t>
            </w: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DBE2EF"/>
          </w:tcPr>
          <w:p>
            <w:pPr>
              <w:jc w:val="right"/>
              <w:ind w:right="100"/>
              <w:spacing w:after="0" w:line="155" w:lineRule="exact"/>
              <w:rPr>
                <w:sz w:val="20"/>
                <w:szCs w:val="20"/>
                <w:color w:val="auto"/>
              </w:rPr>
            </w:pPr>
            <w:r>
              <w:rPr>
                <w:rFonts w:ascii="Arial" w:cs="Arial" w:eastAsia="Arial" w:hAnsi="Arial"/>
                <w:sz w:val="14"/>
                <w:szCs w:val="14"/>
                <w:color w:val="auto"/>
              </w:rPr>
              <w:t>905</w:t>
            </w:r>
          </w:p>
        </w:tc>
        <w:tc>
          <w:tcPr>
            <w:tcW w:w="10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DBE2EF"/>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shd w:val="clear" w:color="auto" w:fill="DBE2EF"/>
          </w:tcPr>
          <w:p>
            <w:pPr>
              <w:jc w:val="right"/>
              <w:ind w:right="140"/>
              <w:spacing w:after="0" w:line="155" w:lineRule="exact"/>
              <w:rPr>
                <w:sz w:val="20"/>
                <w:szCs w:val="20"/>
                <w:color w:val="auto"/>
              </w:rPr>
            </w:pPr>
            <w:r>
              <w:rPr>
                <w:rFonts w:ascii="Arial" w:cs="Arial" w:eastAsia="Arial" w:hAnsi="Arial"/>
                <w:sz w:val="14"/>
                <w:szCs w:val="14"/>
                <w:color w:val="auto"/>
              </w:rPr>
              <w:t>905</w:t>
            </w:r>
          </w:p>
        </w:tc>
        <w:tc>
          <w:tcPr>
            <w:tcW w:w="10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DBE2EF"/>
          </w:tcPr>
          <w:p>
            <w:pPr>
              <w:jc w:val="right"/>
              <w:ind w:right="39"/>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DBE2EF"/>
            </w:tcBorders>
            <w:shd w:val="clear" w:color="auto" w:fill="DBE2EF"/>
          </w:tcPr>
          <w:p>
            <w:pPr>
              <w:spacing w:after="0"/>
              <w:rPr>
                <w:sz w:val="13"/>
                <w:szCs w:val="13"/>
                <w:color w:val="auto"/>
              </w:rPr>
            </w:pPr>
          </w:p>
        </w:tc>
        <w:tc>
          <w:tcPr>
            <w:tcW w:w="420" w:type="dxa"/>
            <w:vAlign w:val="bottom"/>
            <w:tcBorders>
              <w:top w:val="single" w:sz="8" w:color="auto"/>
            </w:tcBorders>
            <w:shd w:val="clear" w:color="auto" w:fill="DBE2EF"/>
          </w:tcPr>
          <w:p>
            <w:pPr>
              <w:jc w:val="center"/>
              <w:spacing w:after="0" w:line="155" w:lineRule="exact"/>
              <w:rPr>
                <w:sz w:val="20"/>
                <w:szCs w:val="20"/>
                <w:color w:val="auto"/>
              </w:rPr>
            </w:pPr>
            <w:r>
              <w:rPr>
                <w:rFonts w:ascii="Arial" w:cs="Arial" w:eastAsia="Arial" w:hAnsi="Arial"/>
                <w:sz w:val="14"/>
                <w:szCs w:val="14"/>
                <w:i w:val="1"/>
                <w:iCs w:val="1"/>
                <w:color w:val="auto"/>
              </w:rPr>
              <w:t>(b)</w:t>
            </w: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DBE2EF"/>
          </w:tcPr>
          <w:p>
            <w:pPr>
              <w:jc w:val="right"/>
              <w:ind w:right="100"/>
              <w:spacing w:after="0" w:line="155" w:lineRule="exact"/>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155"/>
        </w:trPr>
        <w:tc>
          <w:tcPr>
            <w:tcW w:w="4440" w:type="dxa"/>
            <w:vAlign w:val="bottom"/>
            <w:vMerge w:val="restart"/>
          </w:tcPr>
          <w:p>
            <w:pPr>
              <w:spacing w:after="0"/>
              <w:rPr>
                <w:sz w:val="20"/>
                <w:szCs w:val="20"/>
                <w:color w:val="auto"/>
              </w:rPr>
            </w:pPr>
            <w:r>
              <w:rPr>
                <w:rFonts w:ascii="Arial" w:cs="Arial" w:eastAsia="Arial" w:hAnsi="Arial"/>
                <w:sz w:val="14"/>
                <w:szCs w:val="14"/>
                <w:color w:val="auto"/>
              </w:rPr>
              <w:t>Cost of revenues/sales</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3"/>
                <w:szCs w:val="13"/>
                <w:color w:val="auto"/>
              </w:rPr>
            </w:pPr>
          </w:p>
        </w:tc>
        <w:tc>
          <w:tcPr>
            <w:tcW w:w="4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(b),</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69"/>
        </w:trPr>
        <w:tc>
          <w:tcPr>
            <w:tcW w:w="4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i w:val="1"/>
                <w:iCs w:val="1"/>
                <w:color w:val="auto"/>
              </w:rPr>
              <w:t>(d)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Gross Profit</w:t>
            </w:r>
          </w:p>
        </w:tc>
        <w:tc>
          <w:tcPr>
            <w:tcW w:w="120" w:type="dxa"/>
            <w:vAlign w:val="bottom"/>
            <w:tcBorders>
              <w:top w:val="single" w:sz="8" w:color="auto"/>
            </w:tcBorders>
            <w:shd w:val="clear" w:color="auto" w:fill="DBE2EF"/>
          </w:tcPr>
          <w:p>
            <w:pPr>
              <w:spacing w:after="0"/>
              <w:rPr>
                <w:sz w:val="13"/>
                <w:szCs w:val="13"/>
                <w:color w:val="auto"/>
              </w:rPr>
            </w:pPr>
          </w:p>
        </w:tc>
        <w:tc>
          <w:tcPr>
            <w:tcW w:w="64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805</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6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419</w:t>
            </w: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tcBorders>
            <w:shd w:val="clear" w:color="auto" w:fill="DBE2EF"/>
          </w:tcPr>
          <w:p>
            <w:pPr>
              <w:spacing w:after="0"/>
              <w:rPr>
                <w:sz w:val="13"/>
                <w:szCs w:val="13"/>
                <w:color w:val="auto"/>
              </w:rPr>
            </w:pPr>
          </w:p>
        </w:tc>
        <w:tc>
          <w:tcPr>
            <w:tcW w:w="700" w:type="dxa"/>
            <w:vAlign w:val="bottom"/>
            <w:tcBorders>
              <w:top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spacing w:after="0"/>
              <w:rPr>
                <w:sz w:val="13"/>
                <w:szCs w:val="13"/>
                <w:color w:val="auto"/>
              </w:rPr>
            </w:pPr>
          </w:p>
        </w:tc>
        <w:tc>
          <w:tcPr>
            <w:tcW w:w="6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419</w:t>
            </w:r>
          </w:p>
        </w:tc>
        <w:tc>
          <w:tcPr>
            <w:tcW w:w="1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(94)</w:t>
            </w:r>
          </w:p>
        </w:tc>
        <w:tc>
          <w:tcPr>
            <w:tcW w:w="1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1,130</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Selling, general &amp; administrative expenses</w:t>
            </w: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7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92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4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2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20"/>
                <w:szCs w:val="20"/>
                <w:color w:val="auto"/>
              </w:rPr>
            </w:pPr>
            <w:r>
              <w:rPr>
                <w:rFonts w:ascii="Arial" w:cs="Arial" w:eastAsia="Arial" w:hAnsi="Arial"/>
                <w:sz w:val="14"/>
                <w:szCs w:val="14"/>
                <w:color w:val="auto"/>
              </w:rPr>
              <w:t>Acquisition, divestiture and integration expenses</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Other operating (income), net</w:t>
            </w: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80" w:type="dxa"/>
            <w:vAlign w:val="bottom"/>
            <w:gridSpan w:val="3"/>
            <w:shd w:val="clear" w:color="auto" w:fill="DBE2E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DBE2EF"/>
          </w:tcPr>
          <w:p>
            <w:pPr>
              <w:spacing w:after="0"/>
              <w:rPr>
                <w:sz w:val="14"/>
                <w:szCs w:val="14"/>
                <w:color w:val="auto"/>
              </w:rPr>
            </w:pPr>
          </w:p>
        </w:tc>
        <w:tc>
          <w:tcPr>
            <w:tcW w:w="80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4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2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Royalty (income)</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44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Earnings from Operations</w:t>
            </w:r>
          </w:p>
        </w:tc>
        <w:tc>
          <w:tcPr>
            <w:tcW w:w="120" w:type="dxa"/>
            <w:vAlign w:val="bottom"/>
            <w:tcBorders>
              <w:top w:val="single" w:sz="8" w:color="auto"/>
            </w:tcBorders>
            <w:shd w:val="clear" w:color="auto" w:fill="DBE2EF"/>
          </w:tcPr>
          <w:p>
            <w:pPr>
              <w:spacing w:after="0"/>
              <w:rPr>
                <w:sz w:val="13"/>
                <w:szCs w:val="13"/>
                <w:color w:val="auto"/>
              </w:rPr>
            </w:pPr>
          </w:p>
        </w:tc>
        <w:tc>
          <w:tcPr>
            <w:tcW w:w="64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533</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6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340</w:t>
            </w:r>
          </w:p>
        </w:tc>
        <w:tc>
          <w:tcPr>
            <w:tcW w:w="1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80" w:type="dxa"/>
            <w:vAlign w:val="bottom"/>
            <w:tcBorders>
              <w:top w:val="single" w:sz="8" w:color="auto"/>
            </w:tcBorders>
            <w:shd w:val="clear" w:color="auto" w:fill="DBE2EF"/>
          </w:tcPr>
          <w:p>
            <w:pPr>
              <w:spacing w:after="0"/>
              <w:rPr>
                <w:sz w:val="13"/>
                <w:szCs w:val="13"/>
                <w:color w:val="auto"/>
              </w:rPr>
            </w:pPr>
          </w:p>
        </w:tc>
        <w:tc>
          <w:tcPr>
            <w:tcW w:w="700" w:type="dxa"/>
            <w:vAlign w:val="bottom"/>
            <w:tcBorders>
              <w:top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0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spacing w:after="0"/>
              <w:rPr>
                <w:sz w:val="13"/>
                <w:szCs w:val="13"/>
                <w:color w:val="auto"/>
              </w:rPr>
            </w:pPr>
          </w:p>
        </w:tc>
        <w:tc>
          <w:tcPr>
            <w:tcW w:w="6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340</w:t>
            </w:r>
          </w:p>
        </w:tc>
        <w:tc>
          <w:tcPr>
            <w:tcW w:w="14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(94)</w:t>
            </w:r>
          </w:p>
        </w:tc>
        <w:tc>
          <w:tcPr>
            <w:tcW w:w="1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779</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7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80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40" w:type="dxa"/>
            <w:vAlign w:val="bottom"/>
            <w:gridSpan w:val="2"/>
            <w:shd w:val="clear" w:color="auto" w:fill="DBE2E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2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440" w:type="dxa"/>
            <w:vAlign w:val="bottom"/>
            <w:vMerge w:val="restart"/>
          </w:tcPr>
          <w:p>
            <w:pPr>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3"/>
                <w:szCs w:val="13"/>
                <w:color w:val="auto"/>
              </w:rPr>
            </w:pPr>
          </w:p>
        </w:tc>
        <w:tc>
          <w:tcPr>
            <w:tcW w:w="4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69"/>
        </w:trPr>
        <w:tc>
          <w:tcPr>
            <w:tcW w:w="4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i w:val="1"/>
                <w:iCs w:val="1"/>
                <w:color w:val="auto"/>
              </w:rPr>
              <w:t>(j)</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Other nonoperating (income)/expense, net</w:t>
            </w:r>
          </w:p>
        </w:tc>
        <w:tc>
          <w:tcPr>
            <w:tcW w:w="120" w:type="dxa"/>
            <w:vAlign w:val="bottom"/>
            <w:shd w:val="clear" w:color="auto" w:fill="DBE2EF"/>
          </w:tcPr>
          <w:p>
            <w:pPr>
              <w:spacing w:after="0"/>
              <w:rPr>
                <w:sz w:val="15"/>
                <w:szCs w:val="15"/>
                <w:color w:val="auto"/>
              </w:rPr>
            </w:pPr>
          </w:p>
        </w:tc>
        <w:tc>
          <w:tcPr>
            <w:tcW w:w="76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7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E2EF"/>
          </w:tcPr>
          <w:p>
            <w:pPr>
              <w:spacing w:after="0"/>
              <w:rPr>
                <w:sz w:val="15"/>
                <w:szCs w:val="15"/>
                <w:color w:val="auto"/>
              </w:rPr>
            </w:pPr>
          </w:p>
        </w:tc>
        <w:tc>
          <w:tcPr>
            <w:tcW w:w="80" w:type="dxa"/>
            <w:vAlign w:val="bottom"/>
            <w:shd w:val="clear" w:color="auto" w:fill="DBE2EF"/>
          </w:tcPr>
          <w:p>
            <w:pPr>
              <w:spacing w:after="0"/>
              <w:rPr>
                <w:sz w:val="15"/>
                <w:szCs w:val="15"/>
                <w:color w:val="auto"/>
              </w:rPr>
            </w:pPr>
          </w:p>
        </w:tc>
        <w:tc>
          <w:tcPr>
            <w:tcW w:w="80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shd w:val="clear" w:color="auto" w:fill="DBE2EF"/>
          </w:tcPr>
          <w:p>
            <w:pPr>
              <w:spacing w:after="0"/>
              <w:rPr>
                <w:sz w:val="15"/>
                <w:szCs w:val="15"/>
                <w:color w:val="auto"/>
              </w:rPr>
            </w:pPr>
          </w:p>
        </w:tc>
        <w:tc>
          <w:tcPr>
            <w:tcW w:w="40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5"/>
                <w:szCs w:val="15"/>
                <w:color w:val="auto"/>
              </w:rPr>
            </w:pPr>
          </w:p>
        </w:tc>
        <w:tc>
          <w:tcPr>
            <w:tcW w:w="220" w:type="dxa"/>
            <w:vAlign w:val="bottom"/>
            <w:shd w:val="clear" w:color="auto" w:fill="DBE2EF"/>
          </w:tcPr>
          <w:p>
            <w:pPr>
              <w:spacing w:after="0"/>
              <w:rPr>
                <w:sz w:val="15"/>
                <w:szCs w:val="15"/>
                <w:color w:val="auto"/>
              </w:rPr>
            </w:pPr>
          </w:p>
        </w:tc>
        <w:tc>
          <w:tcPr>
            <w:tcW w:w="74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E2EF"/>
          </w:tcPr>
          <w:p>
            <w:pPr>
              <w:spacing w:after="0"/>
              <w:rPr>
                <w:sz w:val="15"/>
                <w:szCs w:val="15"/>
                <w:color w:val="auto"/>
              </w:rPr>
            </w:pPr>
          </w:p>
        </w:tc>
        <w:tc>
          <w:tcPr>
            <w:tcW w:w="260" w:type="dxa"/>
            <w:vAlign w:val="bottom"/>
            <w:shd w:val="clear" w:color="auto" w:fill="DBE2EF"/>
          </w:tcPr>
          <w:p>
            <w:pPr>
              <w:spacing w:after="0"/>
              <w:rPr>
                <w:sz w:val="15"/>
                <w:szCs w:val="15"/>
                <w:color w:val="auto"/>
              </w:rPr>
            </w:pPr>
          </w:p>
        </w:tc>
        <w:tc>
          <w:tcPr>
            <w:tcW w:w="72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DBE2EF"/>
          </w:tcPr>
          <w:p>
            <w:pPr>
              <w:spacing w:after="0"/>
              <w:rPr>
                <w:sz w:val="15"/>
                <w:szCs w:val="15"/>
                <w:color w:val="auto"/>
              </w:rPr>
            </w:pPr>
          </w:p>
        </w:tc>
        <w:tc>
          <w:tcPr>
            <w:tcW w:w="120" w:type="dxa"/>
            <w:vAlign w:val="bottom"/>
            <w:shd w:val="clear" w:color="auto" w:fill="DBE2EF"/>
          </w:tcPr>
          <w:p>
            <w:pPr>
              <w:spacing w:after="0"/>
              <w:rPr>
                <w:sz w:val="15"/>
                <w:szCs w:val="15"/>
                <w:color w:val="auto"/>
              </w:rPr>
            </w:pPr>
          </w:p>
        </w:tc>
        <w:tc>
          <w:tcPr>
            <w:tcW w:w="180" w:type="dxa"/>
            <w:vAlign w:val="bottom"/>
            <w:shd w:val="clear" w:color="auto" w:fill="DBE2EF"/>
          </w:tcPr>
          <w:p>
            <w:pPr>
              <w:spacing w:after="0"/>
              <w:rPr>
                <w:sz w:val="15"/>
                <w:szCs w:val="15"/>
                <w:color w:val="auto"/>
              </w:rPr>
            </w:pPr>
          </w:p>
        </w:tc>
        <w:tc>
          <w:tcPr>
            <w:tcW w:w="5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4440" w:type="dxa"/>
            <w:vAlign w:val="bottom"/>
          </w:tcPr>
          <w:p>
            <w:pPr>
              <w:spacing w:after="0" w:line="155" w:lineRule="exact"/>
              <w:rPr>
                <w:sz w:val="20"/>
                <w:szCs w:val="20"/>
                <w:color w:val="auto"/>
              </w:rPr>
            </w:pPr>
            <w:r>
              <w:rPr>
                <w:rFonts w:ascii="Arial" w:cs="Arial" w:eastAsia="Arial" w:hAnsi="Arial"/>
                <w:sz w:val="14"/>
                <w:szCs w:val="14"/>
                <w:color w:val="auto"/>
              </w:rPr>
              <w:t>Earnings from continuing operations before income tax expense</w:t>
            </w: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64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i w:val="1"/>
                <w:iCs w:val="1"/>
                <w:color w:val="auto"/>
              </w:rPr>
              <w:t>(h)</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DBE2EF"/>
          </w:tcPr>
          <w:p>
            <w:pPr>
              <w:spacing w:after="0"/>
              <w:rPr>
                <w:sz w:val="20"/>
                <w:szCs w:val="20"/>
                <w:color w:val="auto"/>
              </w:rPr>
            </w:pPr>
            <w:r>
              <w:rPr>
                <w:rFonts w:ascii="Arial" w:cs="Arial" w:eastAsia="Arial" w:hAnsi="Arial"/>
                <w:sz w:val="14"/>
                <w:szCs w:val="14"/>
                <w:color w:val="auto"/>
              </w:rPr>
              <w:t>Earnings from continuing operations</w:t>
            </w: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40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DBE2EF"/>
          </w:tcPr>
          <w:p>
            <w:pPr>
              <w:jc w:val="right"/>
              <w:ind w:right="3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DBE2EF"/>
          </w:tcPr>
          <w:p>
            <w:pPr>
              <w:spacing w:after="0" w:line="20" w:lineRule="exact"/>
              <w:rPr>
                <w:sz w:val="1"/>
                <w:szCs w:val="1"/>
                <w:color w:val="auto"/>
              </w:rPr>
            </w:pPr>
          </w:p>
        </w:tc>
        <w:tc>
          <w:tcPr>
            <w:tcW w:w="42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vMerge w:val="continue"/>
            <w:shd w:val="clear" w:color="auto" w:fill="DBE2EF"/>
          </w:tcPr>
          <w:p>
            <w:pPr>
              <w:spacing w:after="0"/>
              <w:rPr>
                <w:sz w:val="14"/>
                <w:szCs w:val="14"/>
                <w:color w:val="auto"/>
              </w:rPr>
            </w:pPr>
          </w:p>
        </w:tc>
        <w:tc>
          <w:tcPr>
            <w:tcW w:w="12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336</w:t>
            </w:r>
          </w:p>
        </w:tc>
        <w:tc>
          <w:tcPr>
            <w:tcW w:w="200" w:type="dxa"/>
            <w:vAlign w:val="bottom"/>
            <w:gridSpan w:val="2"/>
            <w:shd w:val="clear" w:color="auto" w:fill="DBE2E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E2EF"/>
          </w:tcPr>
          <w:p>
            <w:pPr>
              <w:spacing w:after="0"/>
              <w:rPr>
                <w:sz w:val="14"/>
                <w:szCs w:val="14"/>
                <w:color w:val="auto"/>
              </w:rPr>
            </w:pPr>
          </w:p>
        </w:tc>
        <w:tc>
          <w:tcPr>
            <w:tcW w:w="320" w:type="dxa"/>
            <w:vAlign w:val="bottom"/>
            <w:gridSpan w:val="2"/>
            <w:shd w:val="clear" w:color="auto" w:fill="DBE2E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DBE2EF"/>
          </w:tcPr>
          <w:p>
            <w:pPr>
              <w:jc w:val="right"/>
              <w:ind w:right="140"/>
              <w:spacing w:after="0"/>
              <w:rPr>
                <w:sz w:val="20"/>
                <w:szCs w:val="20"/>
                <w:color w:val="auto"/>
              </w:rPr>
            </w:pPr>
            <w:r>
              <w:rPr>
                <w:rFonts w:ascii="Arial" w:cs="Arial" w:eastAsia="Arial" w:hAnsi="Arial"/>
                <w:sz w:val="14"/>
                <w:szCs w:val="14"/>
                <w:color w:val="auto"/>
              </w:rPr>
              <w:t>252</w:t>
            </w:r>
          </w:p>
        </w:tc>
        <w:tc>
          <w:tcPr>
            <w:tcW w:w="360" w:type="dxa"/>
            <w:vAlign w:val="bottom"/>
            <w:gridSpan w:val="2"/>
            <w:shd w:val="clear" w:color="auto" w:fill="DBE2EF"/>
          </w:tcPr>
          <w:p>
            <w:pPr>
              <w:ind w:left="10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jc w:val="right"/>
              <w:spacing w:after="0"/>
              <w:rPr>
                <w:sz w:val="20"/>
                <w:szCs w:val="20"/>
                <w:color w:val="auto"/>
              </w:rPr>
            </w:pPr>
            <w:r>
              <w:rPr>
                <w:rFonts w:ascii="Arial" w:cs="Arial" w:eastAsia="Arial" w:hAnsi="Arial"/>
                <w:sz w:val="14"/>
                <w:szCs w:val="14"/>
                <w:color w:val="auto"/>
              </w:rPr>
              <w:t>(196</w:t>
            </w:r>
          </w:p>
        </w:tc>
        <w:tc>
          <w:tcPr>
            <w:tcW w:w="120" w:type="dxa"/>
            <w:vAlign w:val="bottom"/>
            <w:vMerge w:val="continue"/>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300" w:type="dxa"/>
            <w:vAlign w:val="bottom"/>
            <w:gridSpan w:val="2"/>
            <w:shd w:val="clear" w:color="auto" w:fill="DBE2E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0"/>
        </w:trPr>
        <w:tc>
          <w:tcPr>
            <w:tcW w:w="444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42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Net earnings per common share from continuing operations</w:t>
            </w:r>
          </w:p>
        </w:tc>
        <w:tc>
          <w:tcPr>
            <w:tcW w:w="120" w:type="dxa"/>
            <w:vAlign w:val="bottom"/>
            <w:shd w:val="clear" w:color="auto" w:fill="DBE2EF"/>
          </w:tcPr>
          <w:p>
            <w:pPr>
              <w:spacing w:after="0"/>
              <w:rPr>
                <w:sz w:val="14"/>
                <w:szCs w:val="14"/>
                <w:color w:val="auto"/>
              </w:rPr>
            </w:pPr>
          </w:p>
        </w:tc>
        <w:tc>
          <w:tcPr>
            <w:tcW w:w="64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44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ind w:left="4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300" w:type="dxa"/>
            <w:vAlign w:val="bottom"/>
            <w:gridSpan w:val="2"/>
            <w:shd w:val="clear" w:color="auto" w:fill="DBE2E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shd w:val="clear" w:color="auto" w:fill="DBE2EF"/>
          </w:tcPr>
          <w:p>
            <w:pPr>
              <w:spacing w:after="0"/>
              <w:rPr>
                <w:sz w:val="14"/>
                <w:szCs w:val="14"/>
                <w:color w:val="auto"/>
              </w:rPr>
            </w:pPr>
          </w:p>
        </w:tc>
        <w:tc>
          <w:tcPr>
            <w:tcW w:w="64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ind w:left="44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i w:val="1"/>
                <w:iCs w:val="1"/>
                <w:color w:val="auto"/>
              </w:rPr>
              <w:t>(i)</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162"/>
        </w:trPr>
        <w:tc>
          <w:tcPr>
            <w:tcW w:w="4440" w:type="dxa"/>
            <w:vAlign w:val="bottom"/>
            <w:shd w:val="clear" w:color="auto" w:fill="DBE2EF"/>
          </w:tcPr>
          <w:p>
            <w:pPr>
              <w:ind w:left="4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80" w:type="dxa"/>
            <w:vAlign w:val="bottom"/>
            <w:shd w:val="clear" w:color="auto" w:fill="DBE2EF"/>
          </w:tcPr>
          <w:p>
            <w:pPr>
              <w:spacing w:after="0"/>
              <w:rPr>
                <w:sz w:val="14"/>
                <w:szCs w:val="14"/>
                <w:color w:val="auto"/>
              </w:rPr>
            </w:pPr>
          </w:p>
        </w:tc>
        <w:tc>
          <w:tcPr>
            <w:tcW w:w="7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0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DBE2EF"/>
          </w:tcPr>
          <w:p>
            <w:pPr>
              <w:spacing w:after="0"/>
              <w:rPr>
                <w:sz w:val="14"/>
                <w:szCs w:val="14"/>
                <w:color w:val="auto"/>
              </w:rPr>
            </w:pPr>
          </w:p>
        </w:tc>
        <w:tc>
          <w:tcPr>
            <w:tcW w:w="42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(i)</w:t>
            </w: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2025</w:t>
      </w:r>
    </w:p>
    <w:p>
      <w:pPr>
        <w:jc w:val="center"/>
        <w:spacing w:after="0"/>
        <w:rPr>
          <w:sz w:val="20"/>
          <w:szCs w:val="20"/>
          <w:color w:val="auto"/>
        </w:rPr>
      </w:pPr>
      <w:r>
        <w:rPr>
          <w:rFonts w:ascii="Arial" w:cs="Arial" w:eastAsia="Arial" w:hAnsi="Arial"/>
          <w:sz w:val="18"/>
          <w:szCs w:val="18"/>
          <w:i w:val="1"/>
          <w:iCs w:val="1"/>
          <w:color w:val="auto"/>
        </w:rPr>
        <w:t>(in millions,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Lhoist North</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Lhoist North</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America, Inc.</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Martin</w:t>
            </w: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Inc.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Marietta</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Reclassifi-</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Accounting</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(Historical)</w:t>
            </w: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cations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Note 4</w:t>
            </w:r>
          </w:p>
        </w:tc>
        <w:tc>
          <w:tcPr>
            <w:tcW w:w="1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(Reclassified)</w:t>
            </w:r>
          </w:p>
        </w:tc>
        <w:tc>
          <w:tcPr>
            <w:tcW w:w="1080" w:type="dxa"/>
            <w:vAlign w:val="bottom"/>
            <w:gridSpan w:val="5"/>
          </w:tcPr>
          <w:p>
            <w:pPr>
              <w:ind w:left="120"/>
              <w:spacing w:after="0"/>
              <w:rPr>
                <w:sz w:val="20"/>
                <w:szCs w:val="20"/>
                <w:color w:val="auto"/>
              </w:rPr>
            </w:pPr>
            <w:r>
              <w:rPr>
                <w:rFonts w:ascii="Arial" w:cs="Arial" w:eastAsia="Arial" w:hAnsi="Arial"/>
                <w:sz w:val="14"/>
                <w:szCs w:val="14"/>
                <w:b w:val="1"/>
                <w:bCs w:val="1"/>
                <w:color w:val="auto"/>
              </w:rPr>
              <w:t>Adjustments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Note 4</w:t>
            </w:r>
          </w:p>
        </w:tc>
        <w:tc>
          <w:tcPr>
            <w:tcW w:w="1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55"/>
        </w:trPr>
        <w:tc>
          <w:tcPr>
            <w:tcW w:w="418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Revenues/Sales</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gridSpan w:val="2"/>
            <w:shd w:val="clear" w:color="auto" w:fill="DBE2EF"/>
          </w:tcPr>
          <w:p>
            <w:pPr>
              <w:jc w:val="right"/>
              <w:ind w:right="100"/>
              <w:spacing w:after="0" w:line="155" w:lineRule="exact"/>
              <w:rPr>
                <w:sz w:val="20"/>
                <w:szCs w:val="20"/>
                <w:color w:val="auto"/>
              </w:rPr>
            </w:pPr>
            <w:r>
              <w:rPr>
                <w:rFonts w:ascii="Arial" w:cs="Arial" w:eastAsia="Arial" w:hAnsi="Arial"/>
                <w:sz w:val="14"/>
                <w:szCs w:val="14"/>
                <w:color w:val="auto"/>
              </w:rPr>
              <w:t>6,150</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DBE2EF"/>
          </w:tcPr>
          <w:p>
            <w:pPr>
              <w:jc w:val="right"/>
              <w:ind w:right="120"/>
              <w:spacing w:after="0" w:line="155" w:lineRule="exact"/>
              <w:rPr>
                <w:sz w:val="20"/>
                <w:szCs w:val="20"/>
                <w:color w:val="auto"/>
              </w:rPr>
            </w:pPr>
            <w:r>
              <w:rPr>
                <w:rFonts w:ascii="Arial" w:cs="Arial" w:eastAsia="Arial" w:hAnsi="Arial"/>
                <w:sz w:val="14"/>
                <w:szCs w:val="14"/>
                <w:color w:val="auto"/>
              </w:rPr>
              <w:t>1,754</w:t>
            </w: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DBE2EF"/>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DBE2EF"/>
          </w:tcPr>
          <w:p>
            <w:pPr>
              <w:jc w:val="right"/>
              <w:ind w:right="120"/>
              <w:spacing w:after="0" w:line="155" w:lineRule="exact"/>
              <w:rPr>
                <w:sz w:val="20"/>
                <w:szCs w:val="20"/>
                <w:color w:val="auto"/>
              </w:rPr>
            </w:pPr>
            <w:r>
              <w:rPr>
                <w:rFonts w:ascii="Arial" w:cs="Arial" w:eastAsia="Arial" w:hAnsi="Arial"/>
                <w:sz w:val="14"/>
                <w:szCs w:val="14"/>
                <w:color w:val="auto"/>
              </w:rPr>
              <w:t>1,754</w:t>
            </w:r>
          </w:p>
        </w:tc>
        <w:tc>
          <w:tcPr>
            <w:tcW w:w="12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gridSpan w:val="2"/>
            <w:shd w:val="clear" w:color="auto" w:fill="DBE2EF"/>
          </w:tcPr>
          <w:p>
            <w:pPr>
              <w:jc w:val="right"/>
              <w:ind w:right="39"/>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DBE2EF"/>
            </w:tcBorders>
            <w:shd w:val="clear" w:color="auto" w:fill="DBE2EF"/>
          </w:tcPr>
          <w:p>
            <w:pPr>
              <w:spacing w:after="0"/>
              <w:rPr>
                <w:sz w:val="13"/>
                <w:szCs w:val="13"/>
                <w:color w:val="auto"/>
              </w:rPr>
            </w:pPr>
          </w:p>
        </w:tc>
        <w:tc>
          <w:tcPr>
            <w:tcW w:w="520" w:type="dxa"/>
            <w:vAlign w:val="bottom"/>
            <w:tcBorders>
              <w:top w:val="single" w:sz="8" w:color="auto"/>
            </w:tcBorders>
            <w:shd w:val="clear" w:color="auto" w:fill="DBE2EF"/>
          </w:tcPr>
          <w:p>
            <w:pPr>
              <w:jc w:val="center"/>
              <w:spacing w:after="0" w:line="155" w:lineRule="exact"/>
              <w:rPr>
                <w:sz w:val="20"/>
                <w:szCs w:val="20"/>
                <w:color w:val="auto"/>
              </w:rPr>
            </w:pPr>
            <w:r>
              <w:rPr>
                <w:rFonts w:ascii="Arial" w:cs="Arial" w:eastAsia="Arial" w:hAnsi="Arial"/>
                <w:sz w:val="14"/>
                <w:szCs w:val="14"/>
                <w:i w:val="1"/>
                <w:iCs w:val="1"/>
                <w:color w:val="auto"/>
              </w:rPr>
              <w:t>(b)</w:t>
            </w: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DBE2EF"/>
          </w:tcPr>
          <w:p>
            <w:pPr>
              <w:jc w:val="right"/>
              <w:ind w:right="100"/>
              <w:spacing w:after="0" w:line="155" w:lineRule="exact"/>
              <w:rPr>
                <w:sz w:val="20"/>
                <w:szCs w:val="20"/>
                <w:color w:val="auto"/>
              </w:rPr>
            </w:pPr>
            <w:r>
              <w:rPr>
                <w:rFonts w:ascii="Arial" w:cs="Arial" w:eastAsia="Arial" w:hAnsi="Arial"/>
                <w:sz w:val="14"/>
                <w:szCs w:val="14"/>
                <w:color w:val="auto"/>
              </w:rPr>
              <w:t>7,900</w:t>
            </w: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(b),</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vMerge w:val="restart"/>
          </w:tcPr>
          <w:p>
            <w:pPr>
              <w:spacing w:after="0"/>
              <w:rPr>
                <w:sz w:val="20"/>
                <w:szCs w:val="20"/>
                <w:color w:val="auto"/>
              </w:rPr>
            </w:pPr>
            <w:r>
              <w:rPr>
                <w:rFonts w:ascii="Arial" w:cs="Arial" w:eastAsia="Arial" w:hAnsi="Arial"/>
                <w:sz w:val="14"/>
                <w:szCs w:val="14"/>
                <w:color w:val="auto"/>
              </w:rPr>
              <w:t>Cost of revenues/sales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i w:val="1"/>
                <w:iCs w:val="1"/>
                <w:color w:val="auto"/>
              </w:rPr>
              <w:t>(c),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169"/>
        </w:trPr>
        <w:tc>
          <w:tcPr>
            <w:tcW w:w="4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i w:val="1"/>
                <w:iCs w:val="1"/>
                <w:color w:val="auto"/>
              </w:rPr>
              <w:t>(d)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Gross Profit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spacing w:after="0"/>
              <w:rPr>
                <w:sz w:val="13"/>
                <w:szCs w:val="13"/>
                <w:color w:val="auto"/>
              </w:rPr>
            </w:pPr>
          </w:p>
        </w:tc>
        <w:tc>
          <w:tcPr>
            <w:tcW w:w="66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1,889</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66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820</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spacing w:after="0"/>
              <w:rPr>
                <w:sz w:val="13"/>
                <w:szCs w:val="13"/>
                <w:color w:val="auto"/>
              </w:rPr>
            </w:pPr>
          </w:p>
        </w:tc>
        <w:tc>
          <w:tcPr>
            <w:tcW w:w="620" w:type="dxa"/>
            <w:vAlign w:val="bottom"/>
            <w:tcBorders>
              <w:top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spacing w:after="0"/>
              <w:rPr>
                <w:sz w:val="13"/>
                <w:szCs w:val="13"/>
                <w:color w:val="auto"/>
              </w:rPr>
            </w:pPr>
          </w:p>
        </w:tc>
        <w:tc>
          <w:tcPr>
            <w:tcW w:w="6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820</w:t>
            </w:r>
          </w:p>
        </w:tc>
        <w:tc>
          <w:tcPr>
            <w:tcW w:w="1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(231)</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5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2,478</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spacing w:after="0"/>
              <w:rPr>
                <w:sz w:val="20"/>
                <w:szCs w:val="20"/>
                <w:color w:val="auto"/>
              </w:rPr>
            </w:pPr>
            <w:r>
              <w:rPr>
                <w:rFonts w:ascii="Arial" w:cs="Arial" w:eastAsia="Arial" w:hAnsi="Arial"/>
                <w:sz w:val="14"/>
                <w:szCs w:val="14"/>
                <w:color w:val="auto"/>
              </w:rPr>
              <w:t>Selling, general &amp; administrative expenses</w:t>
            </w: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78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84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2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Acquisition, divestiture and integration expenses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i w:val="1"/>
                <w:iCs w:val="1"/>
                <w:color w:val="auto"/>
              </w:rPr>
              <w:t>(e)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spacing w:after="0"/>
              <w:rPr>
                <w:sz w:val="20"/>
                <w:szCs w:val="20"/>
                <w:color w:val="auto"/>
              </w:rPr>
            </w:pPr>
            <w:r>
              <w:rPr>
                <w:rFonts w:ascii="Arial" w:cs="Arial" w:eastAsia="Arial" w:hAnsi="Arial"/>
                <w:sz w:val="14"/>
                <w:szCs w:val="14"/>
                <w:color w:val="auto"/>
              </w:rPr>
              <w:t>Other operating (income), net</w:t>
            </w: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78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72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(7)</w:t>
            </w: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20" w:type="dxa"/>
            <w:vAlign w:val="bottom"/>
            <w:gridSpan w:val="2"/>
            <w:shd w:val="clear" w:color="auto" w:fill="DBE2EF"/>
          </w:tcPr>
          <w:p>
            <w:pPr>
              <w:jc w:val="right"/>
              <w:ind w:right="80"/>
              <w:spacing w:after="0"/>
              <w:rPr>
                <w:sz w:val="20"/>
                <w:szCs w:val="20"/>
                <w:color w:val="auto"/>
              </w:rPr>
            </w:pPr>
            <w:r>
              <w:rPr>
                <w:rFonts w:ascii="Arial" w:cs="Arial" w:eastAsia="Arial" w:hAnsi="Arial"/>
                <w:sz w:val="14"/>
                <w:szCs w:val="14"/>
                <w:color w:val="auto"/>
              </w:rPr>
              <w:t>(7)</w:t>
            </w: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6"/>
        </w:trPr>
        <w:tc>
          <w:tcPr>
            <w:tcW w:w="4180" w:type="dxa"/>
            <w:vAlign w:val="bottom"/>
          </w:tcPr>
          <w:p>
            <w:pPr>
              <w:spacing w:after="0"/>
              <w:rPr>
                <w:sz w:val="20"/>
                <w:szCs w:val="20"/>
                <w:color w:val="auto"/>
              </w:rPr>
            </w:pPr>
            <w:r>
              <w:rPr>
                <w:rFonts w:ascii="Arial" w:cs="Arial" w:eastAsia="Arial" w:hAnsi="Arial"/>
                <w:sz w:val="14"/>
                <w:szCs w:val="14"/>
                <w:color w:val="auto"/>
              </w:rPr>
              <w:t>Royalty (income)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180" w:type="dxa"/>
            <w:vAlign w:val="bottom"/>
            <w:tcBorders>
              <w:top w:val="single" w:sz="8" w:color="DBE2EF"/>
            </w:tcBorders>
            <w:shd w:val="clear" w:color="auto" w:fill="DBE2EF"/>
          </w:tcPr>
          <w:p>
            <w:pPr>
              <w:spacing w:after="0" w:line="155" w:lineRule="exact"/>
              <w:rPr>
                <w:sz w:val="20"/>
                <w:szCs w:val="20"/>
                <w:color w:val="auto"/>
              </w:rPr>
            </w:pPr>
            <w:r>
              <w:rPr>
                <w:rFonts w:ascii="Arial" w:cs="Arial" w:eastAsia="Arial" w:hAnsi="Arial"/>
                <w:sz w:val="14"/>
                <w:szCs w:val="14"/>
                <w:color w:val="auto"/>
              </w:rPr>
              <w:t>Earnings from Operations</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auto"/>
            </w:tcBorders>
            <w:shd w:val="clear" w:color="auto" w:fill="DBE2EF"/>
          </w:tcPr>
          <w:p>
            <w:pPr>
              <w:spacing w:after="0"/>
              <w:rPr>
                <w:sz w:val="13"/>
                <w:szCs w:val="13"/>
                <w:color w:val="auto"/>
              </w:rPr>
            </w:pPr>
          </w:p>
        </w:tc>
        <w:tc>
          <w:tcPr>
            <w:tcW w:w="66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1,437</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auto"/>
            </w:tcBorders>
            <w:shd w:val="clear" w:color="auto" w:fill="DBE2EF"/>
          </w:tcPr>
          <w:p>
            <w:pPr>
              <w:spacing w:after="0"/>
              <w:rPr>
                <w:sz w:val="13"/>
                <w:szCs w:val="13"/>
                <w:color w:val="auto"/>
              </w:rPr>
            </w:pPr>
          </w:p>
        </w:tc>
        <w:tc>
          <w:tcPr>
            <w:tcW w:w="66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683</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140" w:type="dxa"/>
            <w:vAlign w:val="bottom"/>
            <w:tcBorders>
              <w:top w:val="single" w:sz="8" w:color="auto"/>
            </w:tcBorders>
            <w:shd w:val="clear" w:color="auto" w:fill="DBE2EF"/>
          </w:tcPr>
          <w:p>
            <w:pPr>
              <w:spacing w:after="0"/>
              <w:rPr>
                <w:sz w:val="13"/>
                <w:szCs w:val="13"/>
                <w:color w:val="auto"/>
              </w:rPr>
            </w:pPr>
          </w:p>
        </w:tc>
        <w:tc>
          <w:tcPr>
            <w:tcW w:w="620" w:type="dxa"/>
            <w:vAlign w:val="bottom"/>
            <w:tcBorders>
              <w:top w:val="single" w:sz="8" w:color="auto"/>
            </w:tcBorders>
            <w:shd w:val="clear" w:color="auto" w:fill="DBE2E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48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220" w:type="dxa"/>
            <w:vAlign w:val="bottom"/>
            <w:tcBorders>
              <w:top w:val="single" w:sz="8" w:color="auto"/>
            </w:tcBorders>
            <w:shd w:val="clear" w:color="auto" w:fill="DBE2EF"/>
          </w:tcPr>
          <w:p>
            <w:pPr>
              <w:spacing w:after="0"/>
              <w:rPr>
                <w:sz w:val="13"/>
                <w:szCs w:val="13"/>
                <w:color w:val="auto"/>
              </w:rPr>
            </w:pPr>
          </w:p>
        </w:tc>
        <w:tc>
          <w:tcPr>
            <w:tcW w:w="60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683</w:t>
            </w:r>
          </w:p>
        </w:tc>
        <w:tc>
          <w:tcPr>
            <w:tcW w:w="1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26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(319)</w:t>
            </w:r>
          </w:p>
        </w:tc>
        <w:tc>
          <w:tcPr>
            <w:tcW w:w="120" w:type="dxa"/>
            <w:vAlign w:val="bottom"/>
            <w:tcBorders>
              <w:top w:val="single" w:sz="8" w:color="DBE2EF"/>
            </w:tcBorders>
            <w:shd w:val="clear" w:color="auto" w:fill="DBE2EF"/>
          </w:tcPr>
          <w:p>
            <w:pPr>
              <w:spacing w:after="0"/>
              <w:rPr>
                <w:sz w:val="13"/>
                <w:szCs w:val="13"/>
                <w:color w:val="auto"/>
              </w:rPr>
            </w:pPr>
          </w:p>
        </w:tc>
        <w:tc>
          <w:tcPr>
            <w:tcW w:w="100" w:type="dxa"/>
            <w:vAlign w:val="bottom"/>
            <w:tcBorders>
              <w:top w:val="single" w:sz="8" w:color="DBE2EF"/>
            </w:tcBorders>
            <w:shd w:val="clear" w:color="auto" w:fill="DBE2EF"/>
          </w:tcPr>
          <w:p>
            <w:pPr>
              <w:spacing w:after="0"/>
              <w:rPr>
                <w:sz w:val="13"/>
                <w:szCs w:val="13"/>
                <w:color w:val="auto"/>
              </w:rPr>
            </w:pPr>
          </w:p>
        </w:tc>
        <w:tc>
          <w:tcPr>
            <w:tcW w:w="520" w:type="dxa"/>
            <w:vAlign w:val="bottom"/>
            <w:tcBorders>
              <w:top w:val="single" w:sz="8" w:color="DBE2EF"/>
            </w:tcBorders>
            <w:shd w:val="clear" w:color="auto" w:fill="DBE2EF"/>
          </w:tcPr>
          <w:p>
            <w:pPr>
              <w:spacing w:after="0"/>
              <w:rPr>
                <w:sz w:val="13"/>
                <w:szCs w:val="13"/>
                <w:color w:val="auto"/>
              </w:rPr>
            </w:pPr>
          </w:p>
        </w:tc>
        <w:tc>
          <w:tcPr>
            <w:tcW w:w="120" w:type="dxa"/>
            <w:vAlign w:val="bottom"/>
            <w:tcBorders>
              <w:top w:val="single" w:sz="8" w:color="DBE2EF"/>
            </w:tcBorders>
            <w:shd w:val="clear" w:color="auto" w:fill="DBE2EF"/>
          </w:tcPr>
          <w:p>
            <w:pPr>
              <w:spacing w:after="0"/>
              <w:rPr>
                <w:sz w:val="13"/>
                <w:szCs w:val="13"/>
                <w:color w:val="auto"/>
              </w:rPr>
            </w:pPr>
          </w:p>
        </w:tc>
        <w:tc>
          <w:tcPr>
            <w:tcW w:w="180" w:type="dxa"/>
            <w:vAlign w:val="bottom"/>
            <w:tcBorders>
              <w:top w:val="single" w:sz="8" w:color="auto"/>
            </w:tcBorders>
            <w:shd w:val="clear" w:color="auto" w:fill="DBE2EF"/>
          </w:tcPr>
          <w:p>
            <w:pPr>
              <w:spacing w:after="0"/>
              <w:rPr>
                <w:sz w:val="13"/>
                <w:szCs w:val="13"/>
                <w:color w:val="auto"/>
              </w:rPr>
            </w:pPr>
          </w:p>
        </w:tc>
        <w:tc>
          <w:tcPr>
            <w:tcW w:w="480" w:type="dxa"/>
            <w:vAlign w:val="bottom"/>
            <w:tcBorders>
              <w:top w:val="single" w:sz="8" w:color="auto"/>
            </w:tcBorders>
            <w:shd w:val="clear" w:color="auto" w:fill="DBE2EF"/>
          </w:tcPr>
          <w:p>
            <w:pPr>
              <w:jc w:val="right"/>
              <w:spacing w:after="0" w:line="155" w:lineRule="exact"/>
              <w:rPr>
                <w:sz w:val="20"/>
                <w:szCs w:val="20"/>
                <w:color w:val="auto"/>
              </w:rPr>
            </w:pPr>
            <w:r>
              <w:rPr>
                <w:rFonts w:ascii="Arial" w:cs="Arial" w:eastAsia="Arial" w:hAnsi="Arial"/>
                <w:sz w:val="14"/>
                <w:szCs w:val="14"/>
                <w:color w:val="auto"/>
              </w:rPr>
              <w:t>1,801</w:t>
            </w:r>
          </w:p>
        </w:tc>
        <w:tc>
          <w:tcPr>
            <w:tcW w:w="100" w:type="dxa"/>
            <w:vAlign w:val="bottom"/>
            <w:tcBorders>
              <w:top w:val="single" w:sz="8" w:color="DBE2EF"/>
            </w:tcBorders>
            <w:shd w:val="clear" w:color="auto" w:fill="DBE2E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880" w:type="dxa"/>
            <w:vAlign w:val="bottom"/>
            <w:gridSpan w:val="3"/>
            <w:shd w:val="clear" w:color="auto" w:fill="DBE2E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E2EF"/>
          </w:tcPr>
          <w:p>
            <w:pPr>
              <w:spacing w:after="0"/>
              <w:rPr>
                <w:sz w:val="14"/>
                <w:szCs w:val="14"/>
                <w:color w:val="auto"/>
              </w:rPr>
            </w:pPr>
          </w:p>
        </w:tc>
        <w:tc>
          <w:tcPr>
            <w:tcW w:w="7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72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720" w:type="dxa"/>
            <w:vAlign w:val="bottom"/>
            <w:gridSpan w:val="2"/>
            <w:shd w:val="clear" w:color="auto" w:fill="DBE2E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700" w:type="dxa"/>
            <w:vAlign w:val="bottom"/>
            <w:gridSpan w:val="3"/>
            <w:shd w:val="clear" w:color="auto" w:fill="DBE2E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180" w:type="dxa"/>
            <w:vAlign w:val="bottom"/>
            <w:vMerge w:val="restart"/>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vMerge w:val="restart"/>
          </w:tcPr>
          <w:p>
            <w:pPr>
              <w:jc w:val="right"/>
              <w:ind w:right="79"/>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3"/>
                <w:szCs w:val="13"/>
                <w:color w:val="auto"/>
              </w:rPr>
            </w:pPr>
          </w:p>
        </w:tc>
        <w:tc>
          <w:tcPr>
            <w:tcW w:w="520" w:type="dxa"/>
            <w:vAlign w:val="bottom"/>
          </w:tcPr>
          <w:p>
            <w:pPr>
              <w:jc w:val="center"/>
              <w:spacing w:after="0" w:line="155" w:lineRule="exact"/>
              <w:rPr>
                <w:sz w:val="20"/>
                <w:szCs w:val="20"/>
                <w:color w:val="auto"/>
              </w:rPr>
            </w:pPr>
            <w:r>
              <w:rPr>
                <w:rFonts w:ascii="Arial" w:cs="Arial" w:eastAsia="Arial" w:hAnsi="Arial"/>
                <w:sz w:val="14"/>
                <w:szCs w:val="14"/>
                <w:i w:val="1"/>
                <w:iCs w:val="1"/>
                <w:color w:val="auto"/>
              </w:rPr>
              <w:t>(f),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69"/>
        </w:trPr>
        <w:tc>
          <w:tcPr>
            <w:tcW w:w="4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i w:val="1"/>
                <w:iCs w:val="1"/>
                <w:color w:val="auto"/>
                <w:w w:val="96"/>
              </w:rPr>
              <w:t>(j)</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80" w:type="dxa"/>
            <w:vAlign w:val="bottom"/>
            <w:shd w:val="clear" w:color="auto" w:fill="DBE2EF"/>
          </w:tcPr>
          <w:p>
            <w:pPr>
              <w:spacing w:after="0"/>
              <w:rPr>
                <w:sz w:val="20"/>
                <w:szCs w:val="20"/>
                <w:color w:val="auto"/>
              </w:rPr>
            </w:pPr>
            <w:r>
              <w:rPr>
                <w:rFonts w:ascii="Arial" w:cs="Arial" w:eastAsia="Arial" w:hAnsi="Arial"/>
                <w:sz w:val="14"/>
                <w:szCs w:val="14"/>
                <w:color w:val="auto"/>
              </w:rPr>
              <w:t>Other nonoperating (income)/expense, net</w:t>
            </w:r>
          </w:p>
        </w:tc>
        <w:tc>
          <w:tcPr>
            <w:tcW w:w="100" w:type="dxa"/>
            <w:vAlign w:val="bottom"/>
            <w:shd w:val="clear" w:color="auto" w:fill="DBE2EF"/>
          </w:tcPr>
          <w:p>
            <w:pPr>
              <w:spacing w:after="0"/>
              <w:rPr>
                <w:sz w:val="15"/>
                <w:szCs w:val="15"/>
                <w:color w:val="auto"/>
              </w:rPr>
            </w:pPr>
          </w:p>
        </w:tc>
        <w:tc>
          <w:tcPr>
            <w:tcW w:w="120" w:type="dxa"/>
            <w:vAlign w:val="bottom"/>
            <w:shd w:val="clear" w:color="auto" w:fill="DBE2EF"/>
          </w:tcPr>
          <w:p>
            <w:pPr>
              <w:spacing w:after="0"/>
              <w:rPr>
                <w:sz w:val="15"/>
                <w:szCs w:val="15"/>
                <w:color w:val="auto"/>
              </w:rPr>
            </w:pPr>
          </w:p>
        </w:tc>
        <w:tc>
          <w:tcPr>
            <w:tcW w:w="76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DBE2EF"/>
          </w:tcPr>
          <w:p>
            <w:pPr>
              <w:spacing w:after="0"/>
              <w:rPr>
                <w:sz w:val="15"/>
                <w:szCs w:val="15"/>
                <w:color w:val="auto"/>
              </w:rPr>
            </w:pPr>
          </w:p>
        </w:tc>
        <w:tc>
          <w:tcPr>
            <w:tcW w:w="100" w:type="dxa"/>
            <w:vAlign w:val="bottom"/>
            <w:shd w:val="clear" w:color="auto" w:fill="DBE2EF"/>
          </w:tcPr>
          <w:p>
            <w:pPr>
              <w:spacing w:after="0"/>
              <w:rPr>
                <w:sz w:val="15"/>
                <w:szCs w:val="15"/>
                <w:color w:val="auto"/>
              </w:rPr>
            </w:pPr>
          </w:p>
        </w:tc>
        <w:tc>
          <w:tcPr>
            <w:tcW w:w="78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DBE2EF"/>
          </w:tcPr>
          <w:p>
            <w:pPr>
              <w:spacing w:after="0"/>
              <w:rPr>
                <w:sz w:val="15"/>
                <w:szCs w:val="15"/>
                <w:color w:val="auto"/>
              </w:rPr>
            </w:pPr>
          </w:p>
        </w:tc>
        <w:tc>
          <w:tcPr>
            <w:tcW w:w="140" w:type="dxa"/>
            <w:vAlign w:val="bottom"/>
            <w:shd w:val="clear" w:color="auto" w:fill="DBE2EF"/>
          </w:tcPr>
          <w:p>
            <w:pPr>
              <w:spacing w:after="0"/>
              <w:rPr>
                <w:sz w:val="15"/>
                <w:szCs w:val="15"/>
                <w:color w:val="auto"/>
              </w:rPr>
            </w:pPr>
          </w:p>
        </w:tc>
        <w:tc>
          <w:tcPr>
            <w:tcW w:w="72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DBE2EF"/>
          </w:tcPr>
          <w:p>
            <w:pPr>
              <w:spacing w:after="0"/>
              <w:rPr>
                <w:sz w:val="15"/>
                <w:szCs w:val="15"/>
                <w:color w:val="auto"/>
              </w:rPr>
            </w:pPr>
          </w:p>
        </w:tc>
        <w:tc>
          <w:tcPr>
            <w:tcW w:w="48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(a)</w:t>
            </w:r>
          </w:p>
        </w:tc>
        <w:tc>
          <w:tcPr>
            <w:tcW w:w="100" w:type="dxa"/>
            <w:vAlign w:val="bottom"/>
            <w:shd w:val="clear" w:color="auto" w:fill="DBE2EF"/>
          </w:tcPr>
          <w:p>
            <w:pPr>
              <w:spacing w:after="0"/>
              <w:rPr>
                <w:sz w:val="15"/>
                <w:szCs w:val="15"/>
                <w:color w:val="auto"/>
              </w:rPr>
            </w:pPr>
          </w:p>
        </w:tc>
        <w:tc>
          <w:tcPr>
            <w:tcW w:w="220" w:type="dxa"/>
            <w:vAlign w:val="bottom"/>
            <w:shd w:val="clear" w:color="auto" w:fill="DBE2EF"/>
          </w:tcPr>
          <w:p>
            <w:pPr>
              <w:spacing w:after="0"/>
              <w:rPr>
                <w:sz w:val="15"/>
                <w:szCs w:val="15"/>
                <w:color w:val="auto"/>
              </w:rPr>
            </w:pPr>
          </w:p>
        </w:tc>
        <w:tc>
          <w:tcPr>
            <w:tcW w:w="720" w:type="dxa"/>
            <w:vAlign w:val="bottom"/>
            <w:gridSpan w:val="2"/>
            <w:shd w:val="clear" w:color="auto" w:fill="DBE2EF"/>
          </w:tcPr>
          <w:p>
            <w:pPr>
              <w:jc w:val="right"/>
              <w:ind w:right="8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DBE2EF"/>
          </w:tcPr>
          <w:p>
            <w:pPr>
              <w:spacing w:after="0"/>
              <w:rPr>
                <w:sz w:val="15"/>
                <w:szCs w:val="15"/>
                <w:color w:val="auto"/>
              </w:rPr>
            </w:pPr>
          </w:p>
        </w:tc>
        <w:tc>
          <w:tcPr>
            <w:tcW w:w="260" w:type="dxa"/>
            <w:vAlign w:val="bottom"/>
            <w:shd w:val="clear" w:color="auto" w:fill="DBE2EF"/>
          </w:tcPr>
          <w:p>
            <w:pPr>
              <w:spacing w:after="0"/>
              <w:rPr>
                <w:sz w:val="15"/>
                <w:szCs w:val="15"/>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E2EF"/>
          </w:tcPr>
          <w:p>
            <w:pPr>
              <w:spacing w:after="0"/>
              <w:rPr>
                <w:sz w:val="15"/>
                <w:szCs w:val="15"/>
                <w:color w:val="auto"/>
              </w:rPr>
            </w:pPr>
          </w:p>
        </w:tc>
        <w:tc>
          <w:tcPr>
            <w:tcW w:w="520" w:type="dxa"/>
            <w:vAlign w:val="bottom"/>
            <w:shd w:val="clear" w:color="auto" w:fill="DBE2EF"/>
          </w:tcPr>
          <w:p>
            <w:pPr>
              <w:jc w:val="center"/>
              <w:spacing w:after="0"/>
              <w:rPr>
                <w:sz w:val="20"/>
                <w:szCs w:val="20"/>
                <w:color w:val="auto"/>
              </w:rPr>
            </w:pPr>
            <w:r>
              <w:rPr>
                <w:rFonts w:ascii="Arial" w:cs="Arial" w:eastAsia="Arial" w:hAnsi="Arial"/>
                <w:sz w:val="14"/>
                <w:szCs w:val="14"/>
                <w:i w:val="1"/>
                <w:iCs w:val="1"/>
                <w:color w:val="auto"/>
              </w:rPr>
              <w:t>(g)</w:t>
            </w:r>
          </w:p>
        </w:tc>
        <w:tc>
          <w:tcPr>
            <w:tcW w:w="120" w:type="dxa"/>
            <w:vAlign w:val="bottom"/>
            <w:shd w:val="clear" w:color="auto" w:fill="DBE2EF"/>
          </w:tcPr>
          <w:p>
            <w:pPr>
              <w:spacing w:after="0"/>
              <w:rPr>
                <w:sz w:val="15"/>
                <w:szCs w:val="15"/>
                <w:color w:val="auto"/>
              </w:rPr>
            </w:pPr>
          </w:p>
        </w:tc>
        <w:tc>
          <w:tcPr>
            <w:tcW w:w="180" w:type="dxa"/>
            <w:vAlign w:val="bottom"/>
            <w:shd w:val="clear" w:color="auto" w:fill="DBE2EF"/>
          </w:tcPr>
          <w:p>
            <w:pPr>
              <w:spacing w:after="0"/>
              <w:rPr>
                <w:sz w:val="15"/>
                <w:szCs w:val="15"/>
                <w:color w:val="auto"/>
              </w:rPr>
            </w:pPr>
          </w:p>
        </w:tc>
        <w:tc>
          <w:tcPr>
            <w:tcW w:w="580" w:type="dxa"/>
            <w:vAlign w:val="bottom"/>
            <w:gridSpan w:val="2"/>
            <w:shd w:val="clear" w:color="auto" w:fill="DBE2E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5"/>
        </w:trPr>
        <w:tc>
          <w:tcPr>
            <w:tcW w:w="4180" w:type="dxa"/>
            <w:vAlign w:val="bottom"/>
          </w:tcPr>
          <w:p>
            <w:pPr>
              <w:spacing w:after="0" w:line="155" w:lineRule="exact"/>
              <w:rPr>
                <w:sz w:val="20"/>
                <w:szCs w:val="20"/>
                <w:color w:val="auto"/>
              </w:rPr>
            </w:pPr>
            <w:r>
              <w:rPr>
                <w:rFonts w:ascii="Arial" w:cs="Arial" w:eastAsia="Arial" w:hAnsi="Arial"/>
                <w:sz w:val="14"/>
                <w:szCs w:val="14"/>
                <w:color w:val="auto"/>
              </w:rPr>
              <w:t>Earnings from continuing operations before income tax expense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6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i w:val="1"/>
                <w:iCs w:val="1"/>
                <w:color w:val="auto"/>
              </w:rPr>
              <w:t>(h)</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DBE2EF"/>
          </w:tcPr>
          <w:p>
            <w:pPr>
              <w:spacing w:after="0"/>
              <w:rPr>
                <w:sz w:val="20"/>
                <w:szCs w:val="20"/>
                <w:color w:val="auto"/>
              </w:rPr>
            </w:pPr>
            <w:r>
              <w:rPr>
                <w:rFonts w:ascii="Arial" w:cs="Arial" w:eastAsia="Arial" w:hAnsi="Arial"/>
                <w:sz w:val="14"/>
                <w:szCs w:val="14"/>
                <w:color w:val="auto"/>
              </w:rPr>
              <w:t>Earnings from continuing operations</w:t>
            </w:r>
          </w:p>
        </w:tc>
        <w:tc>
          <w:tcPr>
            <w:tcW w:w="100" w:type="dxa"/>
            <w:vAlign w:val="bottom"/>
            <w:shd w:val="clear" w:color="auto" w:fill="DBE2E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480" w:type="dxa"/>
            <w:vAlign w:val="bottom"/>
            <w:shd w:val="clear" w:color="auto" w:fill="DBE2EF"/>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DBE2E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DBE2EF"/>
          </w:tcPr>
          <w:p>
            <w:pPr>
              <w:spacing w:after="0" w:line="20" w:lineRule="exact"/>
              <w:rPr>
                <w:sz w:val="1"/>
                <w:szCs w:val="1"/>
                <w:color w:val="auto"/>
              </w:rPr>
            </w:pPr>
          </w:p>
        </w:tc>
        <w:tc>
          <w:tcPr>
            <w:tcW w:w="520" w:type="dxa"/>
            <w:vAlign w:val="bottom"/>
            <w:shd w:val="clear" w:color="auto" w:fill="DBE2EF"/>
          </w:tcPr>
          <w:p>
            <w:pPr>
              <w:spacing w:after="0" w:line="20" w:lineRule="exact"/>
              <w:rPr>
                <w:sz w:val="1"/>
                <w:szCs w:val="1"/>
                <w:color w:val="auto"/>
              </w:rPr>
            </w:pPr>
          </w:p>
        </w:tc>
        <w:tc>
          <w:tcPr>
            <w:tcW w:w="120" w:type="dxa"/>
            <w:vAlign w:val="bottom"/>
            <w:shd w:val="clear" w:color="auto" w:fill="DBE2E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BE2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vMerge w:val="continue"/>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DBE2EF"/>
          </w:tcPr>
          <w:p>
            <w:pPr>
              <w:jc w:val="right"/>
              <w:spacing w:after="0"/>
              <w:rPr>
                <w:sz w:val="20"/>
                <w:szCs w:val="20"/>
                <w:color w:val="auto"/>
              </w:rPr>
            </w:pPr>
            <w:r>
              <w:rPr>
                <w:rFonts w:ascii="Arial" w:cs="Arial" w:eastAsia="Arial" w:hAnsi="Arial"/>
                <w:sz w:val="14"/>
                <w:szCs w:val="14"/>
                <w:color w:val="auto"/>
              </w:rPr>
              <w:t>990</w:t>
            </w: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514</w:t>
            </w:r>
          </w:p>
        </w:tc>
        <w:tc>
          <w:tcPr>
            <w:tcW w:w="240" w:type="dxa"/>
            <w:vAlign w:val="bottom"/>
            <w:gridSpan w:val="2"/>
            <w:shd w:val="clear" w:color="auto" w:fill="DBE2E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DBE2EF"/>
          </w:tcPr>
          <w:p>
            <w:pPr>
              <w:jc w:val="right"/>
              <w:ind w:right="30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spacing w:after="0"/>
              <w:rPr>
                <w:sz w:val="14"/>
                <w:szCs w:val="14"/>
                <w:color w:val="auto"/>
              </w:rPr>
            </w:pPr>
          </w:p>
        </w:tc>
        <w:tc>
          <w:tcPr>
            <w:tcW w:w="320" w:type="dxa"/>
            <w:vAlign w:val="bottom"/>
            <w:gridSpan w:val="2"/>
            <w:shd w:val="clear" w:color="auto" w:fill="DBE2E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DBE2EF"/>
          </w:tcPr>
          <w:p>
            <w:pPr>
              <w:jc w:val="right"/>
              <w:ind w:right="120"/>
              <w:spacing w:after="0"/>
              <w:rPr>
                <w:sz w:val="20"/>
                <w:szCs w:val="20"/>
                <w:color w:val="auto"/>
              </w:rPr>
            </w:pPr>
            <w:r>
              <w:rPr>
                <w:rFonts w:ascii="Arial" w:cs="Arial" w:eastAsia="Arial" w:hAnsi="Arial"/>
                <w:sz w:val="14"/>
                <w:szCs w:val="14"/>
                <w:color w:val="auto"/>
              </w:rPr>
              <w:t>514</w:t>
            </w:r>
          </w:p>
        </w:tc>
        <w:tc>
          <w:tcPr>
            <w:tcW w:w="380" w:type="dxa"/>
            <w:vAlign w:val="bottom"/>
            <w:gridSpan w:val="2"/>
            <w:shd w:val="clear" w:color="auto" w:fill="DBE2EF"/>
          </w:tcPr>
          <w:p>
            <w:pPr>
              <w:ind w:lef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E2EF"/>
          </w:tcPr>
          <w:p>
            <w:pPr>
              <w:jc w:val="right"/>
              <w:spacing w:after="0"/>
              <w:rPr>
                <w:sz w:val="20"/>
                <w:szCs w:val="20"/>
                <w:color w:val="auto"/>
              </w:rPr>
            </w:pPr>
            <w:r>
              <w:rPr>
                <w:rFonts w:ascii="Arial" w:cs="Arial" w:eastAsia="Arial" w:hAnsi="Arial"/>
                <w:sz w:val="14"/>
                <w:szCs w:val="14"/>
                <w:color w:val="auto"/>
              </w:rPr>
              <w:t>(492</w:t>
            </w:r>
          </w:p>
        </w:tc>
        <w:tc>
          <w:tcPr>
            <w:tcW w:w="120" w:type="dxa"/>
            <w:vAlign w:val="bottom"/>
            <w:vMerge w:val="continue"/>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20" w:type="dxa"/>
            <w:vAlign w:val="bottom"/>
            <w:shd w:val="clear" w:color="auto" w:fill="DBE2EF"/>
          </w:tcPr>
          <w:p>
            <w:pPr>
              <w:spacing w:after="0"/>
              <w:rPr>
                <w:sz w:val="14"/>
                <w:szCs w:val="14"/>
                <w:color w:val="auto"/>
              </w:rPr>
            </w:pPr>
          </w:p>
        </w:tc>
        <w:tc>
          <w:tcPr>
            <w:tcW w:w="300" w:type="dxa"/>
            <w:vAlign w:val="bottom"/>
            <w:gridSpan w:val="2"/>
            <w:shd w:val="clear" w:color="auto" w:fill="DBE2E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0"/>
        </w:trPr>
        <w:tc>
          <w:tcPr>
            <w:tcW w:w="4180" w:type="dxa"/>
            <w:vAlign w:val="bottom"/>
            <w:tcBorders>
              <w:top w:val="single" w:sz="8" w:color="DBE2EF"/>
              <w:bottom w:val="single" w:sz="8" w:color="DBE2EF"/>
            </w:tcBorders>
            <w:vMerge w:val="restart"/>
          </w:tcPr>
          <w:p>
            <w:pPr>
              <w:spacing w:after="0"/>
              <w:rPr>
                <w:sz w:val="20"/>
                <w:szCs w:val="20"/>
                <w:color w:val="auto"/>
              </w:rPr>
            </w:pPr>
            <w:r>
              <w:rPr>
                <w:rFonts w:ascii="Arial" w:cs="Arial" w:eastAsia="Arial" w:hAnsi="Arial"/>
                <w:sz w:val="14"/>
                <w:szCs w:val="14"/>
                <w:color w:val="auto"/>
              </w:rPr>
              <w:t>Net earnings per common share from continuing operations</w:t>
            </w:r>
          </w:p>
        </w:tc>
        <w:tc>
          <w:tcPr>
            <w:tcW w:w="10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2EF"/>
            </w:tcBorders>
          </w:tcPr>
          <w:p>
            <w:pPr>
              <w:spacing w:after="0" w:line="20" w:lineRule="exact"/>
              <w:rPr>
                <w:sz w:val="1"/>
                <w:szCs w:val="1"/>
                <w:color w:val="auto"/>
              </w:rPr>
            </w:pPr>
          </w:p>
        </w:tc>
        <w:tc>
          <w:tcPr>
            <w:tcW w:w="520" w:type="dxa"/>
            <w:vAlign w:val="bottom"/>
            <w:tcBorders>
              <w:top w:val="single" w:sz="8" w:color="DBE2EF"/>
            </w:tcBorders>
          </w:tcPr>
          <w:p>
            <w:pPr>
              <w:spacing w:after="0" w:line="20" w:lineRule="exact"/>
              <w:rPr>
                <w:sz w:val="1"/>
                <w:szCs w:val="1"/>
                <w:color w:val="auto"/>
              </w:rPr>
            </w:pPr>
          </w:p>
        </w:tc>
        <w:tc>
          <w:tcPr>
            <w:tcW w:w="120" w:type="dxa"/>
            <w:vAlign w:val="bottom"/>
            <w:tcBorders>
              <w:top w:val="single" w:sz="8" w:color="DBE2E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ind w:left="440"/>
              <w:spacing w:after="0"/>
              <w:rPr>
                <w:sz w:val="20"/>
                <w:szCs w:val="20"/>
                <w:color w:val="auto"/>
              </w:rPr>
            </w:pPr>
            <w:r>
              <w:rPr>
                <w:rFonts w:ascii="Arial" w:cs="Arial" w:eastAsia="Arial" w:hAnsi="Arial"/>
                <w:sz w:val="14"/>
                <w:szCs w:val="14"/>
                <w:color w:val="auto"/>
              </w:rPr>
              <w:t>Basic</w:t>
            </w:r>
          </w:p>
        </w:tc>
        <w:tc>
          <w:tcPr>
            <w:tcW w:w="220" w:type="dxa"/>
            <w:vAlign w:val="bottom"/>
            <w:gridSpan w:val="2"/>
            <w:shd w:val="clear" w:color="auto" w:fill="DBE2E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6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20" w:type="dxa"/>
            <w:vAlign w:val="bottom"/>
            <w:shd w:val="clear" w:color="auto" w:fill="DBE2EF"/>
          </w:tcPr>
          <w:p>
            <w:pPr>
              <w:spacing w:after="0"/>
              <w:rPr>
                <w:sz w:val="14"/>
                <w:szCs w:val="14"/>
                <w:color w:val="auto"/>
              </w:rPr>
            </w:pPr>
          </w:p>
        </w:tc>
        <w:tc>
          <w:tcPr>
            <w:tcW w:w="300" w:type="dxa"/>
            <w:vAlign w:val="bottom"/>
            <w:gridSpan w:val="2"/>
            <w:shd w:val="clear" w:color="auto" w:fill="DBE2E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62"/>
        </w:trPr>
        <w:tc>
          <w:tcPr>
            <w:tcW w:w="4180" w:type="dxa"/>
            <w:vAlign w:val="bottom"/>
          </w:tcPr>
          <w:p>
            <w:pPr>
              <w:ind w:left="440"/>
              <w:spacing w:after="0"/>
              <w:rPr>
                <w:sz w:val="20"/>
                <w:szCs w:val="20"/>
                <w:color w:val="auto"/>
              </w:rPr>
            </w:pPr>
            <w:r>
              <w:rPr>
                <w:rFonts w:ascii="Arial" w:cs="Arial" w:eastAsia="Arial" w:hAnsi="Arial"/>
                <w:sz w:val="14"/>
                <w:szCs w:val="14"/>
                <w:color w:val="auto"/>
              </w:rPr>
              <w:t>Diluted</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6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5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Arial" w:cs="Arial" w:eastAsia="Arial" w:hAnsi="Arial"/>
                <w:sz w:val="14"/>
                <w:szCs w:val="14"/>
                <w:color w:val="auto"/>
              </w:rPr>
              <w:t>Weighted-average common shares 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DBE2EF"/>
          </w:tcPr>
          <w:p>
            <w:pPr>
              <w:ind w:left="44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76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60.5</w:t>
            </w: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66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40" w:type="dxa"/>
            <w:vAlign w:val="bottom"/>
            <w:shd w:val="clear" w:color="auto" w:fill="DBE2EF"/>
          </w:tcPr>
          <w:p>
            <w:pPr>
              <w:spacing w:after="0"/>
              <w:rPr>
                <w:sz w:val="14"/>
                <w:szCs w:val="14"/>
                <w:color w:val="auto"/>
              </w:rPr>
            </w:pPr>
          </w:p>
        </w:tc>
        <w:tc>
          <w:tcPr>
            <w:tcW w:w="62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480" w:type="dxa"/>
            <w:vAlign w:val="bottom"/>
            <w:shd w:val="clear" w:color="auto" w:fill="DBE2EF"/>
          </w:tcPr>
          <w:p>
            <w:pPr>
              <w:spacing w:after="0"/>
              <w:rPr>
                <w:sz w:val="14"/>
                <w:szCs w:val="14"/>
                <w:color w:val="auto"/>
              </w:rPr>
            </w:pPr>
          </w:p>
        </w:tc>
        <w:tc>
          <w:tcPr>
            <w:tcW w:w="100" w:type="dxa"/>
            <w:vAlign w:val="bottom"/>
            <w:shd w:val="clear" w:color="auto" w:fill="DBE2EF"/>
          </w:tcPr>
          <w:p>
            <w:pPr>
              <w:spacing w:after="0"/>
              <w:rPr>
                <w:sz w:val="14"/>
                <w:szCs w:val="14"/>
                <w:color w:val="auto"/>
              </w:rPr>
            </w:pPr>
          </w:p>
        </w:tc>
        <w:tc>
          <w:tcPr>
            <w:tcW w:w="220" w:type="dxa"/>
            <w:vAlign w:val="bottom"/>
            <w:shd w:val="clear" w:color="auto" w:fill="DBE2EF"/>
          </w:tcPr>
          <w:p>
            <w:pPr>
              <w:spacing w:after="0"/>
              <w:rPr>
                <w:sz w:val="14"/>
                <w:szCs w:val="14"/>
                <w:color w:val="auto"/>
              </w:rPr>
            </w:pPr>
          </w:p>
        </w:tc>
        <w:tc>
          <w:tcPr>
            <w:tcW w:w="60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120" w:type="dxa"/>
            <w:vAlign w:val="bottom"/>
            <w:shd w:val="clear" w:color="auto" w:fill="DBE2EF"/>
          </w:tcPr>
          <w:p>
            <w:pPr>
              <w:spacing w:after="0"/>
              <w:rPr>
                <w:sz w:val="14"/>
                <w:szCs w:val="14"/>
                <w:color w:val="auto"/>
              </w:rPr>
            </w:pPr>
          </w:p>
        </w:tc>
        <w:tc>
          <w:tcPr>
            <w:tcW w:w="260" w:type="dxa"/>
            <w:vAlign w:val="bottom"/>
            <w:shd w:val="clear" w:color="auto" w:fill="DBE2EF"/>
          </w:tcPr>
          <w:p>
            <w:pPr>
              <w:spacing w:after="0"/>
              <w:rPr>
                <w:sz w:val="14"/>
                <w:szCs w:val="14"/>
                <w:color w:val="auto"/>
              </w:rPr>
            </w:pPr>
          </w:p>
        </w:tc>
        <w:tc>
          <w:tcPr>
            <w:tcW w:w="600" w:type="dxa"/>
            <w:vAlign w:val="bottom"/>
            <w:gridSpan w:val="2"/>
            <w:shd w:val="clear" w:color="auto" w:fill="DBE2EF"/>
          </w:tcPr>
          <w:p>
            <w:pPr>
              <w:jc w:val="right"/>
              <w:ind w:right="79"/>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DBE2EF"/>
          </w:tcPr>
          <w:p>
            <w:pPr>
              <w:spacing w:after="0"/>
              <w:rPr>
                <w:sz w:val="14"/>
                <w:szCs w:val="14"/>
                <w:color w:val="auto"/>
              </w:rPr>
            </w:pPr>
          </w:p>
        </w:tc>
        <w:tc>
          <w:tcPr>
            <w:tcW w:w="520" w:type="dxa"/>
            <w:vAlign w:val="bottom"/>
            <w:shd w:val="clear" w:color="auto" w:fill="DBE2EF"/>
          </w:tcPr>
          <w:p>
            <w:pPr>
              <w:ind w:left="240"/>
              <w:spacing w:after="0"/>
              <w:rPr>
                <w:sz w:val="20"/>
                <w:szCs w:val="20"/>
                <w:color w:val="auto"/>
              </w:rPr>
            </w:pPr>
            <w:r>
              <w:rPr>
                <w:rFonts w:ascii="Arial" w:cs="Arial" w:eastAsia="Arial" w:hAnsi="Arial"/>
                <w:sz w:val="14"/>
                <w:szCs w:val="14"/>
                <w:i w:val="1"/>
                <w:iCs w:val="1"/>
                <w:color w:val="auto"/>
              </w:rPr>
              <w:t>(i)</w:t>
            </w:r>
          </w:p>
        </w:tc>
        <w:tc>
          <w:tcPr>
            <w:tcW w:w="120" w:type="dxa"/>
            <w:vAlign w:val="bottom"/>
            <w:shd w:val="clear" w:color="auto" w:fill="DBE2EF"/>
          </w:tcPr>
          <w:p>
            <w:pPr>
              <w:spacing w:after="0"/>
              <w:rPr>
                <w:sz w:val="14"/>
                <w:szCs w:val="14"/>
                <w:color w:val="auto"/>
              </w:rPr>
            </w:pPr>
          </w:p>
        </w:tc>
        <w:tc>
          <w:tcPr>
            <w:tcW w:w="180" w:type="dxa"/>
            <w:vAlign w:val="bottom"/>
            <w:shd w:val="clear" w:color="auto" w:fill="DBE2EF"/>
          </w:tcPr>
          <w:p>
            <w:pPr>
              <w:spacing w:after="0"/>
              <w:rPr>
                <w:sz w:val="14"/>
                <w:szCs w:val="14"/>
                <w:color w:val="auto"/>
              </w:rPr>
            </w:pPr>
          </w:p>
        </w:tc>
        <w:tc>
          <w:tcPr>
            <w:tcW w:w="580" w:type="dxa"/>
            <w:vAlign w:val="bottom"/>
            <w:gridSpan w:val="2"/>
            <w:shd w:val="clear" w:color="auto" w:fill="DBE2EF"/>
          </w:tcPr>
          <w:p>
            <w:pPr>
              <w:jc w:val="right"/>
              <w:ind w:right="10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90"/>
        </w:trPr>
        <w:tc>
          <w:tcPr>
            <w:tcW w:w="4180" w:type="dxa"/>
            <w:vAlign w:val="bottom"/>
          </w:tcPr>
          <w:p>
            <w:pPr>
              <w:ind w:left="44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520" w:type="dxa"/>
            <w:vAlign w:val="bottom"/>
          </w:tcPr>
          <w:p>
            <w:pPr>
              <w:ind w:left="240"/>
              <w:spacing w:after="0"/>
              <w:rPr>
                <w:sz w:val="20"/>
                <w:szCs w:val="20"/>
                <w:color w:val="auto"/>
              </w:rPr>
            </w:pPr>
            <w:r>
              <w:rPr>
                <w:rFonts w:ascii="Arial" w:cs="Arial" w:eastAsia="Arial" w:hAnsi="Arial"/>
                <w:sz w:val="14"/>
                <w:szCs w:val="14"/>
                <w:i w:val="1"/>
                <w:iCs w:val="1"/>
                <w:color w:val="auto"/>
              </w:rPr>
              <w:t>(i)</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9" w:name="page10"/>
    <w:bookmarkEnd w:id="9"/>
    <w:p>
      <w:pPr>
        <w:ind w:right="5420"/>
        <w:spacing w:after="0" w:line="515" w:lineRule="auto"/>
        <w:rPr>
          <w:sz w:val="20"/>
          <w:szCs w:val="20"/>
          <w:color w:val="auto"/>
        </w:rPr>
      </w:pPr>
      <w:r>
        <w:rPr>
          <w:rFonts w:ascii="Arial" w:cs="Arial" w:eastAsia="Arial" w:hAnsi="Arial"/>
          <w:sz w:val="18"/>
          <w:szCs w:val="18"/>
          <w:b w:val="1"/>
          <w:bCs w:val="1"/>
          <w:color w:val="auto"/>
        </w:rPr>
        <w:t>NOTES TO THE UNAUDITED PRO FORMA CONDENSED COMBINED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19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The pro forma financial statements have been derived from the historical consolidated financial statements of Martin Marietta and LNA. The pro forma balance sheet as of June 30, 2026, gives effect to the Transaction and the related financings as if they were consummated on June 30, 2026. The pro forma statements of earnings for the year ended December 31, 2025 and for the six months ended June 30, 2026 give effect to the Transaction and the related financings as if they were consummated on January 1, 2025. The pro forma financial statements and related notes are prepared in accordance with Article 11 of Regulation S-X, as amended.</w:t>
      </w:r>
    </w:p>
    <w:p>
      <w:pPr>
        <w:spacing w:after="0" w:line="16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 xml:space="preserve">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Transaction is being accounted for under the acquisition method with Martin Marietta as the acquirer. The purchase price has been allocated to the estimated fair values of the assets acquired and liabilities assumed from LNA using fair value concepts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Fair value is defined as the price that would be received to sell an asset or paid to transfer a liability in an orderly transaction between market participants as of the measurement date, which, in this case, is the closing date of the Transaction. This is an exit price concept for the valuation of the asset or liability. In addition, market participants are assumed to be buyers and sellers in the principal (or the most advantageous) market for the asset or liability. Fair value measurements for an asset assume the highest and best use by these market participants. As a result, the pro forma financial statements may record assets which are not intended to be used by Martin Marietta and/or value assets at fair value measures that do not reflect Martin Marietta’s intended use of those assets. Many fair value measurements can be highly subjective and it is also possible that others applying reasonable judgment to the same facts and circumstances could develop and support a range of alternative estimated amounts. Martin Marietta believes the estimated fair values are reasonable, based on information that is currently available.</w:t>
      </w:r>
    </w:p>
    <w:p>
      <w:pPr>
        <w:spacing w:after="0" w:line="169"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8"/>
          <w:szCs w:val="18"/>
          <w:color w:val="auto"/>
        </w:rPr>
        <w:t>The pro forma financial statements do not reflect any anticipated cost savings or associated costs to achieve such savings from operating efficiencies, synergies or other restructuring that result from the Transaction. In addition, the pro forma financial statements do not purport to project the future financial position or operating results of the combined company. Transactions between Martin Marietta and LNA during the periods presented in the pro forma financial statements have been eliminated as if LNA was a consolidated subsidiary of Martin Marietta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7"/>
        </w:trPr>
        <w:tc>
          <w:tcPr>
            <w:tcW w:w="8840" w:type="dxa"/>
            <w:vAlign w:val="bottom"/>
          </w:tcPr>
          <w:p>
            <w:pPr>
              <w:spacing w:after="0"/>
              <w:rPr>
                <w:sz w:val="20"/>
                <w:szCs w:val="20"/>
                <w:color w:val="auto"/>
              </w:rPr>
            </w:pPr>
            <w:r>
              <w:rPr>
                <w:rFonts w:ascii="Arial" w:cs="Arial" w:eastAsia="Arial" w:hAnsi="Arial"/>
                <w:sz w:val="18"/>
                <w:szCs w:val="18"/>
                <w:b w:val="1"/>
                <w:bCs w:val="1"/>
                <w:color w:val="auto"/>
              </w:rPr>
              <w:t>Note 2. Transaction Consideration and Purchase Price Allocation</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97"/>
        </w:trPr>
        <w:tc>
          <w:tcPr>
            <w:tcW w:w="8840" w:type="dxa"/>
            <w:vAlign w:val="bottom"/>
          </w:tcPr>
          <w:p>
            <w:pPr>
              <w:ind w:left="660"/>
              <w:spacing w:after="0"/>
              <w:rPr>
                <w:sz w:val="20"/>
                <w:szCs w:val="20"/>
                <w:color w:val="auto"/>
              </w:rPr>
            </w:pPr>
            <w:r>
              <w:rPr>
                <w:rFonts w:ascii="Arial" w:cs="Arial" w:eastAsia="Arial" w:hAnsi="Arial"/>
                <w:sz w:val="18"/>
                <w:szCs w:val="18"/>
                <w:color w:val="auto"/>
              </w:rPr>
              <w:t>The Transaction consideration included in the pro forma financial statements is calculated as follows: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884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Martin Marietta shares issued</w:t>
            </w:r>
          </w:p>
        </w:tc>
        <w:tc>
          <w:tcPr>
            <w:tcW w:w="180" w:type="dxa"/>
            <w:vAlign w:val="bottom"/>
            <w:shd w:val="clear" w:color="auto" w:fill="DBE2EF"/>
          </w:tcPr>
          <w:p>
            <w:pPr>
              <w:spacing w:after="0"/>
              <w:rPr>
                <w:sz w:val="17"/>
                <w:szCs w:val="17"/>
                <w:color w:val="auto"/>
              </w:rPr>
            </w:pPr>
          </w:p>
        </w:tc>
        <w:tc>
          <w:tcPr>
            <w:tcW w:w="480" w:type="dxa"/>
            <w:vAlign w:val="bottom"/>
            <w:shd w:val="clear" w:color="auto" w:fill="DBE2EF"/>
          </w:tcPr>
          <w:p>
            <w:pPr>
              <w:spacing w:after="0"/>
              <w:rPr>
                <w:sz w:val="17"/>
                <w:szCs w:val="17"/>
                <w:color w:val="auto"/>
              </w:rPr>
            </w:pPr>
          </w:p>
        </w:tc>
        <w:tc>
          <w:tcPr>
            <w:tcW w:w="174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10,953,543</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Martin Marietta share price on August 21, 2026</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534.92</w:t>
            </w:r>
          </w:p>
        </w:tc>
      </w:tr>
      <w:tr>
        <w:trPr>
          <w:trHeight w:val="196"/>
        </w:trPr>
        <w:tc>
          <w:tcPr>
            <w:tcW w:w="8840" w:type="dxa"/>
            <w:vAlign w:val="bottom"/>
            <w:tcBorders>
              <w:top w:val="single" w:sz="8" w:color="DBE2EF"/>
            </w:tcBorders>
            <w:shd w:val="clear" w:color="auto" w:fill="DBE2EF"/>
          </w:tcPr>
          <w:p>
            <w:pPr>
              <w:spacing w:after="0" w:line="196" w:lineRule="exact"/>
              <w:rPr>
                <w:sz w:val="20"/>
                <w:szCs w:val="20"/>
                <w:color w:val="auto"/>
              </w:rPr>
            </w:pPr>
            <w:r>
              <w:rPr>
                <w:rFonts w:ascii="Arial" w:cs="Arial" w:eastAsia="Arial" w:hAnsi="Arial"/>
                <w:sz w:val="18"/>
                <w:szCs w:val="18"/>
                <w:color w:val="auto"/>
              </w:rPr>
              <w:t>Share consideration</w:t>
            </w:r>
          </w:p>
        </w:tc>
        <w:tc>
          <w:tcPr>
            <w:tcW w:w="180" w:type="dxa"/>
            <w:vAlign w:val="bottom"/>
            <w:tcBorders>
              <w:top w:val="single" w:sz="8" w:color="DBE2EF"/>
            </w:tcBorders>
            <w:shd w:val="clear" w:color="auto" w:fill="DBE2EF"/>
          </w:tcPr>
          <w:p>
            <w:pPr>
              <w:spacing w:after="0"/>
              <w:rPr>
                <w:sz w:val="17"/>
                <w:szCs w:val="17"/>
                <w:color w:val="auto"/>
              </w:rPr>
            </w:pPr>
          </w:p>
        </w:tc>
        <w:tc>
          <w:tcPr>
            <w:tcW w:w="480" w:type="dxa"/>
            <w:vAlign w:val="bottom"/>
            <w:tcBorders>
              <w:top w:val="single" w:sz="8" w:color="auto"/>
            </w:tcBorders>
            <w:shd w:val="clear" w:color="auto" w:fill="DBE2E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DBE2EF"/>
          </w:tcPr>
          <w:p>
            <w:pPr>
              <w:jc w:val="right"/>
              <w:spacing w:after="0" w:line="196" w:lineRule="exact"/>
              <w:rPr>
                <w:sz w:val="20"/>
                <w:szCs w:val="20"/>
                <w:color w:val="auto"/>
              </w:rPr>
            </w:pPr>
            <w:r>
              <w:rPr>
                <w:rFonts w:ascii="Arial" w:cs="Arial" w:eastAsia="Arial" w:hAnsi="Arial"/>
                <w:sz w:val="18"/>
                <w:szCs w:val="18"/>
                <w:color w:val="auto"/>
              </w:rPr>
              <w:t>5,859,269,222</w:t>
            </w:r>
          </w:p>
        </w:tc>
        <w:tc>
          <w:tcPr>
            <w:tcW w:w="100" w:type="dxa"/>
            <w:vAlign w:val="bottom"/>
            <w:tcBorders>
              <w:top w:val="single" w:sz="8" w:color="DBE2EF"/>
            </w:tcBorders>
            <w:shd w:val="clear" w:color="auto" w:fill="DBE2EF"/>
          </w:tcPr>
          <w:p>
            <w:pPr>
              <w:spacing w:after="0"/>
              <w:rPr>
                <w:sz w:val="17"/>
                <w:szCs w:val="17"/>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Cash consideration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7,027,745,270</w:t>
            </w:r>
          </w:p>
        </w:tc>
      </w:tr>
      <w:tr>
        <w:trPr>
          <w:trHeight w:val="209"/>
        </w:trPr>
        <w:tc>
          <w:tcPr>
            <w:tcW w:w="8840" w:type="dxa"/>
            <w:vAlign w:val="bottom"/>
            <w:tcBorders>
              <w:top w:val="single" w:sz="8" w:color="DBE2EF"/>
              <w:bottom w:val="single" w:sz="8" w:color="DBE2EF"/>
            </w:tcBorders>
            <w:shd w:val="clear" w:color="auto" w:fill="DBE2EF"/>
          </w:tcPr>
          <w:p>
            <w:pPr>
              <w:spacing w:after="0"/>
              <w:rPr>
                <w:sz w:val="20"/>
                <w:szCs w:val="20"/>
                <w:color w:val="auto"/>
              </w:rPr>
            </w:pPr>
            <w:r>
              <w:rPr>
                <w:rFonts w:ascii="Arial" w:cs="Arial" w:eastAsia="Arial" w:hAnsi="Arial"/>
                <w:sz w:val="18"/>
                <w:szCs w:val="18"/>
                <w:color w:val="auto"/>
              </w:rPr>
              <w:t>Total Transaction consideration</w:t>
            </w:r>
          </w:p>
        </w:tc>
        <w:tc>
          <w:tcPr>
            <w:tcW w:w="180" w:type="dxa"/>
            <w:vAlign w:val="bottom"/>
            <w:tcBorders>
              <w:top w:val="single" w:sz="8" w:color="DBE2EF"/>
              <w:bottom w:val="single" w:sz="8" w:color="DBE2EF"/>
            </w:tcBorders>
            <w:shd w:val="clear" w:color="auto" w:fill="DBE2EF"/>
          </w:tcPr>
          <w:p>
            <w:pPr>
              <w:spacing w:after="0"/>
              <w:rPr>
                <w:sz w:val="18"/>
                <w:szCs w:val="18"/>
                <w:color w:val="auto"/>
              </w:rPr>
            </w:pPr>
          </w:p>
        </w:tc>
        <w:tc>
          <w:tcPr>
            <w:tcW w:w="480" w:type="dxa"/>
            <w:vAlign w:val="bottom"/>
            <w:tcBorders>
              <w:top w:val="single" w:sz="8" w:color="auto"/>
              <w:bottom w:val="single" w:sz="8" w:color="auto"/>
            </w:tcBorders>
            <w:shd w:val="clear" w:color="auto" w:fill="DBE2EF"/>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DBE2EF"/>
          </w:tcPr>
          <w:p>
            <w:pPr>
              <w:jc w:val="right"/>
              <w:spacing w:after="0"/>
              <w:rPr>
                <w:sz w:val="20"/>
                <w:szCs w:val="20"/>
                <w:color w:val="auto"/>
              </w:rPr>
            </w:pPr>
            <w:r>
              <w:rPr>
                <w:rFonts w:ascii="Arial" w:cs="Arial" w:eastAsia="Arial" w:hAnsi="Arial"/>
                <w:sz w:val="18"/>
                <w:szCs w:val="18"/>
                <w:color w:val="auto"/>
              </w:rPr>
              <w:t>12,887,014,492</w:t>
            </w:r>
          </w:p>
        </w:tc>
        <w:tc>
          <w:tcPr>
            <w:tcW w:w="100" w:type="dxa"/>
            <w:vAlign w:val="bottom"/>
            <w:tcBorders>
              <w:top w:val="single" w:sz="8" w:color="DBE2EF"/>
              <w:bottom w:val="single" w:sz="8" w:color="DBE2EF"/>
            </w:tcBorders>
            <w:shd w:val="clear" w:color="auto" w:fill="DBE2EF"/>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is the estimated allocation of the Transaction consideration to the fair value of the assets acquired and the liabilities assumed by Martin Marietta in the Transaction as of June 30,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gridSpan w:val="2"/>
          </w:tcPr>
          <w:p>
            <w:pPr>
              <w:ind w:left="62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185"/>
        </w:trPr>
        <w:tc>
          <w:tcPr>
            <w:tcW w:w="610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Cash and cash equivalents</w:t>
            </w:r>
          </w:p>
        </w:tc>
        <w:tc>
          <w:tcPr>
            <w:tcW w:w="3620" w:type="dxa"/>
            <w:vAlign w:val="bottom"/>
            <w:gridSpan w:val="2"/>
            <w:shd w:val="clear" w:color="auto" w:fill="DBE2E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Advances to LNA affiliates</w:t>
            </w:r>
          </w:p>
        </w:tc>
        <w:tc>
          <w:tcPr>
            <w:tcW w:w="2920" w:type="dxa"/>
            <w:vAlign w:val="bottom"/>
            <w:shd w:val="clear" w:color="auto" w:fill="DBE2EF"/>
          </w:tcPr>
          <w:p>
            <w:pPr>
              <w:spacing w:after="0"/>
              <w:rPr>
                <w:sz w:val="17"/>
                <w:szCs w:val="17"/>
                <w:color w:val="auto"/>
              </w:rPr>
            </w:pPr>
          </w:p>
        </w:tc>
        <w:tc>
          <w:tcPr>
            <w:tcW w:w="700" w:type="dxa"/>
            <w:vAlign w:val="bottom"/>
            <w:shd w:val="clear" w:color="auto" w:fill="DBE2EF"/>
          </w:tcPr>
          <w:p>
            <w:pPr>
              <w:spacing w:after="0"/>
              <w:rPr>
                <w:sz w:val="17"/>
                <w:szCs w:val="17"/>
                <w:color w:val="auto"/>
              </w:rPr>
            </w:pP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Other current assets</w:t>
            </w:r>
          </w:p>
        </w:tc>
        <w:tc>
          <w:tcPr>
            <w:tcW w:w="2920" w:type="dxa"/>
            <w:vAlign w:val="bottom"/>
            <w:shd w:val="clear" w:color="auto" w:fill="DBE2EF"/>
          </w:tcPr>
          <w:p>
            <w:pPr>
              <w:spacing w:after="0"/>
              <w:rPr>
                <w:sz w:val="17"/>
                <w:szCs w:val="17"/>
                <w:color w:val="auto"/>
              </w:rPr>
            </w:pPr>
          </w:p>
        </w:tc>
        <w:tc>
          <w:tcPr>
            <w:tcW w:w="700" w:type="dxa"/>
            <w:vAlign w:val="bottom"/>
            <w:shd w:val="clear" w:color="auto" w:fill="DBE2EF"/>
          </w:tcPr>
          <w:p>
            <w:pPr>
              <w:spacing w:after="0"/>
              <w:rPr>
                <w:sz w:val="17"/>
                <w:szCs w:val="17"/>
                <w:color w:val="auto"/>
              </w:rPr>
            </w:pP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Other intangible assets</w:t>
            </w:r>
          </w:p>
        </w:tc>
        <w:tc>
          <w:tcPr>
            <w:tcW w:w="2920" w:type="dxa"/>
            <w:vAlign w:val="bottom"/>
            <w:shd w:val="clear" w:color="auto" w:fill="DBE2EF"/>
          </w:tcPr>
          <w:p>
            <w:pPr>
              <w:spacing w:after="0"/>
              <w:rPr>
                <w:sz w:val="17"/>
                <w:szCs w:val="17"/>
                <w:color w:val="auto"/>
              </w:rPr>
            </w:pPr>
          </w:p>
        </w:tc>
        <w:tc>
          <w:tcPr>
            <w:tcW w:w="700" w:type="dxa"/>
            <w:vAlign w:val="bottom"/>
            <w:shd w:val="clear" w:color="auto" w:fill="DBE2EF"/>
          </w:tcPr>
          <w:p>
            <w:pPr>
              <w:spacing w:after="0"/>
              <w:rPr>
                <w:sz w:val="17"/>
                <w:szCs w:val="17"/>
                <w:color w:val="auto"/>
              </w:rPr>
            </w:pP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5,969</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DBE2EF"/>
            </w:tcBorders>
          </w:tcPr>
          <w:p>
            <w:pPr>
              <w:spacing w:after="0"/>
              <w:rPr>
                <w:sz w:val="20"/>
                <w:szCs w:val="20"/>
                <w:color w:val="auto"/>
              </w:rPr>
            </w:pPr>
            <w:r>
              <w:rPr>
                <w:rFonts w:ascii="Arial" w:cs="Arial" w:eastAsia="Arial" w:hAnsi="Arial"/>
                <w:sz w:val="18"/>
                <w:szCs w:val="18"/>
                <w:color w:val="auto"/>
              </w:rPr>
              <w:t>Other noncurrent assets</w:t>
            </w:r>
          </w:p>
        </w:tc>
        <w:tc>
          <w:tcPr>
            <w:tcW w:w="2920" w:type="dxa"/>
            <w:vAlign w:val="bottom"/>
            <w:tcBorders>
              <w:bottom w:val="single" w:sz="8" w:color="DBE2E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DBE2E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DBE2EF"/>
          </w:tcPr>
          <w:p>
            <w:pPr>
              <w:ind w:left="660"/>
              <w:spacing w:after="0"/>
              <w:rPr>
                <w:sz w:val="20"/>
                <w:szCs w:val="20"/>
                <w:color w:val="auto"/>
              </w:rPr>
            </w:pPr>
            <w:r>
              <w:rPr>
                <w:rFonts w:ascii="Arial" w:cs="Arial" w:eastAsia="Arial" w:hAnsi="Arial"/>
                <w:sz w:val="18"/>
                <w:szCs w:val="18"/>
                <w:color w:val="auto"/>
              </w:rPr>
              <w:t>Total Assets, excluding goodwill</w:t>
            </w:r>
          </w:p>
        </w:tc>
        <w:tc>
          <w:tcPr>
            <w:tcW w:w="3620" w:type="dxa"/>
            <w:vAlign w:val="bottom"/>
            <w:gridSpan w:val="2"/>
            <w:shd w:val="clear" w:color="auto" w:fill="DBE2EF"/>
          </w:tcPr>
          <w:p>
            <w:pPr>
              <w:jc w:val="right"/>
              <w:ind w:right="5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DBE2EF"/>
          </w:tcPr>
          <w:p>
            <w:pPr>
              <w:jc w:val="right"/>
              <w:ind w:right="10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398"/>
        </w:trPr>
        <w:tc>
          <w:tcPr>
            <w:tcW w:w="6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Accounts payable</w:t>
            </w:r>
          </w:p>
        </w:tc>
        <w:tc>
          <w:tcPr>
            <w:tcW w:w="3620" w:type="dxa"/>
            <w:vAlign w:val="bottom"/>
            <w:gridSpan w:val="2"/>
            <w:shd w:val="clear" w:color="auto" w:fill="DBE2E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920" w:type="dxa"/>
            <w:vAlign w:val="bottom"/>
            <w:shd w:val="clear" w:color="auto" w:fill="DBE2EF"/>
          </w:tcPr>
          <w:p>
            <w:pPr>
              <w:spacing w:after="0"/>
              <w:rPr>
                <w:sz w:val="17"/>
                <w:szCs w:val="17"/>
                <w:color w:val="auto"/>
              </w:rPr>
            </w:pPr>
          </w:p>
        </w:tc>
        <w:tc>
          <w:tcPr>
            <w:tcW w:w="700" w:type="dxa"/>
            <w:vAlign w:val="bottom"/>
            <w:shd w:val="clear" w:color="auto" w:fill="DBE2EF"/>
          </w:tcPr>
          <w:p>
            <w:pPr>
              <w:spacing w:after="0"/>
              <w:rPr>
                <w:sz w:val="17"/>
                <w:szCs w:val="17"/>
                <w:color w:val="auto"/>
              </w:rPr>
            </w:pP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920" w:type="dxa"/>
            <w:vAlign w:val="bottom"/>
            <w:shd w:val="clear" w:color="auto" w:fill="DBE2EF"/>
          </w:tcPr>
          <w:p>
            <w:pPr>
              <w:spacing w:after="0"/>
              <w:rPr>
                <w:sz w:val="17"/>
                <w:szCs w:val="17"/>
                <w:color w:val="auto"/>
              </w:rPr>
            </w:pPr>
          </w:p>
        </w:tc>
        <w:tc>
          <w:tcPr>
            <w:tcW w:w="700" w:type="dxa"/>
            <w:vAlign w:val="bottom"/>
            <w:shd w:val="clear" w:color="auto" w:fill="DBE2EF"/>
          </w:tcPr>
          <w:p>
            <w:pPr>
              <w:spacing w:after="0"/>
              <w:rPr>
                <w:sz w:val="17"/>
                <w:szCs w:val="17"/>
                <w:color w:val="auto"/>
              </w:rPr>
            </w:pP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196"/>
        </w:trPr>
        <w:tc>
          <w:tcPr>
            <w:tcW w:w="6100" w:type="dxa"/>
            <w:vAlign w:val="bottom"/>
            <w:tcBorders>
              <w:top w:val="single" w:sz="8" w:color="DBE2EF"/>
            </w:tcBorders>
            <w:shd w:val="clear" w:color="auto" w:fill="DBE2EF"/>
          </w:tcPr>
          <w:p>
            <w:pPr>
              <w:ind w:left="660"/>
              <w:spacing w:after="0" w:line="196" w:lineRule="exact"/>
              <w:rPr>
                <w:sz w:val="20"/>
                <w:szCs w:val="20"/>
                <w:color w:val="auto"/>
              </w:rPr>
            </w:pPr>
            <w:r>
              <w:rPr>
                <w:rFonts w:ascii="Arial" w:cs="Arial" w:eastAsia="Arial" w:hAnsi="Arial"/>
                <w:sz w:val="18"/>
                <w:szCs w:val="18"/>
                <w:color w:val="auto"/>
              </w:rPr>
              <w:t>Total Liabilities</w:t>
            </w:r>
          </w:p>
        </w:tc>
        <w:tc>
          <w:tcPr>
            <w:tcW w:w="2920" w:type="dxa"/>
            <w:vAlign w:val="bottom"/>
            <w:tcBorders>
              <w:top w:val="single" w:sz="8" w:color="DBE2EF"/>
            </w:tcBorders>
            <w:shd w:val="clear" w:color="auto" w:fill="DBE2EF"/>
          </w:tcPr>
          <w:p>
            <w:pPr>
              <w:spacing w:after="0"/>
              <w:rPr>
                <w:sz w:val="17"/>
                <w:szCs w:val="17"/>
                <w:color w:val="auto"/>
              </w:rPr>
            </w:pPr>
          </w:p>
        </w:tc>
        <w:tc>
          <w:tcPr>
            <w:tcW w:w="700" w:type="dxa"/>
            <w:vAlign w:val="bottom"/>
            <w:tcBorders>
              <w:top w:val="single" w:sz="8" w:color="auto"/>
              <w:bottom w:val="single" w:sz="8" w:color="auto"/>
            </w:tcBorders>
            <w:shd w:val="clear" w:color="auto" w:fill="DBE2EF"/>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DBE2EF"/>
          </w:tcPr>
          <w:p>
            <w:pPr>
              <w:jc w:val="right"/>
              <w:spacing w:after="0" w:line="196" w:lineRule="exact"/>
              <w:rPr>
                <w:sz w:val="20"/>
                <w:szCs w:val="20"/>
                <w:color w:val="auto"/>
              </w:rPr>
            </w:pPr>
            <w:r>
              <w:rPr>
                <w:rFonts w:ascii="Arial" w:cs="Arial" w:eastAsia="Arial" w:hAnsi="Arial"/>
                <w:sz w:val="18"/>
                <w:szCs w:val="18"/>
                <w:color w:val="auto"/>
              </w:rPr>
              <w:t>2,770</w:t>
            </w:r>
          </w:p>
        </w:tc>
        <w:tc>
          <w:tcPr>
            <w:tcW w:w="100" w:type="dxa"/>
            <w:vAlign w:val="bottom"/>
            <w:tcBorders>
              <w:top w:val="single" w:sz="8" w:color="DBE2EF"/>
            </w:tcBorders>
            <w:shd w:val="clear" w:color="auto" w:fill="DBE2E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shd w:val="clear" w:color="auto" w:fill="DBE2EF"/>
          </w:tcPr>
          <w:p>
            <w:pPr>
              <w:spacing w:after="0" w:line="202" w:lineRule="exact"/>
              <w:rPr>
                <w:sz w:val="20"/>
                <w:szCs w:val="20"/>
                <w:color w:val="auto"/>
              </w:rPr>
            </w:pPr>
            <w:r>
              <w:rPr>
                <w:rFonts w:ascii="Arial" w:cs="Arial" w:eastAsia="Arial" w:hAnsi="Arial"/>
                <w:sz w:val="18"/>
                <w:szCs w:val="18"/>
                <w:color w:val="auto"/>
              </w:rPr>
              <w:t>Net assets acquired</w:t>
            </w:r>
          </w:p>
        </w:tc>
        <w:tc>
          <w:tcPr>
            <w:tcW w:w="3620" w:type="dxa"/>
            <w:vAlign w:val="bottom"/>
            <w:gridSpan w:val="2"/>
            <w:shd w:val="clear" w:color="auto" w:fill="DBE2E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DBE2EF"/>
          </w:tcPr>
          <w:p>
            <w:pPr>
              <w:jc w:val="right"/>
              <w:ind w:right="100"/>
              <w:spacing w:after="0" w:line="202" w:lineRule="exact"/>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6100" w:type="dxa"/>
            <w:vAlign w:val="bottom"/>
            <w:tcBorders>
              <w:top w:val="single" w:sz="8" w:color="DBE2EF"/>
              <w:bottom w:val="single" w:sz="8" w:color="DBE2EF"/>
            </w:tcBorders>
            <w:shd w:val="clear" w:color="auto" w:fill="DBE2EF"/>
          </w:tcPr>
          <w:p>
            <w:pPr>
              <w:spacing w:after="0"/>
              <w:rPr>
                <w:sz w:val="20"/>
                <w:szCs w:val="20"/>
                <w:color w:val="auto"/>
              </w:rPr>
            </w:pPr>
            <w:r>
              <w:rPr>
                <w:rFonts w:ascii="Arial" w:cs="Arial" w:eastAsia="Arial" w:hAnsi="Arial"/>
                <w:sz w:val="18"/>
                <w:szCs w:val="18"/>
                <w:b w:val="1"/>
                <w:bCs w:val="1"/>
                <w:color w:val="auto"/>
              </w:rPr>
              <w:t>Purchase Price</w:t>
            </w:r>
          </w:p>
        </w:tc>
        <w:tc>
          <w:tcPr>
            <w:tcW w:w="2920" w:type="dxa"/>
            <w:vAlign w:val="bottom"/>
            <w:tcBorders>
              <w:top w:val="single" w:sz="8" w:color="DBE2EF"/>
              <w:bottom w:val="single" w:sz="8" w:color="DBE2EF"/>
            </w:tcBorders>
            <w:shd w:val="clear" w:color="auto" w:fill="DBE2EF"/>
          </w:tcPr>
          <w:p>
            <w:pPr>
              <w:spacing w:after="0"/>
              <w:rPr>
                <w:sz w:val="18"/>
                <w:szCs w:val="18"/>
                <w:color w:val="auto"/>
              </w:rPr>
            </w:pPr>
          </w:p>
        </w:tc>
        <w:tc>
          <w:tcPr>
            <w:tcW w:w="700" w:type="dxa"/>
            <w:vAlign w:val="bottom"/>
            <w:tcBorders>
              <w:top w:val="single" w:sz="8" w:color="auto"/>
              <w:bottom w:val="single" w:sz="8" w:color="auto"/>
            </w:tcBorders>
            <w:shd w:val="clear" w:color="auto" w:fill="DBE2EF"/>
          </w:tcPr>
          <w:p>
            <w:pPr>
              <w:jc w:val="right"/>
              <w:ind w:right="5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DBE2EF"/>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tcBorders>
              <w:top w:val="single" w:sz="8" w:color="DBE2EF"/>
              <w:bottom w:val="single" w:sz="8" w:color="DBE2EF"/>
            </w:tcBorders>
            <w:shd w:val="clear" w:color="auto" w:fill="DBE2E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Goodwill represents the excess of the estimated Transaction consideration over the estimated fair value of the underlying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Adjustments to Pro Forma Balance Sheet</w:t>
      </w:r>
    </w:p>
    <w:p>
      <w:pPr>
        <w:spacing w:after="0" w:line="198" w:lineRule="exact"/>
        <w:rPr>
          <w:sz w:val="20"/>
          <w:szCs w:val="20"/>
          <w:color w:val="auto"/>
        </w:rPr>
      </w:pPr>
    </w:p>
    <w:p>
      <w:pPr>
        <w:jc w:val="both"/>
        <w:ind w:firstLine="449"/>
        <w:spacing w:after="0" w:line="239" w:lineRule="auto"/>
        <w:tabs>
          <w:tab w:leader="none" w:pos="728"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Reclassified LNA historical presentation</w:t>
      </w:r>
      <w:r>
        <w:rPr>
          <w:rFonts w:ascii="Arial" w:cs="Arial" w:eastAsia="Arial" w:hAnsi="Arial"/>
          <w:sz w:val="18"/>
          <w:szCs w:val="18"/>
          <w:color w:val="auto"/>
        </w:rPr>
        <w:t>. Based on the amounts reported in the Martin Marietta consolidated balance sheet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2026, certain financial statement line items included in LNA’s historical financial statement presentation have been reclassified to conform to corresponding financial statement line items included in Martin Marietta’s historical presentation. Specifically, (i) $44 million of spare parts inventories has been reclassified from prepaid expenses and other to inventories; (ii) $4 million has been reclassified from prepaid expenses and other to other current assets; (iii) $9 million has been reclassified from income taxes receivable to other current assets; (iv) $25 million has been reclassified from accrued expenses to accrued salaries, benefits and payroll taxes; (v) $5 million has been reclassified from accrued income taxes to other current liabilities; and (vi) $62 million has been reclassified from accrued expenses to other current liabilities. These reclassifications had no material impact on total assets, total liabilities and total equity historically reported by Martin Marietta or LNA.</w:t>
      </w:r>
    </w:p>
    <w:p>
      <w:pPr>
        <w:spacing w:after="0" w:line="169" w:lineRule="exact"/>
        <w:rPr>
          <w:rFonts w:ascii="Arial" w:cs="Arial" w:eastAsia="Arial" w:hAnsi="Arial"/>
          <w:sz w:val="18"/>
          <w:szCs w:val="18"/>
          <w:i w:val="1"/>
          <w:iCs w:val="1"/>
          <w:color w:val="auto"/>
        </w:rPr>
      </w:pPr>
    </w:p>
    <w:p>
      <w:pPr>
        <w:jc w:val="both"/>
        <w:ind w:firstLine="449"/>
        <w:spacing w:after="0" w:line="244" w:lineRule="auto"/>
        <w:tabs>
          <w:tab w:leader="none" w:pos="726"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and Long-Term Debt. </w:t>
      </w:r>
      <w:r>
        <w:rPr>
          <w:rFonts w:ascii="Arial" w:cs="Arial" w:eastAsia="Arial" w:hAnsi="Arial"/>
          <w:sz w:val="18"/>
          <w:szCs w:val="18"/>
          <w:color w:val="auto"/>
        </w:rPr>
        <w:t>Reflects the payment of the $7,028 million cash component of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the corresponding incurrence of $7,028 million of long-term debt to finance such payment. The long-term debt consists of Martin Marietta incurring $5,500 million of indebtedness in the form of the Notes, borrowing $1,500 million under the Term Loan Facility and borrowing $28 million under the Revolving Credit Facility to fund the cash component of the Transaction consideration. See Note 2— Transaction Consideration and Purchase Price Allocation.</w:t>
      </w:r>
    </w:p>
    <w:p>
      <w:pPr>
        <w:spacing w:after="0" w:line="162" w:lineRule="exact"/>
        <w:rPr>
          <w:rFonts w:ascii="Arial" w:cs="Arial" w:eastAsia="Arial" w:hAnsi="Arial"/>
          <w:sz w:val="18"/>
          <w:szCs w:val="18"/>
          <w:i w:val="1"/>
          <w:iCs w:val="1"/>
          <w:color w:val="auto"/>
        </w:rPr>
      </w:pPr>
    </w:p>
    <w:p>
      <w:pPr>
        <w:ind w:firstLine="449"/>
        <w:spacing w:after="0" w:line="271" w:lineRule="auto"/>
        <w:tabs>
          <w:tab w:leader="none" w:pos="71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Reflects the $42 million write-up to record LNA’s inventories at fair value. The write-up of inventories resulted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a $10 million deferred income tax liability, which was calculated using an estimated statutory rate of 24.6%.</w:t>
      </w:r>
    </w:p>
    <w:p>
      <w:pPr>
        <w:spacing w:after="0" w:line="140" w:lineRule="exact"/>
        <w:rPr>
          <w:rFonts w:ascii="Arial" w:cs="Arial" w:eastAsia="Arial" w:hAnsi="Arial"/>
          <w:sz w:val="18"/>
          <w:szCs w:val="18"/>
          <w:i w:val="1"/>
          <w:iCs w:val="1"/>
          <w:color w:val="auto"/>
        </w:rPr>
      </w:pPr>
    </w:p>
    <w:p>
      <w:pPr>
        <w:jc w:val="both"/>
        <w:ind w:firstLine="449"/>
        <w:spacing w:after="0" w:line="247" w:lineRule="auto"/>
        <w:tabs>
          <w:tab w:leader="none" w:pos="738"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Current Assets, Accounts Payable and Retained Earnings</w:t>
      </w:r>
      <w:r>
        <w:rPr>
          <w:rFonts w:ascii="Arial" w:cs="Arial" w:eastAsia="Arial" w:hAnsi="Arial"/>
          <w:sz w:val="18"/>
          <w:szCs w:val="18"/>
          <w:color w:val="auto"/>
        </w:rPr>
        <w:t>. Reflects the accrual of $88 million for additional nonrecurring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expenses to be incurred by Martin Marietta subsequent to June 30, 2026 and a $21 million income tax receivable for the related income tax benefit (included in other current assets), which was calculated using an estimated statutory rate of 24.6%. The net amount, $67 million, is presented as a reduction of retained earnings.</w:t>
      </w:r>
    </w:p>
    <w:p>
      <w:pPr>
        <w:spacing w:after="0" w:line="160" w:lineRule="exact"/>
        <w:rPr>
          <w:rFonts w:ascii="Arial" w:cs="Arial" w:eastAsia="Arial" w:hAnsi="Arial"/>
          <w:sz w:val="18"/>
          <w:szCs w:val="18"/>
          <w:i w:val="1"/>
          <w:iCs w:val="1"/>
          <w:color w:val="auto"/>
        </w:rPr>
      </w:pPr>
    </w:p>
    <w:p>
      <w:pPr>
        <w:jc w:val="both"/>
        <w:ind w:firstLine="449"/>
        <w:spacing w:after="0" w:line="247" w:lineRule="auto"/>
        <w:tabs>
          <w:tab w:leader="none" w:pos="7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Property, Plant and Equipment and Deferred Income Taxes. </w:t>
      </w:r>
      <w:r>
        <w:rPr>
          <w:rFonts w:ascii="Arial" w:cs="Arial" w:eastAsia="Arial" w:hAnsi="Arial"/>
          <w:sz w:val="18"/>
          <w:szCs w:val="18"/>
          <w:color w:val="auto"/>
        </w:rPr>
        <w:t>Reflects a write-up of $3,714 million to record LNA’s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at fair value. The mineral reserves are depleted using the units-of-production method. The depreciable property, plant and equipment has an estimated weighted-average remaining useful life of 18 years. The write-up resulted in the recognition of a $912 million deferred income tax liability, which was calculated using an estimated statutory rate of 24.6%.</w:t>
      </w:r>
    </w:p>
    <w:p>
      <w:pPr>
        <w:spacing w:after="0" w:line="160" w:lineRule="exact"/>
        <w:rPr>
          <w:rFonts w:ascii="Arial" w:cs="Arial" w:eastAsia="Arial" w:hAnsi="Arial"/>
          <w:sz w:val="18"/>
          <w:szCs w:val="18"/>
          <w:i w:val="1"/>
          <w:iCs w:val="1"/>
          <w:color w:val="auto"/>
        </w:rPr>
      </w:pPr>
    </w:p>
    <w:p>
      <w:pPr>
        <w:jc w:val="both"/>
        <w:ind w:firstLine="449"/>
        <w:spacing w:after="0" w:line="253" w:lineRule="auto"/>
        <w:tabs>
          <w:tab w:leader="none" w:pos="69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Reflects the $107 million elimination of LNA’s historical goodwill and recording $4,248 million for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paid over the fair value of LNA’s identifiable assets acquired and liabilities assumed. The goodwill is not deductible for tax purposes.</w:t>
      </w:r>
    </w:p>
    <w:p>
      <w:pPr>
        <w:spacing w:after="0" w:line="155" w:lineRule="exact"/>
        <w:rPr>
          <w:rFonts w:ascii="Arial" w:cs="Arial" w:eastAsia="Arial" w:hAnsi="Arial"/>
          <w:sz w:val="18"/>
          <w:szCs w:val="18"/>
          <w:i w:val="1"/>
          <w:iCs w:val="1"/>
          <w:color w:val="auto"/>
        </w:rPr>
      </w:pPr>
    </w:p>
    <w:p>
      <w:pPr>
        <w:jc w:val="both"/>
        <w:ind w:firstLine="449"/>
        <w:spacing w:after="0" w:line="244" w:lineRule="auto"/>
        <w:tabs>
          <w:tab w:leader="none" w:pos="74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 Intangible Assets and Deferred Income Taxes</w:t>
      </w:r>
      <w:r>
        <w:rPr>
          <w:rFonts w:ascii="Arial" w:cs="Arial" w:eastAsia="Arial" w:hAnsi="Arial"/>
          <w:sz w:val="18"/>
          <w:szCs w:val="18"/>
          <w:color w:val="auto"/>
        </w:rPr>
        <w:t>. Reflects the elimination of $38 million of LNA’s historical other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the recognition of $5,969 million of new preliminary identifiable intangible assets. The other intangibles include $1,900 million of customer relationships and $220 million of developed technology, which have estimated useful lives of 23 years and 20 years, respectively, and $3,849 million of permits that have a weighted-average useful life of 85 years. The recognition of other intangible assets resulted in the recognition of an additional $1,457 million deferred income tax liability, which was calculated using an estimated statutory rate of 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8"/>
          <w:szCs w:val="18"/>
          <w:color w:val="auto"/>
        </w:rPr>
        <w:t>A 10% change in the valuation of intangible assets would cause a corresponding increase or decrease in the amortization expense of approximately $17 million annually. Pro forma amortization is based on the use of straight-line amortization. The amount of amortization may differ significantly based upon the final value assigned and amortization lives used for each identifiable intangible asset. The Company continues to evaluate the identifiable intangible assets acquired, and measurement period adjustments will be recorded for changes based on this review.</w:t>
      </w:r>
    </w:p>
    <w:p>
      <w:pPr>
        <w:spacing w:after="0" w:line="163"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8"/>
          <w:szCs w:val="18"/>
          <w:i w:val="1"/>
          <w:iCs w:val="1"/>
          <w:color w:val="auto"/>
        </w:rPr>
        <w:t xml:space="preserve">(h)Other Noncurrent Assets. </w:t>
      </w:r>
      <w:r>
        <w:rPr>
          <w:rFonts w:ascii="Arial" w:cs="Arial" w:eastAsia="Arial" w:hAnsi="Arial"/>
          <w:sz w:val="18"/>
          <w:szCs w:val="18"/>
          <w:color w:val="auto"/>
        </w:rPr>
        <w:t>Reflects the elimination of $ 1 million for the fair value of LNA’s interest rate swap derivative related to its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Martin Marietta did not assume LNA’s historical long-term debt.</w:t>
      </w:r>
    </w:p>
    <w:p>
      <w:pPr>
        <w:spacing w:after="0" w:line="140" w:lineRule="exact"/>
        <w:rPr>
          <w:sz w:val="20"/>
          <w:szCs w:val="20"/>
          <w:color w:val="auto"/>
        </w:rPr>
      </w:pPr>
    </w:p>
    <w:p>
      <w:pPr>
        <w:ind w:firstLine="449"/>
        <w:spacing w:after="0" w:line="271"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Reflects the elimination of LNA’s long-term debt of $923 million, which includes the current and long-term portions,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this is not an assumed liability.</w:t>
      </w:r>
    </w:p>
    <w:p>
      <w:pPr>
        <w:spacing w:after="0" w:line="140" w:lineRule="exact"/>
        <w:rPr>
          <w:rFonts w:ascii="Arial" w:cs="Arial" w:eastAsia="Arial" w:hAnsi="Arial"/>
          <w:sz w:val="18"/>
          <w:szCs w:val="18"/>
          <w:i w:val="1"/>
          <w:iCs w:val="1"/>
          <w:color w:val="auto"/>
        </w:rPr>
      </w:pPr>
    </w:p>
    <w:p>
      <w:pPr>
        <w:ind w:left="660" w:hanging="211"/>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Accrued Expenses</w:t>
      </w:r>
      <w:r>
        <w:rPr>
          <w:rFonts w:ascii="Arial" w:cs="Arial" w:eastAsia="Arial" w:hAnsi="Arial"/>
          <w:sz w:val="18"/>
          <w:szCs w:val="18"/>
          <w:color w:val="auto"/>
        </w:rPr>
        <w:t>. Reflects the elimination of $20 million of accrued interest, as Martin Marietta did not assume LNA’s long-term</w:t>
      </w:r>
    </w:p>
    <w:p>
      <w:pPr>
        <w:spacing w:after="0" w:line="13"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debt.</w:t>
      </w:r>
    </w:p>
    <w:p>
      <w:pPr>
        <w:spacing w:after="0" w:line="180" w:lineRule="exact"/>
        <w:rPr>
          <w:rFonts w:ascii="Arial" w:cs="Arial" w:eastAsia="Arial" w:hAnsi="Arial"/>
          <w:sz w:val="18"/>
          <w:szCs w:val="18"/>
          <w:i w:val="1"/>
          <w:iCs w:val="1"/>
          <w:color w:val="auto"/>
        </w:rPr>
      </w:pPr>
    </w:p>
    <w:p>
      <w:pPr>
        <w:jc w:val="both"/>
        <w:ind w:firstLine="449"/>
        <w:spacing w:after="0" w:line="247" w:lineRule="auto"/>
        <w:tabs>
          <w:tab w:leader="none" w:pos="73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Common Stock, Additional Paid-in Capital, Accumulated Other Comprehensive Earnings and Retained Earnings. </w:t>
      </w:r>
      <w:r>
        <w:rPr>
          <w:rFonts w:ascii="Arial" w:cs="Arial" w:eastAsia="Arial" w:hAnsi="Arial"/>
          <w:sz w:val="18"/>
          <w:szCs w:val="18"/>
          <w:color w:val="auto"/>
        </w:rPr>
        <w:t>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of LNA’s historical equity balances, including accumulated other comprehensive earnings. The adjustments also reflect the issuance of 10,953,543 new shares of Martin Marietta’s common stock, which resulted in a $5,859 million increase to additional paid-in capital.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Adjustments to Pro Forma Statements of Earnings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 forma adjustments included in the pro forma statements of earnings:</w:t>
      </w:r>
    </w:p>
    <w:p>
      <w:pPr>
        <w:spacing w:after="0" w:line="198" w:lineRule="exact"/>
        <w:rPr>
          <w:sz w:val="20"/>
          <w:szCs w:val="20"/>
          <w:color w:val="auto"/>
        </w:rPr>
      </w:pPr>
    </w:p>
    <w:p>
      <w:pPr>
        <w:jc w:val="both"/>
        <w:ind w:firstLine="449"/>
        <w:spacing w:after="0"/>
        <w:tabs>
          <w:tab w:leader="none" w:pos="72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Reclassification of LNA’s historical presentation</w:t>
      </w:r>
      <w:r>
        <w:rPr>
          <w:rFonts w:ascii="Arial" w:cs="Arial" w:eastAsia="Arial" w:hAnsi="Arial"/>
          <w:sz w:val="18"/>
          <w:szCs w:val="18"/>
          <w:color w:val="auto"/>
        </w:rPr>
        <w:t>. Based on the amounts reported in the Martin Marietta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for the year ended December 31, 2025 and for the six months ended June 30, 2026, certain financial statement line items included in LNA’s historical presentation have been reclassified to conform to corresponding financial statement line items included in Martin Marietta’s historical financial statement presentation. Royalty income of $7 million and $1 million for the year ended December 31, 2025 and the six months ended June 30, 2026, respectively, has been reclassified to other operating income, net. Interest income of $16 million and $5 million for the year ended December 31, 2025 and the six months ended June 30, 2026, respectively, has been reclassified to other nonoperating (income)/expense, net. These reclassifications had no material impact on the historical earnings from continuing operations reported by Martin Marietta or LNA.</w:t>
      </w:r>
    </w:p>
    <w:p>
      <w:pPr>
        <w:spacing w:after="0" w:line="166" w:lineRule="exact"/>
        <w:rPr>
          <w:rFonts w:ascii="Arial" w:cs="Arial" w:eastAsia="Arial" w:hAnsi="Arial"/>
          <w:sz w:val="18"/>
          <w:szCs w:val="18"/>
          <w:i w:val="1"/>
          <w:iCs w:val="1"/>
          <w:color w:val="auto"/>
        </w:rPr>
      </w:pPr>
    </w:p>
    <w:p>
      <w:pPr>
        <w:jc w:val="both"/>
        <w:ind w:firstLine="449"/>
        <w:spacing w:after="0" w:line="247" w:lineRule="auto"/>
        <w:tabs>
          <w:tab w:leader="none" w:pos="7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Revenues and Cost of Revenues. </w:t>
      </w:r>
      <w:r>
        <w:rPr>
          <w:rFonts w:ascii="Arial" w:cs="Arial" w:eastAsia="Arial" w:hAnsi="Arial"/>
          <w:sz w:val="18"/>
          <w:szCs w:val="18"/>
          <w:color w:val="auto"/>
        </w:rPr>
        <w:t>Reflects the elimination of $4 million and $1 million of transactions between Martin Marietta and</w:t>
      </w:r>
      <w:r>
        <w:rPr>
          <w:rFonts w:ascii="Arial" w:cs="Arial" w:eastAsia="Arial" w:hAnsi="Arial"/>
          <w:sz w:val="18"/>
          <w:szCs w:val="18"/>
          <w:i w:val="1"/>
          <w:iCs w:val="1"/>
          <w:color w:val="auto"/>
        </w:rPr>
        <w:t xml:space="preserve"> </w:t>
      </w:r>
      <w:r>
        <w:rPr>
          <w:rFonts w:ascii="Arial" w:cs="Arial" w:eastAsia="Arial" w:hAnsi="Arial"/>
          <w:sz w:val="18"/>
          <w:szCs w:val="18"/>
          <w:color w:val="auto"/>
        </w:rPr>
        <w:t>LNA that occurred for the year ended December 31, 2025 and the six months ended June 30, 2026, respectively, as if LNA was a consolidated subsidiary of Martin Marietta during these periods. The transactions between the entities were for the purchases/sales of aggregates products.</w:t>
      </w:r>
    </w:p>
    <w:p>
      <w:pPr>
        <w:spacing w:after="0" w:line="160" w:lineRule="exact"/>
        <w:rPr>
          <w:rFonts w:ascii="Arial" w:cs="Arial" w:eastAsia="Arial" w:hAnsi="Arial"/>
          <w:sz w:val="18"/>
          <w:szCs w:val="18"/>
          <w:i w:val="1"/>
          <w:iCs w:val="1"/>
          <w:color w:val="auto"/>
        </w:rPr>
      </w:pPr>
    </w:p>
    <w:p>
      <w:pPr>
        <w:jc w:val="both"/>
        <w:ind w:firstLine="449"/>
        <w:spacing w:after="0" w:line="247" w:lineRule="auto"/>
        <w:tabs>
          <w:tab w:leader="none" w:pos="707"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Reflects $41 million of amortization expense included in the pro forma statement of earnings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for the increase in fair value of acquired inventory. The acquired inventory is expected to be sold within the first twelve months following the closing of the Transaction and has been reflected in the pro forma statement of earnings for the year ended December 31, 2025, as the Transaction is assumed to have closed on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ind w:firstLine="449"/>
        <w:spacing w:after="0" w:line="247" w:lineRule="auto"/>
        <w:tabs>
          <w:tab w:leader="none" w:pos="71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Reflects $190 million and $94 million of additional depreciation, depletion, and amortization expense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2025 and the six months ended June 30, 2026, respectively, related to the write-up of LNA’s property, plant and equipment to fair value and the recognition of other acquired intangible assets as of the assumed January 1, 2025 closing date of the Transaction.</w:t>
      </w:r>
    </w:p>
    <w:p>
      <w:pPr>
        <w:spacing w:after="0" w:line="160" w:lineRule="exact"/>
        <w:rPr>
          <w:rFonts w:ascii="Arial" w:cs="Arial" w:eastAsia="Arial" w:hAnsi="Arial"/>
          <w:sz w:val="18"/>
          <w:szCs w:val="18"/>
          <w:i w:val="1"/>
          <w:iCs w:val="1"/>
          <w:color w:val="auto"/>
        </w:rPr>
      </w:pPr>
    </w:p>
    <w:p>
      <w:pPr>
        <w:ind w:firstLine="449"/>
        <w:spacing w:after="0" w:line="271" w:lineRule="auto"/>
        <w:tabs>
          <w:tab w:leader="none" w:pos="718"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 Divestiture and Integration Expenses. </w:t>
      </w:r>
      <w:r>
        <w:rPr>
          <w:rFonts w:ascii="Arial" w:cs="Arial" w:eastAsia="Arial" w:hAnsi="Arial"/>
          <w:sz w:val="18"/>
          <w:szCs w:val="18"/>
          <w:color w:val="auto"/>
        </w:rPr>
        <w:t>Reflects recording an estimated $88 million of transaction expenses in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2025, to be incurred by Martin Marietta subsequent to June 30, 2026.</w:t>
      </w:r>
    </w:p>
    <w:p>
      <w:pPr>
        <w:spacing w:after="0" w:line="140" w:lineRule="exact"/>
        <w:rPr>
          <w:rFonts w:ascii="Arial" w:cs="Arial" w:eastAsia="Arial" w:hAnsi="Arial"/>
          <w:sz w:val="18"/>
          <w:szCs w:val="18"/>
          <w:i w:val="1"/>
          <w:iCs w:val="1"/>
          <w:color w:val="auto"/>
        </w:rPr>
      </w:pPr>
    </w:p>
    <w:p>
      <w:pPr>
        <w:jc w:val="both"/>
        <w:ind w:firstLine="449"/>
        <w:spacing w:after="0" w:line="253" w:lineRule="auto"/>
        <w:tabs>
          <w:tab w:leader="none" w:pos="683"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Reflects the elimination of $55 million and $26 million of LNA’s historical interest expense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and the six months ended June 30, 2026, respectively, as Martin Marietta did not assume LNA’s historical debt (see Note 3).</w:t>
      </w:r>
    </w:p>
    <w:p>
      <w:pPr>
        <w:spacing w:after="0" w:line="155" w:lineRule="exact"/>
        <w:rPr>
          <w:rFonts w:ascii="Arial" w:cs="Arial" w:eastAsia="Arial" w:hAnsi="Arial"/>
          <w:sz w:val="18"/>
          <w:szCs w:val="18"/>
          <w:i w:val="1"/>
          <w:iCs w:val="1"/>
          <w:color w:val="auto"/>
        </w:rPr>
      </w:pPr>
    </w:p>
    <w:p>
      <w:pPr>
        <w:jc w:val="both"/>
        <w:ind w:firstLine="449"/>
        <w:spacing w:after="0" w:line="253" w:lineRule="auto"/>
        <w:tabs>
          <w:tab w:leader="none" w:pos="743"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Nonoperating (Income)/Expense, Net. </w:t>
      </w:r>
      <w:r>
        <w:rPr>
          <w:rFonts w:ascii="Arial" w:cs="Arial" w:eastAsia="Arial" w:hAnsi="Arial"/>
          <w:sz w:val="18"/>
          <w:szCs w:val="18"/>
          <w:color w:val="auto"/>
        </w:rPr>
        <w:t>Reflects the elimination of LNA’s $3 million gain related to the interest rate swap</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that was amortized into earnings during the year ended December 31, 2025. Martin Marietta did not assume LNA’s long-term debt nor the related interest rate swap derivative.</w:t>
      </w:r>
    </w:p>
    <w:p>
      <w:pPr>
        <w:spacing w:after="0" w:line="155" w:lineRule="exact"/>
        <w:rPr>
          <w:rFonts w:ascii="Arial" w:cs="Arial" w:eastAsia="Arial" w:hAnsi="Arial"/>
          <w:sz w:val="18"/>
          <w:szCs w:val="18"/>
          <w:i w:val="1"/>
          <w:iCs w:val="1"/>
          <w:color w:val="auto"/>
        </w:rPr>
      </w:pPr>
    </w:p>
    <w:p>
      <w:pPr>
        <w:ind w:firstLine="449"/>
        <w:spacing w:after="0" w:line="271" w:lineRule="auto"/>
        <w:tabs>
          <w:tab w:leader="none" w:pos="722"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Reflects the income tax effect of assuming Martin Marietta’s statutory income tax rate of 24.6%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 forma adjustments.</w:t>
      </w:r>
    </w:p>
    <w:p>
      <w:pPr>
        <w:spacing w:after="0" w:line="140" w:lineRule="exact"/>
        <w:rPr>
          <w:rFonts w:ascii="Arial" w:cs="Arial" w:eastAsia="Arial" w:hAnsi="Arial"/>
          <w:sz w:val="18"/>
          <w:szCs w:val="18"/>
          <w:i w:val="1"/>
          <w:iCs w:val="1"/>
          <w:color w:val="auto"/>
        </w:rPr>
      </w:pPr>
    </w:p>
    <w:p>
      <w:pPr>
        <w:jc w:val="both"/>
        <w:ind w:firstLine="449"/>
        <w:spacing w:after="0" w:line="244" w:lineRule="auto"/>
        <w:tabs>
          <w:tab w:leader="none" w:pos="656"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Earnings Per Share and Weighted-Average Shares Outstanding. </w:t>
      </w:r>
      <w:r>
        <w:rPr>
          <w:rFonts w:ascii="Arial" w:cs="Arial" w:eastAsia="Arial" w:hAnsi="Arial"/>
          <w:sz w:val="18"/>
          <w:szCs w:val="18"/>
          <w:color w:val="auto"/>
        </w:rPr>
        <w:t>The pro forma basic and diluted earnings per share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historical weighted average number of shares of Martin Marietta common stock outstanding, adjusted for the 10,953,543 shares of common stock issued to LNA stockholders as part of the purchase consideration in the Transaction. Shares of common stock issued to LNA stockholders are assumed to have been issued as of January 1, 2025 and outstanding for the entirety of the annual period ended December 31, 2025 and the six-month period ended June 30, 2026.</w:t>
      </w:r>
    </w:p>
    <w:p>
      <w:pPr>
        <w:spacing w:after="0" w:line="163"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following table presents the computation of pro forma basic and diluted weighted-average shares outstanding for the year ended December 31, 2025.</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140"/>
        <w:spacing w:after="0" w:line="261" w:lineRule="auto"/>
        <w:rPr>
          <w:sz w:val="20"/>
          <w:szCs w:val="20"/>
          <w:color w:val="auto"/>
        </w:rPr>
      </w:pPr>
      <w:r>
        <w:rPr>
          <w:rFonts w:ascii="Arial" w:cs="Arial" w:eastAsia="Arial" w:hAnsi="Arial"/>
          <w:sz w:val="18"/>
          <w:szCs w:val="18"/>
          <w:color w:val="auto"/>
        </w:rPr>
        <w:t>Martin Marietta’s historical weighted-average common shares outstanding—basic Shares of Martin Marietta’s common stock issued to consummate Transaction Pro forma weighted-average common shares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020"/>
        <w:spacing w:after="0" w:line="255" w:lineRule="auto"/>
        <w:rPr>
          <w:sz w:val="20"/>
          <w:szCs w:val="20"/>
          <w:color w:val="auto"/>
        </w:rPr>
      </w:pPr>
      <w:r>
        <w:rPr>
          <w:rFonts w:ascii="Arial" w:cs="Arial" w:eastAsia="Arial" w:hAnsi="Arial"/>
          <w:sz w:val="18"/>
          <w:szCs w:val="18"/>
          <w:color w:val="auto"/>
        </w:rPr>
        <w:t>Martin Marietta’s historical weighted-average common shares outstanding—diluted Shares of Martin Marietta’s common stock issued to consummate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 forma weighted-average common shares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Weighted-Average</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Shares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 millions)</w:t>
      </w:r>
    </w:p>
    <w:p>
      <w:pPr>
        <w:ind w:left="1440"/>
        <w:spacing w:after="0"/>
        <w:rPr>
          <w:sz w:val="20"/>
          <w:szCs w:val="20"/>
          <w:color w:val="auto"/>
        </w:rPr>
      </w:pPr>
      <w:r>
        <w:rPr>
          <w:rFonts w:ascii="Arial" w:cs="Arial" w:eastAsia="Arial" w:hAnsi="Arial"/>
          <w:sz w:val="18"/>
          <w:szCs w:val="18"/>
          <w:color w:val="auto"/>
        </w:rPr>
        <w:t>60.5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-1905</wp:posOffset>
            </wp:positionV>
            <wp:extent cx="1345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3175</wp:posOffset>
            </wp:positionV>
            <wp:extent cx="134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60.6</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-1905</wp:posOffset>
            </wp:positionV>
            <wp:extent cx="13455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12065</wp:posOffset>
            </wp:positionV>
            <wp:extent cx="1345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ectPr>
          <w:pgSz w:w="11900" w:h="16838" w:orient="portrait"/>
          <w:cols w:equalWidth="0" w:num="2">
            <w:col w:w="8620" w:space="720"/>
            <w:col w:w="1900"/>
          </w:cols>
          <w:pgMar w:left="320" w:top="877" w:right="339" w:bottom="1440" w:gutter="0" w:footer="0" w:header="0"/>
          <w:type w:val="continuous"/>
        </w:sectPr>
      </w:pPr>
    </w:p>
    <w:bookmarkStart w:id="14" w:name="page15"/>
    <w:bookmarkEnd w:id="14"/>
    <w:p>
      <w:pPr>
        <w:spacing w:after="0" w:line="271" w:lineRule="auto"/>
        <w:rPr>
          <w:sz w:val="20"/>
          <w:szCs w:val="20"/>
          <w:color w:val="auto"/>
        </w:rPr>
      </w:pPr>
      <w:r>
        <w:rPr>
          <w:rFonts w:ascii="Arial" w:cs="Arial" w:eastAsia="Arial" w:hAnsi="Arial"/>
          <w:sz w:val="18"/>
          <w:szCs w:val="18"/>
          <w:color w:val="auto"/>
        </w:rPr>
        <w:t>The following table presents the computation of pro forma basic and diluted weighted-average shares outstanding for the six months ended June 30, 2026.</w:t>
      </w:r>
    </w:p>
    <w:p>
      <w:pPr>
        <w:sectPr>
          <w:pgSz w:w="11900" w:h="16838" w:orient="portrait"/>
          <w:cols w:equalWidth="0" w:num="1">
            <w:col w:w="11240"/>
          </w:cols>
          <w:pgMar w:left="320" w:top="6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80"/>
        <w:spacing w:after="0" w:line="261" w:lineRule="auto"/>
        <w:rPr>
          <w:sz w:val="20"/>
          <w:szCs w:val="20"/>
          <w:color w:val="auto"/>
        </w:rPr>
      </w:pPr>
      <w:r>
        <w:rPr>
          <w:rFonts w:ascii="Arial" w:cs="Arial" w:eastAsia="Arial" w:hAnsi="Arial"/>
          <w:sz w:val="18"/>
          <w:szCs w:val="18"/>
          <w:color w:val="auto"/>
        </w:rPr>
        <w:t>Martin Marietta’s historical weighted-average common shares outstanding—basic Shares of Martin Marietta’s common stock issued to consummate Transaction Pro forma weighted-average common shares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8" w:lineRule="exact"/>
        <w:rPr>
          <w:sz w:val="20"/>
          <w:szCs w:val="20"/>
          <w:color w:val="auto"/>
        </w:rPr>
      </w:pPr>
    </w:p>
    <w:p>
      <w:pPr>
        <w:ind w:right="1960"/>
        <w:spacing w:after="0" w:line="261" w:lineRule="auto"/>
        <w:rPr>
          <w:sz w:val="20"/>
          <w:szCs w:val="20"/>
          <w:color w:val="auto"/>
        </w:rPr>
      </w:pPr>
      <w:r>
        <w:rPr>
          <w:rFonts w:ascii="Arial" w:cs="Arial" w:eastAsia="Arial" w:hAnsi="Arial"/>
          <w:sz w:val="18"/>
          <w:szCs w:val="18"/>
          <w:color w:val="auto"/>
        </w:rPr>
        <w:t>Martin Marietta’s historical weighted-average common shares outstanding—diluted Shares of Martin Marietta’s common stock issued to consummate Transaction Pro forma weighted-average common shares outstanding—diluted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Related to the Transaction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Weighted-Average</w:t>
      </w:r>
    </w:p>
    <w:p>
      <w:pPr>
        <w:spacing w:after="0" w:line="14"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Shares Outstanding</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millions)</w:t>
      </w:r>
    </w:p>
    <w:p>
      <w:pPr>
        <w:jc w:val="right"/>
        <w:ind w:right="100"/>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-1905</wp:posOffset>
            </wp:positionV>
            <wp:extent cx="13455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8"/>
          <w:szCs w:val="18"/>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3175</wp:posOffset>
            </wp:positionV>
            <wp:extent cx="13455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60.3</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10.9</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20320</wp:posOffset>
            </wp:positionV>
            <wp:extent cx="13455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8560" w:space="720"/>
            <w:col w:w="1960"/>
          </w:cols>
          <w:pgMar w:left="320" w:top="674" w:right="339" w:bottom="1440" w:gutter="0" w:footer="0" w:header="0"/>
          <w:type w:val="continuous"/>
        </w:sectPr>
      </w:pPr>
    </w:p>
    <w:p>
      <w:pPr>
        <w:jc w:val="both"/>
        <w:ind w:right="20" w:firstLine="449"/>
        <w:spacing w:after="0" w:line="253"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Reflects the additional interest expense of $385 million and $192 million for the year ended December 31, 2025,</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six months ended June 30, 2026, respectively, for borrowings used to finance the cash component of the Transaction consideration as of the assumed January 1, 2025 closing date.</w:t>
      </w:r>
    </w:p>
    <w:p>
      <w:pPr>
        <w:spacing w:after="0" w:line="155" w:lineRule="exact"/>
        <w:rPr>
          <w:sz w:val="20"/>
          <w:szCs w:val="20"/>
          <w:color w:val="auto"/>
        </w:rPr>
      </w:pPr>
    </w:p>
    <w:p>
      <w:pPr>
        <w:jc w:val="both"/>
        <w:ind w:firstLine="441"/>
        <w:spacing w:after="0" w:line="242" w:lineRule="auto"/>
        <w:rPr>
          <w:sz w:val="20"/>
          <w:szCs w:val="20"/>
          <w:color w:val="auto"/>
        </w:rPr>
      </w:pPr>
      <w:r>
        <w:rPr>
          <w:rFonts w:ascii="Arial" w:cs="Arial" w:eastAsia="Arial" w:hAnsi="Arial"/>
          <w:sz w:val="18"/>
          <w:szCs w:val="18"/>
          <w:color w:val="auto"/>
        </w:rPr>
        <w:t>The pro forma financial information reflects interest expense calculated using 5.39%, the weighted-average interest rate of the debt incurred to finance the cash component of the Transaction consideration. It also includes amortization of the debt issue costs. The interest rate assumed for the variable rate debt is 4.95%. The variable interest rate is subject to change based on, among other things, prevailing market conditions, and any variation could result in material differences to the pro forma results. An increase or decrease in the assumed interest rate of 4.95% for variable rate debt by one-eighth of a percent would increase or decrease pro forma interest expense by $2 million for the year ended December 31, 2025 and $1 million for the six months ended June 30, 2026.</w:t>
      </w:r>
    </w:p>
    <w:sectPr>
      <w:pgSz w:w="11900" w:h="16838" w:orient="portrait"/>
      <w:cols w:equalWidth="0" w:num="1">
        <w:col w:w="11240"/>
      </w:cols>
      <w:pgMar w:left="320" w:top="6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2026-11-04T15:52:07Z</dcterms:created>
  <dcterms:modified xsi:type="dcterms:W3CDTF">2026-11-04T15:52:07Z</dcterms:modified>
</cp:coreProperties>
</file>