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SCHEDULE 14A</w:t>
      </w:r>
    </w:p>
    <w:p>
      <w:pPr>
        <w:spacing w:after="0" w:line="2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(Rule 14a-101)</w:t>
      </w:r>
    </w:p>
    <w:p>
      <w:pPr>
        <w:spacing w:after="0" w:line="134" w:lineRule="exact"/>
        <w:rPr>
          <w:sz w:val="24"/>
          <w:szCs w:val="24"/>
          <w:color w:val="auto"/>
        </w:rPr>
      </w:pPr>
    </w:p>
    <w:p>
      <w:pPr>
        <w:ind w:left="3620"/>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158"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SCHEDULE 14A INFORMATION</w:t>
      </w:r>
    </w:p>
    <w:p>
      <w:pPr>
        <w:spacing w:after="0" w:line="1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Proxy Statement Pursuant to Section 14(a) of the Securities</w:t>
      </w:r>
    </w:p>
    <w:p>
      <w:pPr>
        <w:jc w:val="center"/>
        <w:ind w:right="-219"/>
        <w:spacing w:after="0"/>
        <w:tabs>
          <w:tab w:leader="none" w:pos="180" w:val="left"/>
        </w:tabs>
        <w:rPr>
          <w:sz w:val="20"/>
          <w:szCs w:val="20"/>
          <w:color w:val="auto"/>
        </w:rPr>
      </w:pPr>
      <w:r>
        <w:rPr>
          <w:rFonts w:ascii="Arial" w:cs="Arial" w:eastAsia="Arial" w:hAnsi="Arial"/>
          <w:sz w:val="18"/>
          <w:szCs w:val="18"/>
          <w:b w:val="1"/>
          <w:bCs w:val="1"/>
          <w:color w:val="auto"/>
        </w:rPr>
        <w:t>Exchange Act of 1934 (Amendment No.</w:t>
        <w:tab/>
        <w:t>)</w:t>
      </w:r>
    </w:p>
    <w:p>
      <w:pPr>
        <w:spacing w:after="0" w:line="114" w:lineRule="exact"/>
        <w:rPr>
          <w:sz w:val="24"/>
          <w:szCs w:val="24"/>
          <w:color w:val="auto"/>
        </w:rPr>
      </w:pPr>
    </w:p>
    <w:p>
      <w:pPr>
        <w:ind w:left="20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90" w:lineRule="exact"/>
        <w:rPr>
          <w:sz w:val="24"/>
          <w:szCs w:val="24"/>
          <w:color w:val="auto"/>
        </w:rPr>
      </w:pPr>
    </w:p>
    <w:p>
      <w:pPr>
        <w:ind w:left="20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12" w:lineRule="exact"/>
        <w:rPr>
          <w:sz w:val="24"/>
          <w:szCs w:val="24"/>
          <w:color w:val="auto"/>
        </w:rPr>
      </w:pPr>
    </w:p>
    <w:p>
      <w:pPr>
        <w:ind w:left="20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780" w:hanging="576"/>
        <w:spacing w:after="0"/>
        <w:tabs>
          <w:tab w:leader="none" w:pos="7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31" w:lineRule="exact"/>
        <w:rPr>
          <w:rFonts w:ascii="MS PGothic" w:cs="MS PGothic" w:eastAsia="MS PGothic" w:hAnsi="MS PGothic"/>
          <w:sz w:val="18"/>
          <w:szCs w:val="18"/>
          <w:color w:val="auto"/>
        </w:rPr>
      </w:pPr>
    </w:p>
    <w:p>
      <w:pPr>
        <w:ind w:left="200" w:right="4240" w:firstLine="4"/>
        <w:spacing w:after="0" w:line="216" w:lineRule="exact"/>
        <w:tabs>
          <w:tab w:leader="none" w:pos="76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780" w:hanging="576"/>
        <w:spacing w:after="0"/>
        <w:tabs>
          <w:tab w:leader="none" w:pos="7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780" w:hanging="576"/>
        <w:spacing w:after="0"/>
        <w:tabs>
          <w:tab w:leader="none" w:pos="7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w:t>
      </w:r>
    </w:p>
    <w:p>
      <w:pPr>
        <w:spacing w:after="0" w:line="188"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Martin Marietta Materials,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10160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 w:lineRule="exact"/>
        <w:rPr>
          <w:sz w:val="24"/>
          <w:szCs w:val="24"/>
          <w:color w:val="auto"/>
        </w:rPr>
      </w:pPr>
    </w:p>
    <w:p>
      <w:pPr>
        <w:jc w:val="center"/>
        <w:ind w:right="-199"/>
        <w:spacing w:after="0"/>
        <w:rPr>
          <w:sz w:val="20"/>
          <w:szCs w:val="20"/>
          <w:color w:val="auto"/>
        </w:rPr>
      </w:pPr>
      <w:r>
        <w:rPr>
          <w:rFonts w:ascii="Arial" w:cs="Arial" w:eastAsia="Arial" w:hAnsi="Arial"/>
          <w:sz w:val="14"/>
          <w:szCs w:val="14"/>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260350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400" w:lineRule="exact"/>
        <w:rPr>
          <w:sz w:val="24"/>
          <w:szCs w:val="24"/>
          <w:color w:val="auto"/>
        </w:rPr>
      </w:pPr>
    </w:p>
    <w:p>
      <w:pPr>
        <w:ind w:left="3580"/>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93" w:lineRule="exact"/>
        <w:rPr>
          <w:sz w:val="24"/>
          <w:szCs w:val="24"/>
          <w:color w:val="auto"/>
        </w:rPr>
      </w:pPr>
    </w:p>
    <w:p>
      <w:pPr>
        <w:ind w:left="200"/>
        <w:spacing w:after="0"/>
        <w:rPr>
          <w:sz w:val="20"/>
          <w:szCs w:val="20"/>
          <w:color w:val="auto"/>
        </w:rPr>
      </w:pPr>
      <w:r>
        <w:rPr>
          <w:rFonts w:ascii="Arial" w:cs="Arial" w:eastAsia="Arial" w:hAnsi="Arial"/>
          <w:sz w:val="18"/>
          <w:szCs w:val="18"/>
          <w:color w:val="auto"/>
        </w:rPr>
        <w:t>Payment of Filing Fee (Check the appropriate box):</w:t>
      </w:r>
    </w:p>
    <w:p>
      <w:pPr>
        <w:spacing w:after="0" w:line="104" w:lineRule="exact"/>
        <w:rPr>
          <w:sz w:val="24"/>
          <w:szCs w:val="24"/>
          <w:color w:val="auto"/>
        </w:rPr>
      </w:pPr>
    </w:p>
    <w:p>
      <w:pPr>
        <w:ind w:left="780" w:hanging="576"/>
        <w:spacing w:after="0"/>
        <w:tabs>
          <w:tab w:leader="none" w:pos="7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780" w:hanging="576"/>
        <w:spacing w:after="0"/>
        <w:tabs>
          <w:tab w:leader="none" w:pos="7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320" w:hanging="549"/>
        <w:spacing w:after="0"/>
        <w:tabs>
          <w:tab w:leader="none" w:pos="13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8" w:lineRule="exact"/>
        <w:rPr>
          <w:rFonts w:ascii="Arial" w:cs="Arial" w:eastAsia="Arial" w:hAnsi="Arial"/>
          <w:sz w:val="18"/>
          <w:szCs w:val="18"/>
          <w:color w:val="auto"/>
        </w:rPr>
      </w:pPr>
    </w:p>
    <w:p>
      <w:pPr>
        <w:ind w:left="1320" w:hanging="549"/>
        <w:spacing w:after="0"/>
        <w:tabs>
          <w:tab w:leader="none" w:pos="13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1320" w:hanging="549"/>
        <w:spacing w:after="0" w:line="269" w:lineRule="auto"/>
        <w:tabs>
          <w:tab w:leader="none" w:pos="13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4" w:lineRule="exact"/>
        <w:rPr>
          <w:rFonts w:ascii="Arial" w:cs="Arial" w:eastAsia="Arial" w:hAnsi="Arial"/>
          <w:sz w:val="18"/>
          <w:szCs w:val="18"/>
          <w:color w:val="auto"/>
        </w:rPr>
      </w:pPr>
    </w:p>
    <w:p>
      <w:pPr>
        <w:ind w:left="1320" w:hanging="549"/>
        <w:spacing w:after="0"/>
        <w:tabs>
          <w:tab w:leader="none" w:pos="13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1320" w:hanging="549"/>
        <w:spacing w:after="0"/>
        <w:tabs>
          <w:tab w:leader="none" w:pos="13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79" w:lineRule="exact"/>
        <w:rPr>
          <w:rFonts w:ascii="Arial" w:cs="Arial" w:eastAsia="Arial" w:hAnsi="Arial"/>
          <w:sz w:val="18"/>
          <w:szCs w:val="18"/>
          <w:color w:val="auto"/>
        </w:rPr>
      </w:pPr>
    </w:p>
    <w:p>
      <w:pPr>
        <w:ind w:left="780" w:hanging="576"/>
        <w:spacing w:after="0"/>
        <w:tabs>
          <w:tab w:leader="none" w:pos="7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92" w:lineRule="exact"/>
        <w:rPr>
          <w:rFonts w:ascii="MS PGothic" w:cs="MS PGothic" w:eastAsia="MS PGothic" w:hAnsi="MS PGothic"/>
          <w:sz w:val="18"/>
          <w:szCs w:val="18"/>
          <w:color w:val="auto"/>
        </w:rPr>
      </w:pPr>
    </w:p>
    <w:p>
      <w:pPr>
        <w:ind w:left="780" w:hanging="576"/>
        <w:spacing w:after="0" w:line="333" w:lineRule="auto"/>
        <w:tabs>
          <w:tab w:leader="none" w:pos="78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10" w:lineRule="exact"/>
        <w:rPr>
          <w:rFonts w:ascii="MS PGothic" w:cs="MS PGothic" w:eastAsia="MS PGothic" w:hAnsi="MS PGothic"/>
          <w:sz w:val="16"/>
          <w:szCs w:val="16"/>
          <w:color w:val="auto"/>
        </w:rPr>
      </w:pPr>
    </w:p>
    <w:p>
      <w:pPr>
        <w:ind w:left="1320" w:hanging="549"/>
        <w:spacing w:after="0"/>
        <w:tabs>
          <w:tab w:leader="none" w:pos="13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8" w:lineRule="exact"/>
        <w:rPr>
          <w:rFonts w:ascii="Arial" w:cs="Arial" w:eastAsia="Arial" w:hAnsi="Arial"/>
          <w:sz w:val="18"/>
          <w:szCs w:val="18"/>
          <w:color w:val="auto"/>
        </w:rPr>
      </w:pPr>
    </w:p>
    <w:p>
      <w:pPr>
        <w:ind w:left="1320" w:hanging="549"/>
        <w:spacing w:after="0"/>
        <w:tabs>
          <w:tab w:leader="none" w:pos="13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1320" w:hanging="549"/>
        <w:spacing w:after="0"/>
        <w:tabs>
          <w:tab w:leader="none" w:pos="13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1320" w:hanging="549"/>
        <w:spacing w:after="0"/>
        <w:tabs>
          <w:tab w:leader="none" w:pos="132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836930</wp:posOffset>
            </wp:positionH>
            <wp:positionV relativeFrom="paragraph">
              <wp:posOffset>-2983230</wp:posOffset>
            </wp:positionV>
            <wp:extent cx="62947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-2700020</wp:posOffset>
            </wp:positionV>
            <wp:extent cx="62947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-2288540</wp:posOffset>
            </wp:positionV>
            <wp:extent cx="62947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-2005330</wp:posOffset>
            </wp:positionV>
            <wp:extent cx="62947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-1765300</wp:posOffset>
            </wp:positionV>
            <wp:extent cx="62947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-1447800</wp:posOffset>
            </wp:positionV>
            <wp:extent cx="62947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-702310</wp:posOffset>
            </wp:positionV>
            <wp:extent cx="62947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-419100</wp:posOffset>
            </wp:positionV>
            <wp:extent cx="62947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-135890</wp:posOffset>
            </wp:positionV>
            <wp:extent cx="62947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146685</wp:posOffset>
            </wp:positionV>
            <wp:extent cx="62947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4755" cy="8890"/>
                    </a:xfrm>
                    <a:prstGeom prst="rect">
                      <a:avLst/>
                    </a:prstGeom>
                    <a:noFill/>
                  </pic:spPr>
                </pic:pic>
              </a:graphicData>
            </a:graphic>
          </wp:anchor>
        </w:drawing>
      </w:r>
    </w:p>
    <w:p>
      <w:pPr>
        <w:sectPr>
          <w:pgSz w:w="11900" w:h="16838" w:orient="portrait"/>
          <w:cols w:equalWidth="0" w:num="1">
            <w:col w:w="11220"/>
          </w:cols>
          <w:pgMar w:left="240" w:top="226" w:right="439" w:bottom="1440" w:gutter="0" w:footer="0" w:header="0"/>
        </w:sectPr>
      </w:pPr>
    </w:p>
    <w:bookmarkStart w:id="1" w:name="page2"/>
    <w:bookmarkEnd w:id="1"/>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215265</wp:posOffset>
            </wp:positionV>
            <wp:extent cx="7031990" cy="90392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31990" cy="9039225"/>
                    </a:xfrm>
                    <a:prstGeom prst="rect">
                      <a:avLst/>
                    </a:prstGeom>
                    <a:noFill/>
                  </pic:spPr>
                </pic:pic>
              </a:graphicData>
            </a:graphic>
          </wp:anchor>
        </w:drawing>
      </w:r>
    </w:p>
    <w:p>
      <w:pPr>
        <w:sectPr>
          <w:pgSz w:w="11900" w:h="16838" w:orient="portrait"/>
          <w:cols w:equalWidth="0" w:num="1">
            <w:col w:w="10219"/>
          </w:cols>
          <w:pgMar w:left="240" w:top="455" w:right="1440"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1115060" cy="3257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15060" cy="3257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8140"/>
        <w:spacing w:after="0"/>
        <w:rPr>
          <w:sz w:val="20"/>
          <w:szCs w:val="20"/>
          <w:color w:val="auto"/>
        </w:rPr>
      </w:pPr>
      <w:r>
        <w:rPr>
          <w:rFonts w:ascii="Arial" w:cs="Arial" w:eastAsia="Arial" w:hAnsi="Arial"/>
          <w:sz w:val="16"/>
          <w:szCs w:val="16"/>
          <w:color w:val="auto"/>
        </w:rPr>
        <w:t>April 18, 2018</w:t>
      </w:r>
    </w:p>
    <w:p>
      <w:pPr>
        <w:spacing w:after="0" w:line="30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Dear Fellow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168910</wp:posOffset>
            </wp:positionV>
            <wp:extent cx="1320800" cy="20326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20800" cy="203263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200" w:right="2640"/>
        <w:spacing w:after="0" w:line="291" w:lineRule="auto"/>
        <w:rPr>
          <w:sz w:val="20"/>
          <w:szCs w:val="20"/>
          <w:color w:val="auto"/>
        </w:rPr>
      </w:pPr>
      <w:r>
        <w:rPr>
          <w:rFonts w:ascii="Arial" w:cs="Arial" w:eastAsia="Arial" w:hAnsi="Arial"/>
          <w:sz w:val="16"/>
          <w:szCs w:val="16"/>
          <w:color w:val="auto"/>
        </w:rPr>
        <w:t>On behalf of the Martin Marietta Board of Directors and executive officers, it is my pleasure to invite you to our 2018 Annual Meeting of Shareholders.</w:t>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Strong Financial Performance</w:t>
      </w:r>
    </w:p>
    <w:p>
      <w:pPr>
        <w:spacing w:after="0" w:line="26" w:lineRule="exact"/>
        <w:rPr>
          <w:sz w:val="20"/>
          <w:szCs w:val="20"/>
          <w:color w:val="auto"/>
        </w:rPr>
      </w:pPr>
    </w:p>
    <w:p>
      <w:pPr>
        <w:jc w:val="both"/>
        <w:ind w:left="200" w:right="2640"/>
        <w:spacing w:after="0" w:line="251" w:lineRule="auto"/>
        <w:rPr>
          <w:sz w:val="20"/>
          <w:szCs w:val="20"/>
          <w:color w:val="auto"/>
        </w:rPr>
      </w:pPr>
      <w:r>
        <w:rPr>
          <w:rFonts w:ascii="Arial" w:cs="Arial" w:eastAsia="Arial" w:hAnsi="Arial"/>
          <w:sz w:val="16"/>
          <w:szCs w:val="16"/>
          <w:color w:val="auto"/>
        </w:rPr>
        <w:t>2017 was an exceptional year for Martin Marietta. We established several new financial records and demonstrated the earnings power of our strategically-positioned assets, driven by a more durable, construction-centric recovery. We delivered record revenues, profitability and earnings per diluted share for both the fourth quarter and full year 2017, building on the momentum created by record performance in prior years. And, as always, we achieved these results while remaining committed to the safety, ethics, integrity and values that are the hallmark of Martin Marietta.</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World-Class Safety Performance</w:t>
      </w:r>
    </w:p>
    <w:p>
      <w:pPr>
        <w:spacing w:after="0" w:line="26" w:lineRule="exact"/>
        <w:rPr>
          <w:sz w:val="20"/>
          <w:szCs w:val="20"/>
          <w:color w:val="auto"/>
        </w:rPr>
      </w:pPr>
    </w:p>
    <w:p>
      <w:pPr>
        <w:jc w:val="both"/>
        <w:ind w:left="200" w:right="2640"/>
        <w:spacing w:after="0" w:line="249" w:lineRule="auto"/>
        <w:rPr>
          <w:sz w:val="20"/>
          <w:szCs w:val="20"/>
          <w:color w:val="auto"/>
        </w:rPr>
      </w:pPr>
      <w:r>
        <w:rPr>
          <w:rFonts w:ascii="Arial" w:cs="Arial" w:eastAsia="Arial" w:hAnsi="Arial"/>
          <w:sz w:val="16"/>
          <w:szCs w:val="16"/>
          <w:color w:val="auto"/>
        </w:rPr>
        <w:t>Our 2017 safety performance was the best in Martin Marietta’s history. Through the hard work and focus of our employees, safety awareness has been elevated across the Company, yielding impressive results. Our employees know world-class safety performance is possible; and, importantly, 2017’s results demonstrate this goal is attainable. Specifically, half of our operating divisions exceeded the</w:t>
      </w:r>
    </w:p>
    <w:p>
      <w:pPr>
        <w:spacing w:after="0" w:line="2" w:lineRule="exact"/>
        <w:rPr>
          <w:sz w:val="20"/>
          <w:szCs w:val="20"/>
          <w:color w:val="auto"/>
        </w:rPr>
      </w:pPr>
    </w:p>
    <w:p>
      <w:pPr>
        <w:jc w:val="both"/>
        <w:ind w:left="200"/>
        <w:spacing w:after="0" w:line="270" w:lineRule="auto"/>
        <w:rPr>
          <w:sz w:val="20"/>
          <w:szCs w:val="20"/>
          <w:color w:val="auto"/>
        </w:rPr>
      </w:pPr>
      <w:r>
        <w:rPr>
          <w:rFonts w:ascii="Arial" w:cs="Arial" w:eastAsia="Arial" w:hAnsi="Arial"/>
          <w:sz w:val="16"/>
          <w:szCs w:val="16"/>
          <w:color w:val="auto"/>
        </w:rPr>
        <w:t>world-class Total Injury Incident Rate (TIIR) (i.e., a TIIR of 0.90 or lower), and company-wide, with a Lost Time Incident Rate (LTIR) of 0.13, we bested the world-class LTIR of 0.20 or lower.</w:t>
      </w:r>
    </w:p>
    <w:p>
      <w:pPr>
        <w:spacing w:after="0" w:line="12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Shareholder Engagement and Governance</w:t>
      </w:r>
    </w:p>
    <w:p>
      <w:pPr>
        <w:spacing w:after="0" w:line="26" w:lineRule="exact"/>
        <w:rPr>
          <w:sz w:val="20"/>
          <w:szCs w:val="20"/>
          <w:color w:val="auto"/>
        </w:rPr>
      </w:pPr>
    </w:p>
    <w:p>
      <w:pPr>
        <w:jc w:val="both"/>
        <w:ind w:left="200"/>
        <w:spacing w:after="0" w:line="250" w:lineRule="auto"/>
        <w:rPr>
          <w:sz w:val="20"/>
          <w:szCs w:val="20"/>
          <w:color w:val="auto"/>
        </w:rPr>
      </w:pPr>
      <w:r>
        <w:rPr>
          <w:rFonts w:ascii="Arial" w:cs="Arial" w:eastAsia="Arial" w:hAnsi="Arial"/>
          <w:sz w:val="16"/>
          <w:szCs w:val="16"/>
          <w:color w:val="auto"/>
        </w:rPr>
        <w:t xml:space="preserve">Our investor outreach in 2017 extended to 86 meetings with 296 investor groups, and conversations with most of our top 20 shareholders. We visited with our shareholders across the United States and in Toronto, Amsterdam, Brussels, The Hague, London, Edinburgh and Paris. We also issued our third Sustainability Report in 2017 - </w:t>
      </w:r>
      <w:r>
        <w:rPr>
          <w:rFonts w:ascii="Arial" w:cs="Arial" w:eastAsia="Arial" w:hAnsi="Arial"/>
          <w:sz w:val="16"/>
          <w:szCs w:val="16"/>
          <w:i w:val="1"/>
          <w:iCs w:val="1"/>
          <w:color w:val="auto"/>
        </w:rPr>
        <w:t>Building. Caring. Growing.</w:t>
      </w:r>
      <w:r>
        <w:rPr>
          <w:rFonts w:ascii="Arial" w:cs="Arial" w:eastAsia="Arial" w:hAnsi="Arial"/>
          <w:sz w:val="16"/>
          <w:szCs w:val="16"/>
          <w:color w:val="auto"/>
        </w:rPr>
        <w:t xml:space="preserve"> - in response to our shareholders’ request that we share our story on the efforts and improvements we are making in this important aspect. From our world-class safety programs and performance, to our targeted and intentional support of education and health, and environmental programs that ensure operational excellence, we have a solid foundation and an exciting opportunity to build upon.</w:t>
      </w:r>
    </w:p>
    <w:p>
      <w:pPr>
        <w:spacing w:after="0" w:line="181" w:lineRule="exact"/>
        <w:rPr>
          <w:sz w:val="20"/>
          <w:szCs w:val="20"/>
          <w:color w:val="auto"/>
        </w:rPr>
      </w:pPr>
    </w:p>
    <w:p>
      <w:pPr>
        <w:jc w:val="both"/>
        <w:ind w:left="200"/>
        <w:spacing w:after="0" w:line="255" w:lineRule="auto"/>
        <w:rPr>
          <w:sz w:val="20"/>
          <w:szCs w:val="20"/>
          <w:color w:val="auto"/>
        </w:rPr>
      </w:pPr>
      <w:r>
        <w:rPr>
          <w:rFonts w:ascii="Arial" w:cs="Arial" w:eastAsia="Arial" w:hAnsi="Arial"/>
          <w:sz w:val="16"/>
          <w:szCs w:val="16"/>
          <w:color w:val="auto"/>
        </w:rPr>
        <w:t>We also have a commitment to sound corporate governance and independent leadership in our boardroom. In this regard, we made several important changes to our corporate governance. First, our Board adopted a proxy access bylaw in response to the favorable advisory vote of a majority of our shareholders at our 2017 annual meeting of shareholders. Second, our Board adopted formal guidelines and policies relating to Stock Ownership for Board members and executive officers, Hedging and Pledging of Stock for Board members and executive officers, and Clawbacks for executive officers, which you can read more about in the attached proxy statement. Our Board continues to review our governance policies to ensure we are able to create appropriate value for our shareholders.</w:t>
      </w:r>
    </w:p>
    <w:p>
      <w:pPr>
        <w:spacing w:after="0" w:line="12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Board Member Changes</w:t>
      </w:r>
    </w:p>
    <w:p>
      <w:pPr>
        <w:spacing w:after="0" w:line="26" w:lineRule="exact"/>
        <w:rPr>
          <w:sz w:val="20"/>
          <w:szCs w:val="20"/>
          <w:color w:val="auto"/>
        </w:rPr>
      </w:pPr>
    </w:p>
    <w:p>
      <w:pPr>
        <w:jc w:val="both"/>
        <w:ind w:left="200"/>
        <w:spacing w:after="0" w:line="256" w:lineRule="auto"/>
        <w:rPr>
          <w:sz w:val="20"/>
          <w:szCs w:val="20"/>
          <w:color w:val="auto"/>
        </w:rPr>
      </w:pPr>
      <w:r>
        <w:rPr>
          <w:rFonts w:ascii="Arial" w:cs="Arial" w:eastAsia="Arial" w:hAnsi="Arial"/>
          <w:sz w:val="16"/>
          <w:szCs w:val="16"/>
          <w:color w:val="auto"/>
        </w:rPr>
        <w:t>We also are nominating for election a new Board member in 2018, namely Smith W. Davis, a partner with the law firm of Akin Gump Strauss Hauer &amp; Feld LLP in Washington DC. Mr. Davis is an expert in legal and regulatory matters, as well as governance, environmental and compensation matters. We are delighted to nominate Mr. Davis to our Board, who brings a strong background and adds a new and diverse perspective to our Board mix.</w:t>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Proxy Voting</w:t>
      </w:r>
    </w:p>
    <w:p>
      <w:pPr>
        <w:spacing w:after="0" w:line="26" w:lineRule="exact"/>
        <w:rPr>
          <w:sz w:val="20"/>
          <w:szCs w:val="20"/>
          <w:color w:val="auto"/>
        </w:rPr>
      </w:pPr>
    </w:p>
    <w:p>
      <w:pPr>
        <w:jc w:val="both"/>
        <w:ind w:left="200"/>
        <w:spacing w:after="0" w:line="265" w:lineRule="auto"/>
        <w:rPr>
          <w:sz w:val="20"/>
          <w:szCs w:val="20"/>
          <w:color w:val="auto"/>
        </w:rPr>
      </w:pPr>
      <w:r>
        <w:rPr>
          <w:rFonts w:ascii="Arial" w:cs="Arial" w:eastAsia="Arial" w:hAnsi="Arial"/>
          <w:sz w:val="16"/>
          <w:szCs w:val="16"/>
          <w:color w:val="auto"/>
        </w:rPr>
        <w:t xml:space="preserve">Because </w:t>
      </w:r>
      <w:r>
        <w:rPr>
          <w:rFonts w:ascii="Arial" w:cs="Arial" w:eastAsia="Arial" w:hAnsi="Arial"/>
          <w:sz w:val="16"/>
          <w:szCs w:val="16"/>
          <w:i w:val="1"/>
          <w:iCs w:val="1"/>
          <w:color w:val="auto"/>
        </w:rPr>
        <w:t>your</w:t>
      </w:r>
      <w:r>
        <w:rPr>
          <w:rFonts w:ascii="Arial" w:cs="Arial" w:eastAsia="Arial" w:hAnsi="Arial"/>
          <w:sz w:val="16"/>
          <w:szCs w:val="16"/>
          <w:color w:val="auto"/>
        </w:rPr>
        <w:t xml:space="preserve"> proxy vote matters, I urge you to cast it promptly - even if you plan to attend the Annual Meeting. We encourage you to vote so that your shares will be represented and voted at the meeting.</w:t>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Thank you for your continued support of Martin Marietta.</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151765</wp:posOffset>
            </wp:positionV>
            <wp:extent cx="1191895" cy="3771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9189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C. Howard Nye</w:t>
      </w:r>
    </w:p>
    <w:p>
      <w:pPr>
        <w:spacing w:after="0" w:line="26"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Chairman of the Board, President and Chief Executive Officer</w:t>
      </w:r>
    </w:p>
    <w:p>
      <w:pPr>
        <w:sectPr>
          <w:pgSz w:w="11900" w:h="16838" w:orient="portrait"/>
          <w:cols w:equalWidth="0" w:num="1">
            <w:col w:w="11220"/>
          </w:cols>
          <w:pgMar w:left="240" w:top="455" w:right="4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ind w:left="3780"/>
        <w:spacing w:after="0"/>
        <w:rPr>
          <w:sz w:val="20"/>
          <w:szCs w:val="20"/>
          <w:color w:val="auto"/>
        </w:rPr>
      </w:pPr>
      <w:r>
        <w:rPr>
          <w:rFonts w:ascii="Arial" w:cs="Arial" w:eastAsia="Arial" w:hAnsi="Arial"/>
          <w:sz w:val="22"/>
          <w:szCs w:val="22"/>
          <w:b w:val="1"/>
          <w:bCs w:val="1"/>
          <w:color w:val="007CBA"/>
        </w:rPr>
        <w:t>MARTIN MARIETTA MATERIALS, INC.</w:t>
      </w:r>
    </w:p>
    <w:p>
      <w:pPr>
        <w:spacing w:after="0" w:line="20" w:lineRule="exact"/>
        <w:rPr>
          <w:sz w:val="20"/>
          <w:szCs w:val="20"/>
          <w:color w:val="auto"/>
        </w:rPr>
      </w:pPr>
    </w:p>
    <w:p>
      <w:pPr>
        <w:ind w:left="3200"/>
        <w:spacing w:after="0"/>
        <w:rPr>
          <w:sz w:val="20"/>
          <w:szCs w:val="20"/>
          <w:color w:val="auto"/>
        </w:rPr>
      </w:pPr>
      <w:r>
        <w:rPr>
          <w:rFonts w:ascii="Arial" w:cs="Arial" w:eastAsia="Arial" w:hAnsi="Arial"/>
          <w:sz w:val="22"/>
          <w:szCs w:val="22"/>
          <w:b w:val="1"/>
          <w:bCs w:val="1"/>
          <w:color w:val="007CBA"/>
        </w:rPr>
        <w:t>2710 Wycliff Road, Raleigh, North Carolina 27607</w:t>
      </w:r>
    </w:p>
    <w:p>
      <w:pPr>
        <w:spacing w:after="0" w:line="149"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007CBA"/>
        </w:rPr>
        <w:t>Notice of Annual Meeting of Shareholders</w:t>
      </w:r>
    </w:p>
    <w:p>
      <w:pPr>
        <w:spacing w:after="0" w:line="20"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007CBA"/>
        </w:rPr>
        <w:t>To Be Held May 17, 2018</w:t>
      </w:r>
    </w:p>
    <w:p>
      <w:pPr>
        <w:spacing w:after="0" w:line="30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To Our Shareholders:</w:t>
      </w:r>
    </w:p>
    <w:p>
      <w:pPr>
        <w:spacing w:after="0" w:line="181"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The Annual Meeting of Shareholders of Martin Marietta Materials, Inc. will be held on Thursday, May 17, 2018, at 11:30 a.m. at our principal office located at 2710 Wycliff Road, Raleigh, North Carolina. At the meeting, the holders of our outstanding common stock will act on the following matters:</w:t>
      </w:r>
    </w:p>
    <w:p>
      <w:pPr>
        <w:spacing w:after="0" w:line="148" w:lineRule="exact"/>
        <w:rPr>
          <w:sz w:val="20"/>
          <w:szCs w:val="20"/>
          <w:color w:val="auto"/>
        </w:rPr>
      </w:pPr>
    </w:p>
    <w:p>
      <w:pPr>
        <w:ind w:left="960" w:hanging="432"/>
        <w:spacing w:after="0" w:line="291" w:lineRule="auto"/>
        <w:tabs>
          <w:tab w:leader="none" w:pos="960" w:val="left"/>
        </w:tabs>
        <w:numPr>
          <w:ilvl w:val="0"/>
          <w:numId w:val="4"/>
        </w:numPr>
        <w:rPr>
          <w:rFonts w:ascii="Arial" w:cs="Arial" w:eastAsia="Arial" w:hAnsi="Arial"/>
          <w:sz w:val="16"/>
          <w:szCs w:val="16"/>
          <w:color w:val="auto"/>
        </w:rPr>
      </w:pPr>
      <w:r>
        <w:rPr>
          <w:rFonts w:ascii="Arial" w:cs="Arial" w:eastAsia="Arial" w:hAnsi="Arial"/>
          <w:sz w:val="16"/>
          <w:szCs w:val="16"/>
          <w:color w:val="auto"/>
        </w:rPr>
        <w:t>Election as Directors the seven (7) nominees named in the attached proxy statement, each to serve their respective term as described in the attached proxy statement, and until their successors are duly elected and qualified;</w:t>
      </w:r>
    </w:p>
    <w:p>
      <w:pPr>
        <w:spacing w:after="0" w:line="148" w:lineRule="exact"/>
        <w:rPr>
          <w:rFonts w:ascii="Arial" w:cs="Arial" w:eastAsia="Arial" w:hAnsi="Arial"/>
          <w:sz w:val="16"/>
          <w:szCs w:val="16"/>
          <w:color w:val="auto"/>
        </w:rPr>
      </w:pPr>
    </w:p>
    <w:p>
      <w:pPr>
        <w:ind w:left="960" w:hanging="432"/>
        <w:spacing w:after="0"/>
        <w:tabs>
          <w:tab w:leader="none" w:pos="960" w:val="left"/>
        </w:tabs>
        <w:numPr>
          <w:ilvl w:val="0"/>
          <w:numId w:val="4"/>
        </w:numPr>
        <w:rPr>
          <w:rFonts w:ascii="Arial" w:cs="Arial" w:eastAsia="Arial" w:hAnsi="Arial"/>
          <w:sz w:val="16"/>
          <w:szCs w:val="16"/>
          <w:color w:val="auto"/>
        </w:rPr>
      </w:pPr>
      <w:r>
        <w:rPr>
          <w:rFonts w:ascii="Arial" w:cs="Arial" w:eastAsia="Arial" w:hAnsi="Arial"/>
          <w:sz w:val="16"/>
          <w:szCs w:val="16"/>
          <w:color w:val="auto"/>
        </w:rPr>
        <w:t>Ratification of the appointment of PricewaterhouseCoopers LLP as independent auditors for 2018;</w:t>
      </w:r>
    </w:p>
    <w:p>
      <w:pPr>
        <w:spacing w:after="0" w:line="221" w:lineRule="exact"/>
        <w:rPr>
          <w:rFonts w:ascii="Arial" w:cs="Arial" w:eastAsia="Arial" w:hAnsi="Arial"/>
          <w:sz w:val="16"/>
          <w:szCs w:val="16"/>
          <w:color w:val="auto"/>
        </w:rPr>
      </w:pPr>
    </w:p>
    <w:p>
      <w:pPr>
        <w:ind w:left="960" w:hanging="432"/>
        <w:spacing w:after="0"/>
        <w:tabs>
          <w:tab w:leader="none" w:pos="9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Advisory vote to approve the compensation of our named executive officers; and</w:t>
      </w:r>
    </w:p>
    <w:p>
      <w:pPr>
        <w:spacing w:after="0" w:line="221" w:lineRule="exact"/>
        <w:rPr>
          <w:rFonts w:ascii="Arial" w:cs="Arial" w:eastAsia="Arial" w:hAnsi="Arial"/>
          <w:sz w:val="16"/>
          <w:szCs w:val="16"/>
          <w:color w:val="auto"/>
        </w:rPr>
      </w:pPr>
    </w:p>
    <w:p>
      <w:pPr>
        <w:ind w:left="960" w:hanging="432"/>
        <w:spacing w:after="0"/>
        <w:tabs>
          <w:tab w:leader="none" w:pos="9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Any other business that may properly come before the meeting.</w:t>
      </w:r>
    </w:p>
    <w:p>
      <w:pPr>
        <w:spacing w:after="0" w:line="181"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All holders of record of Martin Marietta common stock (NYSE: MLM) at the close of business on March 9, 2018 are entitled to notice of and to vote at the Annual Meeting and any adjournments or postponements of the meeting.</w:t>
      </w:r>
    </w:p>
    <w:p>
      <w:pPr>
        <w:spacing w:after="0" w:line="119"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The Board of Directors unanimously recommends that you vote FOR proposals 1, 2, and 3.</w:t>
      </w:r>
    </w:p>
    <w:p>
      <w:pPr>
        <w:spacing w:after="0" w:line="183"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This notice and the accompanying proxy statement are being first mailed to shareholders on or about April 18, 2018. We have enclosed our 2017 Annual Report to Shareholders. The report is not part of the proxy soliciting materials for the Annual Meeting.</w:t>
      </w:r>
    </w:p>
    <w:p>
      <w:pPr>
        <w:spacing w:after="0" w:line="106" w:lineRule="exact"/>
        <w:rPr>
          <w:sz w:val="20"/>
          <w:szCs w:val="20"/>
          <w:color w:val="auto"/>
        </w:rPr>
      </w:pPr>
    </w:p>
    <w:p>
      <w:pPr>
        <w:ind w:left="200"/>
        <w:spacing w:after="0" w:line="294" w:lineRule="auto"/>
        <w:rPr>
          <w:sz w:val="20"/>
          <w:szCs w:val="20"/>
          <w:color w:val="auto"/>
        </w:rPr>
      </w:pPr>
      <w:r>
        <w:rPr>
          <w:rFonts w:ascii="Arial" w:cs="Arial" w:eastAsia="Arial" w:hAnsi="Arial"/>
          <w:sz w:val="16"/>
          <w:szCs w:val="16"/>
          <w:color w:val="auto"/>
        </w:rPr>
        <w:t xml:space="preserve">Whether or not you expect to attend the meeting, we hope you will </w:t>
      </w:r>
      <w:r>
        <w:rPr>
          <w:rFonts w:ascii="Arial" w:cs="Arial" w:eastAsia="Arial" w:hAnsi="Arial"/>
          <w:sz w:val="16"/>
          <w:szCs w:val="16"/>
          <w:b w:val="1"/>
          <w:bCs w:val="1"/>
          <w:color w:val="auto"/>
        </w:rPr>
        <w:t>date and sign the enclosed proxy card</w:t>
      </w:r>
      <w:r>
        <w:rPr>
          <w:rFonts w:ascii="Arial" w:cs="Arial" w:eastAsia="Arial" w:hAnsi="Arial"/>
          <w:sz w:val="16"/>
          <w:szCs w:val="16"/>
          <w:color w:val="auto"/>
        </w:rPr>
        <w:t xml:space="preserve"> and mail it promptly in the enclosed stamped envelope. Submitting your proxy now will not prevent you from voting your shares at the meeting, as your proxy is revocable at your option.</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151765</wp:posOffset>
            </wp:positionV>
            <wp:extent cx="1209040" cy="4546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0904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Roselyn R. Bar</w:t>
      </w:r>
    </w:p>
    <w:p>
      <w:pPr>
        <w:spacing w:after="0" w:line="25"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Executive Vice President, General</w:t>
      </w:r>
    </w:p>
    <w:p>
      <w:pPr>
        <w:spacing w:after="0" w:line="5"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Counsel and Secretary</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Raleigh, North Carolina</w:t>
      </w:r>
    </w:p>
    <w:p>
      <w:pPr>
        <w:spacing w:after="0" w:line="2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April 18, 2018</w:t>
      </w:r>
    </w:p>
    <w:p>
      <w:pPr>
        <w:spacing w:after="0" w:line="149"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IMPORTANT NOTICE REGARDING THE AVAILABILITY OF PROXY MATERIALS FOR THE</w:t>
      </w:r>
    </w:p>
    <w:p>
      <w:pPr>
        <w:spacing w:after="0" w:line="18"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ANNUAL SHAREHOLDER MEETING TO BE HELD ON MAY 17, 2018:</w:t>
      </w:r>
    </w:p>
    <w:p>
      <w:pPr>
        <w:spacing w:after="0" w:line="171"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 xml:space="preserve">Martin Marietta’s proxy statement, form of proxy card and 2017 Annual Report to Shareholders are also available at </w:t>
      </w:r>
      <w:r>
        <w:rPr>
          <w:rFonts w:ascii="Arial" w:cs="Arial" w:eastAsia="Arial" w:hAnsi="Arial"/>
          <w:sz w:val="16"/>
          <w:szCs w:val="16"/>
          <w:i w:val="1"/>
          <w:iCs w:val="1"/>
          <w:color w:val="auto"/>
        </w:rPr>
        <w:t>ir.martinmarietta.com/investor-relations/reports-filings</w:t>
      </w:r>
      <w:r>
        <w:rPr>
          <w:rFonts w:ascii="Arial" w:cs="Arial" w:eastAsia="Arial" w:hAnsi="Arial"/>
          <w:sz w:val="16"/>
          <w:szCs w:val="16"/>
          <w:color w:val="auto"/>
        </w:rPr>
        <w:t>.</w:t>
      </w:r>
    </w:p>
    <w:p>
      <w:pPr>
        <w:sectPr>
          <w:pgSz w:w="11900" w:h="16838" w:orient="portrait"/>
          <w:cols w:equalWidth="0" w:num="1">
            <w:col w:w="11220"/>
          </w:cols>
          <w:pgMar w:left="240" w:top="455" w:right="4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72" w:lineRule="exact"/>
        <w:rPr>
          <w:sz w:val="20"/>
          <w:szCs w:val="20"/>
          <w:color w:val="auto"/>
        </w:rPr>
      </w:pPr>
    </w:p>
    <w:p>
      <w:pPr>
        <w:jc w:val="center"/>
        <w:ind w:right="-319"/>
        <w:spacing w:after="0"/>
        <w:rPr>
          <w:sz w:val="20"/>
          <w:szCs w:val="20"/>
          <w:color w:val="auto"/>
        </w:rPr>
      </w:pPr>
      <w:r>
        <w:rPr>
          <w:rFonts w:ascii="Arial" w:cs="Arial" w:eastAsia="Arial" w:hAnsi="Arial"/>
          <w:sz w:val="42"/>
          <w:szCs w:val="42"/>
          <w:color w:val="auto"/>
        </w:rPr>
        <w:t>Table of Contents</w:t>
      </w:r>
    </w:p>
    <w:p>
      <w:pPr>
        <w:sectPr>
          <w:pgSz w:w="11900" w:h="16838" w:orient="portrait"/>
          <w:cols w:equalWidth="0" w:num="1">
            <w:col w:w="11120"/>
          </w:cols>
          <w:pgMar w:left="240" w:top="455" w:right="539" w:bottom="11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1400" w:type="dxa"/>
            <w:vAlign w:val="bottom"/>
            <w:tcBorders>
              <w:bottom w:val="single" w:sz="8" w:color="0000EE"/>
            </w:tcBorders>
            <w:gridSpan w:val="3"/>
          </w:tcPr>
          <w:p>
            <w:pPr>
              <w:spacing w:after="0"/>
              <w:rPr>
                <w:rFonts w:ascii="Arial" w:cs="Arial" w:eastAsia="Arial" w:hAnsi="Arial"/>
                <w:sz w:val="20"/>
                <w:szCs w:val="20"/>
                <w:color w:val="0000EE"/>
                <w:w w:val="96"/>
              </w:rPr>
            </w:pPr>
            <w:hyperlink w:anchor="page6">
              <w:r>
                <w:rPr>
                  <w:rFonts w:ascii="Arial" w:cs="Arial" w:eastAsia="Arial" w:hAnsi="Arial"/>
                  <w:sz w:val="20"/>
                  <w:szCs w:val="20"/>
                  <w:color w:val="0000EE"/>
                  <w:w w:val="96"/>
                </w:rPr>
                <w:t>Proxy Summary</w:t>
              </w:r>
            </w:hyperlink>
          </w:p>
        </w:tc>
        <w:tc>
          <w:tcPr>
            <w:tcW w:w="3420" w:type="dxa"/>
            <w:vAlign w:val="bottom"/>
            <w:gridSpan w:val="6"/>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20"/>
                <w:szCs w:val="20"/>
                <w:color w:val="007CBA"/>
              </w:rPr>
              <w:t>1</w:t>
            </w:r>
          </w:p>
        </w:tc>
        <w:tc>
          <w:tcPr>
            <w:tcW w:w="0" w:type="dxa"/>
            <w:vAlign w:val="bottom"/>
          </w:tcPr>
          <w:p>
            <w:pPr>
              <w:spacing w:after="0"/>
              <w:rPr>
                <w:sz w:val="1"/>
                <w:szCs w:val="1"/>
                <w:color w:val="auto"/>
              </w:rPr>
            </w:pPr>
          </w:p>
        </w:tc>
      </w:tr>
      <w:tr>
        <w:trPr>
          <w:trHeight w:val="520"/>
        </w:trPr>
        <w:tc>
          <w:tcPr>
            <w:tcW w:w="1980" w:type="dxa"/>
            <w:vAlign w:val="bottom"/>
            <w:tcBorders>
              <w:bottom w:val="single" w:sz="8" w:color="0000EE"/>
            </w:tcBorders>
            <w:gridSpan w:val="5"/>
          </w:tcPr>
          <w:p>
            <w:pPr>
              <w:spacing w:after="0"/>
              <w:rPr>
                <w:rFonts w:ascii="Arial" w:cs="Arial" w:eastAsia="Arial" w:hAnsi="Arial"/>
                <w:sz w:val="20"/>
                <w:szCs w:val="20"/>
                <w:color w:val="0000EE"/>
                <w:w w:val="97"/>
              </w:rPr>
            </w:pPr>
            <w:hyperlink w:anchor="page11">
              <w:r>
                <w:rPr>
                  <w:rFonts w:ascii="Arial" w:cs="Arial" w:eastAsia="Arial" w:hAnsi="Arial"/>
                  <w:sz w:val="20"/>
                  <w:szCs w:val="20"/>
                  <w:color w:val="0000EE"/>
                  <w:w w:val="97"/>
                </w:rPr>
                <w:t>The Board of Directors</w:t>
              </w:r>
            </w:hyperlink>
          </w:p>
        </w:tc>
        <w:tc>
          <w:tcPr>
            <w:tcW w:w="2840" w:type="dxa"/>
            <w:vAlign w:val="bottom"/>
            <w:gridSpan w:val="4"/>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20"/>
                <w:szCs w:val="20"/>
                <w:color w:val="007CBA"/>
              </w:rPr>
              <w:t>6</w:t>
            </w:r>
          </w:p>
        </w:tc>
        <w:tc>
          <w:tcPr>
            <w:tcW w:w="0" w:type="dxa"/>
            <w:vAlign w:val="bottom"/>
          </w:tcPr>
          <w:p>
            <w:pPr>
              <w:spacing w:after="0"/>
              <w:rPr>
                <w:sz w:val="1"/>
                <w:szCs w:val="1"/>
                <w:color w:val="auto"/>
              </w:rPr>
            </w:pPr>
          </w:p>
        </w:tc>
      </w:tr>
      <w:tr>
        <w:trPr>
          <w:trHeight w:val="520"/>
        </w:trPr>
        <w:tc>
          <w:tcPr>
            <w:tcW w:w="4820" w:type="dxa"/>
            <w:vAlign w:val="bottom"/>
            <w:gridSpan w:val="9"/>
          </w:tcPr>
          <w:p>
            <w:pPr>
              <w:spacing w:after="0"/>
              <w:rPr>
                <w:rFonts w:ascii="Arial" w:cs="Arial" w:eastAsia="Arial" w:hAnsi="Arial"/>
                <w:sz w:val="20"/>
                <w:szCs w:val="20"/>
                <w:color w:val="0000EE"/>
              </w:rPr>
            </w:pPr>
            <w:hyperlink w:anchor="page13">
              <w:r>
                <w:rPr>
                  <w:rFonts w:ascii="Arial" w:cs="Arial" w:eastAsia="Arial" w:hAnsi="Arial"/>
                  <w:sz w:val="20"/>
                  <w:szCs w:val="20"/>
                  <w:color w:val="0000EE"/>
                </w:rPr>
                <w:t>Proposal 1 – Election of Directors</w:t>
              </w:r>
            </w:hyperlink>
          </w:p>
        </w:tc>
        <w:tc>
          <w:tcPr>
            <w:tcW w:w="380" w:type="dxa"/>
            <w:vAlign w:val="bottom"/>
          </w:tcPr>
          <w:p>
            <w:pPr>
              <w:jc w:val="right"/>
              <w:spacing w:after="0"/>
              <w:rPr>
                <w:sz w:val="20"/>
                <w:szCs w:val="20"/>
                <w:color w:val="auto"/>
              </w:rPr>
            </w:pPr>
            <w:r>
              <w:rPr>
                <w:rFonts w:ascii="Arial" w:cs="Arial" w:eastAsia="Arial" w:hAnsi="Arial"/>
                <w:sz w:val="20"/>
                <w:szCs w:val="20"/>
                <w:color w:val="007CBA"/>
              </w:rPr>
              <w:t>8</w:t>
            </w:r>
          </w:p>
        </w:tc>
        <w:tc>
          <w:tcPr>
            <w:tcW w:w="0" w:type="dxa"/>
            <w:vAlign w:val="bottom"/>
          </w:tcPr>
          <w:p>
            <w:pPr>
              <w:spacing w:after="0"/>
              <w:rPr>
                <w:sz w:val="1"/>
                <w:szCs w:val="1"/>
                <w:color w:val="auto"/>
              </w:rPr>
            </w:pPr>
          </w:p>
        </w:tc>
      </w:tr>
      <w:tr>
        <w:trPr>
          <w:trHeight w:val="237"/>
        </w:trPr>
        <w:tc>
          <w:tcPr>
            <w:tcW w:w="320" w:type="dxa"/>
            <w:vAlign w:val="bottom"/>
            <w:tcBorders>
              <w:top w:val="single" w:sz="8" w:color="0000EE"/>
            </w:tcBorders>
          </w:tcPr>
          <w:p>
            <w:pPr>
              <w:spacing w:after="0"/>
              <w:rPr>
                <w:sz w:val="20"/>
                <w:szCs w:val="20"/>
                <w:color w:val="auto"/>
              </w:rPr>
            </w:pPr>
          </w:p>
        </w:tc>
        <w:tc>
          <w:tcPr>
            <w:tcW w:w="2600" w:type="dxa"/>
            <w:vAlign w:val="bottom"/>
            <w:tcBorders>
              <w:top w:val="single" w:sz="8" w:color="0000EE"/>
            </w:tcBorders>
            <w:gridSpan w:val="5"/>
          </w:tcPr>
          <w:p>
            <w:pPr>
              <w:spacing w:after="0"/>
              <w:rPr>
                <w:rFonts w:ascii="Arial" w:cs="Arial" w:eastAsia="Arial" w:hAnsi="Arial"/>
                <w:sz w:val="16"/>
                <w:szCs w:val="16"/>
                <w:color w:val="0000EE"/>
              </w:rPr>
            </w:pPr>
            <w:hyperlink w:anchor="page18">
              <w:r>
                <w:rPr>
                  <w:rFonts w:ascii="Arial" w:cs="Arial" w:eastAsia="Arial" w:hAnsi="Arial"/>
                  <w:sz w:val="16"/>
                  <w:szCs w:val="16"/>
                  <w:color w:val="0000EE"/>
                </w:rPr>
                <w:t>Director Compensation</w:t>
              </w:r>
            </w:hyperlink>
          </w:p>
        </w:tc>
        <w:tc>
          <w:tcPr>
            <w:tcW w:w="1900" w:type="dxa"/>
            <w:vAlign w:val="bottom"/>
            <w:gridSpan w:val="3"/>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820" w:type="dxa"/>
            <w:vAlign w:val="bottom"/>
            <w:gridSpan w:val="9"/>
          </w:tcPr>
          <w:p>
            <w:pPr>
              <w:spacing w:after="0"/>
              <w:rPr>
                <w:rFonts w:ascii="Arial" w:cs="Arial" w:eastAsia="Arial" w:hAnsi="Arial"/>
                <w:sz w:val="20"/>
                <w:szCs w:val="20"/>
                <w:color w:val="0000EE"/>
              </w:rPr>
            </w:pPr>
            <w:hyperlink w:anchor="page20">
              <w:r>
                <w:rPr>
                  <w:rFonts w:ascii="Arial" w:cs="Arial" w:eastAsia="Arial" w:hAnsi="Arial"/>
                  <w:sz w:val="20"/>
                  <w:szCs w:val="20"/>
                  <w:color w:val="0000EE"/>
                </w:rPr>
                <w:t>Security Ownership of Certain Beneficial Owners and</w:t>
              </w:r>
            </w:hyperlink>
          </w:p>
        </w:tc>
        <w:tc>
          <w:tcPr>
            <w:tcW w:w="380" w:type="dxa"/>
            <w:vAlign w:val="bottom"/>
            <w:vMerge w:val="restart"/>
          </w:tcPr>
          <w:p>
            <w:pPr>
              <w:jc w:val="right"/>
              <w:spacing w:after="0"/>
              <w:rPr>
                <w:sz w:val="20"/>
                <w:szCs w:val="20"/>
                <w:color w:val="auto"/>
              </w:rPr>
            </w:pPr>
            <w:r>
              <w:rPr>
                <w:rFonts w:ascii="Arial" w:cs="Arial" w:eastAsia="Arial" w:hAnsi="Arial"/>
                <w:sz w:val="20"/>
                <w:szCs w:val="20"/>
                <w:color w:val="007CBA"/>
              </w:rPr>
              <w:t>15</w:t>
            </w:r>
          </w:p>
        </w:tc>
        <w:tc>
          <w:tcPr>
            <w:tcW w:w="0" w:type="dxa"/>
            <w:vAlign w:val="bottom"/>
          </w:tcPr>
          <w:p>
            <w:pPr>
              <w:spacing w:after="0"/>
              <w:rPr>
                <w:sz w:val="1"/>
                <w:szCs w:val="1"/>
                <w:color w:val="auto"/>
              </w:rPr>
            </w:pPr>
          </w:p>
        </w:tc>
      </w:tr>
      <w:tr>
        <w:trPr>
          <w:trHeight w:val="196"/>
        </w:trPr>
        <w:tc>
          <w:tcPr>
            <w:tcW w:w="4660" w:type="dxa"/>
            <w:vAlign w:val="bottom"/>
            <w:tcBorders>
              <w:top w:val="single" w:sz="8" w:color="0000EE"/>
            </w:tcBorders>
            <w:gridSpan w:val="8"/>
          </w:tcPr>
          <w:p>
            <w:pPr>
              <w:spacing w:after="0" w:line="196" w:lineRule="exact"/>
              <w:rPr>
                <w:rFonts w:ascii="Arial" w:cs="Arial" w:eastAsia="Arial" w:hAnsi="Arial"/>
                <w:sz w:val="20"/>
                <w:szCs w:val="20"/>
                <w:color w:val="0000EE"/>
              </w:rPr>
            </w:pPr>
            <w:hyperlink w:anchor="page20">
              <w:r>
                <w:rPr>
                  <w:rFonts w:ascii="Arial" w:cs="Arial" w:eastAsia="Arial" w:hAnsi="Arial"/>
                  <w:sz w:val="20"/>
                  <w:szCs w:val="20"/>
                  <w:color w:val="0000EE"/>
                </w:rPr>
                <w:t>Management</w:t>
              </w:r>
            </w:hyperlink>
          </w:p>
        </w:tc>
        <w:tc>
          <w:tcPr>
            <w:tcW w:w="160" w:type="dxa"/>
            <w:vAlign w:val="bottom"/>
          </w:tcPr>
          <w:p>
            <w:pPr>
              <w:spacing w:after="0"/>
              <w:rPr>
                <w:sz w:val="17"/>
                <w:szCs w:val="17"/>
                <w:color w:val="auto"/>
              </w:rPr>
            </w:pPr>
          </w:p>
        </w:tc>
        <w:tc>
          <w:tcPr>
            <w:tcW w:w="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4180" w:type="dxa"/>
            <w:vAlign w:val="bottom"/>
            <w:tcBorders>
              <w:bottom w:val="single" w:sz="8" w:color="0000EE"/>
            </w:tcBorders>
            <w:gridSpan w:val="6"/>
          </w:tcPr>
          <w:p>
            <w:pPr>
              <w:spacing w:after="0"/>
              <w:rPr>
                <w:rFonts w:ascii="Arial" w:cs="Arial" w:eastAsia="Arial" w:hAnsi="Arial"/>
                <w:sz w:val="16"/>
                <w:szCs w:val="16"/>
                <w:color w:val="0000EE"/>
              </w:rPr>
            </w:pPr>
            <w:hyperlink w:anchor="page21">
              <w:r>
                <w:rPr>
                  <w:rFonts w:ascii="Arial" w:cs="Arial" w:eastAsia="Arial" w:hAnsi="Arial"/>
                  <w:sz w:val="16"/>
                  <w:szCs w:val="16"/>
                  <w:color w:val="0000EE"/>
                </w:rPr>
                <w:t>Section 16(a) Beneficial Ownership Reporting Compliance</w:t>
              </w:r>
            </w:hyperlink>
          </w:p>
        </w:tc>
        <w:tc>
          <w:tcPr>
            <w:tcW w:w="320" w:type="dxa"/>
            <w:vAlign w:val="bottom"/>
            <w:gridSpan w:val="2"/>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200" w:type="dxa"/>
            <w:vAlign w:val="bottom"/>
            <w:tcBorders>
              <w:bottom w:val="single" w:sz="8" w:color="0000EE"/>
            </w:tcBorders>
            <w:gridSpan w:val="3"/>
          </w:tcPr>
          <w:p>
            <w:pPr>
              <w:spacing w:after="0"/>
              <w:rPr>
                <w:rFonts w:ascii="Arial" w:cs="Arial" w:eastAsia="Arial" w:hAnsi="Arial"/>
                <w:sz w:val="20"/>
                <w:szCs w:val="20"/>
                <w:color w:val="0000EE"/>
                <w:w w:val="98"/>
              </w:rPr>
            </w:pPr>
            <w:hyperlink w:anchor="page56">
              <w:r>
                <w:rPr>
                  <w:rFonts w:ascii="Arial" w:cs="Arial" w:eastAsia="Arial" w:hAnsi="Arial"/>
                  <w:sz w:val="20"/>
                  <w:szCs w:val="20"/>
                  <w:color w:val="0000EE"/>
                  <w:w w:val="98"/>
                </w:rPr>
                <w:t>Executive Compensation</w:t>
              </w:r>
            </w:hyperlink>
          </w:p>
        </w:tc>
        <w:tc>
          <w:tcPr>
            <w:tcW w:w="2400" w:type="dxa"/>
            <w:vAlign w:val="bottom"/>
            <w:gridSpan w:val="7"/>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007CBA"/>
              </w:rPr>
              <w:t>51</w:t>
            </w:r>
          </w:p>
        </w:tc>
      </w:tr>
      <w:tr>
        <w:trPr>
          <w:trHeight w:val="237"/>
        </w:trPr>
        <w:tc>
          <w:tcPr>
            <w:tcW w:w="340" w:type="dxa"/>
            <w:vAlign w:val="bottom"/>
          </w:tcPr>
          <w:p>
            <w:pPr>
              <w:spacing w:after="0"/>
              <w:rPr>
                <w:sz w:val="20"/>
                <w:szCs w:val="20"/>
                <w:color w:val="auto"/>
              </w:rPr>
            </w:pPr>
          </w:p>
        </w:tc>
        <w:tc>
          <w:tcPr>
            <w:tcW w:w="4260" w:type="dxa"/>
            <w:vAlign w:val="bottom"/>
            <w:gridSpan w:val="9"/>
          </w:tcPr>
          <w:p>
            <w:pPr>
              <w:spacing w:after="0"/>
              <w:rPr>
                <w:rFonts w:ascii="Arial" w:cs="Arial" w:eastAsia="Arial" w:hAnsi="Arial"/>
                <w:sz w:val="16"/>
                <w:szCs w:val="16"/>
                <w:color w:val="0000EE"/>
              </w:rPr>
            </w:pPr>
            <w:hyperlink w:anchor="page56">
              <w:r>
                <w:rPr>
                  <w:rFonts w:ascii="Arial" w:cs="Arial" w:eastAsia="Arial" w:hAnsi="Arial"/>
                  <w:sz w:val="16"/>
                  <w:szCs w:val="16"/>
                  <w:color w:val="0000EE"/>
                </w:rPr>
                <w:t>Executive Officer Compensation</w:t>
              </w:r>
            </w:hyperlink>
          </w:p>
        </w:tc>
        <w:tc>
          <w:tcPr>
            <w:tcW w:w="70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37"/>
        </w:trPr>
        <w:tc>
          <w:tcPr>
            <w:tcW w:w="340" w:type="dxa"/>
            <w:vAlign w:val="bottom"/>
          </w:tcPr>
          <w:p>
            <w:pPr>
              <w:spacing w:after="0"/>
              <w:rPr>
                <w:sz w:val="20"/>
                <w:szCs w:val="20"/>
                <w:color w:val="auto"/>
              </w:rPr>
            </w:pPr>
          </w:p>
        </w:tc>
        <w:tc>
          <w:tcPr>
            <w:tcW w:w="2300" w:type="dxa"/>
            <w:vAlign w:val="bottom"/>
            <w:tcBorders>
              <w:top w:val="single" w:sz="8" w:color="0000EE"/>
            </w:tcBorders>
            <w:gridSpan w:val="6"/>
          </w:tcPr>
          <w:p>
            <w:pPr>
              <w:spacing w:after="0"/>
              <w:rPr>
                <w:rFonts w:ascii="Arial" w:cs="Arial" w:eastAsia="Arial" w:hAnsi="Arial"/>
                <w:sz w:val="16"/>
                <w:szCs w:val="16"/>
                <w:color w:val="0000EE"/>
              </w:rPr>
            </w:pPr>
            <w:hyperlink w:anchor="page56">
              <w:r>
                <w:rPr>
                  <w:rFonts w:ascii="Arial" w:cs="Arial" w:eastAsia="Arial" w:hAnsi="Arial"/>
                  <w:sz w:val="16"/>
                  <w:szCs w:val="16"/>
                  <w:color w:val="0000EE"/>
                </w:rPr>
                <w:t>Summary Compensation Table</w:t>
              </w:r>
            </w:hyperlink>
          </w:p>
        </w:tc>
        <w:tc>
          <w:tcPr>
            <w:tcW w:w="1960" w:type="dxa"/>
            <w:vAlign w:val="bottom"/>
            <w:gridSpan w:val="3"/>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37"/>
        </w:trPr>
        <w:tc>
          <w:tcPr>
            <w:tcW w:w="340" w:type="dxa"/>
            <w:vAlign w:val="bottom"/>
          </w:tcPr>
          <w:p>
            <w:pPr>
              <w:spacing w:after="0"/>
              <w:rPr>
                <w:sz w:val="20"/>
                <w:szCs w:val="20"/>
                <w:color w:val="auto"/>
              </w:rPr>
            </w:pPr>
          </w:p>
        </w:tc>
        <w:tc>
          <w:tcPr>
            <w:tcW w:w="2200" w:type="dxa"/>
            <w:vAlign w:val="bottom"/>
            <w:tcBorders>
              <w:top w:val="single" w:sz="8" w:color="0000EE"/>
            </w:tcBorders>
            <w:gridSpan w:val="5"/>
          </w:tcPr>
          <w:p>
            <w:pPr>
              <w:spacing w:after="0"/>
              <w:rPr>
                <w:rFonts w:ascii="Arial" w:cs="Arial" w:eastAsia="Arial" w:hAnsi="Arial"/>
                <w:sz w:val="16"/>
                <w:szCs w:val="16"/>
                <w:color w:val="0000EE"/>
              </w:rPr>
            </w:pPr>
            <w:hyperlink w:anchor="page58">
              <w:r>
                <w:rPr>
                  <w:rFonts w:ascii="Arial" w:cs="Arial" w:eastAsia="Arial" w:hAnsi="Arial"/>
                  <w:sz w:val="16"/>
                  <w:szCs w:val="16"/>
                  <w:color w:val="0000EE"/>
                </w:rPr>
                <w:t>Grants of Plan-Based Awards</w:t>
              </w:r>
            </w:hyperlink>
          </w:p>
        </w:tc>
        <w:tc>
          <w:tcPr>
            <w:tcW w:w="2060" w:type="dxa"/>
            <w:vAlign w:val="bottom"/>
            <w:gridSpan w:val="4"/>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0"/>
        </w:trPr>
        <w:tc>
          <w:tcPr>
            <w:tcW w:w="34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37"/>
        </w:trPr>
        <w:tc>
          <w:tcPr>
            <w:tcW w:w="340" w:type="dxa"/>
            <w:vAlign w:val="bottom"/>
          </w:tcPr>
          <w:p>
            <w:pPr>
              <w:spacing w:after="0"/>
              <w:rPr>
                <w:sz w:val="20"/>
                <w:szCs w:val="20"/>
                <w:color w:val="auto"/>
              </w:rPr>
            </w:pPr>
          </w:p>
        </w:tc>
        <w:tc>
          <w:tcPr>
            <w:tcW w:w="4260" w:type="dxa"/>
            <w:vAlign w:val="bottom"/>
            <w:gridSpan w:val="9"/>
          </w:tcPr>
          <w:p>
            <w:pPr>
              <w:spacing w:after="0"/>
              <w:rPr>
                <w:rFonts w:ascii="Arial" w:cs="Arial" w:eastAsia="Arial" w:hAnsi="Arial"/>
                <w:sz w:val="16"/>
                <w:szCs w:val="16"/>
                <w:color w:val="0000EE"/>
              </w:rPr>
            </w:pPr>
            <w:hyperlink w:anchor="page60">
              <w:r>
                <w:rPr>
                  <w:rFonts w:ascii="Arial" w:cs="Arial" w:eastAsia="Arial" w:hAnsi="Arial"/>
                  <w:sz w:val="16"/>
                  <w:szCs w:val="16"/>
                  <w:color w:val="0000EE"/>
                </w:rPr>
                <w:t>Outstanding Equity Awards at Fiscal Year-End</w:t>
              </w:r>
            </w:hyperlink>
          </w:p>
        </w:tc>
        <w:tc>
          <w:tcPr>
            <w:tcW w:w="70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37"/>
        </w:trPr>
        <w:tc>
          <w:tcPr>
            <w:tcW w:w="340" w:type="dxa"/>
            <w:vAlign w:val="bottom"/>
          </w:tcPr>
          <w:p>
            <w:pPr>
              <w:spacing w:after="0"/>
              <w:rPr>
                <w:sz w:val="20"/>
                <w:szCs w:val="20"/>
                <w:color w:val="auto"/>
              </w:rPr>
            </w:pPr>
          </w:p>
        </w:tc>
        <w:tc>
          <w:tcPr>
            <w:tcW w:w="3300" w:type="dxa"/>
            <w:vAlign w:val="bottom"/>
            <w:tcBorders>
              <w:top w:val="single" w:sz="8" w:color="0000EE"/>
            </w:tcBorders>
            <w:gridSpan w:val="8"/>
          </w:tcPr>
          <w:p>
            <w:pPr>
              <w:spacing w:after="0"/>
              <w:rPr>
                <w:rFonts w:ascii="Arial" w:cs="Arial" w:eastAsia="Arial" w:hAnsi="Arial"/>
                <w:sz w:val="16"/>
                <w:szCs w:val="16"/>
                <w:color w:val="0000EE"/>
              </w:rPr>
            </w:pPr>
            <w:hyperlink w:anchor="page61">
              <w:r>
                <w:rPr>
                  <w:rFonts w:ascii="Arial" w:cs="Arial" w:eastAsia="Arial" w:hAnsi="Arial"/>
                  <w:sz w:val="16"/>
                  <w:szCs w:val="16"/>
                  <w:color w:val="0000EE"/>
                </w:rPr>
                <w:t>Option Exercises and Stock Vested</w:t>
              </w:r>
            </w:hyperlink>
          </w:p>
        </w:tc>
        <w:tc>
          <w:tcPr>
            <w:tcW w:w="9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37"/>
        </w:trPr>
        <w:tc>
          <w:tcPr>
            <w:tcW w:w="340" w:type="dxa"/>
            <w:vAlign w:val="bottom"/>
          </w:tcPr>
          <w:p>
            <w:pPr>
              <w:spacing w:after="0"/>
              <w:rPr>
                <w:sz w:val="20"/>
                <w:szCs w:val="20"/>
                <w:color w:val="auto"/>
              </w:rPr>
            </w:pPr>
          </w:p>
        </w:tc>
        <w:tc>
          <w:tcPr>
            <w:tcW w:w="2520" w:type="dxa"/>
            <w:vAlign w:val="bottom"/>
            <w:tcBorders>
              <w:top w:val="single" w:sz="8" w:color="0000EE"/>
            </w:tcBorders>
            <w:gridSpan w:val="7"/>
          </w:tcPr>
          <w:p>
            <w:pPr>
              <w:spacing w:after="0"/>
              <w:rPr>
                <w:rFonts w:ascii="Arial" w:cs="Arial" w:eastAsia="Arial" w:hAnsi="Arial"/>
                <w:sz w:val="16"/>
                <w:szCs w:val="16"/>
                <w:color w:val="0000EE"/>
              </w:rPr>
            </w:pPr>
            <w:hyperlink w:anchor="page63">
              <w:r>
                <w:rPr>
                  <w:rFonts w:ascii="Arial" w:cs="Arial" w:eastAsia="Arial" w:hAnsi="Arial"/>
                  <w:sz w:val="16"/>
                  <w:szCs w:val="16"/>
                  <w:color w:val="0000EE"/>
                </w:rPr>
                <w:t>Pension Benefits</w:t>
              </w:r>
            </w:hyperlink>
          </w:p>
        </w:tc>
        <w:tc>
          <w:tcPr>
            <w:tcW w:w="1740" w:type="dxa"/>
            <w:vAlign w:val="bottom"/>
            <w:gridSpan w:val="2"/>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0"/>
        </w:trPr>
        <w:tc>
          <w:tcPr>
            <w:tcW w:w="34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36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37"/>
        </w:trPr>
        <w:tc>
          <w:tcPr>
            <w:tcW w:w="340" w:type="dxa"/>
            <w:vAlign w:val="bottom"/>
          </w:tcPr>
          <w:p>
            <w:pPr>
              <w:spacing w:after="0"/>
              <w:rPr>
                <w:sz w:val="20"/>
                <w:szCs w:val="20"/>
                <w:color w:val="auto"/>
              </w:rPr>
            </w:pPr>
          </w:p>
        </w:tc>
        <w:tc>
          <w:tcPr>
            <w:tcW w:w="4260" w:type="dxa"/>
            <w:vAlign w:val="bottom"/>
            <w:tcBorders>
              <w:bottom w:val="single" w:sz="8" w:color="0000EE"/>
            </w:tcBorders>
            <w:gridSpan w:val="9"/>
          </w:tcPr>
          <w:p>
            <w:pPr>
              <w:spacing w:after="0"/>
              <w:rPr>
                <w:rFonts w:ascii="Arial" w:cs="Arial" w:eastAsia="Arial" w:hAnsi="Arial"/>
                <w:sz w:val="16"/>
                <w:szCs w:val="16"/>
                <w:color w:val="0000EE"/>
              </w:rPr>
            </w:pPr>
            <w:hyperlink w:anchor="page64">
              <w:r>
                <w:rPr>
                  <w:rFonts w:ascii="Arial" w:cs="Arial" w:eastAsia="Arial" w:hAnsi="Arial"/>
                  <w:sz w:val="16"/>
                  <w:szCs w:val="16"/>
                  <w:color w:val="0000EE"/>
                </w:rPr>
                <w:t>Potential Payments Upon Termination or Change of Control</w:t>
              </w:r>
            </w:hyperlink>
          </w:p>
        </w:tc>
        <w:tc>
          <w:tcPr>
            <w:tcW w:w="70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37"/>
        </w:trPr>
        <w:tc>
          <w:tcPr>
            <w:tcW w:w="340" w:type="dxa"/>
            <w:vAlign w:val="bottom"/>
          </w:tcPr>
          <w:p>
            <w:pPr>
              <w:spacing w:after="0"/>
              <w:rPr>
                <w:sz w:val="20"/>
                <w:szCs w:val="20"/>
                <w:color w:val="auto"/>
              </w:rPr>
            </w:pPr>
          </w:p>
        </w:tc>
        <w:tc>
          <w:tcPr>
            <w:tcW w:w="1900" w:type="dxa"/>
            <w:vAlign w:val="bottom"/>
            <w:tcBorders>
              <w:bottom w:val="single" w:sz="8" w:color="0000EE"/>
            </w:tcBorders>
            <w:gridSpan w:val="3"/>
          </w:tcPr>
          <w:p>
            <w:pPr>
              <w:spacing w:after="0"/>
              <w:rPr>
                <w:rFonts w:ascii="Arial" w:cs="Arial" w:eastAsia="Arial" w:hAnsi="Arial"/>
                <w:sz w:val="16"/>
                <w:szCs w:val="16"/>
                <w:color w:val="0000EE"/>
              </w:rPr>
            </w:pPr>
            <w:hyperlink w:anchor="page67">
              <w:r>
                <w:rPr>
                  <w:rFonts w:ascii="Arial" w:cs="Arial" w:eastAsia="Arial" w:hAnsi="Arial"/>
                  <w:sz w:val="16"/>
                  <w:szCs w:val="16"/>
                  <w:color w:val="0000EE"/>
                </w:rPr>
                <w:t>CEO Pay Ratio Disclosure</w:t>
              </w:r>
            </w:hyperlink>
          </w:p>
        </w:tc>
        <w:tc>
          <w:tcPr>
            <w:tcW w:w="2360" w:type="dxa"/>
            <w:vAlign w:val="bottom"/>
            <w:gridSpan w:val="6"/>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62</w:t>
            </w:r>
          </w:p>
        </w:tc>
      </w:tr>
    </w:tbl>
    <w:p>
      <w:pPr>
        <w:spacing w:after="0" w:line="298" w:lineRule="exact"/>
        <w:rPr>
          <w:sz w:val="20"/>
          <w:szCs w:val="20"/>
          <w:color w:val="auto"/>
        </w:rPr>
      </w:pPr>
    </w:p>
    <w:p>
      <w:pPr>
        <w:sectPr>
          <w:pgSz w:w="11900" w:h="16838" w:orient="portrait"/>
          <w:cols w:equalWidth="0" w:num="2">
            <w:col w:w="5420" w:space="400"/>
            <w:col w:w="5300"/>
          </w:cols>
          <w:pgMar w:left="240" w:top="455" w:right="539" w:bottom="1143" w:gutter="0" w:footer="0" w:header="0"/>
          <w:type w:val="continuous"/>
        </w:sectPr>
      </w:pPr>
    </w:p>
    <w:tbl>
      <w:tblPr>
        <w:tblLayout w:type="fixed"/>
        <w:tblInd w:w="220" w:type="dxa"/>
        <w:tblCellMar>
          <w:top w:w="0" w:type="dxa"/>
          <w:left w:w="0" w:type="dxa"/>
          <w:bottom w:w="0" w:type="dxa"/>
          <w:right w:w="0" w:type="dxa"/>
        </w:tblCellMar>
      </w:tblPr>
      <w:tr>
        <w:trPr>
          <w:trHeight w:val="230"/>
        </w:trPr>
        <w:tc>
          <w:tcPr>
            <w:tcW w:w="27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4820" w:type="dxa"/>
            <w:vAlign w:val="bottom"/>
            <w:gridSpan w:val="3"/>
          </w:tcPr>
          <w:p>
            <w:pPr>
              <w:spacing w:after="0"/>
              <w:rPr>
                <w:rFonts w:ascii="Arial" w:cs="Arial" w:eastAsia="Arial" w:hAnsi="Arial"/>
                <w:sz w:val="20"/>
                <w:szCs w:val="20"/>
                <w:color w:val="0000EE"/>
              </w:rPr>
            </w:pPr>
            <w:hyperlink w:anchor="page68">
              <w:r>
                <w:rPr>
                  <w:rFonts w:ascii="Arial" w:cs="Arial" w:eastAsia="Arial" w:hAnsi="Arial"/>
                  <w:sz w:val="20"/>
                  <w:szCs w:val="20"/>
                  <w:color w:val="0000EE"/>
                </w:rPr>
                <w:t>Proposal 3 – Advisory Vote on the Compensation of</w:t>
              </w:r>
            </w:hyperlink>
          </w:p>
        </w:tc>
        <w:tc>
          <w:tcPr>
            <w:tcW w:w="480" w:type="dxa"/>
            <w:vAlign w:val="bottom"/>
            <w:vMerge w:val="restart"/>
          </w:tcPr>
          <w:p>
            <w:pPr>
              <w:jc w:val="right"/>
              <w:spacing w:after="0"/>
              <w:rPr>
                <w:sz w:val="20"/>
                <w:szCs w:val="20"/>
                <w:color w:val="auto"/>
              </w:rPr>
            </w:pPr>
            <w:r>
              <w:rPr>
                <w:rFonts w:ascii="Arial" w:cs="Arial" w:eastAsia="Arial" w:hAnsi="Arial"/>
                <w:sz w:val="20"/>
                <w:szCs w:val="20"/>
                <w:color w:val="007CBA"/>
              </w:rPr>
              <w:t>63</w:t>
            </w:r>
          </w:p>
        </w:tc>
        <w:tc>
          <w:tcPr>
            <w:tcW w:w="0" w:type="dxa"/>
            <w:vAlign w:val="bottom"/>
          </w:tcPr>
          <w:p>
            <w:pPr>
              <w:spacing w:after="0"/>
              <w:rPr>
                <w:sz w:val="1"/>
                <w:szCs w:val="1"/>
                <w:color w:val="auto"/>
              </w:rPr>
            </w:pPr>
          </w:p>
        </w:tc>
      </w:tr>
      <w:tr>
        <w:trPr>
          <w:trHeight w:val="196"/>
        </w:trPr>
        <w:tc>
          <w:tcPr>
            <w:tcW w:w="2720" w:type="dxa"/>
            <w:vAlign w:val="bottom"/>
            <w:vMerge w:val="restart"/>
          </w:tcPr>
          <w:p>
            <w:pPr>
              <w:spacing w:after="0"/>
              <w:rPr>
                <w:rFonts w:ascii="Arial" w:cs="Arial" w:eastAsia="Arial" w:hAnsi="Arial"/>
                <w:sz w:val="20"/>
                <w:szCs w:val="20"/>
                <w:color w:val="0000EE"/>
                <w:w w:val="97"/>
              </w:rPr>
            </w:pPr>
            <w:hyperlink w:anchor="page22">
              <w:r>
                <w:rPr>
                  <w:rFonts w:ascii="Arial" w:cs="Arial" w:eastAsia="Arial" w:hAnsi="Arial"/>
                  <w:sz w:val="20"/>
                  <w:szCs w:val="20"/>
                  <w:color w:val="0000EE"/>
                  <w:w w:val="97"/>
                </w:rPr>
                <w:t>Corporate Governance Matters</w:t>
              </w:r>
            </w:hyperlink>
          </w:p>
        </w:tc>
        <w:tc>
          <w:tcPr>
            <w:tcW w:w="2880" w:type="dxa"/>
            <w:vAlign w:val="bottom"/>
            <w:vMerge w:val="restart"/>
          </w:tcPr>
          <w:p>
            <w:pPr>
              <w:jc w:val="right"/>
              <w:ind w:right="301"/>
              <w:spacing w:after="0"/>
              <w:rPr>
                <w:sz w:val="20"/>
                <w:szCs w:val="20"/>
                <w:color w:val="auto"/>
              </w:rPr>
            </w:pPr>
            <w:r>
              <w:rPr>
                <w:rFonts w:ascii="Arial" w:cs="Arial" w:eastAsia="Arial" w:hAnsi="Arial"/>
                <w:sz w:val="20"/>
                <w:szCs w:val="20"/>
                <w:color w:val="007CBA"/>
              </w:rPr>
              <w:t>17</w:t>
            </w:r>
          </w:p>
        </w:tc>
        <w:tc>
          <w:tcPr>
            <w:tcW w:w="4540" w:type="dxa"/>
            <w:vAlign w:val="bottom"/>
            <w:tcBorders>
              <w:top w:val="single" w:sz="8" w:color="0000EE"/>
            </w:tcBorders>
            <w:gridSpan w:val="2"/>
          </w:tcPr>
          <w:p>
            <w:pPr>
              <w:spacing w:after="0" w:line="196" w:lineRule="exact"/>
              <w:rPr>
                <w:rFonts w:ascii="Arial" w:cs="Arial" w:eastAsia="Arial" w:hAnsi="Arial"/>
                <w:sz w:val="20"/>
                <w:szCs w:val="20"/>
                <w:color w:val="0000EE"/>
              </w:rPr>
            </w:pPr>
            <w:hyperlink w:anchor="page68">
              <w:r>
                <w:rPr>
                  <w:rFonts w:ascii="Arial" w:cs="Arial" w:eastAsia="Arial" w:hAnsi="Arial"/>
                  <w:sz w:val="20"/>
                  <w:szCs w:val="20"/>
                  <w:color w:val="0000EE"/>
                </w:rPr>
                <w:t>Our Named Executive Officers</w:t>
              </w:r>
            </w:hyperlink>
          </w:p>
        </w:tc>
        <w:tc>
          <w:tcPr>
            <w:tcW w:w="28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2720" w:type="dxa"/>
            <w:vAlign w:val="bottom"/>
            <w:tcBorders>
              <w:bottom w:val="single" w:sz="8" w:color="0000EE"/>
            </w:tcBorders>
            <w:vMerge w:val="continue"/>
          </w:tcPr>
          <w:p>
            <w:pPr>
              <w:spacing w:after="0"/>
              <w:rPr>
                <w:sz w:val="5"/>
                <w:szCs w:val="5"/>
                <w:color w:val="auto"/>
              </w:rPr>
            </w:pPr>
          </w:p>
        </w:tc>
        <w:tc>
          <w:tcPr>
            <w:tcW w:w="2880" w:type="dxa"/>
            <w:vAlign w:val="bottom"/>
            <w:vMerge w:val="continue"/>
          </w:tcPr>
          <w:p>
            <w:pPr>
              <w:spacing w:after="0"/>
              <w:rPr>
                <w:sz w:val="5"/>
                <w:szCs w:val="5"/>
                <w:color w:val="auto"/>
              </w:rPr>
            </w:pPr>
          </w:p>
        </w:tc>
        <w:tc>
          <w:tcPr>
            <w:tcW w:w="2680" w:type="dxa"/>
            <w:vAlign w:val="bottom"/>
            <w:tcBorders>
              <w:top w:val="single" w:sz="8" w:color="0000EE"/>
            </w:tcBorders>
          </w:tcPr>
          <w:p>
            <w:pPr>
              <w:spacing w:after="0"/>
              <w:rPr>
                <w:sz w:val="5"/>
                <w:szCs w:val="5"/>
                <w:color w:val="auto"/>
              </w:rPr>
            </w:pPr>
          </w:p>
        </w:tc>
        <w:tc>
          <w:tcPr>
            <w:tcW w:w="18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ectPr>
          <w:pgSz w:w="11900" w:h="16838" w:orient="portrait"/>
          <w:cols w:equalWidth="0" w:num="1">
            <w:col w:w="11120"/>
          </w:cols>
          <w:pgMar w:left="240" w:top="455" w:right="539" w:bottom="1143" w:gutter="0" w:footer="0" w:header="0"/>
          <w:type w:val="continuous"/>
        </w:sectPr>
      </w:pPr>
    </w:p>
    <w:p>
      <w:pPr>
        <w:ind w:left="540"/>
        <w:spacing w:after="0"/>
        <w:rPr>
          <w:rFonts w:ascii="Arial" w:cs="Arial" w:eastAsia="Arial" w:hAnsi="Arial"/>
          <w:sz w:val="16"/>
          <w:szCs w:val="16"/>
          <w:u w:val="single" w:color="auto"/>
          <w:color w:val="0000EE"/>
        </w:rPr>
      </w:pPr>
      <w:hyperlink w:anchor="page22">
        <w:r>
          <w:rPr>
            <w:rFonts w:ascii="Arial" w:cs="Arial" w:eastAsia="Arial" w:hAnsi="Arial"/>
            <w:sz w:val="16"/>
            <w:szCs w:val="16"/>
            <w:u w:val="single" w:color="auto"/>
            <w:color w:val="0000EE"/>
          </w:rPr>
          <w:t>Corporate Governance Philosophy</w:t>
        </w:r>
      </w:hyperlink>
    </w:p>
    <w:p>
      <w:pPr>
        <w:spacing w:after="0" w:line="73" w:lineRule="exact"/>
        <w:rPr>
          <w:sz w:val="20"/>
          <w:szCs w:val="20"/>
          <w:color w:val="auto"/>
        </w:rPr>
      </w:pPr>
    </w:p>
    <w:p>
      <w:pPr>
        <w:ind w:left="540"/>
        <w:spacing w:after="0"/>
        <w:rPr>
          <w:rFonts w:ascii="Arial" w:cs="Arial" w:eastAsia="Arial" w:hAnsi="Arial"/>
          <w:sz w:val="16"/>
          <w:szCs w:val="16"/>
          <w:u w:val="single" w:color="auto"/>
          <w:color w:val="0000EE"/>
        </w:rPr>
      </w:pPr>
      <w:hyperlink w:anchor="page26">
        <w:r>
          <w:rPr>
            <w:rFonts w:ascii="Arial" w:cs="Arial" w:eastAsia="Arial" w:hAnsi="Arial"/>
            <w:sz w:val="16"/>
            <w:szCs w:val="16"/>
            <w:u w:val="single" w:color="auto"/>
            <w:color w:val="0000EE"/>
          </w:rPr>
          <w:t>Board Committees</w:t>
        </w:r>
      </w:hyperlink>
    </w:p>
    <w:p>
      <w:pPr>
        <w:spacing w:after="0" w:line="318" w:lineRule="exact"/>
        <w:rPr>
          <w:sz w:val="20"/>
          <w:szCs w:val="20"/>
          <w:color w:val="auto"/>
        </w:rPr>
      </w:pPr>
    </w:p>
    <w:p>
      <w:pPr>
        <w:ind w:left="220"/>
        <w:spacing w:after="0"/>
        <w:rPr>
          <w:rFonts w:ascii="Arial" w:cs="Arial" w:eastAsia="Arial" w:hAnsi="Arial"/>
          <w:sz w:val="20"/>
          <w:szCs w:val="20"/>
          <w:u w:val="single" w:color="auto"/>
          <w:color w:val="0000EE"/>
        </w:rPr>
      </w:pPr>
      <w:hyperlink w:anchor="page32">
        <w:r>
          <w:rPr>
            <w:rFonts w:ascii="Arial" w:cs="Arial" w:eastAsia="Arial" w:hAnsi="Arial"/>
            <w:sz w:val="20"/>
            <w:szCs w:val="20"/>
            <w:u w:val="single" w:color="auto"/>
            <w:color w:val="0000EE"/>
          </w:rPr>
          <w:t>Proposal 2 – Independent Auditors</w:t>
        </w:r>
      </w:hyperlink>
    </w:p>
    <w:p>
      <w:pPr>
        <w:spacing w:after="0" w:line="65" w:lineRule="exact"/>
        <w:rPr>
          <w:sz w:val="20"/>
          <w:szCs w:val="20"/>
          <w:color w:val="auto"/>
        </w:rPr>
      </w:pPr>
    </w:p>
    <w:p>
      <w:pPr>
        <w:ind w:left="540"/>
        <w:spacing w:after="0"/>
        <w:rPr>
          <w:rFonts w:ascii="Arial" w:cs="Arial" w:eastAsia="Arial" w:hAnsi="Arial"/>
          <w:sz w:val="16"/>
          <w:szCs w:val="16"/>
          <w:u w:val="single" w:color="auto"/>
          <w:color w:val="0000EE"/>
        </w:rPr>
      </w:pPr>
      <w:hyperlink w:anchor="page33">
        <w:r>
          <w:rPr>
            <w:rFonts w:ascii="Arial" w:cs="Arial" w:eastAsia="Arial" w:hAnsi="Arial"/>
            <w:sz w:val="16"/>
            <w:szCs w:val="16"/>
            <w:u w:val="single" w:color="auto"/>
            <w:color w:val="0000EE"/>
          </w:rPr>
          <w:t>Summary of Fees</w:t>
        </w:r>
      </w:hyperlink>
    </w:p>
    <w:p>
      <w:pPr>
        <w:spacing w:after="0" w:line="73" w:lineRule="exact"/>
        <w:rPr>
          <w:sz w:val="20"/>
          <w:szCs w:val="20"/>
          <w:color w:val="auto"/>
        </w:rPr>
      </w:pPr>
    </w:p>
    <w:p>
      <w:pPr>
        <w:ind w:left="540"/>
        <w:spacing w:after="0"/>
        <w:rPr>
          <w:rFonts w:ascii="Arial" w:cs="Arial" w:eastAsia="Arial" w:hAnsi="Arial"/>
          <w:sz w:val="16"/>
          <w:szCs w:val="16"/>
          <w:u w:val="single" w:color="auto"/>
          <w:color w:val="0000EE"/>
        </w:rPr>
      </w:pPr>
      <w:hyperlink w:anchor="page33">
        <w:r>
          <w:rPr>
            <w:rFonts w:ascii="Arial" w:cs="Arial" w:eastAsia="Arial" w:hAnsi="Arial"/>
            <w:sz w:val="16"/>
            <w:szCs w:val="16"/>
            <w:u w:val="single" w:color="auto"/>
            <w:color w:val="0000EE"/>
          </w:rPr>
          <w:t>Audit Fees</w:t>
        </w:r>
      </w:hyperlink>
    </w:p>
    <w:p>
      <w:pPr>
        <w:spacing w:after="0" w:line="73" w:lineRule="exact"/>
        <w:rPr>
          <w:sz w:val="20"/>
          <w:szCs w:val="20"/>
          <w:color w:val="auto"/>
        </w:rPr>
      </w:pPr>
    </w:p>
    <w:p>
      <w:pPr>
        <w:ind w:left="540"/>
        <w:spacing w:after="0"/>
        <w:rPr>
          <w:rFonts w:ascii="Arial" w:cs="Arial" w:eastAsia="Arial" w:hAnsi="Arial"/>
          <w:sz w:val="16"/>
          <w:szCs w:val="16"/>
          <w:u w:val="single" w:color="auto"/>
          <w:color w:val="0000EE"/>
        </w:rPr>
      </w:pPr>
      <w:hyperlink w:anchor="page33">
        <w:r>
          <w:rPr>
            <w:rFonts w:ascii="Arial" w:cs="Arial" w:eastAsia="Arial" w:hAnsi="Arial"/>
            <w:sz w:val="16"/>
            <w:szCs w:val="16"/>
            <w:u w:val="single" w:color="auto"/>
            <w:color w:val="0000EE"/>
          </w:rPr>
          <w:t>Audit-Related Fees</w:t>
        </w:r>
      </w:hyperlink>
    </w:p>
    <w:p>
      <w:pPr>
        <w:spacing w:after="0" w:line="73" w:lineRule="exact"/>
        <w:rPr>
          <w:sz w:val="20"/>
          <w:szCs w:val="20"/>
          <w:color w:val="auto"/>
        </w:rPr>
      </w:pPr>
    </w:p>
    <w:p>
      <w:pPr>
        <w:ind w:left="540"/>
        <w:spacing w:after="0"/>
        <w:rPr>
          <w:rFonts w:ascii="Arial" w:cs="Arial" w:eastAsia="Arial" w:hAnsi="Arial"/>
          <w:sz w:val="16"/>
          <w:szCs w:val="16"/>
          <w:u w:val="single" w:color="auto"/>
          <w:color w:val="0000EE"/>
        </w:rPr>
      </w:pPr>
      <w:hyperlink w:anchor="page33">
        <w:r>
          <w:rPr>
            <w:rFonts w:ascii="Arial" w:cs="Arial" w:eastAsia="Arial" w:hAnsi="Arial"/>
            <w:sz w:val="16"/>
            <w:szCs w:val="16"/>
            <w:u w:val="single" w:color="auto"/>
            <w:color w:val="0000EE"/>
          </w:rPr>
          <w:t>Tax Fees</w:t>
        </w:r>
      </w:hyperlink>
    </w:p>
    <w:p>
      <w:pPr>
        <w:spacing w:after="0" w:line="73" w:lineRule="exact"/>
        <w:rPr>
          <w:sz w:val="20"/>
          <w:szCs w:val="20"/>
          <w:color w:val="auto"/>
        </w:rPr>
      </w:pPr>
    </w:p>
    <w:p>
      <w:pPr>
        <w:ind w:left="540"/>
        <w:spacing w:after="0"/>
        <w:rPr>
          <w:rFonts w:ascii="Arial" w:cs="Arial" w:eastAsia="Arial" w:hAnsi="Arial"/>
          <w:sz w:val="16"/>
          <w:szCs w:val="16"/>
          <w:u w:val="single" w:color="auto"/>
          <w:color w:val="0000EE"/>
        </w:rPr>
      </w:pPr>
      <w:hyperlink w:anchor="page33">
        <w:r>
          <w:rPr>
            <w:rFonts w:ascii="Arial" w:cs="Arial" w:eastAsia="Arial" w:hAnsi="Arial"/>
            <w:sz w:val="16"/>
            <w:szCs w:val="16"/>
            <w:u w:val="single" w:color="auto"/>
            <w:color w:val="0000EE"/>
          </w:rPr>
          <w:t>All Other Fees</w:t>
        </w:r>
      </w:hyperlink>
    </w:p>
    <w:p>
      <w:pPr>
        <w:spacing w:after="0" w:line="73" w:lineRule="exact"/>
        <w:rPr>
          <w:sz w:val="20"/>
          <w:szCs w:val="20"/>
          <w:color w:val="auto"/>
        </w:rPr>
      </w:pPr>
    </w:p>
    <w:p>
      <w:pPr>
        <w:ind w:left="540"/>
        <w:spacing w:after="0"/>
        <w:rPr>
          <w:rFonts w:ascii="Arial" w:cs="Arial" w:eastAsia="Arial" w:hAnsi="Arial"/>
          <w:sz w:val="16"/>
          <w:szCs w:val="16"/>
          <w:u w:val="single" w:color="auto"/>
          <w:color w:val="0000EE"/>
        </w:rPr>
      </w:pPr>
      <w:hyperlink w:anchor="page33">
        <w:r>
          <w:rPr>
            <w:rFonts w:ascii="Arial" w:cs="Arial" w:eastAsia="Arial" w:hAnsi="Arial"/>
            <w:sz w:val="16"/>
            <w:szCs w:val="16"/>
            <w:u w:val="single" w:color="auto"/>
            <w:color w:val="0000EE"/>
          </w:rPr>
          <w:t>Pre-Approval Policies and Procedures</w:t>
        </w:r>
      </w:hyperlink>
    </w:p>
    <w:p>
      <w:pPr>
        <w:spacing w:after="0" w:line="73" w:lineRule="exact"/>
        <w:rPr>
          <w:sz w:val="20"/>
          <w:szCs w:val="20"/>
          <w:color w:val="auto"/>
        </w:rPr>
      </w:pPr>
    </w:p>
    <w:p>
      <w:pPr>
        <w:ind w:left="540"/>
        <w:spacing w:after="0"/>
        <w:rPr>
          <w:rFonts w:ascii="Arial" w:cs="Arial" w:eastAsia="Arial" w:hAnsi="Arial"/>
          <w:sz w:val="16"/>
          <w:szCs w:val="16"/>
          <w:u w:val="single" w:color="auto"/>
          <w:color w:val="0000EE"/>
        </w:rPr>
      </w:pPr>
      <w:hyperlink w:anchor="page33">
        <w:r>
          <w:rPr>
            <w:rFonts w:ascii="Arial" w:cs="Arial" w:eastAsia="Arial" w:hAnsi="Arial"/>
            <w:sz w:val="16"/>
            <w:szCs w:val="16"/>
            <w:u w:val="single" w:color="auto"/>
            <w:color w:val="0000EE"/>
          </w:rPr>
          <w:t>Audit Committee Review</w:t>
        </w:r>
      </w:hyperlink>
    </w:p>
    <w:p>
      <w:pPr>
        <w:spacing w:after="0" w:line="318" w:lineRule="exact"/>
        <w:rPr>
          <w:sz w:val="20"/>
          <w:szCs w:val="20"/>
          <w:color w:val="auto"/>
        </w:rPr>
      </w:pPr>
    </w:p>
    <w:p>
      <w:pPr>
        <w:ind w:left="220"/>
        <w:spacing w:after="0"/>
        <w:rPr>
          <w:rFonts w:ascii="Arial" w:cs="Arial" w:eastAsia="Arial" w:hAnsi="Arial"/>
          <w:sz w:val="20"/>
          <w:szCs w:val="20"/>
          <w:u w:val="single" w:color="auto"/>
          <w:color w:val="0000EE"/>
        </w:rPr>
      </w:pPr>
      <w:hyperlink w:anchor="page34">
        <w:r>
          <w:rPr>
            <w:rFonts w:ascii="Arial" w:cs="Arial" w:eastAsia="Arial" w:hAnsi="Arial"/>
            <w:sz w:val="20"/>
            <w:szCs w:val="20"/>
            <w:u w:val="single" w:color="auto"/>
            <w:color w:val="0000EE"/>
          </w:rPr>
          <w:t>Audit Committee Report</w:t>
        </w:r>
      </w:hyperlink>
    </w:p>
    <w:p>
      <w:pPr>
        <w:spacing w:after="0" w:line="310" w:lineRule="exact"/>
        <w:rPr>
          <w:sz w:val="20"/>
          <w:szCs w:val="20"/>
          <w:color w:val="auto"/>
        </w:rPr>
      </w:pPr>
    </w:p>
    <w:p>
      <w:pPr>
        <w:ind w:left="220" w:right="180"/>
        <w:spacing w:after="0" w:line="266" w:lineRule="auto"/>
        <w:rPr>
          <w:rFonts w:ascii="Arial" w:cs="Arial" w:eastAsia="Arial" w:hAnsi="Arial"/>
          <w:sz w:val="20"/>
          <w:szCs w:val="20"/>
          <w:u w:val="single" w:color="auto"/>
          <w:color w:val="0000EE"/>
        </w:rPr>
      </w:pPr>
      <w:hyperlink w:anchor="page35">
        <w:r>
          <w:rPr>
            <w:rFonts w:ascii="Arial" w:cs="Arial" w:eastAsia="Arial" w:hAnsi="Arial"/>
            <w:sz w:val="20"/>
            <w:szCs w:val="20"/>
            <w:u w:val="single" w:color="auto"/>
            <w:color w:val="0000EE"/>
          </w:rPr>
          <w:t>Management Development and Compensation</w:t>
        </w:r>
      </w:hyperlink>
      <w:r>
        <w:rPr>
          <w:rFonts w:ascii="Arial" w:cs="Arial" w:eastAsia="Arial" w:hAnsi="Arial"/>
          <w:sz w:val="20"/>
          <w:szCs w:val="20"/>
          <w:u w:val="single" w:color="auto"/>
          <w:color w:val="0000EE"/>
        </w:rPr>
        <w:t xml:space="preserve"> </w:t>
      </w:r>
      <w:hyperlink w:anchor="page35">
        <w:r>
          <w:rPr>
            <w:rFonts w:ascii="Arial" w:cs="Arial" w:eastAsia="Arial" w:hAnsi="Arial"/>
            <w:sz w:val="20"/>
            <w:szCs w:val="20"/>
            <w:u w:val="single" w:color="auto"/>
            <w:color w:val="0000EE"/>
          </w:rPr>
          <w:t>Committee Report</w:t>
        </w:r>
      </w:hyperlink>
    </w:p>
    <w:p>
      <w:pPr>
        <w:spacing w:after="0" w:line="247" w:lineRule="exact"/>
        <w:rPr>
          <w:sz w:val="20"/>
          <w:szCs w:val="20"/>
          <w:color w:val="auto"/>
        </w:rPr>
      </w:pPr>
    </w:p>
    <w:p>
      <w:pPr>
        <w:ind w:left="220" w:right="40"/>
        <w:spacing w:after="0" w:line="293" w:lineRule="auto"/>
        <w:rPr>
          <w:rFonts w:ascii="Arial" w:cs="Arial" w:eastAsia="Arial" w:hAnsi="Arial"/>
          <w:sz w:val="19"/>
          <w:szCs w:val="19"/>
          <w:u w:val="single" w:color="auto"/>
          <w:color w:val="0000EE"/>
        </w:rPr>
      </w:pPr>
      <w:hyperlink w:anchor="page35">
        <w:r>
          <w:rPr>
            <w:rFonts w:ascii="Arial" w:cs="Arial" w:eastAsia="Arial" w:hAnsi="Arial"/>
            <w:sz w:val="19"/>
            <w:szCs w:val="19"/>
            <w:u w:val="single" w:color="auto"/>
            <w:color w:val="0000EE"/>
          </w:rPr>
          <w:t>Compensation Committee Interlocks and Insider</w:t>
        </w:r>
      </w:hyperlink>
      <w:r>
        <w:rPr>
          <w:rFonts w:ascii="Arial" w:cs="Arial" w:eastAsia="Arial" w:hAnsi="Arial"/>
          <w:sz w:val="19"/>
          <w:szCs w:val="19"/>
          <w:u w:val="single" w:color="auto"/>
          <w:color w:val="0000EE"/>
        </w:rPr>
        <w:t xml:space="preserve"> </w:t>
      </w:r>
      <w:hyperlink w:anchor="page35">
        <w:r>
          <w:rPr>
            <w:rFonts w:ascii="Arial" w:cs="Arial" w:eastAsia="Arial" w:hAnsi="Arial"/>
            <w:sz w:val="19"/>
            <w:szCs w:val="19"/>
            <w:u w:val="single" w:color="auto"/>
            <w:color w:val="0000EE"/>
          </w:rPr>
          <w:t>Participation in Compensation Decisions</w:t>
        </w:r>
      </w:hyperlink>
    </w:p>
    <w:p>
      <w:pPr>
        <w:spacing w:after="0" w:line="223" w:lineRule="exact"/>
        <w:rPr>
          <w:sz w:val="20"/>
          <w:szCs w:val="20"/>
          <w:color w:val="auto"/>
        </w:rPr>
      </w:pPr>
    </w:p>
    <w:p>
      <w:pPr>
        <w:ind w:left="220"/>
        <w:spacing w:after="0"/>
        <w:rPr>
          <w:rFonts w:ascii="Arial" w:cs="Arial" w:eastAsia="Arial" w:hAnsi="Arial"/>
          <w:sz w:val="20"/>
          <w:szCs w:val="20"/>
          <w:u w:val="single" w:color="auto"/>
          <w:color w:val="0000EE"/>
        </w:rPr>
      </w:pPr>
      <w:hyperlink w:anchor="page36">
        <w:r>
          <w:rPr>
            <w:rFonts w:ascii="Arial" w:cs="Arial" w:eastAsia="Arial" w:hAnsi="Arial"/>
            <w:sz w:val="20"/>
            <w:szCs w:val="20"/>
            <w:u w:val="single" w:color="auto"/>
            <w:color w:val="0000EE"/>
          </w:rPr>
          <w:t>Compensation Discussion and Analysis</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9"/>
        </w:trPr>
        <w:tc>
          <w:tcPr>
            <w:tcW w:w="620" w:type="dxa"/>
            <w:vAlign w:val="bottom"/>
          </w:tcPr>
          <w:p>
            <w:pPr>
              <w:jc w:val="right"/>
              <w:ind w:right="313"/>
              <w:spacing w:after="0"/>
              <w:rPr>
                <w:sz w:val="20"/>
                <w:szCs w:val="20"/>
                <w:color w:val="auto"/>
              </w:rPr>
            </w:pPr>
            <w:r>
              <w:rPr>
                <w:rFonts w:ascii="Arial" w:cs="Arial" w:eastAsia="Arial" w:hAnsi="Arial"/>
                <w:sz w:val="16"/>
                <w:szCs w:val="16"/>
                <w:color w:val="auto"/>
              </w:rPr>
              <w:t>17</w:t>
            </w:r>
          </w:p>
        </w:tc>
        <w:tc>
          <w:tcPr>
            <w:tcW w:w="4220" w:type="dxa"/>
            <w:vAlign w:val="bottom"/>
            <w:gridSpan w:val="10"/>
            <w:vMerge w:val="restart"/>
          </w:tcPr>
          <w:p>
            <w:pPr>
              <w:spacing w:after="0"/>
              <w:rPr>
                <w:rFonts w:ascii="Arial" w:cs="Arial" w:eastAsia="Arial" w:hAnsi="Arial"/>
                <w:sz w:val="20"/>
                <w:szCs w:val="20"/>
                <w:color w:val="0000EE"/>
                <w:w w:val="98"/>
              </w:rPr>
            </w:pPr>
            <w:hyperlink w:anchor="page69">
              <w:r>
                <w:rPr>
                  <w:rFonts w:ascii="Arial" w:cs="Arial" w:eastAsia="Arial" w:hAnsi="Arial"/>
                  <w:sz w:val="20"/>
                  <w:szCs w:val="20"/>
                  <w:color w:val="0000EE"/>
                  <w:w w:val="98"/>
                </w:rPr>
                <w:t>Securities Authorized for Issuance Under Equity</w:t>
              </w:r>
            </w:hyperlink>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620" w:type="dxa"/>
            <w:vAlign w:val="bottom"/>
            <w:vMerge w:val="restart"/>
          </w:tcPr>
          <w:p>
            <w:pPr>
              <w:jc w:val="right"/>
              <w:ind w:right="313"/>
              <w:spacing w:after="0"/>
              <w:rPr>
                <w:sz w:val="20"/>
                <w:szCs w:val="20"/>
                <w:color w:val="auto"/>
              </w:rPr>
            </w:pPr>
            <w:r>
              <w:rPr>
                <w:rFonts w:ascii="Arial" w:cs="Arial" w:eastAsia="Arial" w:hAnsi="Arial"/>
                <w:sz w:val="16"/>
                <w:szCs w:val="16"/>
                <w:color w:val="auto"/>
              </w:rPr>
              <w:t>21</w:t>
            </w:r>
          </w:p>
        </w:tc>
        <w:tc>
          <w:tcPr>
            <w:tcW w:w="4220" w:type="dxa"/>
            <w:vAlign w:val="bottom"/>
            <w:tcBorders>
              <w:bottom w:val="single" w:sz="8" w:color="0000EE"/>
            </w:tcBorders>
            <w:gridSpan w:val="10"/>
            <w:vMerge w:val="continue"/>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620" w:type="dxa"/>
            <w:vAlign w:val="bottom"/>
            <w:vMerge w:val="continue"/>
          </w:tcPr>
          <w:p>
            <w:pPr>
              <w:spacing w:after="0"/>
              <w:rPr>
                <w:sz w:val="6"/>
                <w:szCs w:val="6"/>
                <w:color w:val="auto"/>
              </w:rPr>
            </w:pPr>
          </w:p>
        </w:tc>
        <w:tc>
          <w:tcPr>
            <w:tcW w:w="4820" w:type="dxa"/>
            <w:vAlign w:val="bottom"/>
            <w:gridSpan w:val="13"/>
            <w:vMerge w:val="restart"/>
          </w:tcPr>
          <w:p>
            <w:pPr>
              <w:spacing w:after="0" w:line="196" w:lineRule="exact"/>
              <w:rPr>
                <w:rFonts w:ascii="Arial" w:cs="Arial" w:eastAsia="Arial" w:hAnsi="Arial"/>
                <w:sz w:val="20"/>
                <w:szCs w:val="20"/>
                <w:color w:val="0000EE"/>
              </w:rPr>
            </w:pPr>
            <w:hyperlink w:anchor="page69">
              <w:r>
                <w:rPr>
                  <w:rFonts w:ascii="Arial" w:cs="Arial" w:eastAsia="Arial" w:hAnsi="Arial"/>
                  <w:sz w:val="20"/>
                  <w:szCs w:val="20"/>
                  <w:color w:val="0000EE"/>
                </w:rPr>
                <w:t>Compensation Plans</w:t>
              </w:r>
            </w:hyperlink>
          </w:p>
        </w:tc>
        <w:tc>
          <w:tcPr>
            <w:tcW w:w="480" w:type="dxa"/>
            <w:vAlign w:val="bottom"/>
            <w:vMerge w:val="restart"/>
          </w:tcPr>
          <w:p>
            <w:pPr>
              <w:jc w:val="right"/>
              <w:spacing w:after="0" w:line="196" w:lineRule="exact"/>
              <w:rPr>
                <w:sz w:val="20"/>
                <w:szCs w:val="20"/>
                <w:color w:val="auto"/>
              </w:rPr>
            </w:pPr>
            <w:r>
              <w:rPr>
                <w:rFonts w:ascii="Arial" w:cs="Arial" w:eastAsia="Arial" w:hAnsi="Arial"/>
                <w:sz w:val="20"/>
                <w:szCs w:val="20"/>
                <w:color w:val="007CBA"/>
              </w:rPr>
              <w:t>64</w:t>
            </w:r>
          </w:p>
        </w:tc>
        <w:tc>
          <w:tcPr>
            <w:tcW w:w="0" w:type="dxa"/>
            <w:vAlign w:val="bottom"/>
          </w:tcPr>
          <w:p>
            <w:pPr>
              <w:spacing w:after="0"/>
              <w:rPr>
                <w:sz w:val="1"/>
                <w:szCs w:val="1"/>
                <w:color w:val="auto"/>
              </w:rPr>
            </w:pPr>
          </w:p>
        </w:tc>
      </w:tr>
      <w:tr>
        <w:trPr>
          <w:trHeight w:val="124"/>
        </w:trPr>
        <w:tc>
          <w:tcPr>
            <w:tcW w:w="620" w:type="dxa"/>
            <w:vAlign w:val="bottom"/>
          </w:tcPr>
          <w:p>
            <w:pPr>
              <w:spacing w:after="0"/>
              <w:rPr>
                <w:sz w:val="10"/>
                <w:szCs w:val="10"/>
                <w:color w:val="auto"/>
              </w:rPr>
            </w:pPr>
          </w:p>
        </w:tc>
        <w:tc>
          <w:tcPr>
            <w:tcW w:w="4820" w:type="dxa"/>
            <w:vAlign w:val="bottom"/>
            <w:gridSpan w:val="13"/>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0" w:type="dxa"/>
            <w:vAlign w:val="bottom"/>
            <w:vMerge w:val="restart"/>
          </w:tcPr>
          <w:p>
            <w:pPr>
              <w:jc w:val="right"/>
              <w:ind w:right="313"/>
              <w:spacing w:after="0"/>
              <w:rPr>
                <w:sz w:val="20"/>
                <w:szCs w:val="20"/>
                <w:color w:val="auto"/>
              </w:rPr>
            </w:pPr>
            <w:r>
              <w:rPr>
                <w:rFonts w:ascii="Arial" w:cs="Arial" w:eastAsia="Arial" w:hAnsi="Arial"/>
                <w:sz w:val="20"/>
                <w:szCs w:val="20"/>
                <w:color w:val="007CBA"/>
                <w:w w:val="89"/>
              </w:rPr>
              <w:t>27</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80" w:type="dxa"/>
            <w:vAlign w:val="bottom"/>
            <w:gridSpan w:val="11"/>
          </w:tcPr>
          <w:p>
            <w:pPr>
              <w:spacing w:after="0"/>
              <w:rPr>
                <w:rFonts w:ascii="Arial" w:cs="Arial" w:eastAsia="Arial" w:hAnsi="Arial"/>
                <w:sz w:val="16"/>
                <w:szCs w:val="16"/>
                <w:color w:val="0000EE"/>
              </w:rPr>
            </w:pPr>
            <w:hyperlink w:anchor="page69">
              <w:r>
                <w:rPr>
                  <w:rFonts w:ascii="Arial" w:cs="Arial" w:eastAsia="Arial" w:hAnsi="Arial"/>
                  <w:sz w:val="16"/>
                  <w:szCs w:val="16"/>
                  <w:color w:val="0000EE"/>
                </w:rPr>
                <w:t>Description of the TXI Legacy Plan</w:t>
              </w:r>
            </w:hyperlink>
          </w:p>
        </w:tc>
        <w:tc>
          <w:tcPr>
            <w:tcW w:w="480" w:type="dxa"/>
            <w:vAlign w:val="bottom"/>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0"/>
        </w:trPr>
        <w:tc>
          <w:tcPr>
            <w:tcW w:w="62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80" w:type="dxa"/>
            <w:vAlign w:val="bottom"/>
            <w:gridSpan w:val="11"/>
            <w:vMerge w:val="restart"/>
          </w:tcPr>
          <w:p>
            <w:pPr>
              <w:spacing w:after="0"/>
              <w:rPr>
                <w:rFonts w:ascii="Arial" w:cs="Arial" w:eastAsia="Arial" w:hAnsi="Arial"/>
                <w:sz w:val="16"/>
                <w:szCs w:val="16"/>
                <w:color w:val="0000EE"/>
              </w:rPr>
            </w:pPr>
            <w:hyperlink w:anchor="page70">
              <w:r>
                <w:rPr>
                  <w:rFonts w:ascii="Arial" w:cs="Arial" w:eastAsia="Arial" w:hAnsi="Arial"/>
                  <w:sz w:val="16"/>
                  <w:szCs w:val="16"/>
                  <w:color w:val="0000EE"/>
                </w:rPr>
                <w:t>Description of the Deferred Compensation Plan</w:t>
              </w:r>
            </w:hyperlink>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85"/>
        </w:trPr>
        <w:tc>
          <w:tcPr>
            <w:tcW w:w="620" w:type="dxa"/>
            <w:vAlign w:val="bottom"/>
            <w:vMerge w:val="restart"/>
          </w:tcPr>
          <w:p>
            <w:pPr>
              <w:jc w:val="right"/>
              <w:ind w:right="313"/>
              <w:spacing w:after="0"/>
              <w:rPr>
                <w:sz w:val="20"/>
                <w:szCs w:val="20"/>
                <w:color w:val="auto"/>
              </w:rPr>
            </w:pPr>
            <w:r>
              <w:rPr>
                <w:rFonts w:ascii="Arial" w:cs="Arial" w:eastAsia="Arial" w:hAnsi="Arial"/>
                <w:sz w:val="16"/>
                <w:szCs w:val="16"/>
                <w:color w:val="auto"/>
              </w:rPr>
              <w:t>28</w:t>
            </w: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80" w:type="dxa"/>
            <w:vAlign w:val="bottom"/>
            <w:gridSpan w:val="11"/>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6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2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540" w:type="dxa"/>
            <w:vAlign w:val="bottom"/>
            <w:tcBorders>
              <w:top w:val="single" w:sz="8" w:color="0000EE"/>
            </w:tcBorders>
          </w:tcPr>
          <w:p>
            <w:pPr>
              <w:spacing w:after="0"/>
              <w:rPr>
                <w:sz w:val="12"/>
                <w:szCs w:val="12"/>
                <w:color w:val="auto"/>
              </w:rPr>
            </w:pPr>
          </w:p>
        </w:tc>
        <w:tc>
          <w:tcPr>
            <w:tcW w:w="420" w:type="dxa"/>
            <w:vAlign w:val="bottom"/>
            <w:tcBorders>
              <w:top w:val="single" w:sz="8" w:color="0000EE"/>
            </w:tcBorders>
          </w:tcPr>
          <w:p>
            <w:pPr>
              <w:spacing w:after="0"/>
              <w:rPr>
                <w:sz w:val="12"/>
                <w:szCs w:val="12"/>
                <w:color w:val="auto"/>
              </w:rPr>
            </w:pPr>
          </w:p>
        </w:tc>
        <w:tc>
          <w:tcPr>
            <w:tcW w:w="320" w:type="dxa"/>
            <w:vAlign w:val="bottom"/>
            <w:tcBorders>
              <w:top w:val="single" w:sz="8" w:color="0000EE"/>
            </w:tcBorders>
          </w:tcPr>
          <w:p>
            <w:pPr>
              <w:spacing w:after="0"/>
              <w:rPr>
                <w:sz w:val="12"/>
                <w:szCs w:val="12"/>
                <w:color w:val="auto"/>
              </w:rPr>
            </w:pPr>
          </w:p>
        </w:tc>
        <w:tc>
          <w:tcPr>
            <w:tcW w:w="580" w:type="dxa"/>
            <w:vAlign w:val="bottom"/>
            <w:tcBorders>
              <w:top w:val="single" w:sz="8" w:color="0000EE"/>
            </w:tcBorders>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620" w:type="dxa"/>
            <w:vAlign w:val="bottom"/>
          </w:tcPr>
          <w:p>
            <w:pPr>
              <w:jc w:val="right"/>
              <w:ind w:right="313"/>
              <w:spacing w:after="0"/>
              <w:rPr>
                <w:sz w:val="20"/>
                <w:szCs w:val="20"/>
                <w:color w:val="auto"/>
              </w:rPr>
            </w:pPr>
            <w:r>
              <w:rPr>
                <w:rFonts w:ascii="Arial" w:cs="Arial" w:eastAsia="Arial" w:hAnsi="Arial"/>
                <w:sz w:val="16"/>
                <w:szCs w:val="16"/>
                <w:color w:val="auto"/>
              </w:rPr>
              <w:t>28</w:t>
            </w:r>
          </w:p>
        </w:tc>
        <w:tc>
          <w:tcPr>
            <w:tcW w:w="4820" w:type="dxa"/>
            <w:vAlign w:val="bottom"/>
            <w:gridSpan w:val="13"/>
            <w:vMerge w:val="restart"/>
          </w:tcPr>
          <w:p>
            <w:pPr>
              <w:spacing w:after="0"/>
              <w:rPr>
                <w:rFonts w:ascii="Arial" w:cs="Arial" w:eastAsia="Arial" w:hAnsi="Arial"/>
                <w:sz w:val="20"/>
                <w:szCs w:val="20"/>
                <w:color w:val="0000EE"/>
              </w:rPr>
            </w:pPr>
            <w:hyperlink w:anchor="page71">
              <w:r>
                <w:rPr>
                  <w:rFonts w:ascii="Arial" w:cs="Arial" w:eastAsia="Arial" w:hAnsi="Arial"/>
                  <w:sz w:val="20"/>
                  <w:szCs w:val="20"/>
                  <w:color w:val="0000EE"/>
                </w:rPr>
                <w:t>General Information</w:t>
              </w:r>
            </w:hyperlink>
          </w:p>
        </w:tc>
        <w:tc>
          <w:tcPr>
            <w:tcW w:w="480" w:type="dxa"/>
            <w:vAlign w:val="bottom"/>
            <w:vMerge w:val="restart"/>
          </w:tcPr>
          <w:p>
            <w:pPr>
              <w:jc w:val="right"/>
              <w:spacing w:after="0"/>
              <w:rPr>
                <w:sz w:val="20"/>
                <w:szCs w:val="20"/>
                <w:color w:val="auto"/>
              </w:rPr>
            </w:pPr>
            <w:r>
              <w:rPr>
                <w:rFonts w:ascii="Arial" w:cs="Arial" w:eastAsia="Arial" w:hAnsi="Arial"/>
                <w:sz w:val="20"/>
                <w:szCs w:val="20"/>
                <w:color w:val="007CBA"/>
              </w:rPr>
              <w:t>66</w:t>
            </w:r>
          </w:p>
        </w:tc>
        <w:tc>
          <w:tcPr>
            <w:tcW w:w="0" w:type="dxa"/>
            <w:vAlign w:val="bottom"/>
          </w:tcPr>
          <w:p>
            <w:pPr>
              <w:spacing w:after="0"/>
              <w:rPr>
                <w:sz w:val="1"/>
                <w:szCs w:val="1"/>
                <w:color w:val="auto"/>
              </w:rPr>
            </w:pPr>
          </w:p>
        </w:tc>
      </w:tr>
      <w:tr>
        <w:trPr>
          <w:trHeight w:val="124"/>
        </w:trPr>
        <w:tc>
          <w:tcPr>
            <w:tcW w:w="620" w:type="dxa"/>
            <w:vAlign w:val="bottom"/>
            <w:vMerge w:val="restart"/>
          </w:tcPr>
          <w:p>
            <w:pPr>
              <w:jc w:val="right"/>
              <w:ind w:right="313"/>
              <w:spacing w:after="0"/>
              <w:rPr>
                <w:sz w:val="20"/>
                <w:szCs w:val="20"/>
                <w:color w:val="auto"/>
              </w:rPr>
            </w:pPr>
            <w:r>
              <w:rPr>
                <w:rFonts w:ascii="Arial" w:cs="Arial" w:eastAsia="Arial" w:hAnsi="Arial"/>
                <w:sz w:val="16"/>
                <w:szCs w:val="16"/>
                <w:color w:val="auto"/>
              </w:rPr>
              <w:t>28</w:t>
            </w:r>
          </w:p>
        </w:tc>
        <w:tc>
          <w:tcPr>
            <w:tcW w:w="4820" w:type="dxa"/>
            <w:vAlign w:val="bottom"/>
            <w:gridSpan w:val="13"/>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6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Borders>
              <w:top w:val="single" w:sz="8" w:color="0000EE"/>
            </w:tcBorders>
          </w:tcPr>
          <w:p>
            <w:pPr>
              <w:spacing w:after="0"/>
              <w:rPr>
                <w:sz w:val="9"/>
                <w:szCs w:val="9"/>
                <w:color w:val="auto"/>
              </w:rPr>
            </w:pPr>
          </w:p>
        </w:tc>
        <w:tc>
          <w:tcPr>
            <w:tcW w:w="1420" w:type="dxa"/>
            <w:vAlign w:val="bottom"/>
            <w:tcBorders>
              <w:top w:val="single" w:sz="8" w:color="0000EE"/>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620" w:type="dxa"/>
            <w:vAlign w:val="bottom"/>
          </w:tcPr>
          <w:p>
            <w:pPr>
              <w:jc w:val="right"/>
              <w:ind w:right="313"/>
              <w:spacing w:after="0"/>
              <w:rPr>
                <w:sz w:val="20"/>
                <w:szCs w:val="20"/>
                <w:color w:val="auto"/>
              </w:rPr>
            </w:pPr>
            <w:r>
              <w:rPr>
                <w:rFonts w:ascii="Arial" w:cs="Arial" w:eastAsia="Arial" w:hAnsi="Arial"/>
                <w:sz w:val="16"/>
                <w:szCs w:val="16"/>
                <w:color w:val="auto"/>
              </w:rPr>
              <w:t>28</w:t>
            </w:r>
          </w:p>
        </w:tc>
        <w:tc>
          <w:tcPr>
            <w:tcW w:w="4820" w:type="dxa"/>
            <w:vAlign w:val="bottom"/>
            <w:gridSpan w:val="13"/>
            <w:vMerge w:val="restart"/>
          </w:tcPr>
          <w:p>
            <w:pPr>
              <w:spacing w:after="0"/>
              <w:rPr>
                <w:rFonts w:ascii="Arial" w:cs="Arial" w:eastAsia="Arial" w:hAnsi="Arial"/>
                <w:sz w:val="20"/>
                <w:szCs w:val="20"/>
                <w:color w:val="0000EE"/>
              </w:rPr>
            </w:pPr>
            <w:hyperlink w:anchor="page73">
              <w:r>
                <w:rPr>
                  <w:rFonts w:ascii="Arial" w:cs="Arial" w:eastAsia="Arial" w:hAnsi="Arial"/>
                  <w:sz w:val="20"/>
                  <w:szCs w:val="20"/>
                  <w:color w:val="0000EE"/>
                </w:rPr>
                <w:t>Incorporation by Reference</w:t>
              </w:r>
            </w:hyperlink>
          </w:p>
        </w:tc>
        <w:tc>
          <w:tcPr>
            <w:tcW w:w="480" w:type="dxa"/>
            <w:vAlign w:val="bottom"/>
            <w:vMerge w:val="restart"/>
          </w:tcPr>
          <w:p>
            <w:pPr>
              <w:jc w:val="right"/>
              <w:spacing w:after="0"/>
              <w:rPr>
                <w:sz w:val="20"/>
                <w:szCs w:val="20"/>
                <w:color w:val="auto"/>
              </w:rPr>
            </w:pPr>
            <w:r>
              <w:rPr>
                <w:rFonts w:ascii="Arial" w:cs="Arial" w:eastAsia="Arial" w:hAnsi="Arial"/>
                <w:sz w:val="20"/>
                <w:szCs w:val="20"/>
                <w:color w:val="007CBA"/>
              </w:rPr>
              <w:t>68</w:t>
            </w:r>
          </w:p>
        </w:tc>
        <w:tc>
          <w:tcPr>
            <w:tcW w:w="0" w:type="dxa"/>
            <w:vAlign w:val="bottom"/>
          </w:tcPr>
          <w:p>
            <w:pPr>
              <w:spacing w:after="0"/>
              <w:rPr>
                <w:sz w:val="1"/>
                <w:szCs w:val="1"/>
                <w:color w:val="auto"/>
              </w:rPr>
            </w:pPr>
          </w:p>
        </w:tc>
      </w:tr>
      <w:tr>
        <w:trPr>
          <w:trHeight w:val="151"/>
        </w:trPr>
        <w:tc>
          <w:tcPr>
            <w:tcW w:w="620" w:type="dxa"/>
            <w:vAlign w:val="bottom"/>
            <w:vMerge w:val="restart"/>
          </w:tcPr>
          <w:p>
            <w:pPr>
              <w:jc w:val="right"/>
              <w:ind w:right="313"/>
              <w:spacing w:after="0"/>
              <w:rPr>
                <w:sz w:val="20"/>
                <w:szCs w:val="20"/>
                <w:color w:val="auto"/>
              </w:rPr>
            </w:pPr>
            <w:r>
              <w:rPr>
                <w:rFonts w:ascii="Arial" w:cs="Arial" w:eastAsia="Arial" w:hAnsi="Arial"/>
                <w:sz w:val="16"/>
                <w:szCs w:val="16"/>
                <w:color w:val="auto"/>
              </w:rPr>
              <w:t>28</w:t>
            </w:r>
          </w:p>
        </w:tc>
        <w:tc>
          <w:tcPr>
            <w:tcW w:w="4820" w:type="dxa"/>
            <w:vAlign w:val="bottom"/>
            <w:gridSpan w:val="13"/>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6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Borders>
              <w:top w:val="single" w:sz="8" w:color="0000EE"/>
            </w:tcBorders>
          </w:tcPr>
          <w:p>
            <w:pPr>
              <w:spacing w:after="0"/>
              <w:rPr>
                <w:sz w:val="7"/>
                <w:szCs w:val="7"/>
                <w:color w:val="auto"/>
              </w:rPr>
            </w:pPr>
          </w:p>
        </w:tc>
        <w:tc>
          <w:tcPr>
            <w:tcW w:w="1420" w:type="dxa"/>
            <w:vAlign w:val="bottom"/>
            <w:tcBorders>
              <w:top w:val="single" w:sz="8" w:color="0000EE"/>
            </w:tcBorders>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540" w:type="dxa"/>
            <w:vAlign w:val="bottom"/>
            <w:tcBorders>
              <w:top w:val="single" w:sz="8" w:color="0000EE"/>
            </w:tcBorders>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620" w:type="dxa"/>
            <w:vAlign w:val="bottom"/>
          </w:tcPr>
          <w:p>
            <w:pPr>
              <w:jc w:val="right"/>
              <w:ind w:right="313"/>
              <w:spacing w:after="0"/>
              <w:rPr>
                <w:sz w:val="20"/>
                <w:szCs w:val="20"/>
                <w:color w:val="auto"/>
              </w:rPr>
            </w:pPr>
            <w:r>
              <w:rPr>
                <w:rFonts w:ascii="Arial" w:cs="Arial" w:eastAsia="Arial" w:hAnsi="Arial"/>
                <w:sz w:val="16"/>
                <w:szCs w:val="16"/>
                <w:color w:val="auto"/>
              </w:rPr>
              <w:t>28</w:t>
            </w:r>
          </w:p>
        </w:tc>
        <w:tc>
          <w:tcPr>
            <w:tcW w:w="4380" w:type="dxa"/>
            <w:vAlign w:val="bottom"/>
            <w:gridSpan w:val="11"/>
            <w:vMerge w:val="restart"/>
          </w:tcPr>
          <w:p>
            <w:pPr>
              <w:spacing w:after="0"/>
              <w:rPr>
                <w:rFonts w:ascii="Arial" w:cs="Arial" w:eastAsia="Arial" w:hAnsi="Arial"/>
                <w:sz w:val="20"/>
                <w:szCs w:val="20"/>
                <w:color w:val="0000EE"/>
                <w:w w:val="98"/>
              </w:rPr>
            </w:pPr>
            <w:hyperlink w:anchor="page73">
              <w:r>
                <w:rPr>
                  <w:rFonts w:ascii="Arial" w:cs="Arial" w:eastAsia="Arial" w:hAnsi="Arial"/>
                  <w:sz w:val="20"/>
                  <w:szCs w:val="20"/>
                  <w:color w:val="0000EE"/>
                  <w:w w:val="98"/>
                </w:rPr>
                <w:t>Shareholders’ Proposals for 2019 Annual Meeting</w:t>
              </w:r>
            </w:hyperlink>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vMerge w:val="restart"/>
          </w:tcPr>
          <w:p>
            <w:pPr>
              <w:jc w:val="right"/>
              <w:spacing w:after="0"/>
              <w:rPr>
                <w:sz w:val="20"/>
                <w:szCs w:val="20"/>
                <w:color w:val="auto"/>
              </w:rPr>
            </w:pPr>
            <w:r>
              <w:rPr>
                <w:rFonts w:ascii="Arial" w:cs="Arial" w:eastAsia="Arial" w:hAnsi="Arial"/>
                <w:sz w:val="20"/>
                <w:szCs w:val="20"/>
                <w:color w:val="007CBA"/>
              </w:rPr>
              <w:t>68</w:t>
            </w:r>
          </w:p>
        </w:tc>
        <w:tc>
          <w:tcPr>
            <w:tcW w:w="0" w:type="dxa"/>
            <w:vAlign w:val="bottom"/>
          </w:tcPr>
          <w:p>
            <w:pPr>
              <w:spacing w:after="0"/>
              <w:rPr>
                <w:sz w:val="1"/>
                <w:szCs w:val="1"/>
                <w:color w:val="auto"/>
              </w:rPr>
            </w:pPr>
          </w:p>
        </w:tc>
      </w:tr>
      <w:tr>
        <w:trPr>
          <w:trHeight w:val="183"/>
        </w:trPr>
        <w:tc>
          <w:tcPr>
            <w:tcW w:w="620" w:type="dxa"/>
            <w:vAlign w:val="bottom"/>
            <w:vMerge w:val="restart"/>
          </w:tcPr>
          <w:p>
            <w:pPr>
              <w:jc w:val="right"/>
              <w:ind w:right="313"/>
              <w:spacing w:after="0"/>
              <w:rPr>
                <w:sz w:val="20"/>
                <w:szCs w:val="20"/>
                <w:color w:val="auto"/>
              </w:rPr>
            </w:pPr>
            <w:r>
              <w:rPr>
                <w:rFonts w:ascii="Arial" w:cs="Arial" w:eastAsia="Arial" w:hAnsi="Arial"/>
                <w:sz w:val="16"/>
                <w:szCs w:val="16"/>
                <w:color w:val="auto"/>
              </w:rPr>
              <w:t>28</w:t>
            </w:r>
          </w:p>
        </w:tc>
        <w:tc>
          <w:tcPr>
            <w:tcW w:w="4380" w:type="dxa"/>
            <w:vAlign w:val="bottom"/>
            <w:tcBorders>
              <w:bottom w:val="single" w:sz="8" w:color="0000EE"/>
            </w:tcBorders>
            <w:gridSpan w:val="11"/>
            <w:vMerge w:val="continue"/>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vMerge w:val="restart"/>
          </w:tcPr>
          <w:p>
            <w:pPr>
              <w:spacing w:after="0"/>
              <w:rPr>
                <w:sz w:val="15"/>
                <w:szCs w:val="15"/>
                <w:color w:val="auto"/>
              </w:rPr>
            </w:pP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620" w:type="dxa"/>
            <w:vAlign w:val="bottom"/>
            <w:vMerge w:val="continue"/>
          </w:tcPr>
          <w:p>
            <w:pPr>
              <w:spacing w:after="0"/>
              <w:rPr>
                <w:sz w:val="5"/>
                <w:szCs w:val="5"/>
                <w:color w:val="auto"/>
              </w:rPr>
            </w:pPr>
          </w:p>
        </w:tc>
        <w:tc>
          <w:tcPr>
            <w:tcW w:w="4660" w:type="dxa"/>
            <w:vAlign w:val="bottom"/>
            <w:gridSpan w:val="12"/>
            <w:vMerge w:val="restart"/>
          </w:tcPr>
          <w:p>
            <w:pPr>
              <w:spacing w:after="0"/>
              <w:rPr>
                <w:rFonts w:ascii="Arial" w:cs="Arial" w:eastAsia="Arial" w:hAnsi="Arial"/>
                <w:sz w:val="20"/>
                <w:szCs w:val="20"/>
                <w:color w:val="0000EE"/>
                <w:w w:val="98"/>
              </w:rPr>
            </w:pPr>
            <w:hyperlink w:anchor="page74">
              <w:r>
                <w:rPr>
                  <w:rFonts w:ascii="Arial" w:cs="Arial" w:eastAsia="Arial" w:hAnsi="Arial"/>
                  <w:sz w:val="20"/>
                  <w:szCs w:val="20"/>
                  <w:color w:val="0000EE"/>
                  <w:w w:val="98"/>
                </w:rPr>
                <w:t>Appendix A – Martin Marietta Guidelines for Potential</w:t>
              </w:r>
            </w:hyperlink>
          </w:p>
        </w:tc>
        <w:tc>
          <w:tcPr>
            <w:tcW w:w="16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66"/>
        </w:trPr>
        <w:tc>
          <w:tcPr>
            <w:tcW w:w="620" w:type="dxa"/>
            <w:vAlign w:val="bottom"/>
            <w:vMerge w:val="restart"/>
          </w:tcPr>
          <w:p>
            <w:pPr>
              <w:jc w:val="right"/>
              <w:ind w:right="313"/>
              <w:spacing w:after="0"/>
              <w:rPr>
                <w:sz w:val="20"/>
                <w:szCs w:val="20"/>
                <w:color w:val="auto"/>
              </w:rPr>
            </w:pPr>
            <w:r>
              <w:rPr>
                <w:rFonts w:ascii="Arial" w:cs="Arial" w:eastAsia="Arial" w:hAnsi="Arial"/>
                <w:sz w:val="20"/>
                <w:szCs w:val="20"/>
                <w:color w:val="007CBA"/>
                <w:w w:val="89"/>
              </w:rPr>
              <w:t>29</w:t>
            </w:r>
          </w:p>
        </w:tc>
        <w:tc>
          <w:tcPr>
            <w:tcW w:w="4660" w:type="dxa"/>
            <w:vAlign w:val="bottom"/>
            <w:tcBorders>
              <w:bottom w:val="single" w:sz="8" w:color="0000EE"/>
            </w:tcBorders>
            <w:gridSpan w:val="12"/>
            <w:vMerge w:val="continue"/>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620" w:type="dxa"/>
            <w:vAlign w:val="bottom"/>
            <w:vMerge w:val="continue"/>
          </w:tcPr>
          <w:p>
            <w:pPr>
              <w:spacing w:after="0"/>
              <w:rPr>
                <w:sz w:val="6"/>
                <w:szCs w:val="6"/>
                <w:color w:val="auto"/>
              </w:rPr>
            </w:pPr>
          </w:p>
        </w:tc>
        <w:tc>
          <w:tcPr>
            <w:tcW w:w="4820" w:type="dxa"/>
            <w:vAlign w:val="bottom"/>
            <w:gridSpan w:val="13"/>
            <w:vMerge w:val="restart"/>
          </w:tcPr>
          <w:p>
            <w:pPr>
              <w:spacing w:after="0" w:line="196" w:lineRule="exact"/>
              <w:rPr>
                <w:rFonts w:ascii="Arial" w:cs="Arial" w:eastAsia="Arial" w:hAnsi="Arial"/>
                <w:sz w:val="20"/>
                <w:szCs w:val="20"/>
                <w:color w:val="0000EE"/>
              </w:rPr>
            </w:pPr>
            <w:hyperlink w:anchor="page74">
              <w:r>
                <w:rPr>
                  <w:rFonts w:ascii="Arial" w:cs="Arial" w:eastAsia="Arial" w:hAnsi="Arial"/>
                  <w:sz w:val="20"/>
                  <w:szCs w:val="20"/>
                  <w:color w:val="0000EE"/>
                </w:rPr>
                <w:t>New Board Members</w:t>
              </w:r>
            </w:hyperlink>
          </w:p>
        </w:tc>
        <w:tc>
          <w:tcPr>
            <w:tcW w:w="480" w:type="dxa"/>
            <w:vAlign w:val="bottom"/>
            <w:vMerge w:val="restart"/>
          </w:tcPr>
          <w:p>
            <w:pPr>
              <w:jc w:val="right"/>
              <w:spacing w:after="0" w:line="196" w:lineRule="exact"/>
              <w:rPr>
                <w:sz w:val="20"/>
                <w:szCs w:val="20"/>
                <w:color w:val="auto"/>
              </w:rPr>
            </w:pPr>
            <w:r>
              <w:rPr>
                <w:rFonts w:ascii="Arial" w:cs="Arial" w:eastAsia="Arial" w:hAnsi="Arial"/>
                <w:sz w:val="20"/>
                <w:szCs w:val="20"/>
                <w:color w:val="007CBA"/>
              </w:rPr>
              <w:t>A-1</w:t>
            </w:r>
          </w:p>
        </w:tc>
        <w:tc>
          <w:tcPr>
            <w:tcW w:w="0" w:type="dxa"/>
            <w:vAlign w:val="bottom"/>
          </w:tcPr>
          <w:p>
            <w:pPr>
              <w:spacing w:after="0"/>
              <w:rPr>
                <w:sz w:val="1"/>
                <w:szCs w:val="1"/>
                <w:color w:val="auto"/>
              </w:rPr>
            </w:pPr>
          </w:p>
        </w:tc>
      </w:tr>
      <w:tr>
        <w:trPr>
          <w:trHeight w:val="125"/>
        </w:trPr>
        <w:tc>
          <w:tcPr>
            <w:tcW w:w="620" w:type="dxa"/>
            <w:vAlign w:val="bottom"/>
          </w:tcPr>
          <w:p>
            <w:pPr>
              <w:spacing w:after="0"/>
              <w:rPr>
                <w:sz w:val="10"/>
                <w:szCs w:val="10"/>
                <w:color w:val="auto"/>
              </w:rPr>
            </w:pPr>
          </w:p>
        </w:tc>
        <w:tc>
          <w:tcPr>
            <w:tcW w:w="4820" w:type="dxa"/>
            <w:vAlign w:val="bottom"/>
            <w:gridSpan w:val="13"/>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860" w:type="dxa"/>
            <w:vAlign w:val="bottom"/>
            <w:gridSpan w:val="5"/>
            <w:shd w:val="clear" w:color="auto" w:fill="0000EE"/>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68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620" w:type="dxa"/>
            <w:vAlign w:val="bottom"/>
            <w:vMerge w:val="restart"/>
          </w:tcPr>
          <w:p>
            <w:pPr>
              <w:jc w:val="right"/>
              <w:ind w:right="313"/>
              <w:spacing w:after="0"/>
              <w:rPr>
                <w:sz w:val="20"/>
                <w:szCs w:val="20"/>
                <w:color w:val="auto"/>
              </w:rPr>
            </w:pPr>
            <w:r>
              <w:rPr>
                <w:rFonts w:ascii="Arial" w:cs="Arial" w:eastAsia="Arial" w:hAnsi="Arial"/>
                <w:sz w:val="20"/>
                <w:szCs w:val="20"/>
                <w:color w:val="007CBA"/>
                <w:w w:val="89"/>
              </w:rPr>
              <w:t>30</w:t>
            </w:r>
          </w:p>
        </w:tc>
        <w:tc>
          <w:tcPr>
            <w:tcW w:w="20" w:type="dxa"/>
            <w:vAlign w:val="bottom"/>
            <w:vMerge w:val="restart"/>
          </w:tcPr>
          <w:p>
            <w:pPr>
              <w:spacing w:after="0"/>
              <w:rPr>
                <w:sz w:val="24"/>
                <w:szCs w:val="24"/>
                <w:color w:val="auto"/>
              </w:rPr>
            </w:pPr>
          </w:p>
        </w:tc>
        <w:tc>
          <w:tcPr>
            <w:tcW w:w="3120" w:type="dxa"/>
            <w:vAlign w:val="bottom"/>
            <w:tcBorders>
              <w:bottom w:val="single" w:sz="8" w:color="0000EE"/>
            </w:tcBorders>
            <w:gridSpan w:val="7"/>
          </w:tcPr>
          <w:p>
            <w:pPr>
              <w:spacing w:after="0"/>
              <w:rPr>
                <w:rFonts w:ascii="Arial" w:cs="Arial" w:eastAsia="Arial" w:hAnsi="Arial"/>
                <w:sz w:val="20"/>
                <w:szCs w:val="20"/>
                <w:color w:val="0000EE"/>
                <w:w w:val="97"/>
              </w:rPr>
            </w:pPr>
            <w:hyperlink w:anchor="page75">
              <w:r>
                <w:rPr>
                  <w:rFonts w:ascii="Arial" w:cs="Arial" w:eastAsia="Arial" w:hAnsi="Arial"/>
                  <w:sz w:val="20"/>
                  <w:szCs w:val="20"/>
                  <w:color w:val="0000EE"/>
                  <w:w w:val="97"/>
                </w:rPr>
                <w:t>Appendix B – Non-GAAP Measures</w:t>
              </w:r>
            </w:hyperlink>
          </w:p>
        </w:tc>
        <w:tc>
          <w:tcPr>
            <w:tcW w:w="1680" w:type="dxa"/>
            <w:vAlign w:val="bottom"/>
            <w:gridSpan w:val="5"/>
            <w:vMerge w:val="restart"/>
          </w:tcPr>
          <w:p>
            <w:pPr>
              <w:spacing w:after="0"/>
              <w:rPr>
                <w:sz w:val="24"/>
                <w:szCs w:val="24"/>
                <w:color w:val="auto"/>
              </w:rPr>
            </w:pPr>
          </w:p>
        </w:tc>
        <w:tc>
          <w:tcPr>
            <w:tcW w:w="480" w:type="dxa"/>
            <w:vAlign w:val="bottom"/>
            <w:vMerge w:val="restart"/>
          </w:tcPr>
          <w:p>
            <w:pPr>
              <w:jc w:val="right"/>
              <w:spacing w:after="0"/>
              <w:rPr>
                <w:sz w:val="20"/>
                <w:szCs w:val="20"/>
                <w:color w:val="auto"/>
              </w:rPr>
            </w:pPr>
            <w:r>
              <w:rPr>
                <w:rFonts w:ascii="Arial" w:cs="Arial" w:eastAsia="Arial" w:hAnsi="Arial"/>
                <w:sz w:val="20"/>
                <w:szCs w:val="20"/>
                <w:color w:val="007CBA"/>
              </w:rPr>
              <w:t>B-1</w:t>
            </w:r>
          </w:p>
        </w:tc>
        <w:tc>
          <w:tcPr>
            <w:tcW w:w="0" w:type="dxa"/>
            <w:vAlign w:val="bottom"/>
          </w:tcPr>
          <w:p>
            <w:pPr>
              <w:spacing w:after="0"/>
              <w:rPr>
                <w:sz w:val="1"/>
                <w:szCs w:val="1"/>
                <w:color w:val="auto"/>
              </w:rPr>
            </w:pPr>
          </w:p>
        </w:tc>
      </w:tr>
      <w:tr>
        <w:trPr>
          <w:trHeight w:val="71"/>
        </w:trPr>
        <w:tc>
          <w:tcPr>
            <w:tcW w:w="620" w:type="dxa"/>
            <w:vAlign w:val="bottom"/>
            <w:vMerge w:val="continue"/>
          </w:tcPr>
          <w:p>
            <w:pPr>
              <w:spacing w:after="0"/>
              <w:rPr>
                <w:sz w:val="6"/>
                <w:szCs w:val="6"/>
                <w:color w:val="auto"/>
              </w:rPr>
            </w:pPr>
          </w:p>
        </w:tc>
        <w:tc>
          <w:tcPr>
            <w:tcW w:w="20" w:type="dxa"/>
            <w:vAlign w:val="bottom"/>
            <w:vMerge w:val="continue"/>
          </w:tcPr>
          <w:p>
            <w:pPr>
              <w:spacing w:after="0"/>
              <w:rPr>
                <w:sz w:val="6"/>
                <w:szCs w:val="6"/>
                <w:color w:val="auto"/>
              </w:rPr>
            </w:pPr>
          </w:p>
        </w:tc>
        <w:tc>
          <w:tcPr>
            <w:tcW w:w="3120" w:type="dxa"/>
            <w:vAlign w:val="bottom"/>
            <w:gridSpan w:val="7"/>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56"/>
        </w:trPr>
        <w:tc>
          <w:tcPr>
            <w:tcW w:w="620" w:type="dxa"/>
            <w:vAlign w:val="bottom"/>
          </w:tcPr>
          <w:p>
            <w:pPr>
              <w:jc w:val="right"/>
              <w:ind w:right="313"/>
              <w:spacing w:after="0"/>
              <w:rPr>
                <w:sz w:val="20"/>
                <w:szCs w:val="20"/>
                <w:color w:val="auto"/>
              </w:rPr>
            </w:pPr>
            <w:r>
              <w:rPr>
                <w:rFonts w:ascii="Arial" w:cs="Arial" w:eastAsia="Arial" w:hAnsi="Arial"/>
                <w:sz w:val="20"/>
                <w:szCs w:val="20"/>
                <w:color w:val="007CBA"/>
                <w:w w:val="89"/>
              </w:rPr>
              <w:t>30</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20" w:type="dxa"/>
            <w:vAlign w:val="bottom"/>
          </w:tcPr>
          <w:p>
            <w:pPr>
              <w:jc w:val="right"/>
              <w:ind w:right="313"/>
              <w:spacing w:after="0"/>
              <w:rPr>
                <w:sz w:val="20"/>
                <w:szCs w:val="20"/>
                <w:color w:val="auto"/>
              </w:rPr>
            </w:pPr>
            <w:r>
              <w:rPr>
                <w:rFonts w:ascii="Arial" w:cs="Arial" w:eastAsia="Arial" w:hAnsi="Arial"/>
                <w:sz w:val="20"/>
                <w:szCs w:val="20"/>
                <w:color w:val="007CBA"/>
                <w:w w:val="89"/>
              </w:rPr>
              <w:t>31</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sectPr>
          <w:pgSz w:w="11900" w:h="16838" w:orient="portrait"/>
          <w:cols w:equalWidth="0" w:num="2">
            <w:col w:w="4480" w:space="720"/>
            <w:col w:w="5920"/>
          </w:cols>
          <w:pgMar w:left="240" w:top="455" w:right="539" w:bottom="1143" w:gutter="0" w:footer="0" w:header="0"/>
          <w:type w:val="continuous"/>
        </w:sectPr>
      </w:pPr>
    </w:p>
    <w:tbl>
      <w:tblPr>
        <w:tblLayout w:type="fixed"/>
        <w:tblInd w:w="540" w:type="dxa"/>
        <w:tblCellMar>
          <w:top w:w="0" w:type="dxa"/>
          <w:left w:w="0" w:type="dxa"/>
          <w:bottom w:w="0" w:type="dxa"/>
          <w:right w:w="0" w:type="dxa"/>
        </w:tblCellMar>
      </w:tblPr>
      <w:tr>
        <w:trPr>
          <w:trHeight w:val="184"/>
        </w:trPr>
        <w:tc>
          <w:tcPr>
            <w:tcW w:w="840" w:type="dxa"/>
            <w:vAlign w:val="bottom"/>
            <w:tcBorders>
              <w:bottom w:val="single" w:sz="8" w:color="0000EE"/>
            </w:tcBorders>
            <w:gridSpan w:val="2"/>
          </w:tcPr>
          <w:p>
            <w:pPr>
              <w:spacing w:after="0"/>
              <w:rPr>
                <w:rFonts w:ascii="Arial" w:cs="Arial" w:eastAsia="Arial" w:hAnsi="Arial"/>
                <w:sz w:val="16"/>
                <w:szCs w:val="16"/>
                <w:color w:val="0000EE"/>
                <w:w w:val="98"/>
              </w:rPr>
            </w:pPr>
            <w:hyperlink w:anchor="page36">
              <w:r>
                <w:rPr>
                  <w:rFonts w:ascii="Arial" w:cs="Arial" w:eastAsia="Arial" w:hAnsi="Arial"/>
                  <w:sz w:val="16"/>
                  <w:szCs w:val="16"/>
                  <w:color w:val="0000EE"/>
                  <w:w w:val="98"/>
                </w:rPr>
                <w:t>Introduction</w:t>
              </w:r>
            </w:hyperlink>
          </w:p>
        </w:tc>
        <w:tc>
          <w:tcPr>
            <w:tcW w:w="3380" w:type="dxa"/>
            <w:vAlign w:val="bottom"/>
            <w:gridSpan w:val="14"/>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37"/>
        </w:trPr>
        <w:tc>
          <w:tcPr>
            <w:tcW w:w="1440" w:type="dxa"/>
            <w:vAlign w:val="bottom"/>
            <w:tcBorders>
              <w:bottom w:val="single" w:sz="8" w:color="0000EE"/>
            </w:tcBorders>
            <w:gridSpan w:val="3"/>
          </w:tcPr>
          <w:p>
            <w:pPr>
              <w:spacing w:after="0"/>
              <w:rPr>
                <w:rFonts w:ascii="Arial" w:cs="Arial" w:eastAsia="Arial" w:hAnsi="Arial"/>
                <w:sz w:val="16"/>
                <w:szCs w:val="16"/>
                <w:color w:val="0000EE"/>
                <w:w w:val="99"/>
              </w:rPr>
            </w:pPr>
            <w:hyperlink w:anchor="page36">
              <w:r>
                <w:rPr>
                  <w:rFonts w:ascii="Arial" w:cs="Arial" w:eastAsia="Arial" w:hAnsi="Arial"/>
                  <w:sz w:val="16"/>
                  <w:szCs w:val="16"/>
                  <w:color w:val="0000EE"/>
                  <w:w w:val="99"/>
                </w:rPr>
                <w:t>Executive Summary</w:t>
              </w:r>
            </w:hyperlink>
          </w:p>
        </w:tc>
        <w:tc>
          <w:tcPr>
            <w:tcW w:w="2780" w:type="dxa"/>
            <w:vAlign w:val="bottom"/>
            <w:gridSpan w:val="13"/>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37"/>
        </w:trPr>
        <w:tc>
          <w:tcPr>
            <w:tcW w:w="4220" w:type="dxa"/>
            <w:vAlign w:val="bottom"/>
            <w:gridSpan w:val="16"/>
          </w:tcPr>
          <w:p>
            <w:pPr>
              <w:spacing w:after="0"/>
              <w:rPr>
                <w:rFonts w:ascii="Arial" w:cs="Arial" w:eastAsia="Arial" w:hAnsi="Arial"/>
                <w:sz w:val="16"/>
                <w:szCs w:val="16"/>
                <w:color w:val="0000EE"/>
              </w:rPr>
            </w:pPr>
            <w:hyperlink w:anchor="page39">
              <w:r>
                <w:rPr>
                  <w:rFonts w:ascii="Arial" w:cs="Arial" w:eastAsia="Arial" w:hAnsi="Arial"/>
                  <w:sz w:val="16"/>
                  <w:szCs w:val="16"/>
                  <w:color w:val="0000EE"/>
                </w:rPr>
                <w:t>2017 Say-On-Pay Vote and Shareholder Outreach</w:t>
              </w:r>
            </w:hyperlink>
          </w:p>
        </w:tc>
        <w:tc>
          <w:tcPr>
            <w:tcW w:w="66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37"/>
        </w:trPr>
        <w:tc>
          <w:tcPr>
            <w:tcW w:w="3600" w:type="dxa"/>
            <w:vAlign w:val="bottom"/>
            <w:tcBorders>
              <w:top w:val="single" w:sz="8" w:color="0000EE"/>
            </w:tcBorders>
            <w:gridSpan w:val="14"/>
          </w:tcPr>
          <w:p>
            <w:pPr>
              <w:spacing w:after="0"/>
              <w:rPr>
                <w:rFonts w:ascii="Arial" w:cs="Arial" w:eastAsia="Arial" w:hAnsi="Arial"/>
                <w:sz w:val="16"/>
                <w:szCs w:val="16"/>
                <w:color w:val="0000EE"/>
              </w:rPr>
            </w:pPr>
            <w:hyperlink w:anchor="page40">
              <w:r>
                <w:rPr>
                  <w:rFonts w:ascii="Arial" w:cs="Arial" w:eastAsia="Arial" w:hAnsi="Arial"/>
                  <w:sz w:val="16"/>
                  <w:szCs w:val="16"/>
                  <w:color w:val="0000EE"/>
                </w:rPr>
                <w:t>Performance-Related Compensation</w:t>
              </w:r>
            </w:hyperlink>
          </w:p>
        </w:tc>
        <w:tc>
          <w:tcPr>
            <w:tcW w:w="620" w:type="dxa"/>
            <w:vAlign w:val="bottom"/>
            <w:gridSpan w:val="2"/>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0"/>
        </w:trPr>
        <w:tc>
          <w:tcPr>
            <w:tcW w:w="800" w:type="dxa"/>
            <w:vAlign w:val="bottom"/>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37"/>
        </w:trPr>
        <w:tc>
          <w:tcPr>
            <w:tcW w:w="4220" w:type="dxa"/>
            <w:vAlign w:val="bottom"/>
            <w:gridSpan w:val="16"/>
          </w:tcPr>
          <w:p>
            <w:pPr>
              <w:spacing w:after="0"/>
              <w:rPr>
                <w:rFonts w:ascii="Arial" w:cs="Arial" w:eastAsia="Arial" w:hAnsi="Arial"/>
                <w:sz w:val="16"/>
                <w:szCs w:val="16"/>
                <w:color w:val="0000EE"/>
              </w:rPr>
            </w:pPr>
            <w:hyperlink w:anchor="page41">
              <w:r>
                <w:rPr>
                  <w:rFonts w:ascii="Arial" w:cs="Arial" w:eastAsia="Arial" w:hAnsi="Arial"/>
                  <w:sz w:val="16"/>
                  <w:szCs w:val="16"/>
                  <w:color w:val="0000EE"/>
                </w:rPr>
                <w:t>Pay Decisions in 2017 Made in Light of Performance</w:t>
              </w:r>
            </w:hyperlink>
          </w:p>
        </w:tc>
        <w:tc>
          <w:tcPr>
            <w:tcW w:w="66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37"/>
        </w:trPr>
        <w:tc>
          <w:tcPr>
            <w:tcW w:w="3760" w:type="dxa"/>
            <w:vAlign w:val="bottom"/>
            <w:tcBorders>
              <w:top w:val="single" w:sz="8" w:color="0000EE"/>
            </w:tcBorders>
            <w:gridSpan w:val="15"/>
          </w:tcPr>
          <w:p>
            <w:pPr>
              <w:spacing w:after="0"/>
              <w:rPr>
                <w:rFonts w:ascii="Arial" w:cs="Arial" w:eastAsia="Arial" w:hAnsi="Arial"/>
                <w:sz w:val="16"/>
                <w:szCs w:val="16"/>
                <w:color w:val="0000EE"/>
              </w:rPr>
            </w:pPr>
            <w:hyperlink w:anchor="page43">
              <w:r>
                <w:rPr>
                  <w:rFonts w:ascii="Arial" w:cs="Arial" w:eastAsia="Arial" w:hAnsi="Arial"/>
                  <w:sz w:val="16"/>
                  <w:szCs w:val="16"/>
                  <w:color w:val="0000EE"/>
                </w:rPr>
                <w:t>Our Compensation Strategy</w:t>
              </w:r>
            </w:hyperlink>
          </w:p>
        </w:tc>
        <w:tc>
          <w:tcPr>
            <w:tcW w:w="4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0"/>
        </w:trPr>
        <w:tc>
          <w:tcPr>
            <w:tcW w:w="800" w:type="dxa"/>
            <w:vAlign w:val="bottom"/>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37"/>
        </w:trPr>
        <w:tc>
          <w:tcPr>
            <w:tcW w:w="4220" w:type="dxa"/>
            <w:vAlign w:val="bottom"/>
            <w:gridSpan w:val="16"/>
          </w:tcPr>
          <w:p>
            <w:pPr>
              <w:spacing w:after="0"/>
              <w:rPr>
                <w:rFonts w:ascii="Arial" w:cs="Arial" w:eastAsia="Arial" w:hAnsi="Arial"/>
                <w:sz w:val="16"/>
                <w:szCs w:val="16"/>
                <w:color w:val="0000EE"/>
              </w:rPr>
            </w:pPr>
            <w:hyperlink w:anchor="page44">
              <w:r>
                <w:rPr>
                  <w:rFonts w:ascii="Arial" w:cs="Arial" w:eastAsia="Arial" w:hAnsi="Arial"/>
                  <w:sz w:val="16"/>
                  <w:szCs w:val="16"/>
                  <w:color w:val="0000EE"/>
                </w:rPr>
                <w:t>Ongoing Corporate Governance Policies</w:t>
              </w:r>
            </w:hyperlink>
          </w:p>
        </w:tc>
        <w:tc>
          <w:tcPr>
            <w:tcW w:w="66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37"/>
        </w:trPr>
        <w:tc>
          <w:tcPr>
            <w:tcW w:w="2420" w:type="dxa"/>
            <w:vAlign w:val="bottom"/>
            <w:tcBorders>
              <w:top w:val="single" w:sz="8" w:color="0000EE"/>
              <w:bottom w:val="single" w:sz="8" w:color="0000EE"/>
            </w:tcBorders>
            <w:gridSpan w:val="8"/>
          </w:tcPr>
          <w:p>
            <w:pPr>
              <w:spacing w:after="0"/>
              <w:rPr>
                <w:rFonts w:ascii="Arial" w:cs="Arial" w:eastAsia="Arial" w:hAnsi="Arial"/>
                <w:sz w:val="16"/>
                <w:szCs w:val="16"/>
                <w:color w:val="0000EE"/>
              </w:rPr>
            </w:pPr>
            <w:hyperlink w:anchor="page45">
              <w:r>
                <w:rPr>
                  <w:rFonts w:ascii="Arial" w:cs="Arial" w:eastAsia="Arial" w:hAnsi="Arial"/>
                  <w:sz w:val="16"/>
                  <w:szCs w:val="16"/>
                  <w:color w:val="0000EE"/>
                </w:rPr>
                <w:t>Compensation Decisions Process</w:t>
              </w:r>
            </w:hyperlink>
          </w:p>
        </w:tc>
        <w:tc>
          <w:tcPr>
            <w:tcW w:w="480" w:type="dxa"/>
            <w:vAlign w:val="bottom"/>
            <w:tcBorders>
              <w:top w:val="single" w:sz="8" w:color="0000EE"/>
            </w:tcBorders>
            <w:gridSpan w:val="3"/>
          </w:tcPr>
          <w:p>
            <w:pPr>
              <w:spacing w:after="0"/>
              <w:rPr>
                <w:sz w:val="20"/>
                <w:szCs w:val="20"/>
                <w:color w:val="auto"/>
              </w:rPr>
            </w:pPr>
          </w:p>
        </w:tc>
        <w:tc>
          <w:tcPr>
            <w:tcW w:w="1320" w:type="dxa"/>
            <w:vAlign w:val="bottom"/>
            <w:gridSpan w:val="5"/>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37"/>
        </w:trPr>
        <w:tc>
          <w:tcPr>
            <w:tcW w:w="4220" w:type="dxa"/>
            <w:vAlign w:val="bottom"/>
            <w:gridSpan w:val="16"/>
          </w:tcPr>
          <w:p>
            <w:pPr>
              <w:spacing w:after="0"/>
              <w:rPr>
                <w:rFonts w:ascii="Arial" w:cs="Arial" w:eastAsia="Arial" w:hAnsi="Arial"/>
                <w:sz w:val="16"/>
                <w:szCs w:val="16"/>
                <w:color w:val="0000EE"/>
              </w:rPr>
            </w:pPr>
            <w:hyperlink w:anchor="page46">
              <w:r>
                <w:rPr>
                  <w:rFonts w:ascii="Arial" w:cs="Arial" w:eastAsia="Arial" w:hAnsi="Arial"/>
                  <w:sz w:val="16"/>
                  <w:szCs w:val="16"/>
                  <w:color w:val="0000EE"/>
                </w:rPr>
                <w:t>Determination of CEO Compensation</w:t>
              </w:r>
            </w:hyperlink>
          </w:p>
        </w:tc>
        <w:tc>
          <w:tcPr>
            <w:tcW w:w="66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0"/>
        </w:trPr>
        <w:tc>
          <w:tcPr>
            <w:tcW w:w="800" w:type="dxa"/>
            <w:vAlign w:val="bottom"/>
            <w:shd w:val="clear" w:color="auto" w:fill="0000EE"/>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37"/>
        </w:trPr>
        <w:tc>
          <w:tcPr>
            <w:tcW w:w="3000" w:type="dxa"/>
            <w:vAlign w:val="bottom"/>
            <w:tcBorders>
              <w:bottom w:val="single" w:sz="8" w:color="0000EE"/>
            </w:tcBorders>
            <w:gridSpan w:val="12"/>
          </w:tcPr>
          <w:p>
            <w:pPr>
              <w:spacing w:after="0"/>
              <w:rPr>
                <w:rFonts w:ascii="Arial" w:cs="Arial" w:eastAsia="Arial" w:hAnsi="Arial"/>
                <w:sz w:val="16"/>
                <w:szCs w:val="16"/>
                <w:color w:val="0000EE"/>
              </w:rPr>
            </w:pPr>
            <w:hyperlink w:anchor="page47">
              <w:r>
                <w:rPr>
                  <w:rFonts w:ascii="Arial" w:cs="Arial" w:eastAsia="Arial" w:hAnsi="Arial"/>
                  <w:sz w:val="16"/>
                  <w:szCs w:val="16"/>
                  <w:color w:val="0000EE"/>
                </w:rPr>
                <w:t>Compensation Program Risk Assessment</w:t>
              </w:r>
            </w:hyperlink>
          </w:p>
        </w:tc>
        <w:tc>
          <w:tcPr>
            <w:tcW w:w="1220" w:type="dxa"/>
            <w:vAlign w:val="bottom"/>
            <w:gridSpan w:val="4"/>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37"/>
        </w:trPr>
        <w:tc>
          <w:tcPr>
            <w:tcW w:w="4220" w:type="dxa"/>
            <w:vAlign w:val="bottom"/>
            <w:gridSpan w:val="16"/>
          </w:tcPr>
          <w:p>
            <w:pPr>
              <w:spacing w:after="0"/>
              <w:rPr>
                <w:rFonts w:ascii="Arial" w:cs="Arial" w:eastAsia="Arial" w:hAnsi="Arial"/>
                <w:sz w:val="16"/>
                <w:szCs w:val="16"/>
                <w:color w:val="0000EE"/>
              </w:rPr>
            </w:pPr>
            <w:hyperlink w:anchor="page48">
              <w:r>
                <w:rPr>
                  <w:rFonts w:ascii="Arial" w:cs="Arial" w:eastAsia="Arial" w:hAnsi="Arial"/>
                  <w:sz w:val="16"/>
                  <w:szCs w:val="16"/>
                  <w:color w:val="0000EE"/>
                </w:rPr>
                <w:t>Considerations Regarding 2017 Compensation</w:t>
              </w:r>
            </w:hyperlink>
          </w:p>
        </w:tc>
        <w:tc>
          <w:tcPr>
            <w:tcW w:w="66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37"/>
        </w:trPr>
        <w:tc>
          <w:tcPr>
            <w:tcW w:w="2300" w:type="dxa"/>
            <w:vAlign w:val="bottom"/>
            <w:tcBorders>
              <w:top w:val="single" w:sz="8" w:color="0000EE"/>
              <w:bottom w:val="single" w:sz="8" w:color="0000EE"/>
            </w:tcBorders>
            <w:gridSpan w:val="7"/>
          </w:tcPr>
          <w:p>
            <w:pPr>
              <w:spacing w:after="0"/>
              <w:rPr>
                <w:rFonts w:ascii="Arial" w:cs="Arial" w:eastAsia="Arial" w:hAnsi="Arial"/>
                <w:sz w:val="16"/>
                <w:szCs w:val="16"/>
                <w:color w:val="0000EE"/>
              </w:rPr>
            </w:pPr>
            <w:hyperlink w:anchor="page53">
              <w:r>
                <w:rPr>
                  <w:rFonts w:ascii="Arial" w:cs="Arial" w:eastAsia="Arial" w:hAnsi="Arial"/>
                  <w:sz w:val="16"/>
                  <w:szCs w:val="16"/>
                  <w:color w:val="0000EE"/>
                </w:rPr>
                <w:t>Stock-Based Awards Generally</w:t>
              </w:r>
            </w:hyperlink>
          </w:p>
        </w:tc>
        <w:tc>
          <w:tcPr>
            <w:tcW w:w="1060" w:type="dxa"/>
            <w:vAlign w:val="bottom"/>
            <w:tcBorders>
              <w:top w:val="single" w:sz="8" w:color="0000EE"/>
            </w:tcBorders>
            <w:gridSpan w:val="6"/>
          </w:tcPr>
          <w:p>
            <w:pPr>
              <w:spacing w:after="0"/>
              <w:rPr>
                <w:sz w:val="20"/>
                <w:szCs w:val="20"/>
                <w:color w:val="auto"/>
              </w:rPr>
            </w:pPr>
          </w:p>
        </w:tc>
        <w:tc>
          <w:tcPr>
            <w:tcW w:w="860" w:type="dxa"/>
            <w:vAlign w:val="bottom"/>
            <w:gridSpan w:val="3"/>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37"/>
        </w:trPr>
        <w:tc>
          <w:tcPr>
            <w:tcW w:w="4220" w:type="dxa"/>
            <w:vAlign w:val="bottom"/>
            <w:gridSpan w:val="16"/>
          </w:tcPr>
          <w:p>
            <w:pPr>
              <w:spacing w:after="0"/>
              <w:rPr>
                <w:rFonts w:ascii="Arial" w:cs="Arial" w:eastAsia="Arial" w:hAnsi="Arial"/>
                <w:sz w:val="16"/>
                <w:szCs w:val="16"/>
                <w:color w:val="0000EE"/>
              </w:rPr>
            </w:pPr>
            <w:hyperlink w:anchor="page53">
              <w:r>
                <w:rPr>
                  <w:rFonts w:ascii="Arial" w:cs="Arial" w:eastAsia="Arial" w:hAnsi="Arial"/>
                  <w:sz w:val="16"/>
                  <w:szCs w:val="16"/>
                  <w:color w:val="0000EE"/>
                </w:rPr>
                <w:t>Stock Ownership Guidelines</w:t>
              </w:r>
            </w:hyperlink>
          </w:p>
        </w:tc>
        <w:tc>
          <w:tcPr>
            <w:tcW w:w="66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37"/>
        </w:trPr>
        <w:tc>
          <w:tcPr>
            <w:tcW w:w="800" w:type="dxa"/>
            <w:vAlign w:val="bottom"/>
            <w:tcBorders>
              <w:top w:val="single" w:sz="8" w:color="0000EE"/>
              <w:bottom w:val="single" w:sz="8" w:color="0000EE"/>
            </w:tcBorders>
          </w:tcPr>
          <w:p>
            <w:pPr>
              <w:spacing w:after="0"/>
              <w:rPr>
                <w:rFonts w:ascii="Arial" w:cs="Arial" w:eastAsia="Arial" w:hAnsi="Arial"/>
                <w:sz w:val="16"/>
                <w:szCs w:val="16"/>
                <w:color w:val="0000EE"/>
                <w:w w:val="98"/>
              </w:rPr>
            </w:pPr>
            <w:hyperlink w:anchor="page54">
              <w:r>
                <w:rPr>
                  <w:rFonts w:ascii="Arial" w:cs="Arial" w:eastAsia="Arial" w:hAnsi="Arial"/>
                  <w:sz w:val="16"/>
                  <w:szCs w:val="16"/>
                  <w:color w:val="0000EE"/>
                  <w:w w:val="98"/>
                </w:rPr>
                <w:t>Perquisites</w:t>
              </w:r>
            </w:hyperlink>
          </w:p>
        </w:tc>
        <w:tc>
          <w:tcPr>
            <w:tcW w:w="1220" w:type="dxa"/>
            <w:vAlign w:val="bottom"/>
            <w:tcBorders>
              <w:top w:val="single" w:sz="8" w:color="0000EE"/>
            </w:tcBorders>
            <w:gridSpan w:val="4"/>
          </w:tcPr>
          <w:p>
            <w:pPr>
              <w:spacing w:after="0"/>
              <w:rPr>
                <w:sz w:val="20"/>
                <w:szCs w:val="20"/>
                <w:color w:val="auto"/>
              </w:rPr>
            </w:pPr>
          </w:p>
        </w:tc>
        <w:tc>
          <w:tcPr>
            <w:tcW w:w="2200" w:type="dxa"/>
            <w:vAlign w:val="bottom"/>
            <w:gridSpan w:val="11"/>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37"/>
        </w:trPr>
        <w:tc>
          <w:tcPr>
            <w:tcW w:w="4220" w:type="dxa"/>
            <w:vAlign w:val="bottom"/>
            <w:gridSpan w:val="16"/>
          </w:tcPr>
          <w:p>
            <w:pPr>
              <w:spacing w:after="0"/>
              <w:rPr>
                <w:rFonts w:ascii="Arial" w:cs="Arial" w:eastAsia="Arial" w:hAnsi="Arial"/>
                <w:sz w:val="16"/>
                <w:szCs w:val="16"/>
                <w:color w:val="0000EE"/>
              </w:rPr>
            </w:pPr>
            <w:hyperlink w:anchor="page54">
              <w:r>
                <w:rPr>
                  <w:rFonts w:ascii="Arial" w:cs="Arial" w:eastAsia="Arial" w:hAnsi="Arial"/>
                  <w:sz w:val="16"/>
                  <w:szCs w:val="16"/>
                  <w:color w:val="0000EE"/>
                </w:rPr>
                <w:t>Retirement and Other Benefits</w:t>
              </w:r>
            </w:hyperlink>
          </w:p>
        </w:tc>
        <w:tc>
          <w:tcPr>
            <w:tcW w:w="66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0"/>
        </w:trPr>
        <w:tc>
          <w:tcPr>
            <w:tcW w:w="2180" w:type="dxa"/>
            <w:vAlign w:val="bottom"/>
            <w:gridSpan w:val="6"/>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gridSpan w:val="9"/>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37"/>
        </w:trPr>
        <w:tc>
          <w:tcPr>
            <w:tcW w:w="4220" w:type="dxa"/>
            <w:vAlign w:val="bottom"/>
            <w:tcBorders>
              <w:bottom w:val="single" w:sz="8" w:color="0000EE"/>
            </w:tcBorders>
            <w:gridSpan w:val="16"/>
          </w:tcPr>
          <w:p>
            <w:pPr>
              <w:spacing w:after="0"/>
              <w:rPr>
                <w:rFonts w:ascii="Arial" w:cs="Arial" w:eastAsia="Arial" w:hAnsi="Arial"/>
                <w:sz w:val="16"/>
                <w:szCs w:val="16"/>
                <w:color w:val="0000EE"/>
              </w:rPr>
            </w:pPr>
            <w:hyperlink w:anchor="page55">
              <w:r>
                <w:rPr>
                  <w:rFonts w:ascii="Arial" w:cs="Arial" w:eastAsia="Arial" w:hAnsi="Arial"/>
                  <w:sz w:val="16"/>
                  <w:szCs w:val="16"/>
                  <w:color w:val="0000EE"/>
                </w:rPr>
                <w:t>Potential Payments upon Termination or Change of Control</w:t>
              </w:r>
            </w:hyperlink>
          </w:p>
        </w:tc>
        <w:tc>
          <w:tcPr>
            <w:tcW w:w="66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37"/>
        </w:trPr>
        <w:tc>
          <w:tcPr>
            <w:tcW w:w="4220" w:type="dxa"/>
            <w:vAlign w:val="bottom"/>
            <w:gridSpan w:val="16"/>
          </w:tcPr>
          <w:p>
            <w:pPr>
              <w:spacing w:after="0"/>
              <w:rPr>
                <w:rFonts w:ascii="Arial" w:cs="Arial" w:eastAsia="Arial" w:hAnsi="Arial"/>
                <w:sz w:val="16"/>
                <w:szCs w:val="16"/>
                <w:color w:val="0000EE"/>
              </w:rPr>
            </w:pPr>
            <w:hyperlink w:anchor="page55">
              <w:r>
                <w:rPr>
                  <w:rFonts w:ascii="Arial" w:cs="Arial" w:eastAsia="Arial" w:hAnsi="Arial"/>
                  <w:sz w:val="16"/>
                  <w:szCs w:val="16"/>
                  <w:color w:val="0000EE"/>
                </w:rPr>
                <w:t>Tax and Accounting Implications</w:t>
              </w:r>
            </w:hyperlink>
          </w:p>
        </w:tc>
        <w:tc>
          <w:tcPr>
            <w:tcW w:w="66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0"/>
        </w:trPr>
        <w:tc>
          <w:tcPr>
            <w:tcW w:w="8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ectPr>
          <w:pgSz w:w="11900" w:h="16838" w:orient="portrait"/>
          <w:cols w:equalWidth="0" w:num="1">
            <w:col w:w="11120"/>
          </w:cols>
          <w:pgMar w:left="240" w:top="455" w:right="539" w:bottom="1143" w:gutter="0" w:footer="0" w:header="0"/>
          <w:type w:val="continuous"/>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77870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7700" cy="778700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center"/>
        <w:ind w:right="-219"/>
        <w:spacing w:after="0"/>
        <w:rPr>
          <w:sz w:val="20"/>
          <w:szCs w:val="20"/>
          <w:color w:val="auto"/>
        </w:rPr>
      </w:pPr>
      <w:r>
        <w:rPr>
          <w:rFonts w:ascii="Arial" w:cs="Arial" w:eastAsia="Arial" w:hAnsi="Arial"/>
          <w:sz w:val="43"/>
          <w:szCs w:val="43"/>
          <w:color w:val="auto"/>
        </w:rPr>
        <w:t>Proxy Summary</w:t>
      </w:r>
    </w:p>
    <w:p>
      <w:pPr>
        <w:spacing w:after="0" w:line="367" w:lineRule="exact"/>
        <w:rPr>
          <w:sz w:val="20"/>
          <w:szCs w:val="20"/>
          <w:color w:val="auto"/>
        </w:rPr>
      </w:pPr>
    </w:p>
    <w:p>
      <w:pPr>
        <w:jc w:val="both"/>
        <w:ind w:left="540" w:right="320"/>
        <w:spacing w:after="0" w:line="261" w:lineRule="auto"/>
        <w:rPr>
          <w:sz w:val="20"/>
          <w:szCs w:val="20"/>
          <w:color w:val="auto"/>
        </w:rPr>
      </w:pPr>
      <w:r>
        <w:rPr>
          <w:rFonts w:ascii="Arial" w:cs="Arial" w:eastAsia="Arial" w:hAnsi="Arial"/>
          <w:sz w:val="16"/>
          <w:szCs w:val="16"/>
          <w:color w:val="auto"/>
        </w:rPr>
        <w:t>This Proxy Summary highlights information about Martin Marietta that can be found elsewhere in this proxy statement. It does not contain all of the information you should consider in voting your shares. We encourage you to read the entire proxy statement for more detailed information on each topic prior to casting your vote. This proxy statement, the proxy card, and the notice of meeting are being sent commencing on approximately April 18, 2018 to shareholders of record on March 9, 2018.</w:t>
      </w:r>
    </w:p>
    <w:p>
      <w:pPr>
        <w:spacing w:after="0" w:line="156" w:lineRule="exact"/>
        <w:rPr>
          <w:sz w:val="20"/>
          <w:szCs w:val="20"/>
          <w:color w:val="auto"/>
        </w:rPr>
      </w:pPr>
    </w:p>
    <w:p>
      <w:pPr>
        <w:ind w:left="540"/>
        <w:spacing w:after="0"/>
        <w:rPr>
          <w:sz w:val="20"/>
          <w:szCs w:val="20"/>
          <w:color w:val="auto"/>
        </w:rPr>
      </w:pPr>
      <w:r>
        <w:rPr>
          <w:rFonts w:ascii="Arial" w:cs="Arial" w:eastAsia="Arial" w:hAnsi="Arial"/>
          <w:sz w:val="25"/>
          <w:szCs w:val="25"/>
          <w:b w:val="1"/>
          <w:bCs w:val="1"/>
          <w:color w:val="007CBA"/>
        </w:rPr>
        <w:t>2018 Annual Meeting of Shareholders</w:t>
      </w:r>
    </w:p>
    <w:p>
      <w:pPr>
        <w:spacing w:after="0" w:line="203" w:lineRule="exact"/>
        <w:rPr>
          <w:sz w:val="20"/>
          <w:szCs w:val="20"/>
          <w:color w:val="auto"/>
        </w:rPr>
      </w:pPr>
    </w:p>
    <w:p>
      <w:pPr>
        <w:ind w:left="700"/>
        <w:spacing w:after="0"/>
        <w:tabs>
          <w:tab w:leader="none" w:pos="2120" w:val="left"/>
          <w:tab w:leader="none" w:pos="4680" w:val="left"/>
          <w:tab w:leader="none" w:pos="5900" w:val="left"/>
        </w:tabs>
        <w:rPr>
          <w:sz w:val="20"/>
          <w:szCs w:val="20"/>
          <w:color w:val="auto"/>
        </w:rPr>
      </w:pPr>
      <w:r>
        <w:rPr>
          <w:rFonts w:ascii="Arial" w:cs="Arial" w:eastAsia="Arial" w:hAnsi="Arial"/>
          <w:sz w:val="17"/>
          <w:szCs w:val="17"/>
          <w:b w:val="1"/>
          <w:bCs w:val="1"/>
          <w:color w:val="007CBA"/>
        </w:rPr>
        <w:t>Meeting Date:</w:t>
      </w:r>
      <w:r>
        <w:rPr>
          <w:sz w:val="20"/>
          <w:szCs w:val="20"/>
          <w:color w:val="auto"/>
        </w:rPr>
        <w:tab/>
      </w:r>
      <w:r>
        <w:rPr>
          <w:rFonts w:ascii="Arial" w:cs="Arial" w:eastAsia="Arial" w:hAnsi="Arial"/>
          <w:sz w:val="16"/>
          <w:szCs w:val="16"/>
          <w:color w:val="auto"/>
        </w:rPr>
        <w:t>May 17, 2018</w:t>
      </w:r>
      <w:r>
        <w:rPr>
          <w:sz w:val="20"/>
          <w:szCs w:val="20"/>
          <w:color w:val="auto"/>
        </w:rPr>
        <w:tab/>
      </w:r>
      <w:r>
        <w:rPr>
          <w:rFonts w:ascii="Arial" w:cs="Arial" w:eastAsia="Arial" w:hAnsi="Arial"/>
          <w:sz w:val="34"/>
          <w:szCs w:val="34"/>
          <w:b w:val="1"/>
          <w:bCs w:val="1"/>
          <w:color w:val="007CBA"/>
          <w:vertAlign w:val="superscript"/>
        </w:rPr>
        <w:t>Place:</w:t>
      </w:r>
      <w:r>
        <w:rPr>
          <w:sz w:val="20"/>
          <w:szCs w:val="20"/>
          <w:color w:val="auto"/>
        </w:rPr>
        <w:tab/>
      </w:r>
      <w:r>
        <w:rPr>
          <w:rFonts w:ascii="Arial" w:cs="Arial" w:eastAsia="Arial" w:hAnsi="Arial"/>
          <w:sz w:val="16"/>
          <w:szCs w:val="16"/>
          <w:color w:val="auto"/>
        </w:rPr>
        <w:t>2710 Wycliff Road, Raleigh, NC</w:t>
      </w:r>
    </w:p>
    <w:p>
      <w:pPr>
        <w:spacing w:after="0" w:line="25" w:lineRule="exact"/>
        <w:rPr>
          <w:sz w:val="20"/>
          <w:szCs w:val="20"/>
          <w:color w:val="auto"/>
        </w:rPr>
      </w:pPr>
    </w:p>
    <w:p>
      <w:pPr>
        <w:ind w:left="700"/>
        <w:spacing w:after="0"/>
        <w:tabs>
          <w:tab w:leader="none" w:pos="2120" w:val="left"/>
          <w:tab w:leader="none" w:pos="4680" w:val="left"/>
          <w:tab w:leader="none" w:pos="5900" w:val="left"/>
        </w:tabs>
        <w:rPr>
          <w:sz w:val="20"/>
          <w:szCs w:val="20"/>
          <w:color w:val="auto"/>
        </w:rPr>
      </w:pPr>
      <w:r>
        <w:rPr>
          <w:rFonts w:ascii="Arial" w:cs="Arial" w:eastAsia="Arial" w:hAnsi="Arial"/>
          <w:sz w:val="17"/>
          <w:szCs w:val="17"/>
          <w:b w:val="1"/>
          <w:bCs w:val="1"/>
          <w:color w:val="007CBA"/>
        </w:rPr>
        <w:t>Time:</w:t>
      </w:r>
      <w:r>
        <w:rPr>
          <w:sz w:val="20"/>
          <w:szCs w:val="20"/>
          <w:color w:val="auto"/>
        </w:rPr>
        <w:tab/>
      </w:r>
      <w:r>
        <w:rPr>
          <w:rFonts w:ascii="Arial" w:cs="Arial" w:eastAsia="Arial" w:hAnsi="Arial"/>
          <w:sz w:val="16"/>
          <w:szCs w:val="16"/>
          <w:color w:val="auto"/>
        </w:rPr>
        <w:t>11:30 am ET</w:t>
      </w:r>
      <w:r>
        <w:rPr>
          <w:sz w:val="20"/>
          <w:szCs w:val="20"/>
          <w:color w:val="auto"/>
        </w:rPr>
        <w:tab/>
      </w:r>
      <w:r>
        <w:rPr>
          <w:rFonts w:ascii="Arial" w:cs="Arial" w:eastAsia="Arial" w:hAnsi="Arial"/>
          <w:sz w:val="16"/>
          <w:szCs w:val="16"/>
          <w:b w:val="1"/>
          <w:bCs w:val="1"/>
          <w:color w:val="007CBA"/>
        </w:rPr>
        <w:t>Record Date:</w:t>
      </w:r>
      <w:r>
        <w:rPr>
          <w:sz w:val="20"/>
          <w:szCs w:val="20"/>
          <w:color w:val="auto"/>
        </w:rPr>
        <w:tab/>
      </w:r>
      <w:r>
        <w:rPr>
          <w:rFonts w:ascii="Arial" w:cs="Arial" w:eastAsia="Arial" w:hAnsi="Arial"/>
          <w:sz w:val="16"/>
          <w:szCs w:val="16"/>
          <w:color w:val="auto"/>
        </w:rPr>
        <w:t>March 9, 2018</w:t>
      </w:r>
    </w:p>
    <w:p>
      <w:pPr>
        <w:spacing w:after="0" w:line="333" w:lineRule="exact"/>
        <w:rPr>
          <w:sz w:val="20"/>
          <w:szCs w:val="20"/>
          <w:color w:val="auto"/>
        </w:rPr>
      </w:pPr>
    </w:p>
    <w:p>
      <w:pPr>
        <w:jc w:val="both"/>
        <w:ind w:left="540" w:right="320"/>
        <w:spacing w:after="0" w:line="291" w:lineRule="auto"/>
        <w:rPr>
          <w:sz w:val="20"/>
          <w:szCs w:val="20"/>
          <w:color w:val="auto"/>
        </w:rPr>
      </w:pPr>
      <w:r>
        <w:rPr>
          <w:rFonts w:ascii="Arial" w:cs="Arial" w:eastAsia="Arial" w:hAnsi="Arial"/>
          <w:sz w:val="16"/>
          <w:szCs w:val="16"/>
          <w:color w:val="auto"/>
        </w:rPr>
        <w:t>Your vote is important. You may vote in person at the Annual Meeting or submit a proxy over the internet. If you have received a paper copy of the proxy card (or if you request a paper copy of the materials), you may submit a proxy by telephone or by mail.</w:t>
      </w:r>
    </w:p>
    <w:p>
      <w:pPr>
        <w:sectPr>
          <w:pgSz w:w="11900" w:h="16838" w:orient="portrait"/>
          <w:cols w:equalWidth="0" w:num="1">
            <w:col w:w="11220"/>
          </w:cols>
          <w:pgMar w:left="240" w:top="455" w:right="439" w:bottom="1440" w:gutter="0" w:footer="0" w:header="0"/>
        </w:sectPr>
      </w:pPr>
    </w:p>
    <w:p>
      <w:pPr>
        <w:spacing w:after="0" w:line="173" w:lineRule="exact"/>
        <w:rPr>
          <w:sz w:val="20"/>
          <w:szCs w:val="20"/>
          <w:color w:val="auto"/>
        </w:rPr>
      </w:pPr>
    </w:p>
    <w:p>
      <w:pPr>
        <w:ind w:left="1520"/>
        <w:spacing w:after="0"/>
        <w:rPr>
          <w:sz w:val="20"/>
          <w:szCs w:val="20"/>
          <w:color w:val="auto"/>
        </w:rPr>
      </w:pPr>
      <w:r>
        <w:rPr>
          <w:rFonts w:ascii="Arial" w:cs="Arial" w:eastAsia="Arial" w:hAnsi="Arial"/>
          <w:sz w:val="16"/>
          <w:szCs w:val="16"/>
          <w:b w:val="1"/>
          <w:bCs w:val="1"/>
          <w:color w:val="007CBA"/>
        </w:rPr>
        <w:t>Via the Internet</w:t>
      </w:r>
    </w:p>
    <w:p>
      <w:pPr>
        <w:spacing w:after="0" w:line="237"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www.voteproxy.com.</w:t>
      </w:r>
    </w:p>
    <w:p>
      <w:pPr>
        <w:spacing w:after="0" w:line="314" w:lineRule="exact"/>
        <w:rPr>
          <w:sz w:val="20"/>
          <w:szCs w:val="20"/>
          <w:color w:val="auto"/>
        </w:rPr>
      </w:pPr>
    </w:p>
    <w:p>
      <w:pPr>
        <w:ind w:left="1520"/>
        <w:spacing w:after="0"/>
        <w:rPr>
          <w:sz w:val="20"/>
          <w:szCs w:val="20"/>
          <w:color w:val="auto"/>
        </w:rPr>
      </w:pPr>
      <w:r>
        <w:rPr>
          <w:rFonts w:ascii="Arial" w:cs="Arial" w:eastAsia="Arial" w:hAnsi="Arial"/>
          <w:sz w:val="16"/>
          <w:szCs w:val="16"/>
          <w:b w:val="1"/>
          <w:bCs w:val="1"/>
          <w:color w:val="007CBA"/>
        </w:rPr>
        <w:t>By Telephone</w:t>
      </w:r>
    </w:p>
    <w:p>
      <w:pPr>
        <w:spacing w:after="0" w:line="242" w:lineRule="exact"/>
        <w:rPr>
          <w:sz w:val="20"/>
          <w:szCs w:val="20"/>
          <w:color w:val="auto"/>
        </w:rPr>
      </w:pPr>
    </w:p>
    <w:p>
      <w:pPr>
        <w:ind w:left="1520"/>
        <w:spacing w:after="0"/>
        <w:rPr>
          <w:sz w:val="20"/>
          <w:szCs w:val="20"/>
          <w:color w:val="auto"/>
        </w:rPr>
      </w:pPr>
      <w:r>
        <w:rPr>
          <w:rFonts w:ascii="Arial" w:cs="Arial" w:eastAsia="Arial" w:hAnsi="Arial"/>
          <w:sz w:val="14"/>
          <w:szCs w:val="14"/>
          <w:color w:val="auto"/>
        </w:rPr>
        <w:t>1-800-PROXIES (1-800-776-9437)</w:t>
      </w:r>
    </w:p>
    <w:p>
      <w:pPr>
        <w:spacing w:after="0" w:line="16" w:lineRule="exact"/>
        <w:rPr>
          <w:sz w:val="20"/>
          <w:szCs w:val="20"/>
          <w:color w:val="auto"/>
        </w:rPr>
      </w:pPr>
    </w:p>
    <w:p>
      <w:pPr>
        <w:ind w:left="1520" w:right="1060"/>
        <w:spacing w:after="0" w:line="265" w:lineRule="auto"/>
        <w:rPr>
          <w:sz w:val="20"/>
          <w:szCs w:val="20"/>
          <w:color w:val="auto"/>
        </w:rPr>
      </w:pPr>
      <w:r>
        <w:rPr>
          <w:rFonts w:ascii="Arial" w:cs="Arial" w:eastAsia="Arial" w:hAnsi="Arial"/>
          <w:sz w:val="16"/>
          <w:szCs w:val="16"/>
          <w:color w:val="auto"/>
        </w:rPr>
        <w:t>in the United States or 1-718-921-8500 from outside the United States.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007CBA"/>
        </w:rPr>
        <w:t>In Person</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Attend the Annual Meeting and vote by ballot.</w:t>
      </w: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b w:val="1"/>
          <w:bCs w:val="1"/>
          <w:color w:val="007CBA"/>
        </w:rPr>
        <w:t>By Mail</w:t>
      </w:r>
    </w:p>
    <w:p>
      <w:pPr>
        <w:spacing w:after="0" w:line="237" w:lineRule="exact"/>
        <w:rPr>
          <w:sz w:val="20"/>
          <w:szCs w:val="20"/>
          <w:color w:val="auto"/>
        </w:rPr>
      </w:pPr>
    </w:p>
    <w:p>
      <w:pPr>
        <w:ind w:right="480"/>
        <w:spacing w:after="0" w:line="291" w:lineRule="auto"/>
        <w:rPr>
          <w:sz w:val="20"/>
          <w:szCs w:val="20"/>
          <w:color w:val="auto"/>
        </w:rPr>
      </w:pPr>
      <w:r>
        <w:rPr>
          <w:rFonts w:ascii="Arial" w:cs="Arial" w:eastAsia="Arial" w:hAnsi="Arial"/>
          <w:sz w:val="16"/>
          <w:szCs w:val="16"/>
          <w:color w:val="auto"/>
        </w:rPr>
        <w:t>Sign, date and mail your proxy card in the envelope provided.</w:t>
      </w:r>
    </w:p>
    <w:p>
      <w:pPr>
        <w:spacing w:after="0" w:line="323" w:lineRule="exact"/>
        <w:rPr>
          <w:sz w:val="20"/>
          <w:szCs w:val="20"/>
          <w:color w:val="auto"/>
        </w:rPr>
      </w:pPr>
    </w:p>
    <w:p>
      <w:pPr>
        <w:sectPr>
          <w:pgSz w:w="11900" w:h="16838" w:orient="portrait"/>
          <w:cols w:equalWidth="0" w:num="2">
            <w:col w:w="6320" w:space="720"/>
            <w:col w:w="4180"/>
          </w:cols>
          <w:pgMar w:left="240" w:top="455" w:right="439" w:bottom="1440" w:gutter="0" w:footer="0" w:header="0"/>
          <w:type w:val="continuous"/>
        </w:sectPr>
      </w:pPr>
    </w:p>
    <w:p>
      <w:pPr>
        <w:ind w:left="540"/>
        <w:spacing w:after="0"/>
        <w:rPr>
          <w:sz w:val="20"/>
          <w:szCs w:val="20"/>
          <w:color w:val="auto"/>
        </w:rPr>
      </w:pPr>
      <w:r>
        <w:rPr>
          <w:rFonts w:ascii="Arial" w:cs="Arial" w:eastAsia="Arial" w:hAnsi="Arial"/>
          <w:sz w:val="16"/>
          <w:szCs w:val="16"/>
          <w:color w:val="auto"/>
        </w:rPr>
        <w:t>If you submit your proxy by telephone or over the internet, you do not need to return your proxy card by mail.</w:t>
      </w:r>
    </w:p>
    <w:p>
      <w:pPr>
        <w:spacing w:after="0" w:line="277" w:lineRule="exact"/>
        <w:rPr>
          <w:sz w:val="20"/>
          <w:szCs w:val="20"/>
          <w:color w:val="auto"/>
        </w:rPr>
      </w:pPr>
    </w:p>
    <w:p>
      <w:pPr>
        <w:ind w:left="540"/>
        <w:spacing w:after="0"/>
        <w:rPr>
          <w:sz w:val="20"/>
          <w:szCs w:val="20"/>
          <w:color w:val="auto"/>
        </w:rPr>
      </w:pPr>
      <w:r>
        <w:rPr>
          <w:rFonts w:ascii="Arial" w:cs="Arial" w:eastAsia="Arial" w:hAnsi="Arial"/>
          <w:sz w:val="17"/>
          <w:szCs w:val="17"/>
          <w:b w:val="1"/>
          <w:bCs w:val="1"/>
          <w:color w:val="auto"/>
        </w:rPr>
        <w:t>PROPOSALS AND VOTING RECOMMENDATIONS</w:t>
      </w:r>
    </w:p>
    <w:p>
      <w:pPr>
        <w:spacing w:after="0" w:line="118" w:lineRule="exact"/>
        <w:rPr>
          <w:sz w:val="20"/>
          <w:szCs w:val="20"/>
          <w:color w:val="auto"/>
        </w:rPr>
      </w:pPr>
    </w:p>
    <w:tbl>
      <w:tblPr>
        <w:tblLayout w:type="fixed"/>
        <w:tblInd w:w="540" w:type="dxa"/>
        <w:tblCellMar>
          <w:top w:w="0" w:type="dxa"/>
          <w:left w:w="0" w:type="dxa"/>
          <w:bottom w:w="0" w:type="dxa"/>
          <w:right w:w="0" w:type="dxa"/>
        </w:tblCellMar>
      </w:tblPr>
      <w:tr>
        <w:trPr>
          <w:trHeight w:val="189"/>
        </w:trPr>
        <w:tc>
          <w:tcPr>
            <w:tcW w:w="940" w:type="dxa"/>
            <w:vAlign w:val="bottom"/>
            <w:shd w:val="clear" w:color="auto" w:fill="007CBA"/>
          </w:tcPr>
          <w:p>
            <w:pPr>
              <w:ind w:left="80"/>
              <w:spacing w:after="0"/>
              <w:rPr>
                <w:sz w:val="20"/>
                <w:szCs w:val="20"/>
                <w:color w:val="auto"/>
              </w:rPr>
            </w:pPr>
            <w:r>
              <w:rPr>
                <w:rFonts w:ascii="Arial" w:cs="Arial" w:eastAsia="Arial" w:hAnsi="Arial"/>
                <w:sz w:val="16"/>
                <w:szCs w:val="16"/>
                <w:b w:val="1"/>
                <w:bCs w:val="1"/>
                <w:color w:val="FFFFFF"/>
              </w:rPr>
              <w:t>Proposal</w:t>
            </w:r>
          </w:p>
        </w:tc>
        <w:tc>
          <w:tcPr>
            <w:tcW w:w="4880" w:type="dxa"/>
            <w:vAlign w:val="bottom"/>
            <w:shd w:val="clear" w:color="auto" w:fill="007CBA"/>
          </w:tcPr>
          <w:p>
            <w:pPr>
              <w:ind w:left="140"/>
              <w:spacing w:after="0"/>
              <w:rPr>
                <w:sz w:val="20"/>
                <w:szCs w:val="20"/>
                <w:color w:val="auto"/>
              </w:rPr>
            </w:pPr>
            <w:r>
              <w:rPr>
                <w:rFonts w:ascii="Arial" w:cs="Arial" w:eastAsia="Arial" w:hAnsi="Arial"/>
                <w:sz w:val="16"/>
                <w:szCs w:val="16"/>
                <w:b w:val="1"/>
                <w:bCs w:val="1"/>
                <w:color w:val="FFFFFF"/>
              </w:rPr>
              <w:t>Description</w:t>
            </w:r>
          </w:p>
        </w:tc>
        <w:tc>
          <w:tcPr>
            <w:tcW w:w="3780" w:type="dxa"/>
            <w:vAlign w:val="bottom"/>
            <w:shd w:val="clear" w:color="auto" w:fill="007CBA"/>
          </w:tcPr>
          <w:p>
            <w:pPr>
              <w:ind w:left="800"/>
              <w:spacing w:after="0"/>
              <w:rPr>
                <w:sz w:val="20"/>
                <w:szCs w:val="20"/>
                <w:color w:val="auto"/>
              </w:rPr>
            </w:pPr>
            <w:r>
              <w:rPr>
                <w:rFonts w:ascii="Arial" w:cs="Arial" w:eastAsia="Arial" w:hAnsi="Arial"/>
                <w:sz w:val="16"/>
                <w:szCs w:val="16"/>
                <w:b w:val="1"/>
                <w:bCs w:val="1"/>
                <w:color w:val="FFFFFF"/>
              </w:rPr>
              <w:t>Board Voting Recommendation</w:t>
            </w:r>
          </w:p>
        </w:tc>
        <w:tc>
          <w:tcPr>
            <w:tcW w:w="760" w:type="dxa"/>
            <w:vAlign w:val="bottom"/>
            <w:shd w:val="clear" w:color="auto" w:fill="007CBA"/>
          </w:tcPr>
          <w:p>
            <w:pPr>
              <w:jc w:val="right"/>
              <w:ind w:right="79"/>
              <w:spacing w:after="0"/>
              <w:rPr>
                <w:sz w:val="20"/>
                <w:szCs w:val="20"/>
                <w:color w:val="auto"/>
              </w:rPr>
            </w:pPr>
            <w:r>
              <w:rPr>
                <w:rFonts w:ascii="Arial" w:cs="Arial" w:eastAsia="Arial" w:hAnsi="Arial"/>
                <w:sz w:val="16"/>
                <w:szCs w:val="16"/>
                <w:b w:val="1"/>
                <w:bCs w:val="1"/>
                <w:color w:val="FFFFFF"/>
              </w:rPr>
              <w:t>Page</w:t>
            </w:r>
          </w:p>
        </w:tc>
        <w:tc>
          <w:tcPr>
            <w:tcW w:w="0" w:type="dxa"/>
            <w:vAlign w:val="bottom"/>
          </w:tcPr>
          <w:p>
            <w:pPr>
              <w:spacing w:after="0"/>
              <w:rPr>
                <w:sz w:val="1"/>
                <w:szCs w:val="1"/>
                <w:color w:val="auto"/>
              </w:rPr>
            </w:pPr>
          </w:p>
        </w:tc>
      </w:tr>
      <w:tr>
        <w:trPr>
          <w:trHeight w:val="216"/>
        </w:trPr>
        <w:tc>
          <w:tcPr>
            <w:tcW w:w="940" w:type="dxa"/>
            <w:vAlign w:val="bottom"/>
            <w:tcBorders>
              <w:bottom w:val="single" w:sz="8" w:color="007CBA"/>
            </w:tcBorders>
          </w:tcPr>
          <w:p>
            <w:pPr>
              <w:ind w:left="60"/>
              <w:spacing w:after="0"/>
              <w:rPr>
                <w:sz w:val="20"/>
                <w:szCs w:val="20"/>
                <w:color w:val="auto"/>
              </w:rPr>
            </w:pPr>
            <w:r>
              <w:rPr>
                <w:rFonts w:ascii="Arial" w:cs="Arial" w:eastAsia="Arial" w:hAnsi="Arial"/>
                <w:sz w:val="16"/>
                <w:szCs w:val="16"/>
                <w:color w:val="auto"/>
              </w:rPr>
              <w:t>1</w:t>
            </w:r>
          </w:p>
        </w:tc>
        <w:tc>
          <w:tcPr>
            <w:tcW w:w="4880" w:type="dxa"/>
            <w:vAlign w:val="bottom"/>
            <w:tcBorders>
              <w:bottom w:val="single" w:sz="8" w:color="007CBA"/>
            </w:tcBorders>
          </w:tcPr>
          <w:p>
            <w:pPr>
              <w:ind w:left="140"/>
              <w:spacing w:after="0"/>
              <w:rPr>
                <w:sz w:val="20"/>
                <w:szCs w:val="20"/>
                <w:color w:val="auto"/>
              </w:rPr>
            </w:pPr>
            <w:r>
              <w:rPr>
                <w:rFonts w:ascii="Arial" w:cs="Arial" w:eastAsia="Arial" w:hAnsi="Arial"/>
                <w:sz w:val="16"/>
                <w:szCs w:val="16"/>
                <w:color w:val="auto"/>
              </w:rPr>
              <w:t>Election of Seven Director Nominees</w:t>
            </w:r>
          </w:p>
        </w:tc>
        <w:tc>
          <w:tcPr>
            <w:tcW w:w="3780" w:type="dxa"/>
            <w:vAlign w:val="bottom"/>
            <w:tcBorders>
              <w:bottom w:val="single" w:sz="8" w:color="007CBA"/>
            </w:tcBorders>
          </w:tcPr>
          <w:p>
            <w:pPr>
              <w:ind w:left="1080"/>
              <w:spacing w:after="0"/>
              <w:rPr>
                <w:sz w:val="20"/>
                <w:szCs w:val="20"/>
                <w:color w:val="auto"/>
              </w:rPr>
            </w:pPr>
            <w:r>
              <w:rPr>
                <w:rFonts w:ascii="Arial" w:cs="Arial" w:eastAsia="Arial" w:hAnsi="Arial"/>
                <w:sz w:val="16"/>
                <w:szCs w:val="16"/>
                <w:color w:val="auto"/>
              </w:rPr>
              <w:t>FOR ALL DIRECTOR NOMINEES</w:t>
            </w:r>
          </w:p>
        </w:tc>
        <w:tc>
          <w:tcPr>
            <w:tcW w:w="760" w:type="dxa"/>
            <w:vAlign w:val="bottom"/>
            <w:tcBorders>
              <w:bottom w:val="single" w:sz="8" w:color="007CBA"/>
            </w:tcBorders>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64"/>
        </w:trPr>
        <w:tc>
          <w:tcPr>
            <w:tcW w:w="940" w:type="dxa"/>
            <w:vAlign w:val="bottom"/>
            <w:vMerge w:val="restart"/>
          </w:tcPr>
          <w:p>
            <w:pPr>
              <w:ind w:left="60"/>
              <w:spacing w:after="0"/>
              <w:rPr>
                <w:sz w:val="20"/>
                <w:szCs w:val="20"/>
                <w:color w:val="auto"/>
              </w:rPr>
            </w:pPr>
            <w:r>
              <w:rPr>
                <w:rFonts w:ascii="Arial" w:cs="Arial" w:eastAsia="Arial" w:hAnsi="Arial"/>
                <w:sz w:val="16"/>
                <w:szCs w:val="16"/>
                <w:color w:val="auto"/>
              </w:rPr>
              <w:t>2</w:t>
            </w:r>
          </w:p>
        </w:tc>
        <w:tc>
          <w:tcPr>
            <w:tcW w:w="4880" w:type="dxa"/>
            <w:vAlign w:val="bottom"/>
          </w:tcPr>
          <w:p>
            <w:pPr>
              <w:ind w:left="140"/>
              <w:spacing w:after="0" w:line="165" w:lineRule="exact"/>
              <w:rPr>
                <w:sz w:val="20"/>
                <w:szCs w:val="20"/>
                <w:color w:val="auto"/>
              </w:rPr>
            </w:pPr>
            <w:r>
              <w:rPr>
                <w:rFonts w:ascii="Arial" w:cs="Arial" w:eastAsia="Arial" w:hAnsi="Arial"/>
                <w:sz w:val="16"/>
                <w:szCs w:val="16"/>
                <w:color w:val="auto"/>
              </w:rPr>
              <w:t>Ratification of the appointment of</w:t>
            </w:r>
          </w:p>
        </w:tc>
        <w:tc>
          <w:tcPr>
            <w:tcW w:w="3780" w:type="dxa"/>
            <w:vAlign w:val="bottom"/>
            <w:vMerge w:val="restart"/>
          </w:tcPr>
          <w:p>
            <w:pPr>
              <w:ind w:left="1080"/>
              <w:spacing w:after="0"/>
              <w:rPr>
                <w:sz w:val="20"/>
                <w:szCs w:val="20"/>
                <w:color w:val="auto"/>
              </w:rPr>
            </w:pPr>
            <w:r>
              <w:rPr>
                <w:rFonts w:ascii="Arial" w:cs="Arial" w:eastAsia="Arial" w:hAnsi="Arial"/>
                <w:sz w:val="16"/>
                <w:szCs w:val="16"/>
                <w:color w:val="auto"/>
              </w:rPr>
              <w:t>FOR</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38"/>
        </w:trPr>
        <w:tc>
          <w:tcPr>
            <w:tcW w:w="940" w:type="dxa"/>
            <w:vAlign w:val="bottom"/>
            <w:vMerge w:val="continue"/>
          </w:tcPr>
          <w:p>
            <w:pPr>
              <w:spacing w:after="0"/>
              <w:rPr>
                <w:sz w:val="11"/>
                <w:szCs w:val="11"/>
                <w:color w:val="auto"/>
              </w:rPr>
            </w:pPr>
          </w:p>
        </w:tc>
        <w:tc>
          <w:tcPr>
            <w:tcW w:w="4880" w:type="dxa"/>
            <w:vAlign w:val="bottom"/>
            <w:vMerge w:val="restart"/>
          </w:tcPr>
          <w:p>
            <w:pPr>
              <w:ind w:left="140"/>
              <w:spacing w:after="0"/>
              <w:rPr>
                <w:sz w:val="20"/>
                <w:szCs w:val="20"/>
                <w:color w:val="auto"/>
              </w:rPr>
            </w:pPr>
            <w:r>
              <w:rPr>
                <w:rFonts w:ascii="Arial" w:cs="Arial" w:eastAsia="Arial" w:hAnsi="Arial"/>
                <w:sz w:val="16"/>
                <w:szCs w:val="16"/>
                <w:color w:val="auto"/>
              </w:rPr>
              <w:t>PricewaterhouseCoopers LLP as independent auditors</w:t>
            </w:r>
          </w:p>
        </w:tc>
        <w:tc>
          <w:tcPr>
            <w:tcW w:w="3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940" w:type="dxa"/>
            <w:vAlign w:val="bottom"/>
            <w:tcBorders>
              <w:bottom w:val="single" w:sz="8" w:color="007CBA"/>
            </w:tcBorders>
          </w:tcPr>
          <w:p>
            <w:pPr>
              <w:spacing w:after="0"/>
              <w:rPr>
                <w:sz w:val="6"/>
                <w:szCs w:val="6"/>
                <w:color w:val="auto"/>
              </w:rPr>
            </w:pPr>
          </w:p>
        </w:tc>
        <w:tc>
          <w:tcPr>
            <w:tcW w:w="4880" w:type="dxa"/>
            <w:vAlign w:val="bottom"/>
            <w:tcBorders>
              <w:bottom w:val="single" w:sz="8" w:color="007CBA"/>
            </w:tcBorders>
            <w:vMerge w:val="continue"/>
          </w:tcPr>
          <w:p>
            <w:pPr>
              <w:spacing w:after="0"/>
              <w:rPr>
                <w:sz w:val="6"/>
                <w:szCs w:val="6"/>
                <w:color w:val="auto"/>
              </w:rPr>
            </w:pPr>
          </w:p>
        </w:tc>
        <w:tc>
          <w:tcPr>
            <w:tcW w:w="3780" w:type="dxa"/>
            <w:vAlign w:val="bottom"/>
            <w:tcBorders>
              <w:bottom w:val="single" w:sz="8" w:color="007CBA"/>
            </w:tcBorders>
          </w:tcPr>
          <w:p>
            <w:pPr>
              <w:spacing w:after="0"/>
              <w:rPr>
                <w:sz w:val="6"/>
                <w:szCs w:val="6"/>
                <w:color w:val="auto"/>
              </w:rPr>
            </w:pPr>
          </w:p>
        </w:tc>
        <w:tc>
          <w:tcPr>
            <w:tcW w:w="760" w:type="dxa"/>
            <w:vAlign w:val="bottom"/>
            <w:tcBorders>
              <w:bottom w:val="single" w:sz="8" w:color="007CBA"/>
            </w:tcBorders>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940" w:type="dxa"/>
            <w:vAlign w:val="bottom"/>
            <w:tcBorders>
              <w:bottom w:val="single" w:sz="8" w:color="007CBA"/>
            </w:tcBorders>
          </w:tcPr>
          <w:p>
            <w:pPr>
              <w:ind w:left="60"/>
              <w:spacing w:after="0"/>
              <w:rPr>
                <w:sz w:val="20"/>
                <w:szCs w:val="20"/>
                <w:color w:val="auto"/>
              </w:rPr>
            </w:pPr>
            <w:r>
              <w:rPr>
                <w:rFonts w:ascii="Arial" w:cs="Arial" w:eastAsia="Arial" w:hAnsi="Arial"/>
                <w:sz w:val="16"/>
                <w:szCs w:val="16"/>
                <w:color w:val="auto"/>
              </w:rPr>
              <w:t>3</w:t>
            </w:r>
          </w:p>
        </w:tc>
        <w:tc>
          <w:tcPr>
            <w:tcW w:w="4880" w:type="dxa"/>
            <w:vAlign w:val="bottom"/>
            <w:tcBorders>
              <w:bottom w:val="single" w:sz="8" w:color="007CBA"/>
            </w:tcBorders>
          </w:tcPr>
          <w:p>
            <w:pPr>
              <w:ind w:left="140"/>
              <w:spacing w:after="0"/>
              <w:rPr>
                <w:sz w:val="20"/>
                <w:szCs w:val="20"/>
                <w:color w:val="auto"/>
              </w:rPr>
            </w:pPr>
            <w:r>
              <w:rPr>
                <w:rFonts w:ascii="Arial" w:cs="Arial" w:eastAsia="Arial" w:hAnsi="Arial"/>
                <w:sz w:val="16"/>
                <w:szCs w:val="16"/>
                <w:color w:val="auto"/>
              </w:rPr>
              <w:t>Advisory Vote on Company’s Executive Compensation</w:t>
            </w:r>
          </w:p>
        </w:tc>
        <w:tc>
          <w:tcPr>
            <w:tcW w:w="3780" w:type="dxa"/>
            <w:vAlign w:val="bottom"/>
            <w:tcBorders>
              <w:bottom w:val="single" w:sz="8" w:color="007CBA"/>
            </w:tcBorders>
          </w:tcPr>
          <w:p>
            <w:pPr>
              <w:ind w:left="1080"/>
              <w:spacing w:after="0"/>
              <w:rPr>
                <w:sz w:val="20"/>
                <w:szCs w:val="20"/>
                <w:color w:val="auto"/>
              </w:rPr>
            </w:pPr>
            <w:r>
              <w:rPr>
                <w:rFonts w:ascii="Arial" w:cs="Arial" w:eastAsia="Arial" w:hAnsi="Arial"/>
                <w:sz w:val="16"/>
                <w:szCs w:val="16"/>
                <w:color w:val="auto"/>
              </w:rPr>
              <w:t>FOR</w:t>
            </w:r>
          </w:p>
        </w:tc>
        <w:tc>
          <w:tcPr>
            <w:tcW w:w="760" w:type="dxa"/>
            <w:vAlign w:val="bottom"/>
            <w:tcBorders>
              <w:bottom w:val="single" w:sz="8" w:color="007CBA"/>
            </w:tcBorders>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2821305</wp:posOffset>
            </wp:positionV>
            <wp:extent cx="411480" cy="2489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9260" w:type="dxa"/>
        <w:tblCellMar>
          <w:top w:w="0" w:type="dxa"/>
          <w:left w:w="0" w:type="dxa"/>
          <w:bottom w:w="0" w:type="dxa"/>
          <w:right w:w="0" w:type="dxa"/>
        </w:tblCellMar>
      </w:tblPr>
      <w:tr>
        <w:trPr>
          <w:trHeight w:val="178"/>
        </w:trPr>
        <w:tc>
          <w:tcPr>
            <w:tcW w:w="1720" w:type="dxa"/>
            <w:vAlign w:val="bottom"/>
          </w:tcPr>
          <w:p>
            <w:pPr>
              <w:spacing w:after="0"/>
              <w:rPr>
                <w:sz w:val="20"/>
                <w:szCs w:val="20"/>
                <w:color w:val="auto"/>
              </w:rPr>
            </w:pPr>
            <w:r>
              <w:rPr>
                <w:rFonts w:ascii="Arial" w:cs="Arial" w:eastAsia="Arial" w:hAnsi="Arial"/>
                <w:sz w:val="13"/>
                <w:szCs w:val="13"/>
                <w:color w:val="007CBA"/>
              </w:rPr>
              <w:t>2018 PROXY STATEMENT</w:t>
            </w:r>
          </w:p>
        </w:tc>
        <w:tc>
          <w:tcPr>
            <w:tcW w:w="240" w:type="dxa"/>
            <w:vAlign w:val="bottom"/>
          </w:tcPr>
          <w:p>
            <w:pPr>
              <w:jc w:val="right"/>
              <w:spacing w:after="0"/>
              <w:rPr>
                <w:sz w:val="20"/>
                <w:szCs w:val="20"/>
                <w:color w:val="auto"/>
              </w:rPr>
            </w:pPr>
            <w:r>
              <w:rPr>
                <w:rFonts w:ascii="Arial" w:cs="Arial" w:eastAsia="Arial" w:hAnsi="Arial"/>
                <w:sz w:val="13"/>
                <w:szCs w:val="13"/>
                <w:b w:val="1"/>
                <w:bCs w:val="1"/>
                <w:color w:val="auto"/>
              </w:rPr>
              <w:t>1</w:t>
            </w:r>
          </w:p>
        </w:tc>
      </w:tr>
    </w:tbl>
    <w:p>
      <w:pPr>
        <w:sectPr>
          <w:pgSz w:w="11900" w:h="16838" w:orient="portrait"/>
          <w:cols w:equalWidth="0" w:num="1">
            <w:col w:w="11220"/>
          </w:cols>
          <w:pgMar w:left="240" w:top="455" w:right="439" w:bottom="1440" w:gutter="0" w:footer="0" w:header="0"/>
          <w:type w:val="continuous"/>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71094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7700" cy="7109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40"/>
        <w:spacing w:after="0"/>
        <w:rPr>
          <w:sz w:val="20"/>
          <w:szCs w:val="20"/>
          <w:color w:val="auto"/>
        </w:rPr>
      </w:pPr>
      <w:r>
        <w:rPr>
          <w:rFonts w:ascii="Arial" w:cs="Arial" w:eastAsia="Arial" w:hAnsi="Arial"/>
          <w:sz w:val="25"/>
          <w:szCs w:val="25"/>
          <w:b w:val="1"/>
          <w:bCs w:val="1"/>
          <w:color w:val="007CBA"/>
        </w:rPr>
        <w:t>Shareholders Benefit from Martin Marietta’s Record 2017 Performance</w:t>
      </w:r>
    </w:p>
    <w:p>
      <w:pPr>
        <w:spacing w:after="0" w:line="173" w:lineRule="exact"/>
        <w:rPr>
          <w:sz w:val="20"/>
          <w:szCs w:val="20"/>
          <w:color w:val="auto"/>
        </w:rPr>
      </w:pPr>
    </w:p>
    <w:p>
      <w:pPr>
        <w:ind w:left="960"/>
        <w:spacing w:after="0"/>
        <w:rPr>
          <w:sz w:val="20"/>
          <w:szCs w:val="20"/>
          <w:color w:val="auto"/>
        </w:rPr>
      </w:pPr>
      <w:r>
        <w:rPr>
          <w:rFonts w:ascii="Arial" w:cs="Arial" w:eastAsia="Arial" w:hAnsi="Arial"/>
          <w:sz w:val="16"/>
          <w:szCs w:val="16"/>
          <w:color w:val="auto"/>
        </w:rPr>
        <w:t xml:space="preserve">Record total revenues of almost $4.0 billion </w:t>
      </w:r>
      <w:r>
        <w:rPr>
          <w:rFonts w:ascii="Arial" w:cs="Arial" w:eastAsia="Arial" w:hAnsi="Arial"/>
          <w:sz w:val="16"/>
          <w:szCs w:val="16"/>
          <w:b w:val="1"/>
          <w:bCs w:val="1"/>
          <w:color w:val="auto"/>
        </w:rPr>
        <w:t>up 3.9%</w:t>
      </w:r>
      <w:r>
        <w:rPr>
          <w:rFonts w:ascii="Arial" w:cs="Arial" w:eastAsia="Arial" w:hAnsi="Arial"/>
          <w:sz w:val="16"/>
          <w:szCs w:val="16"/>
          <w:color w:val="auto"/>
        </w:rPr>
        <w:t xml:space="preserve"> from 2016</w:t>
      </w:r>
    </w:p>
    <w:p>
      <w:pPr>
        <w:spacing w:after="0" w:line="154" w:lineRule="exact"/>
        <w:rPr>
          <w:sz w:val="20"/>
          <w:szCs w:val="20"/>
          <w:color w:val="auto"/>
        </w:rPr>
      </w:pPr>
    </w:p>
    <w:p>
      <w:pPr>
        <w:ind w:left="960" w:right="4059"/>
        <w:spacing w:after="0" w:line="440" w:lineRule="auto"/>
        <w:rPr>
          <w:sz w:val="20"/>
          <w:szCs w:val="20"/>
          <w:color w:val="auto"/>
        </w:rPr>
      </w:pPr>
      <w:r>
        <w:rPr>
          <w:rFonts w:ascii="Arial" w:cs="Arial" w:eastAsia="Arial" w:hAnsi="Arial"/>
          <w:sz w:val="16"/>
          <w:szCs w:val="16"/>
          <w:color w:val="auto"/>
        </w:rPr>
        <w:t xml:space="preserve">Record gross profit of $972 million </w:t>
      </w:r>
      <w:r>
        <w:rPr>
          <w:rFonts w:ascii="Arial" w:cs="Arial" w:eastAsia="Arial" w:hAnsi="Arial"/>
          <w:sz w:val="16"/>
          <w:szCs w:val="16"/>
          <w:b w:val="1"/>
          <w:bCs w:val="1"/>
          <w:color w:val="auto"/>
        </w:rPr>
        <w:t>up 6.6%, and a 24.5% gross margin</w:t>
      </w:r>
      <w:r>
        <w:rPr>
          <w:rFonts w:ascii="Arial" w:cs="Arial" w:eastAsia="Arial" w:hAnsi="Arial"/>
          <w:sz w:val="16"/>
          <w:szCs w:val="16"/>
          <w:color w:val="auto"/>
        </w:rPr>
        <w:t xml:space="preserve"> Record operating earnings of $700 million </w:t>
      </w:r>
      <w:r>
        <w:rPr>
          <w:rFonts w:ascii="Arial" w:cs="Arial" w:eastAsia="Arial" w:hAnsi="Arial"/>
          <w:sz w:val="16"/>
          <w:szCs w:val="16"/>
          <w:b w:val="1"/>
          <w:bCs w:val="1"/>
          <w:color w:val="auto"/>
        </w:rPr>
        <w:t>up 3.4%</w:t>
      </w:r>
    </w:p>
    <w:p>
      <w:pPr>
        <w:spacing w:after="0" w:line="1" w:lineRule="exact"/>
        <w:rPr>
          <w:sz w:val="20"/>
          <w:szCs w:val="20"/>
          <w:color w:val="auto"/>
        </w:rPr>
      </w:pPr>
    </w:p>
    <w:p>
      <w:pPr>
        <w:ind w:left="960"/>
        <w:spacing w:after="0"/>
        <w:rPr>
          <w:sz w:val="20"/>
          <w:szCs w:val="20"/>
          <w:color w:val="auto"/>
        </w:rPr>
      </w:pPr>
      <w:r>
        <w:rPr>
          <w:rFonts w:ascii="Arial" w:cs="Arial" w:eastAsia="Arial" w:hAnsi="Arial"/>
          <w:sz w:val="16"/>
          <w:szCs w:val="16"/>
          <w:color w:val="auto"/>
        </w:rPr>
        <w:t xml:space="preserve">Record net earnings attributable to Martin Marietta of $713.4 million, an </w:t>
      </w:r>
      <w:r>
        <w:rPr>
          <w:rFonts w:ascii="Arial" w:cs="Arial" w:eastAsia="Arial" w:hAnsi="Arial"/>
          <w:sz w:val="16"/>
          <w:szCs w:val="16"/>
          <w:b w:val="1"/>
          <w:bCs w:val="1"/>
          <w:color w:val="auto"/>
        </w:rPr>
        <w:t>increase of 68%</w:t>
      </w:r>
      <w:r>
        <w:rPr>
          <w:rFonts w:ascii="Arial" w:cs="Arial" w:eastAsia="Arial" w:hAnsi="Arial"/>
          <w:sz w:val="16"/>
          <w:szCs w:val="16"/>
          <w:color w:val="auto"/>
        </w:rPr>
        <w:t xml:space="preserve"> over 2016</w:t>
      </w:r>
    </w:p>
    <w:p>
      <w:pPr>
        <w:spacing w:after="0" w:line="154" w:lineRule="exact"/>
        <w:rPr>
          <w:sz w:val="20"/>
          <w:szCs w:val="20"/>
          <w:color w:val="auto"/>
        </w:rPr>
      </w:pPr>
    </w:p>
    <w:p>
      <w:pPr>
        <w:ind w:left="960" w:right="999"/>
        <w:spacing w:after="0" w:line="498" w:lineRule="auto"/>
        <w:rPr>
          <w:sz w:val="20"/>
          <w:szCs w:val="20"/>
          <w:color w:val="auto"/>
        </w:rPr>
      </w:pPr>
      <w:r>
        <w:rPr>
          <w:rFonts w:ascii="Arial" w:cs="Arial" w:eastAsia="Arial" w:hAnsi="Arial"/>
          <w:sz w:val="16"/>
          <w:szCs w:val="16"/>
          <w:color w:val="auto"/>
        </w:rPr>
        <w:t xml:space="preserve">Record earnings before interest, taxes, depreciation and amortization (EBITDA) of </w:t>
      </w:r>
      <w:r>
        <w:rPr>
          <w:rFonts w:ascii="Arial" w:cs="Arial" w:eastAsia="Arial" w:hAnsi="Arial"/>
          <w:sz w:val="16"/>
          <w:szCs w:val="16"/>
          <w:b w:val="1"/>
          <w:bCs w:val="1"/>
          <w:color w:val="auto"/>
        </w:rPr>
        <w:t>$1.004 billion</w:t>
      </w:r>
      <w:r>
        <w:rPr>
          <w:rFonts w:ascii="Arial" w:cs="Arial" w:eastAsia="Arial" w:hAnsi="Arial"/>
          <w:sz w:val="16"/>
          <w:szCs w:val="16"/>
          <w:color w:val="auto"/>
        </w:rPr>
        <w:t xml:space="preserve">, up 3% from 2016 Record earnings attributable to common shareholders per diluted share of </w:t>
      </w:r>
      <w:r>
        <w:rPr>
          <w:rFonts w:ascii="Arial" w:cs="Arial" w:eastAsia="Arial" w:hAnsi="Arial"/>
          <w:sz w:val="16"/>
          <w:szCs w:val="16"/>
          <w:b w:val="1"/>
          <w:bCs w:val="1"/>
          <w:color w:val="auto"/>
        </w:rPr>
        <w:t>$11.25</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40"/>
        <w:spacing w:after="0"/>
        <w:rPr>
          <w:sz w:val="20"/>
          <w:szCs w:val="20"/>
          <w:color w:val="auto"/>
        </w:rPr>
      </w:pPr>
      <w:r>
        <w:rPr>
          <w:rFonts w:ascii="Arial" w:cs="Arial" w:eastAsia="Arial" w:hAnsi="Arial"/>
          <w:sz w:val="16"/>
          <w:szCs w:val="16"/>
          <w:i w:val="1"/>
          <w:iCs w:val="1"/>
          <w:color w:val="auto"/>
        </w:rPr>
        <w:t>* Reconciliation of Net Earnings Attributable to Martin Marietta to EBITDA is included in 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3512820</wp:posOffset>
            </wp:positionH>
            <wp:positionV relativeFrom="paragraph">
              <wp:posOffset>262255</wp:posOffset>
            </wp:positionV>
            <wp:extent cx="411480" cy="2489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40" w:hanging="436"/>
        <w:spacing w:after="0"/>
        <w:tabs>
          <w:tab w:leader="none" w:pos="640" w:val="left"/>
        </w:tabs>
        <w:numPr>
          <w:ilvl w:val="0"/>
          <w:numId w:val="5"/>
        </w:numPr>
        <w:rPr>
          <w:rFonts w:ascii="Arial" w:cs="Arial" w:eastAsia="Arial" w:hAnsi="Arial"/>
          <w:sz w:val="13"/>
          <w:szCs w:val="13"/>
          <w:b w:val="1"/>
          <w:bCs w:val="1"/>
          <w:color w:val="auto"/>
        </w:rPr>
      </w:pPr>
      <w:r>
        <w:rPr>
          <w:rFonts w:ascii="Arial" w:cs="Arial" w:eastAsia="Arial" w:hAnsi="Arial"/>
          <w:sz w:val="13"/>
          <w:szCs w:val="13"/>
          <w:color w:val="007CBA"/>
        </w:rPr>
        <w:t>2018 PROXY STATEMENT</w:t>
      </w:r>
    </w:p>
    <w:p>
      <w:pPr>
        <w:sectPr>
          <w:pgSz w:w="11900" w:h="16838" w:orient="portrait"/>
          <w:cols w:equalWidth="0" w:num="1">
            <w:col w:w="10219"/>
          </w:cols>
          <w:pgMar w:left="240" w:top="455" w:right="1440"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80784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7700" cy="807847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540"/>
        <w:spacing w:after="0"/>
        <w:rPr>
          <w:sz w:val="20"/>
          <w:szCs w:val="20"/>
          <w:color w:val="auto"/>
        </w:rPr>
      </w:pPr>
      <w:r>
        <w:rPr>
          <w:rFonts w:ascii="Arial" w:cs="Arial" w:eastAsia="Arial" w:hAnsi="Arial"/>
          <w:sz w:val="25"/>
          <w:szCs w:val="25"/>
          <w:b w:val="1"/>
          <w:bCs w:val="1"/>
          <w:color w:val="007CBA"/>
        </w:rPr>
        <w:t>Corporate Governance Highlights: Creating Sustainable Long-Term Shareholder Value</w:t>
      </w:r>
    </w:p>
    <w:p>
      <w:pPr>
        <w:spacing w:after="0" w:line="230" w:lineRule="exact"/>
        <w:rPr>
          <w:sz w:val="20"/>
          <w:szCs w:val="20"/>
          <w:color w:val="auto"/>
        </w:rPr>
      </w:pPr>
    </w:p>
    <w:p>
      <w:pPr>
        <w:ind w:left="540"/>
        <w:spacing w:after="0"/>
        <w:rPr>
          <w:sz w:val="20"/>
          <w:szCs w:val="20"/>
          <w:color w:val="auto"/>
        </w:rPr>
      </w:pPr>
      <w:r>
        <w:rPr>
          <w:rFonts w:ascii="Arial" w:cs="Arial" w:eastAsia="Arial" w:hAnsi="Arial"/>
          <w:sz w:val="17"/>
          <w:szCs w:val="17"/>
          <w:b w:val="1"/>
          <w:bCs w:val="1"/>
          <w:color w:val="auto"/>
        </w:rPr>
        <w:t>Recent Updates</w:t>
      </w:r>
    </w:p>
    <w:p>
      <w:pPr>
        <w:spacing w:after="0" w:line="127" w:lineRule="exact"/>
        <w:rPr>
          <w:sz w:val="20"/>
          <w:szCs w:val="20"/>
          <w:color w:val="auto"/>
        </w:rPr>
      </w:pPr>
    </w:p>
    <w:p>
      <w:pPr>
        <w:ind w:left="960" w:right="320" w:hanging="324"/>
        <w:spacing w:after="0" w:line="302" w:lineRule="auto"/>
        <w:tabs>
          <w:tab w:leader="none" w:pos="960" w:val="left"/>
        </w:tabs>
        <w:numPr>
          <w:ilvl w:val="0"/>
          <w:numId w:val="6"/>
        </w:numPr>
        <w:rPr>
          <w:rFonts w:ascii="Arial" w:cs="Arial" w:eastAsia="Arial" w:hAnsi="Arial"/>
          <w:sz w:val="16"/>
          <w:szCs w:val="16"/>
          <w:color w:val="007CBA"/>
        </w:rPr>
      </w:pPr>
      <w:r>
        <w:rPr>
          <w:rFonts w:ascii="Arial" w:cs="Arial" w:eastAsia="Arial" w:hAnsi="Arial"/>
          <w:sz w:val="16"/>
          <w:szCs w:val="16"/>
          <w:color w:val="auto"/>
        </w:rPr>
        <w:t xml:space="preserve">Our shareholders have the ability to nominate director candidates and have those nominees included in our proxy statement, subject to meeting the requirements in our Bylaws, a shareholder right known as </w:t>
      </w:r>
      <w:r>
        <w:rPr>
          <w:rFonts w:ascii="Arial" w:cs="Arial" w:eastAsia="Arial" w:hAnsi="Arial"/>
          <w:sz w:val="16"/>
          <w:szCs w:val="16"/>
          <w:b w:val="1"/>
          <w:bCs w:val="1"/>
          <w:i w:val="1"/>
          <w:iCs w:val="1"/>
          <w:color w:val="auto"/>
        </w:rPr>
        <w:t>proxy access</w:t>
      </w:r>
    </w:p>
    <w:p>
      <w:pPr>
        <w:spacing w:after="0" w:line="36" w:lineRule="exact"/>
        <w:rPr>
          <w:rFonts w:ascii="Arial" w:cs="Arial" w:eastAsia="Arial" w:hAnsi="Arial"/>
          <w:sz w:val="16"/>
          <w:szCs w:val="16"/>
          <w:color w:val="007CBA"/>
        </w:rPr>
      </w:pPr>
    </w:p>
    <w:p>
      <w:pPr>
        <w:ind w:left="960" w:hanging="324"/>
        <w:spacing w:after="0"/>
        <w:tabs>
          <w:tab w:leader="none" w:pos="960" w:val="left"/>
        </w:tabs>
        <w:numPr>
          <w:ilvl w:val="0"/>
          <w:numId w:val="6"/>
        </w:numPr>
        <w:rPr>
          <w:rFonts w:ascii="Arial" w:cs="Arial" w:eastAsia="Arial" w:hAnsi="Arial"/>
          <w:sz w:val="16"/>
          <w:szCs w:val="16"/>
          <w:color w:val="007CBA"/>
        </w:rPr>
      </w:pPr>
      <w:r>
        <w:rPr>
          <w:rFonts w:ascii="Arial" w:cs="Arial" w:eastAsia="Arial" w:hAnsi="Arial"/>
          <w:sz w:val="16"/>
          <w:szCs w:val="16"/>
          <w:color w:val="auto"/>
        </w:rPr>
        <w:t>Declassified Board phase-in continues—</w:t>
      </w:r>
      <w:r>
        <w:rPr>
          <w:rFonts w:ascii="Arial" w:cs="Arial" w:eastAsia="Arial" w:hAnsi="Arial"/>
          <w:sz w:val="16"/>
          <w:szCs w:val="16"/>
          <w:b w:val="1"/>
          <w:bCs w:val="1"/>
          <w:i w:val="1"/>
          <w:iCs w:val="1"/>
          <w:color w:val="auto"/>
        </w:rPr>
        <w:t>Directors elected annually</w:t>
      </w:r>
      <w:r>
        <w:rPr>
          <w:rFonts w:ascii="Arial" w:cs="Arial" w:eastAsia="Arial" w:hAnsi="Arial"/>
          <w:sz w:val="16"/>
          <w:szCs w:val="16"/>
          <w:color w:val="auto"/>
        </w:rPr>
        <w:t xml:space="preserve"> in 2017 and 2018 to serve one-year terms</w:t>
      </w:r>
    </w:p>
    <w:p>
      <w:pPr>
        <w:spacing w:after="0" w:line="126" w:lineRule="exact"/>
        <w:rPr>
          <w:rFonts w:ascii="Arial" w:cs="Arial" w:eastAsia="Arial" w:hAnsi="Arial"/>
          <w:sz w:val="16"/>
          <w:szCs w:val="16"/>
          <w:color w:val="007CBA"/>
        </w:rPr>
      </w:pPr>
    </w:p>
    <w:p>
      <w:pPr>
        <w:ind w:left="960" w:hanging="324"/>
        <w:spacing w:after="0"/>
        <w:tabs>
          <w:tab w:leader="none" w:pos="960" w:val="left"/>
        </w:tabs>
        <w:numPr>
          <w:ilvl w:val="0"/>
          <w:numId w:val="6"/>
        </w:numPr>
        <w:rPr>
          <w:rFonts w:ascii="Arial" w:cs="Arial" w:eastAsia="Arial" w:hAnsi="Arial"/>
          <w:sz w:val="16"/>
          <w:szCs w:val="16"/>
          <w:color w:val="007CBA"/>
        </w:rPr>
      </w:pPr>
      <w:r>
        <w:rPr>
          <w:rFonts w:ascii="Arial" w:cs="Arial" w:eastAsia="Arial" w:hAnsi="Arial"/>
          <w:sz w:val="16"/>
          <w:szCs w:val="16"/>
          <w:color w:val="auto"/>
        </w:rPr>
        <w:t xml:space="preserve">Adoption of </w:t>
      </w:r>
      <w:r>
        <w:rPr>
          <w:rFonts w:ascii="Arial" w:cs="Arial" w:eastAsia="Arial" w:hAnsi="Arial"/>
          <w:sz w:val="16"/>
          <w:szCs w:val="16"/>
          <w:b w:val="1"/>
          <w:bCs w:val="1"/>
          <w:i w:val="1"/>
          <w:iCs w:val="1"/>
          <w:color w:val="auto"/>
        </w:rPr>
        <w:t>Stock Ownership Guidelines</w:t>
      </w:r>
    </w:p>
    <w:p>
      <w:pPr>
        <w:spacing w:after="0" w:line="126" w:lineRule="exact"/>
        <w:rPr>
          <w:rFonts w:ascii="Arial" w:cs="Arial" w:eastAsia="Arial" w:hAnsi="Arial"/>
          <w:sz w:val="16"/>
          <w:szCs w:val="16"/>
          <w:color w:val="007CBA"/>
        </w:rPr>
      </w:pPr>
    </w:p>
    <w:p>
      <w:pPr>
        <w:ind w:left="960" w:hanging="324"/>
        <w:spacing w:after="0"/>
        <w:tabs>
          <w:tab w:leader="none" w:pos="960" w:val="left"/>
        </w:tabs>
        <w:numPr>
          <w:ilvl w:val="0"/>
          <w:numId w:val="6"/>
        </w:numPr>
        <w:rPr>
          <w:rFonts w:ascii="Arial" w:cs="Arial" w:eastAsia="Arial" w:hAnsi="Arial"/>
          <w:sz w:val="16"/>
          <w:szCs w:val="16"/>
          <w:color w:val="007CBA"/>
        </w:rPr>
      </w:pPr>
      <w:r>
        <w:rPr>
          <w:rFonts w:ascii="Arial" w:cs="Arial" w:eastAsia="Arial" w:hAnsi="Arial"/>
          <w:sz w:val="16"/>
          <w:szCs w:val="16"/>
          <w:color w:val="auto"/>
        </w:rPr>
        <w:t xml:space="preserve">Adoption of </w:t>
      </w:r>
      <w:r>
        <w:rPr>
          <w:rFonts w:ascii="Arial" w:cs="Arial" w:eastAsia="Arial" w:hAnsi="Arial"/>
          <w:sz w:val="16"/>
          <w:szCs w:val="16"/>
          <w:b w:val="1"/>
          <w:bCs w:val="1"/>
          <w:i w:val="1"/>
          <w:iCs w:val="1"/>
          <w:color w:val="auto"/>
        </w:rPr>
        <w:t>Hedging and Pledging Policy</w:t>
      </w:r>
    </w:p>
    <w:p>
      <w:pPr>
        <w:spacing w:after="0" w:line="126" w:lineRule="exact"/>
        <w:rPr>
          <w:rFonts w:ascii="Arial" w:cs="Arial" w:eastAsia="Arial" w:hAnsi="Arial"/>
          <w:sz w:val="16"/>
          <w:szCs w:val="16"/>
          <w:color w:val="007CBA"/>
        </w:rPr>
      </w:pPr>
    </w:p>
    <w:p>
      <w:pPr>
        <w:ind w:left="960" w:hanging="324"/>
        <w:spacing w:after="0"/>
        <w:tabs>
          <w:tab w:leader="none" w:pos="960" w:val="left"/>
        </w:tabs>
        <w:numPr>
          <w:ilvl w:val="0"/>
          <w:numId w:val="6"/>
        </w:numPr>
        <w:rPr>
          <w:rFonts w:ascii="Arial" w:cs="Arial" w:eastAsia="Arial" w:hAnsi="Arial"/>
          <w:sz w:val="16"/>
          <w:szCs w:val="16"/>
          <w:color w:val="007CBA"/>
        </w:rPr>
      </w:pPr>
      <w:r>
        <w:rPr>
          <w:rFonts w:ascii="Arial" w:cs="Arial" w:eastAsia="Arial" w:hAnsi="Arial"/>
          <w:sz w:val="16"/>
          <w:szCs w:val="16"/>
          <w:color w:val="auto"/>
        </w:rPr>
        <w:t xml:space="preserve">Adoption of </w:t>
      </w:r>
      <w:r>
        <w:rPr>
          <w:rFonts w:ascii="Arial" w:cs="Arial" w:eastAsia="Arial" w:hAnsi="Arial"/>
          <w:sz w:val="16"/>
          <w:szCs w:val="16"/>
          <w:b w:val="1"/>
          <w:bCs w:val="1"/>
          <w:i w:val="1"/>
          <w:iCs w:val="1"/>
          <w:color w:val="auto"/>
        </w:rPr>
        <w:t>Clawback Policy</w:t>
      </w:r>
    </w:p>
    <w:p>
      <w:pPr>
        <w:spacing w:after="0" w:line="282"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Board of Directors</w:t>
      </w:r>
    </w:p>
    <w:p>
      <w:pPr>
        <w:spacing w:after="0" w:line="124" w:lineRule="exact"/>
        <w:rPr>
          <w:sz w:val="20"/>
          <w:szCs w:val="20"/>
          <w:color w:val="auto"/>
        </w:rPr>
      </w:pPr>
    </w:p>
    <w:p>
      <w:pPr>
        <w:ind w:left="960" w:hanging="324"/>
        <w:spacing w:after="0"/>
        <w:tabs>
          <w:tab w:leader="none" w:pos="960" w:val="left"/>
        </w:tabs>
        <w:numPr>
          <w:ilvl w:val="0"/>
          <w:numId w:val="7"/>
        </w:numPr>
        <w:rPr>
          <w:rFonts w:ascii="Arial" w:cs="Arial" w:eastAsia="Arial" w:hAnsi="Arial"/>
          <w:sz w:val="16"/>
          <w:szCs w:val="16"/>
          <w:color w:val="007CBA"/>
        </w:rPr>
      </w:pPr>
      <w:r>
        <w:rPr>
          <w:rFonts w:ascii="Arial" w:cs="Arial" w:eastAsia="Arial" w:hAnsi="Arial"/>
          <w:sz w:val="16"/>
          <w:szCs w:val="16"/>
          <w:color w:val="auto"/>
        </w:rPr>
        <w:t>Lead Independent Director</w:t>
      </w:r>
    </w:p>
    <w:p>
      <w:pPr>
        <w:spacing w:after="0" w:line="126" w:lineRule="exact"/>
        <w:rPr>
          <w:rFonts w:ascii="Arial" w:cs="Arial" w:eastAsia="Arial" w:hAnsi="Arial"/>
          <w:sz w:val="16"/>
          <w:szCs w:val="16"/>
          <w:color w:val="007CBA"/>
        </w:rPr>
      </w:pPr>
    </w:p>
    <w:p>
      <w:pPr>
        <w:ind w:left="960" w:hanging="324"/>
        <w:spacing w:after="0"/>
        <w:tabs>
          <w:tab w:leader="none" w:pos="960" w:val="left"/>
        </w:tabs>
        <w:numPr>
          <w:ilvl w:val="0"/>
          <w:numId w:val="7"/>
        </w:numPr>
        <w:rPr>
          <w:rFonts w:ascii="Arial" w:cs="Arial" w:eastAsia="Arial" w:hAnsi="Arial"/>
          <w:sz w:val="16"/>
          <w:szCs w:val="16"/>
          <w:color w:val="007CBA"/>
        </w:rPr>
      </w:pPr>
      <w:r>
        <w:rPr>
          <w:rFonts w:ascii="Arial" w:cs="Arial" w:eastAsia="Arial" w:hAnsi="Arial"/>
          <w:sz w:val="16"/>
          <w:szCs w:val="16"/>
          <w:color w:val="auto"/>
        </w:rPr>
        <w:t>10 Directors/Nominees; 9 are non-employees; 9 are independent</w:t>
      </w:r>
    </w:p>
    <w:p>
      <w:pPr>
        <w:spacing w:after="0" w:line="126" w:lineRule="exact"/>
        <w:rPr>
          <w:rFonts w:ascii="Arial" w:cs="Arial" w:eastAsia="Arial" w:hAnsi="Arial"/>
          <w:sz w:val="16"/>
          <w:szCs w:val="16"/>
          <w:color w:val="007CBA"/>
        </w:rPr>
      </w:pPr>
    </w:p>
    <w:p>
      <w:pPr>
        <w:ind w:left="960" w:hanging="324"/>
        <w:spacing w:after="0"/>
        <w:tabs>
          <w:tab w:leader="none" w:pos="960" w:val="left"/>
        </w:tabs>
        <w:numPr>
          <w:ilvl w:val="0"/>
          <w:numId w:val="7"/>
        </w:numPr>
        <w:rPr>
          <w:rFonts w:ascii="Arial" w:cs="Arial" w:eastAsia="Arial" w:hAnsi="Arial"/>
          <w:sz w:val="16"/>
          <w:szCs w:val="16"/>
          <w:color w:val="007CBA"/>
        </w:rPr>
      </w:pPr>
      <w:r>
        <w:rPr>
          <w:rFonts w:ascii="Arial" w:cs="Arial" w:eastAsia="Arial" w:hAnsi="Arial"/>
          <w:sz w:val="16"/>
          <w:szCs w:val="16"/>
          <w:color w:val="auto"/>
        </w:rPr>
        <w:t>Key committee Chairs are independent</w:t>
      </w:r>
    </w:p>
    <w:p>
      <w:pPr>
        <w:spacing w:after="0" w:line="126" w:lineRule="exact"/>
        <w:rPr>
          <w:rFonts w:ascii="Arial" w:cs="Arial" w:eastAsia="Arial" w:hAnsi="Arial"/>
          <w:sz w:val="16"/>
          <w:szCs w:val="16"/>
          <w:color w:val="007CBA"/>
        </w:rPr>
      </w:pPr>
    </w:p>
    <w:p>
      <w:pPr>
        <w:ind w:left="960" w:hanging="324"/>
        <w:spacing w:after="0"/>
        <w:tabs>
          <w:tab w:leader="none" w:pos="960" w:val="left"/>
        </w:tabs>
        <w:numPr>
          <w:ilvl w:val="0"/>
          <w:numId w:val="7"/>
        </w:numPr>
        <w:rPr>
          <w:rFonts w:ascii="Arial" w:cs="Arial" w:eastAsia="Arial" w:hAnsi="Arial"/>
          <w:sz w:val="16"/>
          <w:szCs w:val="16"/>
          <w:color w:val="007CBA"/>
        </w:rPr>
      </w:pPr>
      <w:r>
        <w:rPr>
          <w:rFonts w:ascii="Arial" w:cs="Arial" w:eastAsia="Arial" w:hAnsi="Arial"/>
          <w:sz w:val="16"/>
          <w:szCs w:val="16"/>
          <w:color w:val="auto"/>
        </w:rPr>
        <w:t>Executive sessions of non-management Directors at each regularly-scheduled meeting</w:t>
      </w:r>
    </w:p>
    <w:p>
      <w:pPr>
        <w:spacing w:after="0" w:line="126" w:lineRule="exact"/>
        <w:rPr>
          <w:rFonts w:ascii="Arial" w:cs="Arial" w:eastAsia="Arial" w:hAnsi="Arial"/>
          <w:sz w:val="16"/>
          <w:szCs w:val="16"/>
          <w:color w:val="007CBA"/>
        </w:rPr>
      </w:pPr>
    </w:p>
    <w:p>
      <w:pPr>
        <w:ind w:left="960" w:hanging="324"/>
        <w:spacing w:after="0"/>
        <w:tabs>
          <w:tab w:leader="none" w:pos="960" w:val="left"/>
        </w:tabs>
        <w:numPr>
          <w:ilvl w:val="0"/>
          <w:numId w:val="7"/>
        </w:numPr>
        <w:rPr>
          <w:rFonts w:ascii="Arial" w:cs="Arial" w:eastAsia="Arial" w:hAnsi="Arial"/>
          <w:sz w:val="16"/>
          <w:szCs w:val="16"/>
          <w:color w:val="007CBA"/>
        </w:rPr>
      </w:pPr>
      <w:r>
        <w:rPr>
          <w:rFonts w:ascii="Arial" w:cs="Arial" w:eastAsia="Arial" w:hAnsi="Arial"/>
          <w:sz w:val="16"/>
          <w:szCs w:val="16"/>
          <w:color w:val="auto"/>
        </w:rPr>
        <w:t>All Directors attended 100% of all Board and committee meetings in 2017</w:t>
      </w:r>
    </w:p>
    <w:p>
      <w:pPr>
        <w:spacing w:after="0" w:line="126" w:lineRule="exact"/>
        <w:rPr>
          <w:rFonts w:ascii="Arial" w:cs="Arial" w:eastAsia="Arial" w:hAnsi="Arial"/>
          <w:sz w:val="16"/>
          <w:szCs w:val="16"/>
          <w:color w:val="007CBA"/>
        </w:rPr>
      </w:pPr>
    </w:p>
    <w:p>
      <w:pPr>
        <w:ind w:left="960" w:hanging="324"/>
        <w:spacing w:after="0"/>
        <w:tabs>
          <w:tab w:leader="none" w:pos="960" w:val="left"/>
        </w:tabs>
        <w:numPr>
          <w:ilvl w:val="0"/>
          <w:numId w:val="7"/>
        </w:numPr>
        <w:rPr>
          <w:rFonts w:ascii="Arial" w:cs="Arial" w:eastAsia="Arial" w:hAnsi="Arial"/>
          <w:sz w:val="16"/>
          <w:szCs w:val="16"/>
          <w:color w:val="007CBA"/>
        </w:rPr>
      </w:pPr>
      <w:r>
        <w:rPr>
          <w:rFonts w:ascii="Arial" w:cs="Arial" w:eastAsia="Arial" w:hAnsi="Arial"/>
          <w:sz w:val="16"/>
          <w:szCs w:val="16"/>
          <w:color w:val="auto"/>
        </w:rPr>
        <w:t>Limited membership on other public company boards</w:t>
      </w:r>
    </w:p>
    <w:p>
      <w:pPr>
        <w:spacing w:after="0" w:line="126" w:lineRule="exact"/>
        <w:rPr>
          <w:rFonts w:ascii="Arial" w:cs="Arial" w:eastAsia="Arial" w:hAnsi="Arial"/>
          <w:sz w:val="16"/>
          <w:szCs w:val="16"/>
          <w:color w:val="007CBA"/>
        </w:rPr>
      </w:pPr>
    </w:p>
    <w:p>
      <w:pPr>
        <w:ind w:left="960" w:hanging="324"/>
        <w:spacing w:after="0"/>
        <w:tabs>
          <w:tab w:leader="none" w:pos="960" w:val="left"/>
        </w:tabs>
        <w:numPr>
          <w:ilvl w:val="0"/>
          <w:numId w:val="7"/>
        </w:numPr>
        <w:rPr>
          <w:rFonts w:ascii="Arial" w:cs="Arial" w:eastAsia="Arial" w:hAnsi="Arial"/>
          <w:sz w:val="16"/>
          <w:szCs w:val="16"/>
          <w:color w:val="007CBA"/>
        </w:rPr>
      </w:pPr>
      <w:r>
        <w:rPr>
          <w:rFonts w:ascii="Arial" w:cs="Arial" w:eastAsia="Arial" w:hAnsi="Arial"/>
          <w:sz w:val="16"/>
          <w:szCs w:val="16"/>
          <w:color w:val="auto"/>
        </w:rPr>
        <w:t>Code of Ethical Business Conduct and ethics program that reports to a Board Committee</w:t>
      </w:r>
    </w:p>
    <w:p>
      <w:pPr>
        <w:spacing w:after="0" w:line="126" w:lineRule="exact"/>
        <w:rPr>
          <w:rFonts w:ascii="Arial" w:cs="Arial" w:eastAsia="Arial" w:hAnsi="Arial"/>
          <w:sz w:val="16"/>
          <w:szCs w:val="16"/>
          <w:color w:val="007CBA"/>
        </w:rPr>
      </w:pPr>
    </w:p>
    <w:p>
      <w:pPr>
        <w:ind w:left="960" w:hanging="324"/>
        <w:spacing w:after="0"/>
        <w:tabs>
          <w:tab w:leader="none" w:pos="960" w:val="left"/>
        </w:tabs>
        <w:numPr>
          <w:ilvl w:val="0"/>
          <w:numId w:val="7"/>
        </w:numPr>
        <w:rPr>
          <w:rFonts w:ascii="Arial" w:cs="Arial" w:eastAsia="Arial" w:hAnsi="Arial"/>
          <w:sz w:val="16"/>
          <w:szCs w:val="16"/>
          <w:color w:val="007CBA"/>
        </w:rPr>
      </w:pPr>
      <w:r>
        <w:rPr>
          <w:rFonts w:ascii="Arial" w:cs="Arial" w:eastAsia="Arial" w:hAnsi="Arial"/>
          <w:sz w:val="16"/>
          <w:szCs w:val="16"/>
          <w:color w:val="auto"/>
        </w:rPr>
        <w:t>Regular Board self-assessments and Director peer review</w:t>
      </w:r>
    </w:p>
    <w:p>
      <w:pPr>
        <w:spacing w:after="0" w:line="126" w:lineRule="exact"/>
        <w:rPr>
          <w:rFonts w:ascii="Arial" w:cs="Arial" w:eastAsia="Arial" w:hAnsi="Arial"/>
          <w:sz w:val="16"/>
          <w:szCs w:val="16"/>
          <w:color w:val="007CBA"/>
        </w:rPr>
      </w:pPr>
    </w:p>
    <w:p>
      <w:pPr>
        <w:ind w:left="960" w:hanging="324"/>
        <w:spacing w:after="0"/>
        <w:tabs>
          <w:tab w:leader="none" w:pos="960" w:val="left"/>
        </w:tabs>
        <w:numPr>
          <w:ilvl w:val="0"/>
          <w:numId w:val="7"/>
        </w:numPr>
        <w:rPr>
          <w:rFonts w:ascii="Arial" w:cs="Arial" w:eastAsia="Arial" w:hAnsi="Arial"/>
          <w:sz w:val="16"/>
          <w:szCs w:val="16"/>
          <w:color w:val="007CBA"/>
        </w:rPr>
      </w:pPr>
      <w:r>
        <w:rPr>
          <w:rFonts w:ascii="Arial" w:cs="Arial" w:eastAsia="Arial" w:hAnsi="Arial"/>
          <w:sz w:val="16"/>
          <w:szCs w:val="16"/>
          <w:color w:val="auto"/>
        </w:rPr>
        <w:t>Risk oversight by full Board and Committees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Shareholder Interest</w:t>
      </w:r>
    </w:p>
    <w:p>
      <w:pPr>
        <w:spacing w:after="0" w:line="124" w:lineRule="exact"/>
        <w:rPr>
          <w:sz w:val="20"/>
          <w:szCs w:val="20"/>
          <w:color w:val="auto"/>
        </w:rPr>
      </w:pPr>
    </w:p>
    <w:p>
      <w:pPr>
        <w:ind w:left="960" w:hanging="324"/>
        <w:spacing w:after="0"/>
        <w:tabs>
          <w:tab w:leader="none" w:pos="960" w:val="left"/>
        </w:tabs>
        <w:numPr>
          <w:ilvl w:val="0"/>
          <w:numId w:val="8"/>
        </w:numPr>
        <w:rPr>
          <w:rFonts w:ascii="Arial" w:cs="Arial" w:eastAsia="Arial" w:hAnsi="Arial"/>
          <w:sz w:val="16"/>
          <w:szCs w:val="16"/>
          <w:color w:val="007CBA"/>
        </w:rPr>
      </w:pPr>
      <w:r>
        <w:rPr>
          <w:rFonts w:ascii="Arial" w:cs="Arial" w:eastAsia="Arial" w:hAnsi="Arial"/>
          <w:sz w:val="16"/>
          <w:szCs w:val="16"/>
          <w:color w:val="auto"/>
        </w:rPr>
        <w:t>Majority voting standard for uncontested Director elections</w:t>
      </w:r>
    </w:p>
    <w:p>
      <w:pPr>
        <w:spacing w:after="0" w:line="126" w:lineRule="exact"/>
        <w:rPr>
          <w:rFonts w:ascii="Arial" w:cs="Arial" w:eastAsia="Arial" w:hAnsi="Arial"/>
          <w:sz w:val="16"/>
          <w:szCs w:val="16"/>
          <w:color w:val="007CBA"/>
        </w:rPr>
      </w:pPr>
    </w:p>
    <w:p>
      <w:pPr>
        <w:ind w:left="960" w:hanging="324"/>
        <w:spacing w:after="0"/>
        <w:tabs>
          <w:tab w:leader="none" w:pos="960" w:val="left"/>
        </w:tabs>
        <w:numPr>
          <w:ilvl w:val="0"/>
          <w:numId w:val="8"/>
        </w:numPr>
        <w:rPr>
          <w:rFonts w:ascii="Arial" w:cs="Arial" w:eastAsia="Arial" w:hAnsi="Arial"/>
          <w:sz w:val="16"/>
          <w:szCs w:val="16"/>
          <w:color w:val="007CBA"/>
        </w:rPr>
      </w:pPr>
      <w:r>
        <w:rPr>
          <w:rFonts w:ascii="Arial" w:cs="Arial" w:eastAsia="Arial" w:hAnsi="Arial"/>
          <w:sz w:val="16"/>
          <w:szCs w:val="16"/>
          <w:color w:val="auto"/>
        </w:rPr>
        <w:t>No shareholder rights plan</w:t>
      </w:r>
    </w:p>
    <w:p>
      <w:pPr>
        <w:spacing w:after="0" w:line="126" w:lineRule="exact"/>
        <w:rPr>
          <w:rFonts w:ascii="Arial" w:cs="Arial" w:eastAsia="Arial" w:hAnsi="Arial"/>
          <w:sz w:val="16"/>
          <w:szCs w:val="16"/>
          <w:color w:val="007CBA"/>
        </w:rPr>
      </w:pPr>
    </w:p>
    <w:p>
      <w:pPr>
        <w:ind w:left="960" w:hanging="324"/>
        <w:spacing w:after="0"/>
        <w:tabs>
          <w:tab w:leader="none" w:pos="960" w:val="left"/>
        </w:tabs>
        <w:numPr>
          <w:ilvl w:val="0"/>
          <w:numId w:val="8"/>
        </w:numPr>
        <w:rPr>
          <w:rFonts w:ascii="Arial" w:cs="Arial" w:eastAsia="Arial" w:hAnsi="Arial"/>
          <w:sz w:val="16"/>
          <w:szCs w:val="16"/>
          <w:color w:val="007CBA"/>
        </w:rPr>
      </w:pPr>
      <w:r>
        <w:rPr>
          <w:rFonts w:ascii="Arial" w:cs="Arial" w:eastAsia="Arial" w:hAnsi="Arial"/>
          <w:sz w:val="16"/>
          <w:szCs w:val="16"/>
          <w:color w:val="auto"/>
        </w:rPr>
        <w:t>Annual advisory vote to ratify independent auditor</w:t>
      </w:r>
    </w:p>
    <w:p>
      <w:pPr>
        <w:spacing w:after="0" w:line="126" w:lineRule="exact"/>
        <w:rPr>
          <w:rFonts w:ascii="Arial" w:cs="Arial" w:eastAsia="Arial" w:hAnsi="Arial"/>
          <w:sz w:val="16"/>
          <w:szCs w:val="16"/>
          <w:color w:val="007CBA"/>
        </w:rPr>
      </w:pPr>
    </w:p>
    <w:p>
      <w:pPr>
        <w:ind w:left="960" w:hanging="324"/>
        <w:spacing w:after="0"/>
        <w:tabs>
          <w:tab w:leader="none" w:pos="960" w:val="left"/>
        </w:tabs>
        <w:numPr>
          <w:ilvl w:val="0"/>
          <w:numId w:val="8"/>
        </w:numPr>
        <w:rPr>
          <w:rFonts w:ascii="Arial" w:cs="Arial" w:eastAsia="Arial" w:hAnsi="Arial"/>
          <w:sz w:val="16"/>
          <w:szCs w:val="16"/>
          <w:color w:val="007CBA"/>
        </w:rPr>
      </w:pPr>
      <w:r>
        <w:rPr>
          <w:rFonts w:ascii="Arial" w:cs="Arial" w:eastAsia="Arial" w:hAnsi="Arial"/>
          <w:sz w:val="16"/>
          <w:szCs w:val="16"/>
          <w:color w:val="auto"/>
        </w:rPr>
        <w:t>Annual advisory vote to approve executive compensation</w:t>
      </w:r>
    </w:p>
    <w:p>
      <w:pPr>
        <w:spacing w:after="0" w:line="126" w:lineRule="exact"/>
        <w:rPr>
          <w:rFonts w:ascii="Arial" w:cs="Arial" w:eastAsia="Arial" w:hAnsi="Arial"/>
          <w:sz w:val="16"/>
          <w:szCs w:val="16"/>
          <w:color w:val="007CBA"/>
        </w:rPr>
      </w:pPr>
    </w:p>
    <w:p>
      <w:pPr>
        <w:ind w:left="960" w:hanging="324"/>
        <w:spacing w:after="0"/>
        <w:tabs>
          <w:tab w:leader="none" w:pos="960" w:val="left"/>
        </w:tabs>
        <w:numPr>
          <w:ilvl w:val="0"/>
          <w:numId w:val="8"/>
        </w:numPr>
        <w:rPr>
          <w:rFonts w:ascii="Arial" w:cs="Arial" w:eastAsia="Arial" w:hAnsi="Arial"/>
          <w:sz w:val="16"/>
          <w:szCs w:val="16"/>
          <w:color w:val="007CBA"/>
        </w:rPr>
      </w:pPr>
      <w:r>
        <w:rPr>
          <w:rFonts w:ascii="Arial" w:cs="Arial" w:eastAsia="Arial" w:hAnsi="Arial"/>
          <w:sz w:val="16"/>
          <w:szCs w:val="16"/>
          <w:color w:val="auto"/>
        </w:rPr>
        <w:t>Longstanding active shareholder engagement</w:t>
      </w:r>
    </w:p>
    <w:p>
      <w:pPr>
        <w:spacing w:after="0" w:line="126" w:lineRule="exact"/>
        <w:rPr>
          <w:rFonts w:ascii="Arial" w:cs="Arial" w:eastAsia="Arial" w:hAnsi="Arial"/>
          <w:sz w:val="16"/>
          <w:szCs w:val="16"/>
          <w:color w:val="007CBA"/>
        </w:rPr>
      </w:pPr>
    </w:p>
    <w:p>
      <w:pPr>
        <w:ind w:left="960" w:right="340" w:hanging="324"/>
        <w:spacing w:after="0" w:line="291" w:lineRule="auto"/>
        <w:tabs>
          <w:tab w:leader="none" w:pos="960" w:val="left"/>
        </w:tabs>
        <w:numPr>
          <w:ilvl w:val="0"/>
          <w:numId w:val="8"/>
        </w:numPr>
        <w:rPr>
          <w:rFonts w:ascii="Arial" w:cs="Arial" w:eastAsia="Arial" w:hAnsi="Arial"/>
          <w:sz w:val="16"/>
          <w:szCs w:val="16"/>
          <w:color w:val="007CBA"/>
        </w:rPr>
      </w:pPr>
      <w:r>
        <w:rPr>
          <w:rFonts w:ascii="Arial" w:cs="Arial" w:eastAsia="Arial" w:hAnsi="Arial"/>
          <w:sz w:val="16"/>
          <w:szCs w:val="16"/>
          <w:color w:val="auto"/>
        </w:rPr>
        <w:t xml:space="preserve">We publish annually a </w:t>
      </w:r>
      <w:r>
        <w:rPr>
          <w:rFonts w:ascii="Arial" w:cs="Arial" w:eastAsia="Arial" w:hAnsi="Arial"/>
          <w:sz w:val="16"/>
          <w:szCs w:val="16"/>
          <w:b w:val="1"/>
          <w:bCs w:val="1"/>
          <w:i w:val="1"/>
          <w:iCs w:val="1"/>
          <w:color w:val="auto"/>
        </w:rPr>
        <w:t>Sustainability Report</w:t>
      </w:r>
      <w:r>
        <w:rPr>
          <w:rFonts w:ascii="Arial" w:cs="Arial" w:eastAsia="Arial" w:hAnsi="Arial"/>
          <w:sz w:val="16"/>
          <w:szCs w:val="16"/>
          <w:color w:val="auto"/>
        </w:rPr>
        <w:t xml:space="preserve"> that discusses our commitment to our shareholders, employees and the communities that we serve</w:t>
      </w:r>
    </w:p>
    <w:p>
      <w:pPr>
        <w:spacing w:after="0" w:line="95" w:lineRule="exact"/>
        <w:rPr>
          <w:sz w:val="20"/>
          <w:szCs w:val="20"/>
          <w:color w:val="auto"/>
        </w:rPr>
      </w:pPr>
    </w:p>
    <w:p>
      <w:pPr>
        <w:ind w:left="540"/>
        <w:spacing w:after="0"/>
        <w:rPr>
          <w:sz w:val="20"/>
          <w:szCs w:val="20"/>
          <w:color w:val="auto"/>
        </w:rPr>
      </w:pPr>
      <w:r>
        <w:rPr>
          <w:rFonts w:ascii="Arial" w:cs="Arial" w:eastAsia="Arial" w:hAnsi="Arial"/>
          <w:sz w:val="17"/>
          <w:szCs w:val="17"/>
          <w:b w:val="1"/>
          <w:bCs w:val="1"/>
          <w:color w:val="auto"/>
        </w:rPr>
        <w:t>Board Composition</w:t>
      </w:r>
    </w:p>
    <w:p>
      <w:pPr>
        <w:spacing w:after="0" w:line="114" w:lineRule="exact"/>
        <w:rPr>
          <w:sz w:val="20"/>
          <w:szCs w:val="20"/>
          <w:color w:val="auto"/>
        </w:rPr>
      </w:pPr>
    </w:p>
    <w:p>
      <w:pPr>
        <w:jc w:val="both"/>
        <w:ind w:left="540" w:right="340"/>
        <w:spacing w:after="0" w:line="265" w:lineRule="auto"/>
        <w:rPr>
          <w:sz w:val="20"/>
          <w:szCs w:val="20"/>
          <w:color w:val="auto"/>
        </w:rPr>
      </w:pPr>
      <w:r>
        <w:rPr>
          <w:rFonts w:ascii="Arial" w:cs="Arial" w:eastAsia="Arial" w:hAnsi="Arial"/>
          <w:sz w:val="16"/>
          <w:szCs w:val="16"/>
          <w:color w:val="auto"/>
        </w:rPr>
        <w:t xml:space="preserve">We nominated for election at our 2018 annual meeting of shareholders a new Director to the Board who has extensive experience in regulatory and legal matters. We were recognized in 2017 and 2015 at the </w:t>
      </w:r>
      <w:r>
        <w:rPr>
          <w:rFonts w:ascii="Arial" w:cs="Arial" w:eastAsia="Arial" w:hAnsi="Arial"/>
          <w:sz w:val="16"/>
          <w:szCs w:val="16"/>
          <w:b w:val="1"/>
          <w:bCs w:val="1"/>
          <w:i w:val="1"/>
          <w:iCs w:val="1"/>
          <w:color w:val="auto"/>
        </w:rPr>
        <w:t>Women’s Forum of New York</w:t>
      </w:r>
      <w:r>
        <w:rPr>
          <w:rFonts w:ascii="Arial" w:cs="Arial" w:eastAsia="Arial" w:hAnsi="Arial"/>
          <w:sz w:val="16"/>
          <w:szCs w:val="16"/>
          <w:color w:val="auto"/>
        </w:rPr>
        <w:t xml:space="preserve"> at its Biennial Breakfast of Corporate Champions for our Board diversity. We were also recognized by </w:t>
      </w:r>
      <w:r>
        <w:rPr>
          <w:rFonts w:ascii="Arial" w:cs="Arial" w:eastAsia="Arial" w:hAnsi="Arial"/>
          <w:sz w:val="16"/>
          <w:szCs w:val="16"/>
          <w:b w:val="1"/>
          <w:bCs w:val="1"/>
          <w:i w:val="1"/>
          <w:iCs w:val="1"/>
          <w:color w:val="auto"/>
        </w:rPr>
        <w:t>2020 Women on Boards</w:t>
      </w:r>
      <w:r>
        <w:rPr>
          <w:rFonts w:ascii="Arial" w:cs="Arial" w:eastAsia="Arial" w:hAnsi="Arial"/>
          <w:sz w:val="16"/>
          <w:szCs w:val="16"/>
          <w:color w:val="auto"/>
        </w:rPr>
        <w:t xml:space="preserve"> as a Winning ‘W’ Company for </w:t>
      </w:r>
      <w:r>
        <w:rPr>
          <w:rFonts w:ascii="Arial" w:cs="Arial" w:eastAsia="Arial" w:hAnsi="Arial"/>
          <w:sz w:val="16"/>
          <w:szCs w:val="16"/>
          <w:b w:val="1"/>
          <w:bCs w:val="1"/>
          <w:color w:val="auto"/>
        </w:rPr>
        <w:t>seven consecutive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years </w:t>
      </w:r>
      <w:r>
        <w:rPr>
          <w:rFonts w:ascii="Arial" w:cs="Arial" w:eastAsia="Arial" w:hAnsi="Arial"/>
          <w:sz w:val="16"/>
          <w:szCs w:val="16"/>
          <w:color w:val="auto"/>
        </w:rPr>
        <w:t>for championing board diversity.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40"/>
        <w:spacing w:after="0"/>
        <w:rPr>
          <w:sz w:val="20"/>
          <w:szCs w:val="20"/>
          <w:color w:val="auto"/>
        </w:rPr>
      </w:pPr>
      <w:r>
        <w:rPr>
          <w:rFonts w:ascii="Arial" w:cs="Arial" w:eastAsia="Arial" w:hAnsi="Arial"/>
          <w:sz w:val="16"/>
          <w:szCs w:val="16"/>
          <w:i w:val="1"/>
          <w:iCs w:val="1"/>
          <w:color w:val="auto"/>
        </w:rPr>
        <w:t>These charts assume that Smith W. Davis is elected at the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262255</wp:posOffset>
            </wp:positionV>
            <wp:extent cx="411480" cy="2489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tbl>
      <w:tblPr>
        <w:tblLayout w:type="fixed"/>
        <w:tblInd w:w="9260" w:type="dxa"/>
        <w:tblCellMar>
          <w:top w:w="0" w:type="dxa"/>
          <w:left w:w="0" w:type="dxa"/>
          <w:bottom w:w="0" w:type="dxa"/>
          <w:right w:w="0" w:type="dxa"/>
        </w:tblCellMar>
      </w:tblPr>
      <w:tr>
        <w:trPr>
          <w:trHeight w:val="178"/>
        </w:trPr>
        <w:tc>
          <w:tcPr>
            <w:tcW w:w="1720" w:type="dxa"/>
            <w:vAlign w:val="bottom"/>
          </w:tcPr>
          <w:p>
            <w:pPr>
              <w:spacing w:after="0"/>
              <w:rPr>
                <w:sz w:val="20"/>
                <w:szCs w:val="20"/>
                <w:color w:val="auto"/>
              </w:rPr>
            </w:pPr>
            <w:r>
              <w:rPr>
                <w:rFonts w:ascii="Arial" w:cs="Arial" w:eastAsia="Arial" w:hAnsi="Arial"/>
                <w:sz w:val="13"/>
                <w:szCs w:val="13"/>
                <w:color w:val="007CBA"/>
              </w:rPr>
              <w:t>2018 PROXY STATEMENT</w:t>
            </w:r>
          </w:p>
        </w:tc>
        <w:tc>
          <w:tcPr>
            <w:tcW w:w="240" w:type="dxa"/>
            <w:vAlign w:val="bottom"/>
          </w:tcPr>
          <w:p>
            <w:pPr>
              <w:jc w:val="right"/>
              <w:spacing w:after="0"/>
              <w:rPr>
                <w:sz w:val="20"/>
                <w:szCs w:val="20"/>
                <w:color w:val="auto"/>
              </w:rPr>
            </w:pPr>
            <w:r>
              <w:rPr>
                <w:rFonts w:ascii="Arial" w:cs="Arial" w:eastAsia="Arial" w:hAnsi="Arial"/>
                <w:sz w:val="13"/>
                <w:szCs w:val="13"/>
                <w:b w:val="1"/>
                <w:bCs w:val="1"/>
                <w:color w:val="auto"/>
              </w:rPr>
              <w:t>3</w:t>
            </w:r>
          </w:p>
        </w:tc>
      </w:tr>
    </w:tbl>
    <w:p>
      <w:pPr>
        <w:sectPr>
          <w:pgSz w:w="11900" w:h="16838" w:orient="portrait"/>
          <w:cols w:equalWidth="0" w:num="1">
            <w:col w:w="11220"/>
          </w:cols>
          <w:pgMar w:left="240" w:top="455" w:right="4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79756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7700" cy="797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40"/>
        <w:spacing w:after="0"/>
        <w:rPr>
          <w:sz w:val="20"/>
          <w:szCs w:val="20"/>
          <w:color w:val="auto"/>
        </w:rPr>
      </w:pPr>
      <w:r>
        <w:rPr>
          <w:rFonts w:ascii="Arial" w:cs="Arial" w:eastAsia="Arial" w:hAnsi="Arial"/>
          <w:sz w:val="25"/>
          <w:szCs w:val="25"/>
          <w:b w:val="1"/>
          <w:bCs w:val="1"/>
          <w:color w:val="007CBA"/>
        </w:rPr>
        <w:t>Board Attendance</w:t>
      </w:r>
    </w:p>
    <w:p>
      <w:pPr>
        <w:spacing w:after="0" w:line="310" w:lineRule="exact"/>
        <w:rPr>
          <w:sz w:val="20"/>
          <w:szCs w:val="20"/>
          <w:color w:val="auto"/>
        </w:rPr>
      </w:pPr>
    </w:p>
    <w:p>
      <w:pPr>
        <w:jc w:val="both"/>
        <w:ind w:left="540" w:right="340"/>
        <w:spacing w:after="0" w:line="291" w:lineRule="auto"/>
        <w:rPr>
          <w:sz w:val="20"/>
          <w:szCs w:val="20"/>
          <w:color w:val="auto"/>
        </w:rPr>
      </w:pPr>
      <w:r>
        <w:rPr>
          <w:rFonts w:ascii="Arial" w:cs="Arial" w:eastAsia="Arial" w:hAnsi="Arial"/>
          <w:sz w:val="16"/>
          <w:szCs w:val="16"/>
          <w:color w:val="auto"/>
        </w:rPr>
        <w:t>In 2017, all directors attended 100% of the total Board and committee meetings to which they were assigned. All directors attended the May 2017 Annual Meeting.</w:t>
      </w:r>
    </w:p>
    <w:p>
      <w:pPr>
        <w:spacing w:after="0" w:line="240" w:lineRule="exact"/>
        <w:rPr>
          <w:sz w:val="20"/>
          <w:szCs w:val="20"/>
          <w:color w:val="auto"/>
        </w:rPr>
      </w:pPr>
    </w:p>
    <w:p>
      <w:pPr>
        <w:ind w:left="540"/>
        <w:spacing w:after="0"/>
        <w:rPr>
          <w:sz w:val="20"/>
          <w:szCs w:val="20"/>
          <w:color w:val="auto"/>
        </w:rPr>
      </w:pPr>
      <w:r>
        <w:rPr>
          <w:rFonts w:ascii="Arial" w:cs="Arial" w:eastAsia="Arial" w:hAnsi="Arial"/>
          <w:sz w:val="25"/>
          <w:szCs w:val="25"/>
          <w:b w:val="1"/>
          <w:bCs w:val="1"/>
          <w:color w:val="007CBA"/>
        </w:rPr>
        <w:t>Our Compensation Approach</w:t>
      </w:r>
    </w:p>
    <w:p>
      <w:pPr>
        <w:spacing w:after="0" w:line="242" w:lineRule="exact"/>
        <w:rPr>
          <w:sz w:val="20"/>
          <w:szCs w:val="20"/>
          <w:color w:val="auto"/>
        </w:rPr>
      </w:pPr>
    </w:p>
    <w:p>
      <w:pPr>
        <w:jc w:val="both"/>
        <w:ind w:left="540" w:right="320"/>
        <w:spacing w:after="0" w:line="255" w:lineRule="auto"/>
        <w:rPr>
          <w:sz w:val="20"/>
          <w:szCs w:val="20"/>
          <w:color w:val="auto"/>
        </w:rPr>
      </w:pPr>
      <w:r>
        <w:rPr>
          <w:rFonts w:ascii="Arial" w:cs="Arial" w:eastAsia="Arial" w:hAnsi="Arial"/>
          <w:sz w:val="16"/>
          <w:szCs w:val="16"/>
          <w:color w:val="auto"/>
        </w:rPr>
        <w:t xml:space="preserve">A substantial portion of compensation paid to our named executive officers (NEOs) is variable and performance-based. We use the 50th percentile of our comparator group as a reference point when determining target compensation, but target pay is set based on a variety of factors and actual pay realized by our NEOs is dependent on our financial, operational and other related performance. Based on our record levels of performance in 2017, variable compensation payable under both our short-term and long-term incentive plans exceeded the target amounts established for each NEO, which is consistent with our pay-for-performance philosophy. </w:t>
      </w:r>
      <w:r>
        <w:rPr>
          <w:rFonts w:ascii="Arial" w:cs="Arial" w:eastAsia="Arial" w:hAnsi="Arial"/>
          <w:sz w:val="16"/>
          <w:szCs w:val="16"/>
          <w:b w:val="1"/>
          <w:bCs w:val="1"/>
          <w:color w:val="auto"/>
        </w:rPr>
        <w:t>All compensation paid to our CEO and</w:t>
      </w:r>
      <w:r>
        <w:rPr>
          <w:rFonts w:ascii="Arial" w:cs="Arial" w:eastAsia="Arial" w:hAnsi="Arial"/>
          <w:sz w:val="16"/>
          <w:szCs w:val="16"/>
          <w:color w:val="auto"/>
        </w:rPr>
        <w:t xml:space="preserve"> </w:t>
      </w:r>
      <w:r>
        <w:rPr>
          <w:rFonts w:ascii="Arial" w:cs="Arial" w:eastAsia="Arial" w:hAnsi="Arial"/>
          <w:sz w:val="16"/>
          <w:szCs w:val="16"/>
          <w:b w:val="1"/>
          <w:bCs w:val="1"/>
          <w:color w:val="auto"/>
        </w:rPr>
        <w:t>other NEOs in 2017 was performance-based other than base salary: 86% of our CEO’s compensation was performance-based and approximately 80% of our NEOs compensation was performance based.</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860" w:hanging="332"/>
        <w:spacing w:after="0" w:line="291" w:lineRule="auto"/>
        <w:tabs>
          <w:tab w:leader="none" w:pos="86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grant date value of PSUs and RSUs. Other NEO Compensation includes Mr. Nickolas, who commenced employment with the Company in August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3512820</wp:posOffset>
            </wp:positionH>
            <wp:positionV relativeFrom="paragraph">
              <wp:posOffset>217170</wp:posOffset>
            </wp:positionV>
            <wp:extent cx="411480" cy="2489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381" w:lineRule="exact"/>
        <w:rPr>
          <w:sz w:val="20"/>
          <w:szCs w:val="20"/>
          <w:color w:val="auto"/>
        </w:rPr>
      </w:pPr>
    </w:p>
    <w:p>
      <w:pPr>
        <w:ind w:left="640" w:hanging="436"/>
        <w:spacing w:after="0"/>
        <w:tabs>
          <w:tab w:leader="none" w:pos="640" w:val="left"/>
        </w:tabs>
        <w:numPr>
          <w:ilvl w:val="0"/>
          <w:numId w:val="10"/>
        </w:numPr>
        <w:rPr>
          <w:rFonts w:ascii="Arial" w:cs="Arial" w:eastAsia="Arial" w:hAnsi="Arial"/>
          <w:sz w:val="13"/>
          <w:szCs w:val="13"/>
          <w:b w:val="1"/>
          <w:bCs w:val="1"/>
          <w:color w:val="auto"/>
        </w:rPr>
      </w:pPr>
      <w:r>
        <w:rPr>
          <w:rFonts w:ascii="Arial" w:cs="Arial" w:eastAsia="Arial" w:hAnsi="Arial"/>
          <w:sz w:val="13"/>
          <w:szCs w:val="13"/>
          <w:color w:val="007CBA"/>
        </w:rPr>
        <w:t>2018 PROXY STATEMENT</w:t>
      </w:r>
    </w:p>
    <w:p>
      <w:pPr>
        <w:sectPr>
          <w:pgSz w:w="11900" w:h="16838" w:orient="portrait"/>
          <w:cols w:equalWidth="0" w:num="1">
            <w:col w:w="11220"/>
          </w:cols>
          <w:pgMar w:left="240" w:top="455" w:right="4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76923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7700" cy="7692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40"/>
        <w:spacing w:after="0"/>
        <w:rPr>
          <w:sz w:val="20"/>
          <w:szCs w:val="20"/>
          <w:color w:val="auto"/>
        </w:rPr>
      </w:pPr>
      <w:r>
        <w:rPr>
          <w:rFonts w:ascii="Arial" w:cs="Arial" w:eastAsia="Arial" w:hAnsi="Arial"/>
          <w:sz w:val="25"/>
          <w:szCs w:val="25"/>
          <w:b w:val="1"/>
          <w:bCs w:val="1"/>
          <w:color w:val="007CBA"/>
        </w:rPr>
        <w:t>Shareholder Rights and Governance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40"/>
        <w:spacing w:after="0"/>
        <w:rPr>
          <w:sz w:val="20"/>
          <w:szCs w:val="20"/>
          <w:color w:val="auto"/>
        </w:rPr>
      </w:pPr>
      <w:r>
        <w:rPr>
          <w:rFonts w:ascii="Arial" w:cs="Arial" w:eastAsia="Arial" w:hAnsi="Arial"/>
          <w:sz w:val="25"/>
          <w:szCs w:val="25"/>
          <w:b w:val="1"/>
          <w:bCs w:val="1"/>
          <w:color w:val="007CBA"/>
        </w:rPr>
        <w:t>Will any other matters be presented at the Annual Meeting?</w:t>
      </w:r>
    </w:p>
    <w:p>
      <w:pPr>
        <w:spacing w:after="0" w:line="202" w:lineRule="exact"/>
        <w:rPr>
          <w:sz w:val="20"/>
          <w:szCs w:val="20"/>
          <w:color w:val="auto"/>
        </w:rPr>
      </w:pPr>
    </w:p>
    <w:p>
      <w:pPr>
        <w:jc w:val="both"/>
        <w:ind w:left="540" w:right="320"/>
        <w:spacing w:after="0" w:line="257" w:lineRule="auto"/>
        <w:rPr>
          <w:sz w:val="20"/>
          <w:szCs w:val="20"/>
          <w:color w:val="auto"/>
        </w:rPr>
      </w:pPr>
      <w:r>
        <w:rPr>
          <w:rFonts w:ascii="Arial" w:cs="Arial" w:eastAsia="Arial" w:hAnsi="Arial"/>
          <w:sz w:val="16"/>
          <w:szCs w:val="16"/>
          <w:color w:val="auto"/>
        </w:rPr>
        <w:t>At the time this proxy statement was filed with the Securities and Exchange Commission, the Board of Directors was not aware that any matters not referred to herein would be presented for action at the Annual Meeting. If any other matters properly come before the meeting, it is intended that the persons named in the enclosed proxy will vote the shares represented by proxies on such matters in accordance with the recommendation of the Board of Directors, or, if no recommendation is given, in their own discretion. It is also intended that discretionary authority will be exercised with respect to the vote on any matters incident to the conduct of the meeting.</w:t>
      </w:r>
    </w:p>
    <w:p>
      <w:pPr>
        <w:spacing w:after="0" w:line="241" w:lineRule="exact"/>
        <w:rPr>
          <w:sz w:val="20"/>
          <w:szCs w:val="20"/>
          <w:color w:val="auto"/>
        </w:rPr>
      </w:pPr>
    </w:p>
    <w:p>
      <w:pPr>
        <w:ind w:left="540"/>
        <w:spacing w:after="0"/>
        <w:rPr>
          <w:sz w:val="20"/>
          <w:szCs w:val="20"/>
          <w:color w:val="auto"/>
        </w:rPr>
      </w:pPr>
      <w:r>
        <w:rPr>
          <w:rFonts w:ascii="Arial" w:cs="Arial" w:eastAsia="Arial" w:hAnsi="Arial"/>
          <w:sz w:val="25"/>
          <w:szCs w:val="25"/>
          <w:b w:val="1"/>
          <w:bCs w:val="1"/>
          <w:color w:val="007CBA"/>
        </w:rPr>
        <w:t>What are the Board’s recommendations?</w:t>
      </w:r>
    </w:p>
    <w:p>
      <w:pPr>
        <w:spacing w:after="0" w:line="202" w:lineRule="exact"/>
        <w:rPr>
          <w:sz w:val="20"/>
          <w:szCs w:val="20"/>
          <w:color w:val="auto"/>
        </w:rPr>
      </w:pPr>
    </w:p>
    <w:p>
      <w:pPr>
        <w:jc w:val="both"/>
        <w:ind w:left="540" w:right="320"/>
        <w:spacing w:after="0" w:line="269" w:lineRule="auto"/>
        <w:rPr>
          <w:sz w:val="20"/>
          <w:szCs w:val="20"/>
          <w:color w:val="auto"/>
        </w:rPr>
      </w:pPr>
      <w:r>
        <w:rPr>
          <w:rFonts w:ascii="Arial" w:cs="Arial" w:eastAsia="Arial" w:hAnsi="Arial"/>
          <w:sz w:val="16"/>
          <w:szCs w:val="16"/>
          <w:color w:val="auto"/>
        </w:rPr>
        <w:t>Unless you give other instructions on your proxy card, the persons named as proxy holders on the proxy card will vote in accordance with the recommendations of the Board of Directors. The Board’s recommendation, as well as a description of each proposal, is set forth in this proxy statement. The Board recommends a vote:</w:t>
      </w:r>
    </w:p>
    <w:p>
      <w:pPr>
        <w:spacing w:after="0" w:line="68" w:lineRule="exact"/>
        <w:rPr>
          <w:sz w:val="20"/>
          <w:szCs w:val="20"/>
          <w:color w:val="auto"/>
        </w:rPr>
      </w:pPr>
    </w:p>
    <w:p>
      <w:pPr>
        <w:ind w:left="960" w:hanging="324"/>
        <w:spacing w:after="0"/>
        <w:tabs>
          <w:tab w:leader="none" w:pos="960" w:val="left"/>
        </w:tabs>
        <w:numPr>
          <w:ilvl w:val="0"/>
          <w:numId w:val="11"/>
        </w:numPr>
        <w:rPr>
          <w:rFonts w:ascii="Arial" w:cs="Arial" w:eastAsia="Arial" w:hAnsi="Arial"/>
          <w:sz w:val="16"/>
          <w:szCs w:val="16"/>
          <w:color w:val="007CBA"/>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election of the nominated slate of Directors;</w:t>
      </w:r>
    </w:p>
    <w:p>
      <w:pPr>
        <w:spacing w:after="0" w:line="86" w:lineRule="exact"/>
        <w:rPr>
          <w:rFonts w:ascii="Arial" w:cs="Arial" w:eastAsia="Arial" w:hAnsi="Arial"/>
          <w:sz w:val="16"/>
          <w:szCs w:val="16"/>
          <w:color w:val="007CBA"/>
        </w:rPr>
      </w:pPr>
    </w:p>
    <w:p>
      <w:pPr>
        <w:ind w:left="960" w:hanging="324"/>
        <w:spacing w:after="0"/>
        <w:tabs>
          <w:tab w:leader="none" w:pos="960" w:val="left"/>
        </w:tabs>
        <w:numPr>
          <w:ilvl w:val="0"/>
          <w:numId w:val="11"/>
        </w:numPr>
        <w:rPr>
          <w:rFonts w:ascii="Arial" w:cs="Arial" w:eastAsia="Arial" w:hAnsi="Arial"/>
          <w:sz w:val="16"/>
          <w:szCs w:val="16"/>
          <w:color w:val="007CBA"/>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ratification of the selection of PricewaterhouseCoopers LLP as independent auditors; and</w:t>
      </w:r>
    </w:p>
    <w:p>
      <w:pPr>
        <w:spacing w:after="0" w:line="86" w:lineRule="exact"/>
        <w:rPr>
          <w:rFonts w:ascii="Arial" w:cs="Arial" w:eastAsia="Arial" w:hAnsi="Arial"/>
          <w:sz w:val="16"/>
          <w:szCs w:val="16"/>
          <w:color w:val="007CBA"/>
        </w:rPr>
      </w:pPr>
    </w:p>
    <w:p>
      <w:pPr>
        <w:ind w:left="960" w:hanging="324"/>
        <w:spacing w:after="0"/>
        <w:tabs>
          <w:tab w:leader="none" w:pos="960" w:val="left"/>
        </w:tabs>
        <w:numPr>
          <w:ilvl w:val="0"/>
          <w:numId w:val="11"/>
        </w:numPr>
        <w:rPr>
          <w:rFonts w:ascii="Arial" w:cs="Arial" w:eastAsia="Arial" w:hAnsi="Arial"/>
          <w:sz w:val="16"/>
          <w:szCs w:val="16"/>
          <w:color w:val="007CBA"/>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approval, on a non-binding advisory basis, of the compensation of our NEOs as described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736600</wp:posOffset>
            </wp:positionV>
            <wp:extent cx="411480" cy="2489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9260" w:type="dxa"/>
        <w:tblCellMar>
          <w:top w:w="0" w:type="dxa"/>
          <w:left w:w="0" w:type="dxa"/>
          <w:bottom w:w="0" w:type="dxa"/>
          <w:right w:w="0" w:type="dxa"/>
        </w:tblCellMar>
      </w:tblPr>
      <w:tr>
        <w:trPr>
          <w:trHeight w:val="178"/>
        </w:trPr>
        <w:tc>
          <w:tcPr>
            <w:tcW w:w="1720" w:type="dxa"/>
            <w:vAlign w:val="bottom"/>
          </w:tcPr>
          <w:p>
            <w:pPr>
              <w:spacing w:after="0"/>
              <w:rPr>
                <w:sz w:val="20"/>
                <w:szCs w:val="20"/>
                <w:color w:val="auto"/>
              </w:rPr>
            </w:pPr>
            <w:r>
              <w:rPr>
                <w:rFonts w:ascii="Arial" w:cs="Arial" w:eastAsia="Arial" w:hAnsi="Arial"/>
                <w:sz w:val="13"/>
                <w:szCs w:val="13"/>
                <w:color w:val="007CBA"/>
              </w:rPr>
              <w:t>2018 PROXY STATEMENT</w:t>
            </w:r>
          </w:p>
        </w:tc>
        <w:tc>
          <w:tcPr>
            <w:tcW w:w="240" w:type="dxa"/>
            <w:vAlign w:val="bottom"/>
          </w:tcPr>
          <w:p>
            <w:pPr>
              <w:jc w:val="right"/>
              <w:spacing w:after="0"/>
              <w:rPr>
                <w:sz w:val="20"/>
                <w:szCs w:val="20"/>
                <w:color w:val="auto"/>
              </w:rPr>
            </w:pPr>
            <w:r>
              <w:rPr>
                <w:rFonts w:ascii="Arial" w:cs="Arial" w:eastAsia="Arial" w:hAnsi="Arial"/>
                <w:sz w:val="13"/>
                <w:szCs w:val="13"/>
                <w:b w:val="1"/>
                <w:bCs w:val="1"/>
                <w:color w:val="auto"/>
              </w:rPr>
              <w:t>5</w:t>
            </w:r>
          </w:p>
        </w:tc>
      </w:tr>
    </w:tbl>
    <w:p>
      <w:pPr>
        <w:sectPr>
          <w:pgSz w:w="11900" w:h="16838" w:orient="portrait"/>
          <w:cols w:equalWidth="0" w:num="1">
            <w:col w:w="11220"/>
          </w:cols>
          <w:pgMar w:left="240" w:top="455" w:right="4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9690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7700" cy="969010"/>
                    </a:xfrm>
                    <a:prstGeom prst="rect">
                      <a:avLst/>
                    </a:prstGeom>
                    <a:noFill/>
                  </pic:spPr>
                </pic:pic>
              </a:graphicData>
            </a:graphic>
          </wp:anchor>
        </w:drawing>
      </w:r>
    </w:p>
    <w:p>
      <w:pPr>
        <w:spacing w:after="0" w:line="312"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007CBA"/>
        </w:rPr>
        <w:t>CAUTIONARY NOTE REGARDING FORWARD-LOOKING STATEMENTS</w:t>
      </w:r>
    </w:p>
    <w:p>
      <w:pPr>
        <w:spacing w:after="0" w:line="231" w:lineRule="exact"/>
        <w:rPr>
          <w:sz w:val="20"/>
          <w:szCs w:val="20"/>
          <w:color w:val="auto"/>
        </w:rPr>
      </w:pPr>
    </w:p>
    <w:p>
      <w:pPr>
        <w:jc w:val="both"/>
        <w:ind w:left="320" w:right="100"/>
        <w:spacing w:after="0" w:line="250" w:lineRule="auto"/>
        <w:rPr>
          <w:sz w:val="20"/>
          <w:szCs w:val="20"/>
          <w:color w:val="auto"/>
        </w:rPr>
      </w:pPr>
      <w:r>
        <w:rPr>
          <w:rFonts w:ascii="Arial" w:cs="Arial" w:eastAsia="Arial" w:hAnsi="Arial"/>
          <w:sz w:val="14"/>
          <w:szCs w:val="14"/>
          <w:i w:val="1"/>
          <w:iCs w:val="1"/>
          <w:color w:val="auto"/>
        </w:rPr>
        <w:t>This proxy statement contains forward-looking statements as defined in the Securities Exchange Act of 1934 and is subject to the safe harbors created therein. The forward-looking statements contained herein are generally identified by the words “believe,” “project,” “expect,” “anticipate,” “estimate,” “intend,” “strategy,” “future,” “opportunity,” “plan,” “may,” “should,” “will,” “would,” “will be,” “will continue,” “will likely result,” and similar expressions. Forward-looking statements are based on the beliefs and assumptions of our management and on currently available information. A detailed discussion of risks and uncertainties that could cause actual results and events to differ materially from such forward-looking statements is included in our annual report on Form 10-K for the fiscal year ended December 31, 2017. We undertake no responsibility to publicly update or revise any forward-looking statement.</w:t>
      </w:r>
    </w:p>
    <w:p>
      <w:pPr>
        <w:spacing w:after="0" w:line="200" w:lineRule="exact"/>
        <w:rPr>
          <w:sz w:val="20"/>
          <w:szCs w:val="20"/>
          <w:color w:val="auto"/>
        </w:rPr>
      </w:pPr>
    </w:p>
    <w:p>
      <w:pPr>
        <w:spacing w:after="0" w:line="208" w:lineRule="exact"/>
        <w:rPr>
          <w:sz w:val="20"/>
          <w:szCs w:val="20"/>
          <w:color w:val="auto"/>
        </w:rPr>
      </w:pPr>
    </w:p>
    <w:p>
      <w:pPr>
        <w:jc w:val="center"/>
        <w:ind w:right="-199"/>
        <w:spacing w:after="0"/>
        <w:rPr>
          <w:sz w:val="20"/>
          <w:szCs w:val="20"/>
          <w:color w:val="auto"/>
        </w:rPr>
      </w:pPr>
      <w:r>
        <w:rPr>
          <w:rFonts w:ascii="Arial" w:cs="Arial" w:eastAsia="Arial" w:hAnsi="Arial"/>
          <w:sz w:val="43"/>
          <w:szCs w:val="43"/>
          <w:color w:val="auto"/>
        </w:rPr>
        <w:t>The Board of Directors</w:t>
      </w:r>
    </w:p>
    <w:p>
      <w:pPr>
        <w:spacing w:after="0" w:line="259" w:lineRule="exact"/>
        <w:rPr>
          <w:sz w:val="20"/>
          <w:szCs w:val="20"/>
          <w:color w:val="auto"/>
        </w:rPr>
      </w:pPr>
    </w:p>
    <w:p>
      <w:pPr>
        <w:jc w:val="both"/>
        <w:ind w:left="200"/>
        <w:spacing w:after="0" w:line="257" w:lineRule="auto"/>
        <w:rPr>
          <w:sz w:val="20"/>
          <w:szCs w:val="20"/>
          <w:color w:val="auto"/>
        </w:rPr>
      </w:pPr>
      <w:r>
        <w:rPr>
          <w:rFonts w:ascii="Arial" w:cs="Arial" w:eastAsia="Arial" w:hAnsi="Arial"/>
          <w:sz w:val="16"/>
          <w:szCs w:val="16"/>
          <w:color w:val="auto"/>
        </w:rPr>
        <w:t>The Board of Directors currently consists of nine members, eight of whom are non-employee Directors. At the 2016 Annual Meeting, shareholders approved the Board of Directors’ proposal to amend our Articles of Incorporation to phase out the classification of the terms of our Directors and to provide instead for the annual election of our Directors. Prior to the charter amendment, our Board of Directors was divided into three classes, with each class serving three-year terms. Commencing with the 2017 Annual Meeting of Shareholders, our Directors are elected to one-year terms of office after the current terms of the Directors of each class expire at this 2018 Annual Meeting of Shareholders and the 2019 Annual Meeting.</w:t>
      </w:r>
    </w:p>
    <w:p>
      <w:pPr>
        <w:spacing w:after="0" w:line="176" w:lineRule="exact"/>
        <w:rPr>
          <w:sz w:val="20"/>
          <w:szCs w:val="20"/>
          <w:color w:val="auto"/>
        </w:rPr>
      </w:pPr>
    </w:p>
    <w:p>
      <w:pPr>
        <w:jc w:val="both"/>
        <w:ind w:left="200"/>
        <w:spacing w:after="0" w:line="257" w:lineRule="auto"/>
        <w:rPr>
          <w:sz w:val="20"/>
          <w:szCs w:val="20"/>
          <w:color w:val="auto"/>
        </w:rPr>
      </w:pPr>
      <w:r>
        <w:rPr>
          <w:rFonts w:ascii="Arial" w:cs="Arial" w:eastAsia="Arial" w:hAnsi="Arial"/>
          <w:sz w:val="16"/>
          <w:szCs w:val="16"/>
          <w:color w:val="auto"/>
        </w:rPr>
        <w:t>The Board of Directors has nominated seven persons for election as Directors to serve a one-year term expiring in 2019. Unless otherwise directed, proxies will be voted in favor of these nominees. Each nominee has agreed to serve if elected. Each of the nominees, except Mr. Davis, is currently serving as a Director. Should any nominee become unable to serve as a Director, the persons named in the enclosed form of proxy will, unless otherwise directed, vote for the election of such other person for such position as the present Board of Directors may recommend in place of such nominee. Proxies cannot be voted for a greater number of persons than the number of nominees named.</w:t>
      </w:r>
    </w:p>
    <w:p>
      <w:pPr>
        <w:spacing w:after="0" w:line="176" w:lineRule="exact"/>
        <w:rPr>
          <w:sz w:val="20"/>
          <w:szCs w:val="20"/>
          <w:color w:val="auto"/>
        </w:rPr>
      </w:pPr>
    </w:p>
    <w:p>
      <w:pPr>
        <w:jc w:val="both"/>
        <w:ind w:left="200"/>
        <w:spacing w:after="0" w:line="254" w:lineRule="auto"/>
        <w:rPr>
          <w:sz w:val="20"/>
          <w:szCs w:val="20"/>
          <w:color w:val="auto"/>
        </w:rPr>
      </w:pPr>
      <w:r>
        <w:rPr>
          <w:rFonts w:ascii="Arial" w:cs="Arial" w:eastAsia="Arial" w:hAnsi="Arial"/>
          <w:sz w:val="16"/>
          <w:szCs w:val="16"/>
          <w:color w:val="auto"/>
        </w:rPr>
        <w:t>Under our Bylaws, nominations of persons for election to the Board of Directors may be made at an Annual Meeting of Shareholders by the Board of Directors and by any shareholder who complies with the notice procedures set forth in the Bylaws. As described in the proxy statement for our 2017 Annual Meeting, for a nomination to be properly made by a shareholder at the 2018 Annual Meeting, the shareholder’s notice must have been sent to, and received by, our Secretary at our principal executive offices between January 17, 2018 and February 16, 2018. No such notice was received during this period. Should any of the following nominees be unavailable for election by reason of death or other unexpected occurrence, the proxy, to the extent permitted by applicable law, may be voted with discretionary authority in connection with the nomination by the Board of Directors and the election of any substitute nominee.</w:t>
      </w:r>
    </w:p>
    <w:p>
      <w:pPr>
        <w:spacing w:after="0" w:line="177" w:lineRule="exact"/>
        <w:rPr>
          <w:sz w:val="20"/>
          <w:szCs w:val="20"/>
          <w:color w:val="auto"/>
        </w:rPr>
      </w:pPr>
    </w:p>
    <w:p>
      <w:pPr>
        <w:jc w:val="both"/>
        <w:ind w:left="200"/>
        <w:spacing w:after="0" w:line="256" w:lineRule="auto"/>
        <w:rPr>
          <w:sz w:val="20"/>
          <w:szCs w:val="20"/>
          <w:color w:val="auto"/>
        </w:rPr>
      </w:pPr>
      <w:r>
        <w:rPr>
          <w:rFonts w:ascii="Arial" w:cs="Arial" w:eastAsia="Arial" w:hAnsi="Arial"/>
          <w:sz w:val="16"/>
          <w:szCs w:val="16"/>
          <w:color w:val="auto"/>
        </w:rPr>
        <w:t>Working closely with the full Board, the Nominating and Corporate Governance Committee develops criteria for open Board positions. In developing these criteria, the Committee takes into account a variety of factors, which may include: the current composition of the Board and expected retirements from the Board; the range of talents, experiences and skills that would best complement those already represented on the Board; and the need for financial or other specialized expertise. Applying these criteria, the Committee considers candidates for Board membership suggested by Committee members, other Board members, and management. The Committee has also retained a third-party executive search firm to identify and review candidates from time to time.</w:t>
      </w:r>
    </w:p>
    <w:p>
      <w:pPr>
        <w:spacing w:after="0" w:line="369" w:lineRule="exact"/>
        <w:rPr>
          <w:sz w:val="20"/>
          <w:szCs w:val="20"/>
          <w:color w:val="auto"/>
        </w:rPr>
      </w:pPr>
    </w:p>
    <w:p>
      <w:pPr>
        <w:jc w:val="both"/>
        <w:ind w:left="200"/>
        <w:spacing w:after="0" w:line="252" w:lineRule="auto"/>
        <w:rPr>
          <w:sz w:val="20"/>
          <w:szCs w:val="20"/>
          <w:color w:val="auto"/>
        </w:rPr>
      </w:pPr>
      <w:r>
        <w:rPr>
          <w:rFonts w:ascii="Arial" w:cs="Arial" w:eastAsia="Arial" w:hAnsi="Arial"/>
          <w:sz w:val="16"/>
          <w:szCs w:val="16"/>
          <w:color w:val="auto"/>
        </w:rPr>
        <w:t xml:space="preserve">Once the Committee has identified a prospective nominee, it makes an initial determination as to whether to conduct a full evaluation. In making this determination, the Committee takes into account various information, including information provided at the time of the candidate recommendation, the Committee’s own knowledge, and information obtained through inquiries to third parties to the extent the Committee deems appropriate. The preliminary determination is based primarily on the need for additional Board members and the likelihood that the prospective nominee can satisfy the criteria that the Committee has established. If the Committee determines, in consultation with the Chairman, President and CEO and other Directors as appropriate, that additional consideration is warranted, it may request management or a third-party search firm to gather additional information about the prospective nominee’s background and experience and to report its findings to the Committee. The Committee then evaluates the prospective nominee against the specific criteria that it has established for the position, as well as the standards and qualifications set out in the Company’s </w:t>
      </w:r>
      <w:r>
        <w:rPr>
          <w:rFonts w:ascii="Arial" w:cs="Arial" w:eastAsia="Arial" w:hAnsi="Arial"/>
          <w:sz w:val="16"/>
          <w:szCs w:val="16"/>
          <w:i w:val="1"/>
          <w:iCs w:val="1"/>
          <w:color w:val="auto"/>
        </w:rPr>
        <w:t>Corporate Governance</w:t>
      </w:r>
      <w:r>
        <w:rPr>
          <w:rFonts w:ascii="Arial" w:cs="Arial" w:eastAsia="Arial" w:hAnsi="Arial"/>
          <w:sz w:val="16"/>
          <w:szCs w:val="16"/>
          <w:color w:val="auto"/>
        </w:rPr>
        <w:t xml:space="preserve"> </w:t>
      </w:r>
      <w:r>
        <w:rPr>
          <w:rFonts w:ascii="Arial" w:cs="Arial" w:eastAsia="Arial" w:hAnsi="Arial"/>
          <w:sz w:val="16"/>
          <w:szCs w:val="16"/>
          <w:i w:val="1"/>
          <w:iCs w:val="1"/>
          <w:color w:val="auto"/>
        </w:rPr>
        <w:t>Guidelines</w:t>
      </w:r>
      <w:r>
        <w:rPr>
          <w:rFonts w:ascii="Arial" w:cs="Arial" w:eastAsia="Arial" w:hAnsi="Arial"/>
          <w:sz w:val="16"/>
          <w:szCs w:val="16"/>
          <w:color w:val="auto"/>
        </w:rPr>
        <w:t>, including:</w:t>
      </w:r>
    </w:p>
    <w:p>
      <w:pPr>
        <w:spacing w:after="0" w:line="85" w:lineRule="exact"/>
        <w:rPr>
          <w:sz w:val="20"/>
          <w:szCs w:val="20"/>
          <w:color w:val="auto"/>
        </w:rPr>
      </w:pPr>
    </w:p>
    <w:p>
      <w:pPr>
        <w:ind w:left="960" w:hanging="324"/>
        <w:spacing w:after="0"/>
        <w:tabs>
          <w:tab w:leader="none" w:pos="960" w:val="left"/>
        </w:tabs>
        <w:numPr>
          <w:ilvl w:val="0"/>
          <w:numId w:val="12"/>
        </w:numPr>
        <w:rPr>
          <w:rFonts w:ascii="Arial" w:cs="Arial" w:eastAsia="Arial" w:hAnsi="Arial"/>
          <w:sz w:val="16"/>
          <w:szCs w:val="16"/>
          <w:color w:val="007CBA"/>
        </w:rPr>
      </w:pPr>
      <w:r>
        <w:rPr>
          <w:rFonts w:ascii="Arial" w:cs="Arial" w:eastAsia="Arial" w:hAnsi="Arial"/>
          <w:sz w:val="16"/>
          <w:szCs w:val="16"/>
          <w:color w:val="auto"/>
        </w:rPr>
        <w:t>the ability of the prospective nominee to represent the interests of the shareholders of the Company;</w:t>
      </w:r>
    </w:p>
    <w:p>
      <w:pPr>
        <w:spacing w:after="0" w:line="126" w:lineRule="exact"/>
        <w:rPr>
          <w:rFonts w:ascii="Arial" w:cs="Arial" w:eastAsia="Arial" w:hAnsi="Arial"/>
          <w:sz w:val="16"/>
          <w:szCs w:val="16"/>
          <w:color w:val="007CBA"/>
        </w:rPr>
      </w:pPr>
    </w:p>
    <w:p>
      <w:pPr>
        <w:ind w:left="960" w:hanging="324"/>
        <w:spacing w:after="0"/>
        <w:tabs>
          <w:tab w:leader="none" w:pos="960" w:val="left"/>
        </w:tabs>
        <w:numPr>
          <w:ilvl w:val="0"/>
          <w:numId w:val="12"/>
        </w:numPr>
        <w:rPr>
          <w:rFonts w:ascii="Arial" w:cs="Arial" w:eastAsia="Arial" w:hAnsi="Arial"/>
          <w:sz w:val="16"/>
          <w:szCs w:val="16"/>
          <w:color w:val="007CBA"/>
        </w:rPr>
      </w:pPr>
      <w:r>
        <w:rPr>
          <w:rFonts w:ascii="Arial" w:cs="Arial" w:eastAsia="Arial" w:hAnsi="Arial"/>
          <w:sz w:val="16"/>
          <w:szCs w:val="16"/>
          <w:color w:val="auto"/>
        </w:rPr>
        <w:t>the prospective nominee’s standards of integrity, commitment and independence of thought and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3512820</wp:posOffset>
            </wp:positionH>
            <wp:positionV relativeFrom="paragraph">
              <wp:posOffset>186055</wp:posOffset>
            </wp:positionV>
            <wp:extent cx="411480" cy="2489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292" w:lineRule="exact"/>
        <w:rPr>
          <w:sz w:val="20"/>
          <w:szCs w:val="20"/>
          <w:color w:val="auto"/>
        </w:rPr>
      </w:pPr>
    </w:p>
    <w:p>
      <w:pPr>
        <w:ind w:left="640" w:hanging="436"/>
        <w:spacing w:after="0"/>
        <w:tabs>
          <w:tab w:leader="none" w:pos="640" w:val="left"/>
        </w:tabs>
        <w:numPr>
          <w:ilvl w:val="0"/>
          <w:numId w:val="13"/>
        </w:numPr>
        <w:rPr>
          <w:rFonts w:ascii="Arial" w:cs="Arial" w:eastAsia="Arial" w:hAnsi="Arial"/>
          <w:sz w:val="13"/>
          <w:szCs w:val="13"/>
          <w:b w:val="1"/>
          <w:bCs w:val="1"/>
          <w:color w:val="auto"/>
        </w:rPr>
      </w:pPr>
      <w:r>
        <w:rPr>
          <w:rFonts w:ascii="Arial" w:cs="Arial" w:eastAsia="Arial" w:hAnsi="Arial"/>
          <w:sz w:val="13"/>
          <w:szCs w:val="13"/>
          <w:color w:val="007CBA"/>
        </w:rPr>
        <w:t>2018 PROXY STATEMENT</w:t>
      </w:r>
    </w:p>
    <w:p>
      <w:pPr>
        <w:sectPr>
          <w:pgSz w:w="11900" w:h="16838" w:orient="portrait"/>
          <w:cols w:equalWidth="0" w:num="1">
            <w:col w:w="11220"/>
          </w:cols>
          <w:pgMar w:left="240" w:top="455" w:right="4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left="960" w:right="320" w:hanging="324"/>
        <w:spacing w:after="0" w:line="269" w:lineRule="auto"/>
        <w:tabs>
          <w:tab w:leader="none" w:pos="960" w:val="left"/>
        </w:tabs>
        <w:numPr>
          <w:ilvl w:val="0"/>
          <w:numId w:val="14"/>
        </w:numPr>
        <w:rPr>
          <w:rFonts w:ascii="Arial" w:cs="Arial" w:eastAsia="Arial" w:hAnsi="Arial"/>
          <w:sz w:val="16"/>
          <w:szCs w:val="16"/>
          <w:color w:val="007CBA"/>
        </w:rPr>
      </w:pPr>
      <w:r>
        <w:rPr>
          <w:rFonts w:ascii="Arial" w:cs="Arial" w:eastAsia="Arial" w:hAnsi="Arial"/>
          <w:sz w:val="16"/>
          <w:szCs w:val="16"/>
          <w:color w:val="auto"/>
        </w:rPr>
        <w:t xml:space="preserve">the prospective nominee’s ability to dedicate sufficient time, energy and attention to the diligent performance of his or her duties, including the prospective nominee’s service on other public company boards, as specifically set out in the Company’s </w:t>
      </w:r>
      <w:r>
        <w:rPr>
          <w:rFonts w:ascii="Arial" w:cs="Arial" w:eastAsia="Arial" w:hAnsi="Arial"/>
          <w:sz w:val="16"/>
          <w:szCs w:val="16"/>
          <w:i w:val="1"/>
          <w:iCs w:val="1"/>
          <w:color w:val="auto"/>
        </w:rPr>
        <w:t>Corporate Governance</w:t>
      </w:r>
      <w:r>
        <w:rPr>
          <w:rFonts w:ascii="Arial" w:cs="Arial" w:eastAsia="Arial" w:hAnsi="Arial"/>
          <w:sz w:val="16"/>
          <w:szCs w:val="16"/>
          <w:color w:val="auto"/>
        </w:rPr>
        <w:t xml:space="preserve"> </w:t>
      </w:r>
      <w:r>
        <w:rPr>
          <w:rFonts w:ascii="Arial" w:cs="Arial" w:eastAsia="Arial" w:hAnsi="Arial"/>
          <w:sz w:val="16"/>
          <w:szCs w:val="16"/>
          <w:i w:val="1"/>
          <w:iCs w:val="1"/>
          <w:color w:val="auto"/>
        </w:rPr>
        <w:t>Guidelines</w:t>
      </w:r>
      <w:r>
        <w:rPr>
          <w:rFonts w:ascii="Arial" w:cs="Arial" w:eastAsia="Arial" w:hAnsi="Arial"/>
          <w:sz w:val="16"/>
          <w:szCs w:val="16"/>
          <w:color w:val="auto"/>
        </w:rPr>
        <w:t>;</w:t>
      </w:r>
    </w:p>
    <w:p>
      <w:pPr>
        <w:spacing w:after="0" w:line="70" w:lineRule="exact"/>
        <w:rPr>
          <w:rFonts w:ascii="Arial" w:cs="Arial" w:eastAsia="Arial" w:hAnsi="Arial"/>
          <w:sz w:val="16"/>
          <w:szCs w:val="16"/>
          <w:color w:val="007CBA"/>
        </w:rPr>
      </w:pPr>
    </w:p>
    <w:p>
      <w:pPr>
        <w:ind w:left="960" w:hanging="324"/>
        <w:spacing w:after="0"/>
        <w:tabs>
          <w:tab w:leader="none" w:pos="960" w:val="left"/>
        </w:tabs>
        <w:numPr>
          <w:ilvl w:val="0"/>
          <w:numId w:val="14"/>
        </w:numPr>
        <w:rPr>
          <w:rFonts w:ascii="Arial" w:cs="Arial" w:eastAsia="Arial" w:hAnsi="Arial"/>
          <w:sz w:val="16"/>
          <w:szCs w:val="16"/>
          <w:color w:val="007CBA"/>
        </w:rPr>
      </w:pPr>
      <w:r>
        <w:rPr>
          <w:rFonts w:ascii="Arial" w:cs="Arial" w:eastAsia="Arial" w:hAnsi="Arial"/>
          <w:sz w:val="16"/>
          <w:szCs w:val="16"/>
          <w:color w:val="auto"/>
        </w:rPr>
        <w:t>the extent to which the prospective nominee contributes to the range of talent, skill and expertise appropriate for the Board; and</w:t>
      </w:r>
    </w:p>
    <w:p>
      <w:pPr>
        <w:spacing w:after="0" w:line="126" w:lineRule="exact"/>
        <w:rPr>
          <w:rFonts w:ascii="Arial" w:cs="Arial" w:eastAsia="Arial" w:hAnsi="Arial"/>
          <w:sz w:val="16"/>
          <w:szCs w:val="16"/>
          <w:color w:val="007CBA"/>
        </w:rPr>
      </w:pPr>
    </w:p>
    <w:p>
      <w:pPr>
        <w:ind w:left="960" w:right="320" w:hanging="324"/>
        <w:spacing w:after="0" w:line="291" w:lineRule="auto"/>
        <w:tabs>
          <w:tab w:leader="none" w:pos="960" w:val="left"/>
        </w:tabs>
        <w:numPr>
          <w:ilvl w:val="0"/>
          <w:numId w:val="14"/>
        </w:numPr>
        <w:rPr>
          <w:rFonts w:ascii="Arial" w:cs="Arial" w:eastAsia="Arial" w:hAnsi="Arial"/>
          <w:sz w:val="16"/>
          <w:szCs w:val="16"/>
          <w:color w:val="007CBA"/>
        </w:rPr>
      </w:pPr>
      <w:r>
        <w:rPr>
          <w:rFonts w:ascii="Arial" w:cs="Arial" w:eastAsia="Arial" w:hAnsi="Arial"/>
          <w:sz w:val="16"/>
          <w:szCs w:val="16"/>
          <w:color w:val="auto"/>
        </w:rPr>
        <w:t>the extent to which the prospective nominee helps the Board reflect the diversity of the Company’s shareholders, employees, customers and the communities in which it operates.</w:t>
      </w:r>
    </w:p>
    <w:p>
      <w:pPr>
        <w:spacing w:after="0" w:line="148" w:lineRule="exact"/>
        <w:rPr>
          <w:sz w:val="20"/>
          <w:szCs w:val="20"/>
          <w:color w:val="auto"/>
        </w:rPr>
      </w:pPr>
    </w:p>
    <w:p>
      <w:pPr>
        <w:jc w:val="both"/>
        <w:ind w:left="200"/>
        <w:spacing w:after="0" w:line="259" w:lineRule="auto"/>
        <w:rPr>
          <w:sz w:val="20"/>
          <w:szCs w:val="20"/>
          <w:color w:val="auto"/>
        </w:rPr>
      </w:pPr>
      <w:r>
        <w:rPr>
          <w:rFonts w:ascii="Arial" w:cs="Arial" w:eastAsia="Arial" w:hAnsi="Arial"/>
          <w:sz w:val="16"/>
          <w:szCs w:val="16"/>
          <w:color w:val="auto"/>
        </w:rPr>
        <w:t>If the Committee decides, on the basis of its preliminary review, to proceed with further consideration, members of the Committee, the Chairman, President and CEO, as well as other members of the Board as appropriate, interview the nominee. After completing this evaluation and interview, the Committee makes a recommendation to the full Board, which makes the final determination whether to nominate or appoint the new Director after considering the Committee’s report. A background check is completed before a final recommendation is made to the Board to appoint a candidate to the Board.</w:t>
      </w:r>
    </w:p>
    <w:p>
      <w:pPr>
        <w:spacing w:after="0" w:line="367" w:lineRule="exact"/>
        <w:rPr>
          <w:sz w:val="20"/>
          <w:szCs w:val="20"/>
          <w:color w:val="auto"/>
        </w:rPr>
      </w:pPr>
    </w:p>
    <w:p>
      <w:pPr>
        <w:jc w:val="both"/>
        <w:ind w:left="200"/>
        <w:spacing w:after="0" w:line="255" w:lineRule="auto"/>
        <w:rPr>
          <w:sz w:val="20"/>
          <w:szCs w:val="20"/>
          <w:color w:val="auto"/>
        </w:rPr>
      </w:pPr>
      <w:r>
        <w:rPr>
          <w:rFonts w:ascii="Arial" w:cs="Arial" w:eastAsia="Arial" w:hAnsi="Arial"/>
          <w:sz w:val="16"/>
          <w:szCs w:val="16"/>
          <w:color w:val="auto"/>
        </w:rPr>
        <w:t>In selecting nominees for Director, the Board seeks to achieve a mix of members who together bring experience and personal backgrounds relevant to the Company’s strategic priorities and the scope and complexity of the Company’s business. The Board also seeks demonstrated ability to manage complex issues that involve a balance of risk and reward. The background information on current nominees beginning on page 8 sets out how each of the current nominees contributes to the mix of experience and qualifications the Board seeks. In making its recommendations with respect to the nomination for re-election of existing Directors at the annual shareholders meeting, the Committee assesses the composition of the Board at the time and considers the extent to which the Board continues to reflect the criteria set forth above.</w:t>
      </w:r>
    </w:p>
    <w:p>
      <w:pPr>
        <w:spacing w:after="0" w:line="178" w:lineRule="exact"/>
        <w:rPr>
          <w:sz w:val="20"/>
          <w:szCs w:val="20"/>
          <w:color w:val="auto"/>
        </w:rPr>
      </w:pPr>
    </w:p>
    <w:p>
      <w:pPr>
        <w:jc w:val="both"/>
        <w:ind w:left="200"/>
        <w:spacing w:after="0" w:line="291" w:lineRule="auto"/>
        <w:rPr>
          <w:sz w:val="20"/>
          <w:szCs w:val="20"/>
          <w:color w:val="auto"/>
        </w:rPr>
      </w:pPr>
      <w:r>
        <w:rPr>
          <w:rFonts w:ascii="Arial" w:cs="Arial" w:eastAsia="Arial" w:hAnsi="Arial"/>
          <w:sz w:val="16"/>
          <w:szCs w:val="16"/>
          <w:color w:val="auto"/>
        </w:rPr>
        <w:t>The following sets forth the age and certain other biographical information for each of the nominees for election and for each of the other members of the Board of Directors as of the date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62865</wp:posOffset>
            </wp:positionV>
            <wp:extent cx="411480" cy="2489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95" w:lineRule="exact"/>
        <w:rPr>
          <w:sz w:val="20"/>
          <w:szCs w:val="20"/>
          <w:color w:val="auto"/>
        </w:rPr>
      </w:pPr>
    </w:p>
    <w:tbl>
      <w:tblPr>
        <w:tblLayout w:type="fixed"/>
        <w:tblInd w:w="9260" w:type="dxa"/>
        <w:tblCellMar>
          <w:top w:w="0" w:type="dxa"/>
          <w:left w:w="0" w:type="dxa"/>
          <w:bottom w:w="0" w:type="dxa"/>
          <w:right w:w="0" w:type="dxa"/>
        </w:tblCellMar>
      </w:tblPr>
      <w:tr>
        <w:trPr>
          <w:trHeight w:val="178"/>
        </w:trPr>
        <w:tc>
          <w:tcPr>
            <w:tcW w:w="1720" w:type="dxa"/>
            <w:vAlign w:val="bottom"/>
          </w:tcPr>
          <w:p>
            <w:pPr>
              <w:spacing w:after="0"/>
              <w:rPr>
                <w:sz w:val="20"/>
                <w:szCs w:val="20"/>
                <w:color w:val="auto"/>
              </w:rPr>
            </w:pPr>
            <w:r>
              <w:rPr>
                <w:rFonts w:ascii="Arial" w:cs="Arial" w:eastAsia="Arial" w:hAnsi="Arial"/>
                <w:sz w:val="13"/>
                <w:szCs w:val="13"/>
                <w:color w:val="007CBA"/>
              </w:rPr>
              <w:t>2018 PROXY STATEMENT</w:t>
            </w:r>
          </w:p>
        </w:tc>
        <w:tc>
          <w:tcPr>
            <w:tcW w:w="240" w:type="dxa"/>
            <w:vAlign w:val="bottom"/>
          </w:tcPr>
          <w:p>
            <w:pPr>
              <w:jc w:val="right"/>
              <w:spacing w:after="0"/>
              <w:rPr>
                <w:sz w:val="20"/>
                <w:szCs w:val="20"/>
                <w:color w:val="auto"/>
              </w:rPr>
            </w:pPr>
            <w:r>
              <w:rPr>
                <w:rFonts w:ascii="Arial" w:cs="Arial" w:eastAsia="Arial" w:hAnsi="Arial"/>
                <w:sz w:val="13"/>
                <w:szCs w:val="13"/>
                <w:b w:val="1"/>
                <w:bCs w:val="1"/>
                <w:color w:val="auto"/>
              </w:rPr>
              <w:t>7</w:t>
            </w:r>
          </w:p>
        </w:tc>
      </w:tr>
    </w:tbl>
    <w:p>
      <w:pPr>
        <w:sectPr>
          <w:pgSz w:w="11900" w:h="16838" w:orient="portrait"/>
          <w:cols w:equalWidth="0" w:num="1">
            <w:col w:w="11220"/>
          </w:cols>
          <w:pgMar w:left="240" w:top="455" w:right="4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72" w:lineRule="exact"/>
        <w:rPr>
          <w:sz w:val="20"/>
          <w:szCs w:val="20"/>
          <w:color w:val="auto"/>
        </w:rPr>
      </w:pPr>
    </w:p>
    <w:p>
      <w:pPr>
        <w:ind w:left="200"/>
        <w:spacing w:after="0"/>
        <w:rPr>
          <w:sz w:val="20"/>
          <w:szCs w:val="20"/>
          <w:color w:val="auto"/>
        </w:rPr>
      </w:pPr>
      <w:r>
        <w:rPr>
          <w:rFonts w:ascii="Arial" w:cs="Arial" w:eastAsia="Arial" w:hAnsi="Arial"/>
          <w:sz w:val="43"/>
          <w:szCs w:val="43"/>
          <w:color w:val="auto"/>
        </w:rPr>
        <w:t>Proposal No. 1</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007CBA"/>
        </w:rPr>
        <w:t>Election of Directors</w:t>
      </w:r>
    </w:p>
    <w:p>
      <w:pPr>
        <w:spacing w:after="0" w:line="235" w:lineRule="exact"/>
        <w:rPr>
          <w:sz w:val="20"/>
          <w:szCs w:val="20"/>
          <w:color w:val="auto"/>
        </w:rPr>
      </w:pPr>
    </w:p>
    <w:p>
      <w:pPr>
        <w:ind w:left="200"/>
        <w:spacing w:after="0"/>
        <w:rPr>
          <w:sz w:val="20"/>
          <w:szCs w:val="20"/>
          <w:color w:val="auto"/>
        </w:rPr>
      </w:pPr>
      <w:r>
        <w:rPr>
          <w:rFonts w:ascii="Arial" w:cs="Arial" w:eastAsia="Arial" w:hAnsi="Arial"/>
          <w:sz w:val="19"/>
          <w:szCs w:val="19"/>
          <w:i w:val="1"/>
          <w:iCs w:val="1"/>
          <w:color w:val="auto"/>
        </w:rPr>
        <w:t>Nominees for Election to the Board of Directors for a Term Continuing Until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168910</wp:posOffset>
            </wp:positionV>
            <wp:extent cx="1123315" cy="14579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23315" cy="1457960"/>
                    </a:xfrm>
                    <a:prstGeom prst="rect">
                      <a:avLst/>
                    </a:prstGeom>
                    <a:noFill/>
                  </pic:spPr>
                </pic:pic>
              </a:graphicData>
            </a:graphic>
          </wp:anchor>
        </w:drawing>
      </w:r>
    </w:p>
    <w:p>
      <w:pPr>
        <w:sectPr>
          <w:pgSz w:w="11900" w:h="16838" w:orient="portrait"/>
          <w:cols w:equalWidth="0" w:num="1">
            <w:col w:w="11200"/>
          </w:cols>
          <w:pgMar w:left="240" w:top="455"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0"/>
        <w:spacing w:after="0" w:line="322" w:lineRule="exact"/>
        <w:rPr>
          <w:sz w:val="20"/>
          <w:szCs w:val="20"/>
          <w:color w:val="auto"/>
        </w:rPr>
      </w:pPr>
      <w:r>
        <w:rPr>
          <w:rFonts w:ascii="MS PGothic" w:cs="MS PGothic" w:eastAsia="MS PGothic" w:hAnsi="MS PGothic"/>
          <w:sz w:val="28"/>
          <w:szCs w:val="28"/>
          <w:color w:val="007CBA"/>
        </w:rPr>
        <w:t>◆</w:t>
      </w:r>
      <w:r>
        <w:rPr>
          <w:rFonts w:ascii="Arial" w:cs="Arial" w:eastAsia="Arial" w:hAnsi="Arial"/>
          <w:sz w:val="22"/>
          <w:szCs w:val="22"/>
          <w:b w:val="1"/>
          <w:bCs w:val="1"/>
          <w:color w:val="007CBA"/>
        </w:rPr>
        <w:t>SUE W. COLE</w:t>
      </w:r>
    </w:p>
    <w:p>
      <w:pPr>
        <w:spacing w:after="0" w:line="196"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2002</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67</w:t>
      </w:r>
    </w:p>
    <w:p>
      <w:pPr>
        <w:spacing w:after="0" w:line="88" w:lineRule="exact"/>
        <w:rPr>
          <w:sz w:val="20"/>
          <w:szCs w:val="20"/>
          <w:color w:val="auto"/>
        </w:rPr>
      </w:pPr>
    </w:p>
    <w:p>
      <w:pPr>
        <w:ind w:left="320"/>
        <w:spacing w:after="0" w:line="257" w:lineRule="auto"/>
        <w:rPr>
          <w:sz w:val="20"/>
          <w:szCs w:val="20"/>
          <w:color w:val="auto"/>
        </w:rPr>
      </w:pPr>
      <w:r>
        <w:rPr>
          <w:rFonts w:ascii="Arial" w:cs="Arial" w:eastAsia="Arial" w:hAnsi="Arial"/>
          <w:sz w:val="16"/>
          <w:szCs w:val="16"/>
          <w:color w:val="auto"/>
        </w:rPr>
        <w:t>Chair of the Nominating and Corporate Governance Committee and member of the Management Development and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492125</wp:posOffset>
            </wp:positionV>
            <wp:extent cx="1123315" cy="14579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23315" cy="14579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Ms. Cole is the managing partner of SAGE Leadership &amp; Strategy, LLC, an advisory firm for businesses, organizations and individuals relating to strategy, governance and leadership development. Ms. Cole was previously a principal of Granville Capital Inc., a registered investment advisor, from 2006 to 2011, and before that she was the Regional CEO, Mid-Atlantic Region, of U.S. Trust Company, N.A., where she was responsible for the overall strategic direction, growth, and leadership of its North Carolina, Philadelphia and Washington, D.C. offices. Ms. Cole previously held various positions in the U.S. Trust Company, N.A. and its predecessors. Ms. Cole has previously served on the public-company board of UNIFI, Inc. She has also been active in community and charitable organizations, including previously serving as Chairman of the North Carolina Chamber, on the Investment Committee of the University of North Carolina at Greensboro and as a member on the North Carolina Economic Development Board. Ms. Cole attended the University of North Carolina at Greensboro where she earned a Bachelor of Science degree in Business Administration and a Masters in Business Administration in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-1681480</wp:posOffset>
            </wp:positionH>
            <wp:positionV relativeFrom="paragraph">
              <wp:posOffset>919480</wp:posOffset>
            </wp:positionV>
            <wp:extent cx="6997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ind w:right="160"/>
        <w:spacing w:after="0" w:line="299" w:lineRule="auto"/>
        <w:rPr>
          <w:sz w:val="20"/>
          <w:szCs w:val="20"/>
          <w:color w:val="auto"/>
        </w:rPr>
      </w:pPr>
      <w:r>
        <w:rPr>
          <w:rFonts w:ascii="Arial" w:cs="Arial" w:eastAsia="Arial" w:hAnsi="Arial"/>
          <w:sz w:val="16"/>
          <w:szCs w:val="16"/>
          <w:b w:val="1"/>
          <w:bCs w:val="1"/>
          <w:i w:val="1"/>
          <w:iCs w:val="1"/>
          <w:color w:val="007CBA"/>
        </w:rPr>
        <w:t>Key attributes, experience and skills:</w:t>
      </w:r>
    </w:p>
    <w:p>
      <w:pPr>
        <w:spacing w:after="0" w:line="1" w:lineRule="exact"/>
        <w:rPr>
          <w:sz w:val="20"/>
          <w:szCs w:val="20"/>
          <w:color w:val="auto"/>
        </w:rPr>
      </w:pPr>
    </w:p>
    <w:p>
      <w:pPr>
        <w:ind w:left="260" w:right="60" w:hanging="171"/>
        <w:spacing w:after="0" w:line="255" w:lineRule="auto"/>
        <w:tabs>
          <w:tab w:leader="none" w:pos="227" w:val="left"/>
        </w:tabs>
        <w:numPr>
          <w:ilvl w:val="0"/>
          <w:numId w:val="15"/>
        </w:numPr>
        <w:rPr>
          <w:rFonts w:ascii="Arial" w:cs="Arial" w:eastAsia="Arial" w:hAnsi="Arial"/>
          <w:sz w:val="16"/>
          <w:szCs w:val="16"/>
          <w:color w:val="007CBA"/>
        </w:rPr>
      </w:pPr>
      <w:r>
        <w:rPr>
          <w:rFonts w:ascii="Arial" w:cs="Arial" w:eastAsia="Arial" w:hAnsi="Arial"/>
          <w:sz w:val="16"/>
          <w:szCs w:val="16"/>
          <w:color w:val="auto"/>
        </w:rPr>
        <w:t>Valuable experience in executive compensation, corporate governance, human resources, finance and financial statements, and customer service</w:t>
      </w:r>
    </w:p>
    <w:p>
      <w:pPr>
        <w:spacing w:after="0" w:line="42" w:lineRule="exact"/>
        <w:rPr>
          <w:rFonts w:ascii="Arial" w:cs="Arial" w:eastAsia="Arial" w:hAnsi="Arial"/>
          <w:sz w:val="16"/>
          <w:szCs w:val="16"/>
          <w:color w:val="007CBA"/>
        </w:rPr>
      </w:pPr>
    </w:p>
    <w:p>
      <w:pPr>
        <w:ind w:left="260" w:right="100" w:hanging="171"/>
        <w:spacing w:after="0" w:line="261" w:lineRule="auto"/>
        <w:tabs>
          <w:tab w:leader="none" w:pos="227" w:val="left"/>
        </w:tabs>
        <w:numPr>
          <w:ilvl w:val="0"/>
          <w:numId w:val="15"/>
        </w:numPr>
        <w:rPr>
          <w:rFonts w:ascii="Arial" w:cs="Arial" w:eastAsia="Arial" w:hAnsi="Arial"/>
          <w:sz w:val="16"/>
          <w:szCs w:val="16"/>
          <w:color w:val="007CBA"/>
        </w:rPr>
      </w:pPr>
      <w:r>
        <w:rPr>
          <w:rFonts w:ascii="Arial" w:cs="Arial" w:eastAsia="Arial" w:hAnsi="Arial"/>
          <w:sz w:val="16"/>
          <w:szCs w:val="16"/>
          <w:color w:val="auto"/>
        </w:rPr>
        <w:t>Chief executive officer of several financial services businesses as well as several non-profit organizations</w:t>
      </w:r>
    </w:p>
    <w:p>
      <w:pPr>
        <w:spacing w:after="0" w:line="36" w:lineRule="exact"/>
        <w:rPr>
          <w:rFonts w:ascii="Arial" w:cs="Arial" w:eastAsia="Arial" w:hAnsi="Arial"/>
          <w:sz w:val="16"/>
          <w:szCs w:val="16"/>
          <w:color w:val="007CBA"/>
        </w:rPr>
      </w:pPr>
    </w:p>
    <w:p>
      <w:pPr>
        <w:ind w:left="260" w:right="80" w:hanging="171"/>
        <w:spacing w:after="0" w:line="261" w:lineRule="auto"/>
        <w:tabs>
          <w:tab w:leader="none" w:pos="227" w:val="left"/>
        </w:tabs>
        <w:numPr>
          <w:ilvl w:val="0"/>
          <w:numId w:val="15"/>
        </w:numPr>
        <w:rPr>
          <w:rFonts w:ascii="Arial" w:cs="Arial" w:eastAsia="Arial" w:hAnsi="Arial"/>
          <w:sz w:val="16"/>
          <w:szCs w:val="16"/>
          <w:color w:val="007CBA"/>
        </w:rPr>
      </w:pPr>
      <w:r>
        <w:rPr>
          <w:rFonts w:ascii="Arial" w:cs="Arial" w:eastAsia="Arial" w:hAnsi="Arial"/>
          <w:sz w:val="16"/>
          <w:szCs w:val="16"/>
          <w:color w:val="auto"/>
        </w:rPr>
        <w:t>Strong leadership skills and familiarity with North Carolina, an important state for the Company</w:t>
      </w:r>
    </w:p>
    <w:p>
      <w:pPr>
        <w:spacing w:after="0" w:line="1100" w:lineRule="exact"/>
        <w:rPr>
          <w:sz w:val="20"/>
          <w:szCs w:val="20"/>
          <w:color w:val="auto"/>
        </w:rPr>
      </w:pPr>
    </w:p>
    <w:p>
      <w:pPr>
        <w:sectPr>
          <w:pgSz w:w="11900" w:h="16838" w:orient="portrait"/>
          <w:cols w:equalWidth="0" w:num="3">
            <w:col w:w="2580" w:space="280"/>
            <w:col w:w="5740" w:space="100"/>
            <w:col w:w="2500"/>
          </w:cols>
          <w:pgMar w:left="240" w:top="455"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0"/>
        <w:spacing w:after="0" w:line="299" w:lineRule="exact"/>
        <w:rPr>
          <w:sz w:val="20"/>
          <w:szCs w:val="20"/>
          <w:color w:val="auto"/>
        </w:rPr>
      </w:pPr>
      <w:r>
        <w:rPr>
          <w:rFonts w:ascii="MS PGothic" w:cs="MS PGothic" w:eastAsia="MS PGothic" w:hAnsi="MS PGothic"/>
          <w:sz w:val="26"/>
          <w:szCs w:val="26"/>
          <w:color w:val="007CBA"/>
        </w:rPr>
        <w:t>◆</w:t>
      </w:r>
      <w:r>
        <w:rPr>
          <w:rFonts w:ascii="Arial" w:cs="Arial" w:eastAsia="Arial" w:hAnsi="Arial"/>
          <w:sz w:val="20"/>
          <w:szCs w:val="20"/>
          <w:b w:val="1"/>
          <w:bCs w:val="1"/>
          <w:color w:val="007CBA"/>
        </w:rPr>
        <w:t>SMITH W. DAVIS</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Mr. Davis is a senior partner at Akin Gump Strauss Hauer &amp; Feld LLP, an international law firm, where he provides counsel on a wide variety of legislative and regulatory matters, including those before a variety of congressional committees. Mr. Davis joined Akin Gump in 1979 and his practice has included advising on legal matters relating to environmental issues, financial institutions, mergers and acquisitions, and pension reform. Mr. Davis also has served on the law firm’s compensation and management committees. Prior to joining Akin Gump, Mr. Davis served as a counsel to the House Judiciary Committee. Mr. Davis attended Yale University where he received a Bachelors of Arts degree, magna cum laude and Yale Law School where he received his Juris Doctor degree.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1696720</wp:posOffset>
            </wp:positionH>
            <wp:positionV relativeFrom="paragraph">
              <wp:posOffset>845820</wp:posOffset>
            </wp:positionV>
            <wp:extent cx="411480" cy="2489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160"/>
        <w:spacing w:after="0" w:line="299" w:lineRule="auto"/>
        <w:rPr>
          <w:sz w:val="20"/>
          <w:szCs w:val="20"/>
          <w:color w:val="auto"/>
        </w:rPr>
      </w:pPr>
      <w:r>
        <w:rPr>
          <w:rFonts w:ascii="Arial" w:cs="Arial" w:eastAsia="Arial" w:hAnsi="Arial"/>
          <w:sz w:val="16"/>
          <w:szCs w:val="16"/>
          <w:b w:val="1"/>
          <w:bCs w:val="1"/>
          <w:i w:val="1"/>
          <w:iCs w:val="1"/>
          <w:color w:val="007CBA"/>
        </w:rPr>
        <w:t>Key attributes, experience and skills:</w:t>
      </w:r>
    </w:p>
    <w:p>
      <w:pPr>
        <w:spacing w:after="0" w:line="1" w:lineRule="exact"/>
        <w:rPr>
          <w:sz w:val="20"/>
          <w:szCs w:val="20"/>
          <w:color w:val="auto"/>
        </w:rPr>
      </w:pPr>
    </w:p>
    <w:p>
      <w:pPr>
        <w:ind w:left="260" w:right="120" w:hanging="171"/>
        <w:spacing w:after="0" w:line="269" w:lineRule="auto"/>
        <w:tabs>
          <w:tab w:leader="none" w:pos="227" w:val="left"/>
        </w:tabs>
        <w:numPr>
          <w:ilvl w:val="0"/>
          <w:numId w:val="16"/>
        </w:numPr>
        <w:rPr>
          <w:rFonts w:ascii="Arial" w:cs="Arial" w:eastAsia="Arial" w:hAnsi="Arial"/>
          <w:sz w:val="16"/>
          <w:szCs w:val="16"/>
          <w:color w:val="007CBA"/>
        </w:rPr>
      </w:pPr>
      <w:r>
        <w:rPr>
          <w:rFonts w:ascii="Arial" w:cs="Arial" w:eastAsia="Arial" w:hAnsi="Arial"/>
          <w:sz w:val="16"/>
          <w:szCs w:val="16"/>
          <w:color w:val="auto"/>
        </w:rPr>
        <w:t>Extensive experience in legal, compliance, and corporate governance</w:t>
      </w:r>
    </w:p>
    <w:p>
      <w:pPr>
        <w:spacing w:after="0" w:line="29" w:lineRule="exact"/>
        <w:rPr>
          <w:rFonts w:ascii="Arial" w:cs="Arial" w:eastAsia="Arial" w:hAnsi="Arial"/>
          <w:sz w:val="16"/>
          <w:szCs w:val="16"/>
          <w:color w:val="007CBA"/>
        </w:rPr>
      </w:pPr>
    </w:p>
    <w:p>
      <w:pPr>
        <w:ind w:left="260" w:hanging="171"/>
        <w:spacing w:after="0" w:line="253" w:lineRule="auto"/>
        <w:tabs>
          <w:tab w:leader="none" w:pos="227" w:val="left"/>
        </w:tabs>
        <w:numPr>
          <w:ilvl w:val="0"/>
          <w:numId w:val="16"/>
        </w:numPr>
        <w:rPr>
          <w:rFonts w:ascii="Arial" w:cs="Arial" w:eastAsia="Arial" w:hAnsi="Arial"/>
          <w:sz w:val="16"/>
          <w:szCs w:val="16"/>
          <w:color w:val="007CBA"/>
        </w:rPr>
      </w:pPr>
      <w:r>
        <w:rPr>
          <w:rFonts w:ascii="Arial" w:cs="Arial" w:eastAsia="Arial" w:hAnsi="Arial"/>
          <w:sz w:val="16"/>
          <w:szCs w:val="16"/>
          <w:color w:val="auto"/>
        </w:rPr>
        <w:t>Strong leadership skills and expertise in governmental and regulatory issues, safety, health and environmental matters, mergers and acquisitions, executive compensation, financial affairs, and risk assessment.</w:t>
      </w:r>
    </w:p>
    <w:p>
      <w:pPr>
        <w:spacing w:after="0" w:line="42" w:lineRule="exact"/>
        <w:rPr>
          <w:rFonts w:ascii="Arial" w:cs="Arial" w:eastAsia="Arial" w:hAnsi="Arial"/>
          <w:sz w:val="16"/>
          <w:szCs w:val="16"/>
          <w:color w:val="007CBA"/>
        </w:rPr>
      </w:pPr>
    </w:p>
    <w:p>
      <w:pPr>
        <w:ind w:left="260" w:right="140" w:hanging="171"/>
        <w:spacing w:after="0" w:line="269" w:lineRule="auto"/>
        <w:tabs>
          <w:tab w:leader="none" w:pos="227" w:val="left"/>
        </w:tabs>
        <w:numPr>
          <w:ilvl w:val="0"/>
          <w:numId w:val="16"/>
        </w:numPr>
        <w:rPr>
          <w:rFonts w:ascii="Arial" w:cs="Arial" w:eastAsia="Arial" w:hAnsi="Arial"/>
          <w:sz w:val="16"/>
          <w:szCs w:val="16"/>
          <w:color w:val="007CBA"/>
        </w:rPr>
      </w:pPr>
      <w:r>
        <w:rPr>
          <w:rFonts w:ascii="Arial" w:cs="Arial" w:eastAsia="Arial" w:hAnsi="Arial"/>
          <w:sz w:val="16"/>
          <w:szCs w:val="16"/>
          <w:color w:val="auto"/>
        </w:rPr>
        <w:t>Brings new perspective to the Board on diversity and corporate citizenship</w:t>
      </w:r>
    </w:p>
    <w:p>
      <w:pPr>
        <w:spacing w:after="0" w:line="147" w:lineRule="exact"/>
        <w:rPr>
          <w:sz w:val="20"/>
          <w:szCs w:val="20"/>
          <w:color w:val="auto"/>
        </w:rPr>
      </w:pPr>
    </w:p>
    <w:p>
      <w:pPr>
        <w:sectPr>
          <w:pgSz w:w="11900" w:h="16838" w:orient="portrait"/>
          <w:cols w:equalWidth="0" w:num="3">
            <w:col w:w="2140" w:space="720"/>
            <w:col w:w="5720" w:space="120"/>
            <w:col w:w="2500"/>
          </w:cols>
          <w:pgMar w:left="240" w:top="455" w:right="459" w:bottom="1440" w:gutter="0" w:footer="0" w:header="0"/>
          <w:type w:val="continuous"/>
        </w:sectPr>
      </w:pPr>
    </w:p>
    <w:p>
      <w:pPr>
        <w:ind w:left="640" w:hanging="436"/>
        <w:spacing w:after="0"/>
        <w:tabs>
          <w:tab w:leader="none" w:pos="640" w:val="left"/>
        </w:tabs>
        <w:numPr>
          <w:ilvl w:val="0"/>
          <w:numId w:val="17"/>
        </w:numPr>
        <w:rPr>
          <w:rFonts w:ascii="Arial" w:cs="Arial" w:eastAsia="Arial" w:hAnsi="Arial"/>
          <w:sz w:val="12"/>
          <w:szCs w:val="12"/>
          <w:b w:val="1"/>
          <w:bCs w:val="1"/>
          <w:color w:val="auto"/>
        </w:rPr>
      </w:pPr>
      <w:r>
        <w:rPr>
          <w:rFonts w:ascii="Arial" w:cs="Arial" w:eastAsia="Arial" w:hAnsi="Arial"/>
          <w:sz w:val="12"/>
          <w:szCs w:val="12"/>
          <w:color w:val="007CBA"/>
        </w:rPr>
        <w:t>2018 PROXY STATEMENT</w:t>
      </w:r>
    </w:p>
    <w:p>
      <w:pPr>
        <w:sectPr>
          <w:pgSz w:w="11900" w:h="16838" w:orient="portrait"/>
          <w:cols w:equalWidth="0" w:num="1">
            <w:col w:w="11200"/>
          </w:cols>
          <w:pgMar w:left="240" w:top="455" w:right="459" w:bottom="1440" w:gutter="0" w:footer="0" w:header="0"/>
          <w:type w:val="continuous"/>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491490</wp:posOffset>
            </wp:positionV>
            <wp:extent cx="1123315" cy="14579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23315" cy="1457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0"/>
        <w:spacing w:after="0" w:line="322" w:lineRule="exact"/>
        <w:rPr>
          <w:sz w:val="20"/>
          <w:szCs w:val="20"/>
          <w:color w:val="auto"/>
        </w:rPr>
      </w:pPr>
      <w:r>
        <w:rPr>
          <w:rFonts w:ascii="MS PGothic" w:cs="MS PGothic" w:eastAsia="MS PGothic" w:hAnsi="MS PGothic"/>
          <w:sz w:val="28"/>
          <w:szCs w:val="28"/>
          <w:color w:val="007CBA"/>
        </w:rPr>
        <w:t>◆</w:t>
      </w:r>
      <w:r>
        <w:rPr>
          <w:rFonts w:ascii="Arial" w:cs="Arial" w:eastAsia="Arial" w:hAnsi="Arial"/>
          <w:sz w:val="22"/>
          <w:szCs w:val="22"/>
          <w:b w:val="1"/>
          <w:bCs w:val="1"/>
          <w:color w:val="007CBA"/>
        </w:rPr>
        <w:t>JOHN J.</w:t>
      </w:r>
    </w:p>
    <w:p>
      <w:pPr>
        <w:spacing w:after="0" w:line="88" w:lineRule="exact"/>
        <w:rPr>
          <w:sz w:val="20"/>
          <w:szCs w:val="20"/>
          <w:color w:val="auto"/>
        </w:rPr>
      </w:pPr>
    </w:p>
    <w:p>
      <w:pPr>
        <w:ind w:left="440"/>
        <w:spacing w:after="0"/>
        <w:rPr>
          <w:sz w:val="20"/>
          <w:szCs w:val="20"/>
          <w:color w:val="auto"/>
        </w:rPr>
      </w:pPr>
      <w:r>
        <w:rPr>
          <w:rFonts w:ascii="Arial" w:cs="Arial" w:eastAsia="Arial" w:hAnsi="Arial"/>
          <w:sz w:val="22"/>
          <w:szCs w:val="22"/>
          <w:b w:val="1"/>
          <w:bCs w:val="1"/>
          <w:color w:val="007CBA"/>
        </w:rPr>
        <w:t>KORALESKI</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2016</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67</w:t>
      </w:r>
    </w:p>
    <w:p>
      <w:pPr>
        <w:spacing w:after="0" w:line="88" w:lineRule="exact"/>
        <w:rPr>
          <w:sz w:val="20"/>
          <w:szCs w:val="20"/>
          <w:color w:val="auto"/>
        </w:rPr>
      </w:pPr>
    </w:p>
    <w:p>
      <w:pPr>
        <w:ind w:left="320"/>
        <w:spacing w:after="0" w:line="261" w:lineRule="auto"/>
        <w:rPr>
          <w:sz w:val="20"/>
          <w:szCs w:val="20"/>
          <w:color w:val="auto"/>
        </w:rPr>
      </w:pPr>
      <w:r>
        <w:rPr>
          <w:rFonts w:ascii="Arial" w:cs="Arial" w:eastAsia="Arial" w:hAnsi="Arial"/>
          <w:sz w:val="16"/>
          <w:szCs w:val="16"/>
          <w:color w:val="auto"/>
        </w:rPr>
        <w:t>Member of the Audit Committee, Executive Committee and Management Development and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944245</wp:posOffset>
            </wp:positionV>
            <wp:extent cx="1123315" cy="14579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23315" cy="14579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1" w:lineRule="exact"/>
        <w:rPr>
          <w:sz w:val="20"/>
          <w:szCs w:val="20"/>
          <w:color w:val="auto"/>
        </w:rPr>
      </w:pPr>
    </w:p>
    <w:p>
      <w:pPr>
        <w:jc w:val="right"/>
        <w:spacing w:after="0" w:line="288" w:lineRule="exact"/>
        <w:rPr>
          <w:sz w:val="20"/>
          <w:szCs w:val="20"/>
          <w:color w:val="auto"/>
        </w:rPr>
      </w:pPr>
      <w:r>
        <w:rPr>
          <w:rFonts w:ascii="Arial" w:cs="Arial" w:eastAsia="Arial" w:hAnsi="Arial"/>
          <w:sz w:val="14"/>
          <w:szCs w:val="14"/>
          <w:color w:val="auto"/>
        </w:rPr>
        <w:t xml:space="preserve">Director Nominees </w:t>
      </w:r>
      <w:r>
        <w:rPr>
          <w:rFonts w:ascii="MS PGothic" w:cs="MS PGothic" w:eastAsia="MS PGothic" w:hAnsi="MS PGothic"/>
          <w:sz w:val="25"/>
          <w:szCs w:val="25"/>
          <w:color w:val="007CBA"/>
        </w:rPr>
        <w:t>◆</w:t>
      </w:r>
      <w:r>
        <w:rPr>
          <w:rFonts w:ascii="Arial" w:cs="Arial" w:eastAsia="Arial" w:hAnsi="Arial"/>
          <w:sz w:val="14"/>
          <w:szCs w:val="14"/>
          <w:color w:val="auto"/>
        </w:rPr>
        <w:t xml:space="preserve"> </w:t>
      </w:r>
      <w:r>
        <w:rPr>
          <w:rFonts w:ascii="Arial" w:cs="Arial" w:eastAsia="Arial" w:hAnsi="Arial"/>
          <w:sz w:val="14"/>
          <w:szCs w:val="14"/>
          <w:color w:val="007CBA"/>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-681355</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80" w:type="dxa"/>
            <w:vAlign w:val="bottom"/>
          </w:tcPr>
          <w:p>
            <w:pPr>
              <w:spacing w:after="0"/>
              <w:rPr>
                <w:sz w:val="20"/>
                <w:szCs w:val="20"/>
                <w:color w:val="auto"/>
              </w:rPr>
            </w:pPr>
            <w:r>
              <w:rPr>
                <w:rFonts w:ascii="Arial" w:cs="Arial" w:eastAsia="Arial" w:hAnsi="Arial"/>
                <w:sz w:val="16"/>
                <w:szCs w:val="16"/>
                <w:color w:val="auto"/>
              </w:rPr>
              <w:t>Mr. Koraleski joined the Martin Marietta Board in 2016. Mr. Koraleski served</w:t>
            </w:r>
          </w:p>
        </w:tc>
        <w:tc>
          <w:tcPr>
            <w:tcW w:w="2580" w:type="dxa"/>
            <w:vAlign w:val="bottom"/>
            <w:gridSpan w:val="2"/>
          </w:tcPr>
          <w:p>
            <w:pPr>
              <w:ind w:left="60"/>
              <w:spacing w:after="0"/>
              <w:rPr>
                <w:sz w:val="20"/>
                <w:szCs w:val="20"/>
                <w:color w:val="auto"/>
              </w:rPr>
            </w:pPr>
            <w:r>
              <w:rPr>
                <w:rFonts w:ascii="Arial" w:cs="Arial" w:eastAsia="Arial" w:hAnsi="Arial"/>
                <w:sz w:val="16"/>
                <w:szCs w:val="16"/>
                <w:b w:val="1"/>
                <w:bCs w:val="1"/>
                <w:i w:val="1"/>
                <w:iCs w:val="1"/>
                <w:color w:val="007CBA"/>
              </w:rPr>
              <w:t>Key attributes,</w:t>
            </w:r>
          </w:p>
        </w:tc>
        <w:tc>
          <w:tcPr>
            <w:tcW w:w="0" w:type="dxa"/>
            <w:vAlign w:val="bottom"/>
          </w:tcPr>
          <w:p>
            <w:pPr>
              <w:spacing w:after="0"/>
              <w:rPr>
                <w:sz w:val="1"/>
                <w:szCs w:val="1"/>
                <w:color w:val="auto"/>
              </w:rPr>
            </w:pPr>
          </w:p>
        </w:tc>
      </w:tr>
      <w:tr>
        <w:trPr>
          <w:trHeight w:val="189"/>
        </w:trPr>
        <w:tc>
          <w:tcPr>
            <w:tcW w:w="5780" w:type="dxa"/>
            <w:vAlign w:val="bottom"/>
          </w:tcPr>
          <w:p>
            <w:pPr>
              <w:spacing w:after="0"/>
              <w:rPr>
                <w:sz w:val="20"/>
                <w:szCs w:val="20"/>
                <w:color w:val="auto"/>
              </w:rPr>
            </w:pPr>
            <w:r>
              <w:rPr>
                <w:rFonts w:ascii="Arial" w:cs="Arial" w:eastAsia="Arial" w:hAnsi="Arial"/>
                <w:sz w:val="16"/>
                <w:szCs w:val="16"/>
                <w:color w:val="auto"/>
              </w:rPr>
              <w:t>from February 2015 through his retirement in September 2015 as executive</w:t>
            </w:r>
          </w:p>
        </w:tc>
        <w:tc>
          <w:tcPr>
            <w:tcW w:w="2580" w:type="dxa"/>
            <w:vAlign w:val="bottom"/>
            <w:gridSpan w:val="2"/>
          </w:tcPr>
          <w:p>
            <w:pPr>
              <w:ind w:left="60"/>
              <w:spacing w:after="0"/>
              <w:rPr>
                <w:sz w:val="20"/>
                <w:szCs w:val="20"/>
                <w:color w:val="auto"/>
              </w:rPr>
            </w:pPr>
            <w:r>
              <w:rPr>
                <w:rFonts w:ascii="Arial" w:cs="Arial" w:eastAsia="Arial" w:hAnsi="Arial"/>
                <w:sz w:val="16"/>
                <w:szCs w:val="16"/>
                <w:b w:val="1"/>
                <w:bCs w:val="1"/>
                <w:i w:val="1"/>
                <w:iCs w:val="1"/>
                <w:color w:val="007CBA"/>
              </w:rPr>
              <w:t>experience and skills:</w:t>
            </w:r>
          </w:p>
        </w:tc>
        <w:tc>
          <w:tcPr>
            <w:tcW w:w="0" w:type="dxa"/>
            <w:vAlign w:val="bottom"/>
          </w:tcPr>
          <w:p>
            <w:pPr>
              <w:spacing w:after="0"/>
              <w:rPr>
                <w:sz w:val="1"/>
                <w:szCs w:val="1"/>
                <w:color w:val="auto"/>
              </w:rPr>
            </w:pPr>
          </w:p>
        </w:tc>
      </w:tr>
      <w:tr>
        <w:trPr>
          <w:trHeight w:val="189"/>
        </w:trPr>
        <w:tc>
          <w:tcPr>
            <w:tcW w:w="5780" w:type="dxa"/>
            <w:vAlign w:val="bottom"/>
          </w:tcPr>
          <w:p>
            <w:pPr>
              <w:spacing w:after="0"/>
              <w:rPr>
                <w:sz w:val="20"/>
                <w:szCs w:val="20"/>
                <w:color w:val="auto"/>
              </w:rPr>
            </w:pPr>
            <w:r>
              <w:rPr>
                <w:rFonts w:ascii="Arial" w:cs="Arial" w:eastAsia="Arial" w:hAnsi="Arial"/>
                <w:sz w:val="16"/>
                <w:szCs w:val="16"/>
                <w:color w:val="auto"/>
              </w:rPr>
              <w:t>Chairman of the Board of the Union Pacific Corporation (UP), which through its</w:t>
            </w:r>
          </w:p>
        </w:tc>
        <w:tc>
          <w:tcPr>
            <w:tcW w:w="2580" w:type="dxa"/>
            <w:vAlign w:val="bottom"/>
            <w:gridSpan w:val="2"/>
            <w:vMerge w:val="restart"/>
          </w:tcPr>
          <w:p>
            <w:pPr>
              <w:ind w:left="140"/>
              <w:spacing w:after="0"/>
              <w:rPr>
                <w:sz w:val="20"/>
                <w:szCs w:val="20"/>
                <w:color w:val="auto"/>
              </w:rPr>
            </w:pPr>
            <w:r>
              <w:rPr>
                <w:rFonts w:ascii="Arial" w:cs="Arial" w:eastAsia="Arial" w:hAnsi="Arial"/>
                <w:sz w:val="16"/>
                <w:szCs w:val="16"/>
                <w:color w:val="007CBA"/>
              </w:rPr>
              <w:t xml:space="preserve">• </w:t>
            </w:r>
            <w:r>
              <w:rPr>
                <w:rFonts w:ascii="Arial" w:cs="Arial" w:eastAsia="Arial" w:hAnsi="Arial"/>
                <w:sz w:val="16"/>
                <w:szCs w:val="16"/>
                <w:color w:val="000000"/>
              </w:rPr>
              <w:t>Experience with the demands</w:t>
            </w:r>
          </w:p>
        </w:tc>
        <w:tc>
          <w:tcPr>
            <w:tcW w:w="0" w:type="dxa"/>
            <w:vAlign w:val="bottom"/>
          </w:tcPr>
          <w:p>
            <w:pPr>
              <w:spacing w:after="0"/>
              <w:rPr>
                <w:sz w:val="1"/>
                <w:szCs w:val="1"/>
                <w:color w:val="auto"/>
              </w:rPr>
            </w:pPr>
          </w:p>
        </w:tc>
      </w:tr>
      <w:tr>
        <w:trPr>
          <w:trHeight w:val="81"/>
        </w:trPr>
        <w:tc>
          <w:tcPr>
            <w:tcW w:w="5780" w:type="dxa"/>
            <w:vAlign w:val="bottom"/>
            <w:vMerge w:val="restart"/>
          </w:tcPr>
          <w:p>
            <w:pPr>
              <w:spacing w:after="0"/>
              <w:rPr>
                <w:sz w:val="20"/>
                <w:szCs w:val="20"/>
                <w:color w:val="auto"/>
              </w:rPr>
            </w:pPr>
            <w:r>
              <w:rPr>
                <w:rFonts w:ascii="Arial" w:cs="Arial" w:eastAsia="Arial" w:hAnsi="Arial"/>
                <w:sz w:val="16"/>
                <w:szCs w:val="16"/>
                <w:color w:val="auto"/>
              </w:rPr>
              <w:t>subsidiaries operates North America’s premier railroad franchise, covering 23</w:t>
            </w:r>
          </w:p>
        </w:tc>
        <w:tc>
          <w:tcPr>
            <w:tcW w:w="25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57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320" w:type="dxa"/>
            <w:vAlign w:val="bottom"/>
            <w:vMerge w:val="restart"/>
          </w:tcPr>
          <w:p>
            <w:pPr>
              <w:ind w:left="60"/>
              <w:spacing w:after="0"/>
              <w:rPr>
                <w:sz w:val="20"/>
                <w:szCs w:val="20"/>
                <w:color w:val="auto"/>
              </w:rPr>
            </w:pPr>
            <w:r>
              <w:rPr>
                <w:rFonts w:ascii="Arial" w:cs="Arial" w:eastAsia="Arial" w:hAnsi="Arial"/>
                <w:sz w:val="16"/>
                <w:szCs w:val="16"/>
                <w:color w:val="auto"/>
              </w:rPr>
              <w:t>and challenges associated with</w:t>
            </w:r>
          </w:p>
        </w:tc>
        <w:tc>
          <w:tcPr>
            <w:tcW w:w="0" w:type="dxa"/>
            <w:vAlign w:val="bottom"/>
          </w:tcPr>
          <w:p>
            <w:pPr>
              <w:spacing w:after="0"/>
              <w:rPr>
                <w:sz w:val="1"/>
                <w:szCs w:val="1"/>
                <w:color w:val="auto"/>
              </w:rPr>
            </w:pPr>
          </w:p>
        </w:tc>
      </w:tr>
      <w:tr>
        <w:trPr>
          <w:trHeight w:val="81"/>
        </w:trPr>
        <w:tc>
          <w:tcPr>
            <w:tcW w:w="5780" w:type="dxa"/>
            <w:vAlign w:val="bottom"/>
            <w:vMerge w:val="restart"/>
          </w:tcPr>
          <w:p>
            <w:pPr>
              <w:spacing w:after="0"/>
              <w:rPr>
                <w:sz w:val="20"/>
                <w:szCs w:val="20"/>
                <w:color w:val="auto"/>
              </w:rPr>
            </w:pPr>
            <w:r>
              <w:rPr>
                <w:rFonts w:ascii="Arial" w:cs="Arial" w:eastAsia="Arial" w:hAnsi="Arial"/>
                <w:sz w:val="16"/>
                <w:szCs w:val="16"/>
                <w:color w:val="auto"/>
              </w:rPr>
              <w:t>states across the western two-thirds of the United States. Prior to that, he was</w:t>
            </w:r>
          </w:p>
        </w:tc>
        <w:tc>
          <w:tcPr>
            <w:tcW w:w="260" w:type="dxa"/>
            <w:vAlign w:val="bottom"/>
          </w:tcPr>
          <w:p>
            <w:pPr>
              <w:spacing w:after="0"/>
              <w:rPr>
                <w:sz w:val="7"/>
                <w:szCs w:val="7"/>
                <w:color w:val="auto"/>
              </w:rPr>
            </w:pPr>
          </w:p>
        </w:tc>
        <w:tc>
          <w:tcPr>
            <w:tcW w:w="2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57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320" w:type="dxa"/>
            <w:vAlign w:val="bottom"/>
            <w:vMerge w:val="restart"/>
          </w:tcPr>
          <w:p>
            <w:pPr>
              <w:ind w:left="60"/>
              <w:spacing w:after="0"/>
              <w:rPr>
                <w:sz w:val="20"/>
                <w:szCs w:val="20"/>
                <w:color w:val="auto"/>
              </w:rPr>
            </w:pPr>
            <w:r>
              <w:rPr>
                <w:rFonts w:ascii="Arial" w:cs="Arial" w:eastAsia="Arial" w:hAnsi="Arial"/>
                <w:sz w:val="16"/>
                <w:szCs w:val="16"/>
                <w:color w:val="auto"/>
              </w:rPr>
              <w:t>managing a large publicly-</w:t>
            </w:r>
          </w:p>
        </w:tc>
        <w:tc>
          <w:tcPr>
            <w:tcW w:w="0" w:type="dxa"/>
            <w:vAlign w:val="bottom"/>
          </w:tcPr>
          <w:p>
            <w:pPr>
              <w:spacing w:after="0"/>
              <w:rPr>
                <w:sz w:val="1"/>
                <w:szCs w:val="1"/>
                <w:color w:val="auto"/>
              </w:rPr>
            </w:pPr>
          </w:p>
        </w:tc>
      </w:tr>
      <w:tr>
        <w:trPr>
          <w:trHeight w:val="81"/>
        </w:trPr>
        <w:tc>
          <w:tcPr>
            <w:tcW w:w="5780" w:type="dxa"/>
            <w:vAlign w:val="bottom"/>
            <w:vMerge w:val="restart"/>
          </w:tcPr>
          <w:p>
            <w:pPr>
              <w:spacing w:after="0"/>
              <w:rPr>
                <w:sz w:val="20"/>
                <w:szCs w:val="20"/>
                <w:color w:val="auto"/>
              </w:rPr>
            </w:pPr>
            <w:r>
              <w:rPr>
                <w:rFonts w:ascii="Arial" w:cs="Arial" w:eastAsia="Arial" w:hAnsi="Arial"/>
                <w:sz w:val="16"/>
                <w:szCs w:val="16"/>
                <w:color w:val="auto"/>
              </w:rPr>
              <w:t>named President and Chief Executive Officer of the UP in March 2012, elected</w:t>
            </w:r>
          </w:p>
        </w:tc>
        <w:tc>
          <w:tcPr>
            <w:tcW w:w="260" w:type="dxa"/>
            <w:vAlign w:val="bottom"/>
          </w:tcPr>
          <w:p>
            <w:pPr>
              <w:spacing w:after="0"/>
              <w:rPr>
                <w:sz w:val="7"/>
                <w:szCs w:val="7"/>
                <w:color w:val="auto"/>
              </w:rPr>
            </w:pPr>
          </w:p>
        </w:tc>
        <w:tc>
          <w:tcPr>
            <w:tcW w:w="2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57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320" w:type="dxa"/>
            <w:vAlign w:val="bottom"/>
            <w:vMerge w:val="restart"/>
          </w:tcPr>
          <w:p>
            <w:pPr>
              <w:ind w:left="60"/>
              <w:spacing w:after="0"/>
              <w:rPr>
                <w:sz w:val="20"/>
                <w:szCs w:val="20"/>
                <w:color w:val="auto"/>
              </w:rPr>
            </w:pPr>
            <w:r>
              <w:rPr>
                <w:rFonts w:ascii="Arial" w:cs="Arial" w:eastAsia="Arial" w:hAnsi="Arial"/>
                <w:sz w:val="16"/>
                <w:szCs w:val="16"/>
                <w:color w:val="auto"/>
              </w:rPr>
              <w:t>traded organization from his</w:t>
            </w:r>
          </w:p>
        </w:tc>
        <w:tc>
          <w:tcPr>
            <w:tcW w:w="0" w:type="dxa"/>
            <w:vAlign w:val="bottom"/>
          </w:tcPr>
          <w:p>
            <w:pPr>
              <w:spacing w:after="0"/>
              <w:rPr>
                <w:sz w:val="1"/>
                <w:szCs w:val="1"/>
                <w:color w:val="auto"/>
              </w:rPr>
            </w:pPr>
          </w:p>
        </w:tc>
      </w:tr>
      <w:tr>
        <w:trPr>
          <w:trHeight w:val="81"/>
        </w:trPr>
        <w:tc>
          <w:tcPr>
            <w:tcW w:w="5780" w:type="dxa"/>
            <w:vAlign w:val="bottom"/>
            <w:vMerge w:val="restart"/>
          </w:tcPr>
          <w:p>
            <w:pPr>
              <w:spacing w:after="0"/>
              <w:rPr>
                <w:sz w:val="20"/>
                <w:szCs w:val="20"/>
                <w:color w:val="auto"/>
              </w:rPr>
            </w:pPr>
            <w:r>
              <w:rPr>
                <w:rFonts w:ascii="Arial" w:cs="Arial" w:eastAsia="Arial" w:hAnsi="Arial"/>
                <w:sz w:val="16"/>
                <w:szCs w:val="16"/>
                <w:color w:val="auto"/>
              </w:rPr>
              <w:t>as a Director of the UP in July 2012 and appointed Chairman of the Board in</w:t>
            </w:r>
          </w:p>
        </w:tc>
        <w:tc>
          <w:tcPr>
            <w:tcW w:w="260" w:type="dxa"/>
            <w:vAlign w:val="bottom"/>
          </w:tcPr>
          <w:p>
            <w:pPr>
              <w:spacing w:after="0"/>
              <w:rPr>
                <w:sz w:val="7"/>
                <w:szCs w:val="7"/>
                <w:color w:val="auto"/>
              </w:rPr>
            </w:pPr>
          </w:p>
        </w:tc>
        <w:tc>
          <w:tcPr>
            <w:tcW w:w="2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57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320" w:type="dxa"/>
            <w:vAlign w:val="bottom"/>
            <w:vMerge w:val="restart"/>
          </w:tcPr>
          <w:p>
            <w:pPr>
              <w:ind w:left="60"/>
              <w:spacing w:after="0"/>
              <w:rPr>
                <w:sz w:val="20"/>
                <w:szCs w:val="20"/>
                <w:color w:val="auto"/>
              </w:rPr>
            </w:pPr>
            <w:r>
              <w:rPr>
                <w:rFonts w:ascii="Arial" w:cs="Arial" w:eastAsia="Arial" w:hAnsi="Arial"/>
                <w:sz w:val="16"/>
                <w:szCs w:val="16"/>
                <w:color w:val="auto"/>
              </w:rPr>
              <w:t>experience as Chairman and</w:t>
            </w:r>
          </w:p>
        </w:tc>
        <w:tc>
          <w:tcPr>
            <w:tcW w:w="0" w:type="dxa"/>
            <w:vAlign w:val="bottom"/>
          </w:tcPr>
          <w:p>
            <w:pPr>
              <w:spacing w:after="0"/>
              <w:rPr>
                <w:sz w:val="1"/>
                <w:szCs w:val="1"/>
                <w:color w:val="auto"/>
              </w:rPr>
            </w:pPr>
          </w:p>
        </w:tc>
      </w:tr>
      <w:tr>
        <w:trPr>
          <w:trHeight w:val="81"/>
        </w:trPr>
        <w:tc>
          <w:tcPr>
            <w:tcW w:w="5780" w:type="dxa"/>
            <w:vAlign w:val="bottom"/>
            <w:vMerge w:val="restart"/>
          </w:tcPr>
          <w:p>
            <w:pPr>
              <w:spacing w:after="0"/>
              <w:rPr>
                <w:sz w:val="20"/>
                <w:szCs w:val="20"/>
                <w:color w:val="auto"/>
              </w:rPr>
            </w:pPr>
            <w:r>
              <w:rPr>
                <w:rFonts w:ascii="Arial" w:cs="Arial" w:eastAsia="Arial" w:hAnsi="Arial"/>
                <w:sz w:val="16"/>
                <w:szCs w:val="16"/>
                <w:color w:val="auto"/>
              </w:rPr>
              <w:t>2014. Since joining the Union Pacific (Railroad) in 1972, Mr. Koraleski held a</w:t>
            </w:r>
          </w:p>
        </w:tc>
        <w:tc>
          <w:tcPr>
            <w:tcW w:w="260" w:type="dxa"/>
            <w:vAlign w:val="bottom"/>
          </w:tcPr>
          <w:p>
            <w:pPr>
              <w:spacing w:after="0"/>
              <w:rPr>
                <w:sz w:val="7"/>
                <w:szCs w:val="7"/>
                <w:color w:val="auto"/>
              </w:rPr>
            </w:pPr>
          </w:p>
        </w:tc>
        <w:tc>
          <w:tcPr>
            <w:tcW w:w="2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57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320" w:type="dxa"/>
            <w:vAlign w:val="bottom"/>
            <w:vMerge w:val="restart"/>
          </w:tcPr>
          <w:p>
            <w:pPr>
              <w:ind w:left="60"/>
              <w:spacing w:after="0"/>
              <w:rPr>
                <w:sz w:val="20"/>
                <w:szCs w:val="20"/>
                <w:color w:val="auto"/>
              </w:rPr>
            </w:pPr>
            <w:r>
              <w:rPr>
                <w:rFonts w:ascii="Arial" w:cs="Arial" w:eastAsia="Arial" w:hAnsi="Arial"/>
                <w:sz w:val="16"/>
                <w:szCs w:val="16"/>
                <w:color w:val="auto"/>
              </w:rPr>
              <w:t>CEO of Union Pacific</w:t>
            </w:r>
          </w:p>
        </w:tc>
        <w:tc>
          <w:tcPr>
            <w:tcW w:w="0" w:type="dxa"/>
            <w:vAlign w:val="bottom"/>
          </w:tcPr>
          <w:p>
            <w:pPr>
              <w:spacing w:after="0"/>
              <w:rPr>
                <w:sz w:val="1"/>
                <w:szCs w:val="1"/>
                <w:color w:val="auto"/>
              </w:rPr>
            </w:pPr>
          </w:p>
        </w:tc>
      </w:tr>
      <w:tr>
        <w:trPr>
          <w:trHeight w:val="111"/>
        </w:trPr>
        <w:tc>
          <w:tcPr>
            <w:tcW w:w="5780" w:type="dxa"/>
            <w:vAlign w:val="bottom"/>
            <w:vMerge w:val="restart"/>
          </w:tcPr>
          <w:p>
            <w:pPr>
              <w:spacing w:after="0"/>
              <w:rPr>
                <w:sz w:val="20"/>
                <w:szCs w:val="20"/>
                <w:color w:val="auto"/>
              </w:rPr>
            </w:pPr>
            <w:r>
              <w:rPr>
                <w:rFonts w:ascii="Arial" w:cs="Arial" w:eastAsia="Arial" w:hAnsi="Arial"/>
                <w:sz w:val="16"/>
                <w:szCs w:val="16"/>
                <w:color w:val="auto"/>
              </w:rPr>
              <w:t>number of executive positions in the UP and the Railroad, including, Executive</w:t>
            </w:r>
          </w:p>
        </w:tc>
        <w:tc>
          <w:tcPr>
            <w:tcW w:w="260" w:type="dxa"/>
            <w:vAlign w:val="bottom"/>
          </w:tcPr>
          <w:p>
            <w:pPr>
              <w:spacing w:after="0"/>
              <w:rPr>
                <w:sz w:val="9"/>
                <w:szCs w:val="9"/>
                <w:color w:val="auto"/>
              </w:rPr>
            </w:pPr>
          </w:p>
        </w:tc>
        <w:tc>
          <w:tcPr>
            <w:tcW w:w="2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5780" w:type="dxa"/>
            <w:vAlign w:val="bottom"/>
            <w:vMerge w:val="continue"/>
          </w:tcPr>
          <w:p>
            <w:pPr>
              <w:spacing w:after="0"/>
              <w:rPr>
                <w:sz w:val="6"/>
                <w:szCs w:val="6"/>
                <w:color w:val="auto"/>
              </w:rPr>
            </w:pPr>
          </w:p>
        </w:tc>
        <w:tc>
          <w:tcPr>
            <w:tcW w:w="260" w:type="dxa"/>
            <w:vAlign w:val="bottom"/>
            <w:vMerge w:val="restart"/>
          </w:tcPr>
          <w:p>
            <w:pPr>
              <w:ind w:left="140"/>
              <w:spacing w:after="0"/>
              <w:rPr>
                <w:sz w:val="20"/>
                <w:szCs w:val="20"/>
                <w:color w:val="auto"/>
              </w:rPr>
            </w:pPr>
            <w:r>
              <w:rPr>
                <w:rFonts w:ascii="Arial" w:cs="Arial" w:eastAsia="Arial" w:hAnsi="Arial"/>
                <w:sz w:val="16"/>
                <w:szCs w:val="16"/>
                <w:color w:val="007CBA"/>
              </w:rPr>
              <w:t>•</w:t>
            </w:r>
          </w:p>
        </w:tc>
        <w:tc>
          <w:tcPr>
            <w:tcW w:w="2320" w:type="dxa"/>
            <w:vAlign w:val="bottom"/>
            <w:vMerge w:val="restart"/>
          </w:tcPr>
          <w:p>
            <w:pPr>
              <w:ind w:left="40"/>
              <w:spacing w:after="0"/>
              <w:rPr>
                <w:sz w:val="20"/>
                <w:szCs w:val="20"/>
                <w:color w:val="auto"/>
              </w:rPr>
            </w:pPr>
            <w:r>
              <w:rPr>
                <w:rFonts w:ascii="Arial" w:cs="Arial" w:eastAsia="Arial" w:hAnsi="Arial"/>
                <w:sz w:val="16"/>
                <w:szCs w:val="16"/>
                <w:color w:val="auto"/>
              </w:rPr>
              <w:t>Extensive knowledge of</w:t>
            </w:r>
          </w:p>
        </w:tc>
        <w:tc>
          <w:tcPr>
            <w:tcW w:w="0" w:type="dxa"/>
            <w:vAlign w:val="bottom"/>
          </w:tcPr>
          <w:p>
            <w:pPr>
              <w:spacing w:after="0"/>
              <w:rPr>
                <w:sz w:val="1"/>
                <w:szCs w:val="1"/>
                <w:color w:val="auto"/>
              </w:rPr>
            </w:pPr>
          </w:p>
        </w:tc>
      </w:tr>
      <w:tr>
        <w:trPr>
          <w:trHeight w:val="167"/>
        </w:trPr>
        <w:tc>
          <w:tcPr>
            <w:tcW w:w="5780" w:type="dxa"/>
            <w:vAlign w:val="bottom"/>
          </w:tcPr>
          <w:p>
            <w:pPr>
              <w:spacing w:after="0" w:line="167" w:lineRule="exact"/>
              <w:rPr>
                <w:sz w:val="20"/>
                <w:szCs w:val="20"/>
                <w:color w:val="auto"/>
              </w:rPr>
            </w:pPr>
            <w:r>
              <w:rPr>
                <w:rFonts w:ascii="Arial" w:cs="Arial" w:eastAsia="Arial" w:hAnsi="Arial"/>
                <w:sz w:val="16"/>
                <w:szCs w:val="16"/>
                <w:color w:val="auto"/>
              </w:rPr>
              <w:t>Vice President – Marketing and Sales from 1999 to 2012, Executive Vice</w:t>
            </w:r>
          </w:p>
        </w:tc>
        <w:tc>
          <w:tcPr>
            <w:tcW w:w="260" w:type="dxa"/>
            <w:vAlign w:val="bottom"/>
            <w:vMerge w:val="continue"/>
          </w:tcPr>
          <w:p>
            <w:pPr>
              <w:spacing w:after="0"/>
              <w:rPr>
                <w:sz w:val="14"/>
                <w:szCs w:val="14"/>
                <w:color w:val="auto"/>
              </w:rPr>
            </w:pPr>
          </w:p>
        </w:tc>
        <w:tc>
          <w:tcPr>
            <w:tcW w:w="2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780" w:type="dxa"/>
            <w:vAlign w:val="bottom"/>
          </w:tcPr>
          <w:p>
            <w:pPr>
              <w:spacing w:after="0"/>
              <w:rPr>
                <w:sz w:val="20"/>
                <w:szCs w:val="20"/>
                <w:color w:val="auto"/>
              </w:rPr>
            </w:pPr>
            <w:r>
              <w:rPr>
                <w:rFonts w:ascii="Arial" w:cs="Arial" w:eastAsia="Arial" w:hAnsi="Arial"/>
                <w:sz w:val="16"/>
                <w:szCs w:val="16"/>
                <w:color w:val="auto"/>
              </w:rPr>
              <w:t>President – Finance and Information Technology, Chief Financial Officer and</w:t>
            </w:r>
          </w:p>
        </w:tc>
        <w:tc>
          <w:tcPr>
            <w:tcW w:w="260" w:type="dxa"/>
            <w:vAlign w:val="bottom"/>
          </w:tcPr>
          <w:p>
            <w:pPr>
              <w:spacing w:after="0"/>
              <w:rPr>
                <w:sz w:val="16"/>
                <w:szCs w:val="16"/>
                <w:color w:val="auto"/>
              </w:rPr>
            </w:pPr>
          </w:p>
        </w:tc>
        <w:tc>
          <w:tcPr>
            <w:tcW w:w="2320" w:type="dxa"/>
            <w:vAlign w:val="bottom"/>
          </w:tcPr>
          <w:p>
            <w:pPr>
              <w:ind w:left="60"/>
              <w:spacing w:after="0"/>
              <w:rPr>
                <w:sz w:val="20"/>
                <w:szCs w:val="20"/>
                <w:color w:val="auto"/>
              </w:rPr>
            </w:pPr>
            <w:r>
              <w:rPr>
                <w:rFonts w:ascii="Arial" w:cs="Arial" w:eastAsia="Arial" w:hAnsi="Arial"/>
                <w:sz w:val="16"/>
                <w:szCs w:val="16"/>
                <w:color w:val="auto"/>
              </w:rPr>
              <w:t>financial system management,</w:t>
            </w:r>
          </w:p>
        </w:tc>
        <w:tc>
          <w:tcPr>
            <w:tcW w:w="0" w:type="dxa"/>
            <w:vAlign w:val="bottom"/>
          </w:tcPr>
          <w:p>
            <w:pPr>
              <w:spacing w:after="0"/>
              <w:rPr>
                <w:sz w:val="1"/>
                <w:szCs w:val="1"/>
                <w:color w:val="auto"/>
              </w:rPr>
            </w:pPr>
          </w:p>
        </w:tc>
      </w:tr>
      <w:tr>
        <w:trPr>
          <w:trHeight w:val="189"/>
        </w:trPr>
        <w:tc>
          <w:tcPr>
            <w:tcW w:w="5780" w:type="dxa"/>
            <w:vAlign w:val="bottom"/>
          </w:tcPr>
          <w:p>
            <w:pPr>
              <w:spacing w:after="0"/>
              <w:rPr>
                <w:sz w:val="20"/>
                <w:szCs w:val="20"/>
                <w:color w:val="auto"/>
              </w:rPr>
            </w:pPr>
            <w:r>
              <w:rPr>
                <w:rFonts w:ascii="Arial" w:cs="Arial" w:eastAsia="Arial" w:hAnsi="Arial"/>
                <w:sz w:val="16"/>
                <w:szCs w:val="16"/>
                <w:color w:val="auto"/>
              </w:rPr>
              <w:t>Controller. Mr. Koraleski served as the Chairman of The Bridges Investment</w:t>
            </w:r>
          </w:p>
        </w:tc>
        <w:tc>
          <w:tcPr>
            <w:tcW w:w="260" w:type="dxa"/>
            <w:vAlign w:val="bottom"/>
          </w:tcPr>
          <w:p>
            <w:pPr>
              <w:spacing w:after="0"/>
              <w:rPr>
                <w:sz w:val="16"/>
                <w:szCs w:val="16"/>
                <w:color w:val="auto"/>
              </w:rPr>
            </w:pPr>
          </w:p>
        </w:tc>
        <w:tc>
          <w:tcPr>
            <w:tcW w:w="2320" w:type="dxa"/>
            <w:vAlign w:val="bottom"/>
          </w:tcPr>
          <w:p>
            <w:pPr>
              <w:ind w:left="60"/>
              <w:spacing w:after="0"/>
              <w:rPr>
                <w:sz w:val="20"/>
                <w:szCs w:val="20"/>
                <w:color w:val="auto"/>
              </w:rPr>
            </w:pPr>
            <w:r>
              <w:rPr>
                <w:rFonts w:ascii="Arial" w:cs="Arial" w:eastAsia="Arial" w:hAnsi="Arial"/>
                <w:sz w:val="16"/>
                <w:szCs w:val="16"/>
                <w:color w:val="auto"/>
              </w:rPr>
              <w:t>public company accounting,</w:t>
            </w:r>
          </w:p>
        </w:tc>
        <w:tc>
          <w:tcPr>
            <w:tcW w:w="0" w:type="dxa"/>
            <w:vAlign w:val="bottom"/>
          </w:tcPr>
          <w:p>
            <w:pPr>
              <w:spacing w:after="0"/>
              <w:rPr>
                <w:sz w:val="1"/>
                <w:szCs w:val="1"/>
                <w:color w:val="auto"/>
              </w:rPr>
            </w:pPr>
          </w:p>
        </w:tc>
      </w:tr>
      <w:tr>
        <w:trPr>
          <w:trHeight w:val="189"/>
        </w:trPr>
        <w:tc>
          <w:tcPr>
            <w:tcW w:w="5780" w:type="dxa"/>
            <w:vAlign w:val="bottom"/>
          </w:tcPr>
          <w:p>
            <w:pPr>
              <w:spacing w:after="0"/>
              <w:rPr>
                <w:sz w:val="20"/>
                <w:szCs w:val="20"/>
                <w:color w:val="auto"/>
              </w:rPr>
            </w:pPr>
            <w:r>
              <w:rPr>
                <w:rFonts w:ascii="Arial" w:cs="Arial" w:eastAsia="Arial" w:hAnsi="Arial"/>
                <w:sz w:val="16"/>
                <w:szCs w:val="16"/>
                <w:color w:val="auto"/>
              </w:rPr>
              <w:t>Fund, Inc., a general equity fund whose primary investment objective is to seek</w:t>
            </w:r>
          </w:p>
        </w:tc>
        <w:tc>
          <w:tcPr>
            <w:tcW w:w="260" w:type="dxa"/>
            <w:vAlign w:val="bottom"/>
          </w:tcPr>
          <w:p>
            <w:pPr>
              <w:spacing w:after="0"/>
              <w:rPr>
                <w:sz w:val="16"/>
                <w:szCs w:val="16"/>
                <w:color w:val="auto"/>
              </w:rPr>
            </w:pPr>
          </w:p>
        </w:tc>
        <w:tc>
          <w:tcPr>
            <w:tcW w:w="2320" w:type="dxa"/>
            <w:vAlign w:val="bottom"/>
          </w:tcPr>
          <w:p>
            <w:pPr>
              <w:ind w:left="60"/>
              <w:spacing w:after="0"/>
              <w:rPr>
                <w:sz w:val="20"/>
                <w:szCs w:val="20"/>
                <w:color w:val="auto"/>
              </w:rPr>
            </w:pPr>
            <w:r>
              <w:rPr>
                <w:rFonts w:ascii="Arial" w:cs="Arial" w:eastAsia="Arial" w:hAnsi="Arial"/>
                <w:sz w:val="16"/>
                <w:szCs w:val="16"/>
                <w:color w:val="auto"/>
              </w:rPr>
              <w:t>disclosure requirements and</w:t>
            </w:r>
          </w:p>
        </w:tc>
        <w:tc>
          <w:tcPr>
            <w:tcW w:w="0" w:type="dxa"/>
            <w:vAlign w:val="bottom"/>
          </w:tcPr>
          <w:p>
            <w:pPr>
              <w:spacing w:after="0"/>
              <w:rPr>
                <w:sz w:val="1"/>
                <w:szCs w:val="1"/>
                <w:color w:val="auto"/>
              </w:rPr>
            </w:pPr>
          </w:p>
        </w:tc>
      </w:tr>
      <w:tr>
        <w:trPr>
          <w:trHeight w:val="211"/>
        </w:trPr>
        <w:tc>
          <w:tcPr>
            <w:tcW w:w="5780" w:type="dxa"/>
            <w:vAlign w:val="bottom"/>
          </w:tcPr>
          <w:p>
            <w:pPr>
              <w:spacing w:after="0"/>
              <w:rPr>
                <w:sz w:val="20"/>
                <w:szCs w:val="20"/>
                <w:color w:val="auto"/>
              </w:rPr>
            </w:pPr>
            <w:r>
              <w:rPr>
                <w:rFonts w:ascii="Arial" w:cs="Arial" w:eastAsia="Arial" w:hAnsi="Arial"/>
                <w:sz w:val="16"/>
                <w:szCs w:val="16"/>
                <w:color w:val="auto"/>
              </w:rPr>
              <w:t>long-term capital appreciation, from 2005 through March 2012 and is a past</w:t>
            </w:r>
          </w:p>
        </w:tc>
        <w:tc>
          <w:tcPr>
            <w:tcW w:w="260" w:type="dxa"/>
            <w:vAlign w:val="bottom"/>
          </w:tcPr>
          <w:p>
            <w:pPr>
              <w:spacing w:after="0"/>
              <w:rPr>
                <w:sz w:val="18"/>
                <w:szCs w:val="18"/>
                <w:color w:val="auto"/>
              </w:rPr>
            </w:pPr>
          </w:p>
        </w:tc>
        <w:tc>
          <w:tcPr>
            <w:tcW w:w="2320" w:type="dxa"/>
            <w:vAlign w:val="bottom"/>
          </w:tcPr>
          <w:p>
            <w:pPr>
              <w:ind w:left="60"/>
              <w:spacing w:after="0"/>
              <w:rPr>
                <w:sz w:val="20"/>
                <w:szCs w:val="20"/>
                <w:color w:val="auto"/>
              </w:rPr>
            </w:pPr>
            <w:r>
              <w:rPr>
                <w:rFonts w:ascii="Arial" w:cs="Arial" w:eastAsia="Arial" w:hAnsi="Arial"/>
                <w:sz w:val="16"/>
                <w:szCs w:val="16"/>
                <w:color w:val="auto"/>
              </w:rPr>
              <w:t>financial markets</w:t>
            </w:r>
          </w:p>
        </w:tc>
        <w:tc>
          <w:tcPr>
            <w:tcW w:w="0" w:type="dxa"/>
            <w:vAlign w:val="bottom"/>
          </w:tcPr>
          <w:p>
            <w:pPr>
              <w:spacing w:after="0"/>
              <w:rPr>
                <w:sz w:val="1"/>
                <w:szCs w:val="1"/>
                <w:color w:val="auto"/>
              </w:rPr>
            </w:pPr>
          </w:p>
        </w:tc>
      </w:tr>
      <w:tr>
        <w:trPr>
          <w:trHeight w:val="221"/>
        </w:trPr>
        <w:tc>
          <w:tcPr>
            <w:tcW w:w="5780" w:type="dxa"/>
            <w:vAlign w:val="bottom"/>
          </w:tcPr>
          <w:p>
            <w:pPr>
              <w:spacing w:after="0"/>
              <w:rPr>
                <w:sz w:val="20"/>
                <w:szCs w:val="20"/>
                <w:color w:val="auto"/>
              </w:rPr>
            </w:pPr>
            <w:r>
              <w:rPr>
                <w:rFonts w:ascii="Arial" w:cs="Arial" w:eastAsia="Arial" w:hAnsi="Arial"/>
                <w:sz w:val="16"/>
                <w:szCs w:val="16"/>
                <w:color w:val="auto"/>
              </w:rPr>
              <w:t>Chairman of the Association of American Railroads. Mr. Koraleski earned a</w:t>
            </w:r>
          </w:p>
        </w:tc>
        <w:tc>
          <w:tcPr>
            <w:tcW w:w="260" w:type="dxa"/>
            <w:vAlign w:val="bottom"/>
          </w:tcPr>
          <w:p>
            <w:pPr>
              <w:ind w:left="140"/>
              <w:spacing w:after="0"/>
              <w:rPr>
                <w:sz w:val="20"/>
                <w:szCs w:val="20"/>
                <w:color w:val="auto"/>
              </w:rPr>
            </w:pPr>
            <w:r>
              <w:rPr>
                <w:rFonts w:ascii="Arial" w:cs="Arial" w:eastAsia="Arial" w:hAnsi="Arial"/>
                <w:sz w:val="16"/>
                <w:szCs w:val="16"/>
                <w:color w:val="007CBA"/>
              </w:rPr>
              <w:t>•</w:t>
            </w:r>
          </w:p>
        </w:tc>
        <w:tc>
          <w:tcPr>
            <w:tcW w:w="2320" w:type="dxa"/>
            <w:vAlign w:val="bottom"/>
          </w:tcPr>
          <w:p>
            <w:pPr>
              <w:ind w:left="40"/>
              <w:spacing w:after="0"/>
              <w:rPr>
                <w:sz w:val="20"/>
                <w:szCs w:val="20"/>
                <w:color w:val="auto"/>
              </w:rPr>
            </w:pPr>
            <w:r>
              <w:rPr>
                <w:rFonts w:ascii="Arial" w:cs="Arial" w:eastAsia="Arial" w:hAnsi="Arial"/>
                <w:sz w:val="16"/>
                <w:szCs w:val="16"/>
                <w:color w:val="auto"/>
              </w:rPr>
              <w:t>Valuable expertise in talent</w:t>
            </w:r>
          </w:p>
        </w:tc>
        <w:tc>
          <w:tcPr>
            <w:tcW w:w="0" w:type="dxa"/>
            <w:vAlign w:val="bottom"/>
          </w:tcPr>
          <w:p>
            <w:pPr>
              <w:spacing w:after="0"/>
              <w:rPr>
                <w:sz w:val="1"/>
                <w:szCs w:val="1"/>
                <w:color w:val="auto"/>
              </w:rPr>
            </w:pPr>
          </w:p>
        </w:tc>
      </w:tr>
      <w:tr>
        <w:trPr>
          <w:trHeight w:val="189"/>
        </w:trPr>
        <w:tc>
          <w:tcPr>
            <w:tcW w:w="5780" w:type="dxa"/>
            <w:vAlign w:val="bottom"/>
          </w:tcPr>
          <w:p>
            <w:pPr>
              <w:spacing w:after="0"/>
              <w:rPr>
                <w:sz w:val="20"/>
                <w:szCs w:val="20"/>
                <w:color w:val="auto"/>
              </w:rPr>
            </w:pPr>
            <w:r>
              <w:rPr>
                <w:rFonts w:ascii="Arial" w:cs="Arial" w:eastAsia="Arial" w:hAnsi="Arial"/>
                <w:sz w:val="16"/>
                <w:szCs w:val="16"/>
                <w:color w:val="auto"/>
              </w:rPr>
              <w:t>Bachelor’s and Master’s degree in business administration from the University</w:t>
            </w:r>
          </w:p>
        </w:tc>
        <w:tc>
          <w:tcPr>
            <w:tcW w:w="260" w:type="dxa"/>
            <w:vAlign w:val="bottom"/>
          </w:tcPr>
          <w:p>
            <w:pPr>
              <w:spacing w:after="0"/>
              <w:rPr>
                <w:sz w:val="16"/>
                <w:szCs w:val="16"/>
                <w:color w:val="auto"/>
              </w:rPr>
            </w:pPr>
          </w:p>
        </w:tc>
        <w:tc>
          <w:tcPr>
            <w:tcW w:w="2320" w:type="dxa"/>
            <w:vAlign w:val="bottom"/>
          </w:tcPr>
          <w:p>
            <w:pPr>
              <w:ind w:left="60"/>
              <w:spacing w:after="0"/>
              <w:rPr>
                <w:sz w:val="20"/>
                <w:szCs w:val="20"/>
                <w:color w:val="auto"/>
              </w:rPr>
            </w:pPr>
            <w:r>
              <w:rPr>
                <w:rFonts w:ascii="Arial" w:cs="Arial" w:eastAsia="Arial" w:hAnsi="Arial"/>
                <w:sz w:val="16"/>
                <w:szCs w:val="16"/>
                <w:color w:val="auto"/>
              </w:rPr>
              <w:t>management, compensation,</w:t>
            </w:r>
          </w:p>
        </w:tc>
        <w:tc>
          <w:tcPr>
            <w:tcW w:w="0" w:type="dxa"/>
            <w:vAlign w:val="bottom"/>
          </w:tcPr>
          <w:p>
            <w:pPr>
              <w:spacing w:after="0"/>
              <w:rPr>
                <w:sz w:val="1"/>
                <w:szCs w:val="1"/>
                <w:color w:val="auto"/>
              </w:rPr>
            </w:pPr>
          </w:p>
        </w:tc>
      </w:tr>
      <w:tr>
        <w:trPr>
          <w:trHeight w:val="211"/>
        </w:trPr>
        <w:tc>
          <w:tcPr>
            <w:tcW w:w="5780" w:type="dxa"/>
            <w:vAlign w:val="bottom"/>
          </w:tcPr>
          <w:p>
            <w:pPr>
              <w:spacing w:after="0"/>
              <w:rPr>
                <w:sz w:val="20"/>
                <w:szCs w:val="20"/>
                <w:color w:val="auto"/>
              </w:rPr>
            </w:pPr>
            <w:r>
              <w:rPr>
                <w:rFonts w:ascii="Arial" w:cs="Arial" w:eastAsia="Arial" w:hAnsi="Arial"/>
                <w:sz w:val="16"/>
                <w:szCs w:val="16"/>
                <w:color w:val="auto"/>
              </w:rPr>
              <w:t>of Nebraska at Omaha.</w:t>
            </w:r>
          </w:p>
        </w:tc>
        <w:tc>
          <w:tcPr>
            <w:tcW w:w="260" w:type="dxa"/>
            <w:vAlign w:val="bottom"/>
          </w:tcPr>
          <w:p>
            <w:pPr>
              <w:spacing w:after="0"/>
              <w:rPr>
                <w:sz w:val="18"/>
                <w:szCs w:val="18"/>
                <w:color w:val="auto"/>
              </w:rPr>
            </w:pPr>
          </w:p>
        </w:tc>
        <w:tc>
          <w:tcPr>
            <w:tcW w:w="2320" w:type="dxa"/>
            <w:vAlign w:val="bottom"/>
          </w:tcPr>
          <w:p>
            <w:pPr>
              <w:ind w:left="60"/>
              <w:spacing w:after="0"/>
              <w:rPr>
                <w:sz w:val="20"/>
                <w:szCs w:val="20"/>
                <w:color w:val="auto"/>
              </w:rPr>
            </w:pPr>
            <w:r>
              <w:rPr>
                <w:rFonts w:ascii="Arial" w:cs="Arial" w:eastAsia="Arial" w:hAnsi="Arial"/>
                <w:sz w:val="16"/>
                <w:szCs w:val="16"/>
                <w:color w:val="auto"/>
              </w:rPr>
              <w:t>governance and succession</w:t>
            </w:r>
          </w:p>
        </w:tc>
        <w:tc>
          <w:tcPr>
            <w:tcW w:w="0" w:type="dxa"/>
            <w:vAlign w:val="bottom"/>
          </w:tcPr>
          <w:p>
            <w:pPr>
              <w:spacing w:after="0"/>
              <w:rPr>
                <w:sz w:val="1"/>
                <w:szCs w:val="1"/>
                <w:color w:val="auto"/>
              </w:rPr>
            </w:pPr>
          </w:p>
        </w:tc>
      </w:tr>
      <w:tr>
        <w:trPr>
          <w:trHeight w:val="219"/>
        </w:trPr>
        <w:tc>
          <w:tcPr>
            <w:tcW w:w="5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20" w:type="dxa"/>
            <w:vAlign w:val="bottom"/>
          </w:tcPr>
          <w:p>
            <w:pPr>
              <w:ind w:left="60"/>
              <w:spacing w:after="0"/>
              <w:rPr>
                <w:sz w:val="20"/>
                <w:szCs w:val="20"/>
                <w:color w:val="auto"/>
              </w:rPr>
            </w:pPr>
            <w:r>
              <w:rPr>
                <w:rFonts w:ascii="Arial" w:cs="Arial" w:eastAsia="Arial" w:hAnsi="Arial"/>
                <w:sz w:val="16"/>
                <w:szCs w:val="16"/>
                <w:color w:val="auto"/>
              </w:rPr>
              <w:t>planning</w:t>
            </w:r>
          </w:p>
        </w:tc>
        <w:tc>
          <w:tcPr>
            <w:tcW w:w="0" w:type="dxa"/>
            <w:vAlign w:val="bottom"/>
          </w:tcPr>
          <w:p>
            <w:pPr>
              <w:spacing w:after="0"/>
              <w:rPr>
                <w:sz w:val="1"/>
                <w:szCs w:val="1"/>
                <w:color w:val="auto"/>
              </w:rPr>
            </w:pPr>
          </w:p>
        </w:tc>
      </w:tr>
      <w:tr>
        <w:trPr>
          <w:trHeight w:val="241"/>
        </w:trPr>
        <w:tc>
          <w:tcPr>
            <w:tcW w:w="5780" w:type="dxa"/>
            <w:vAlign w:val="bottom"/>
          </w:tcPr>
          <w:p>
            <w:pPr>
              <w:spacing w:after="0"/>
              <w:rPr>
                <w:sz w:val="20"/>
                <w:szCs w:val="20"/>
                <w:color w:val="auto"/>
              </w:rPr>
            </w:pPr>
          </w:p>
        </w:tc>
        <w:tc>
          <w:tcPr>
            <w:tcW w:w="260" w:type="dxa"/>
            <w:vAlign w:val="bottom"/>
          </w:tcPr>
          <w:p>
            <w:pPr>
              <w:ind w:left="140"/>
              <w:spacing w:after="0"/>
              <w:rPr>
                <w:sz w:val="20"/>
                <w:szCs w:val="20"/>
                <w:color w:val="auto"/>
              </w:rPr>
            </w:pPr>
            <w:r>
              <w:rPr>
                <w:rFonts w:ascii="Arial" w:cs="Arial" w:eastAsia="Arial" w:hAnsi="Arial"/>
                <w:sz w:val="16"/>
                <w:szCs w:val="16"/>
                <w:color w:val="007CBA"/>
              </w:rPr>
              <w:t>•</w:t>
            </w:r>
          </w:p>
        </w:tc>
        <w:tc>
          <w:tcPr>
            <w:tcW w:w="2320" w:type="dxa"/>
            <w:vAlign w:val="bottom"/>
          </w:tcPr>
          <w:p>
            <w:pPr>
              <w:ind w:left="40"/>
              <w:spacing w:after="0"/>
              <w:rPr>
                <w:sz w:val="20"/>
                <w:szCs w:val="20"/>
                <w:color w:val="auto"/>
              </w:rPr>
            </w:pPr>
            <w:r>
              <w:rPr>
                <w:rFonts w:ascii="Arial" w:cs="Arial" w:eastAsia="Arial" w:hAnsi="Arial"/>
                <w:sz w:val="16"/>
                <w:szCs w:val="16"/>
                <w:color w:val="auto"/>
              </w:rPr>
              <w:t>Understanding of complex</w:t>
            </w:r>
          </w:p>
        </w:tc>
        <w:tc>
          <w:tcPr>
            <w:tcW w:w="0" w:type="dxa"/>
            <w:vAlign w:val="bottom"/>
          </w:tcPr>
          <w:p>
            <w:pPr>
              <w:spacing w:after="0"/>
              <w:rPr>
                <w:sz w:val="1"/>
                <w:szCs w:val="1"/>
                <w:color w:val="auto"/>
              </w:rPr>
            </w:pPr>
          </w:p>
        </w:tc>
      </w:tr>
      <w:tr>
        <w:trPr>
          <w:trHeight w:val="189"/>
        </w:trPr>
        <w:tc>
          <w:tcPr>
            <w:tcW w:w="5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20" w:type="dxa"/>
            <w:vAlign w:val="bottom"/>
          </w:tcPr>
          <w:p>
            <w:pPr>
              <w:ind w:left="60"/>
              <w:spacing w:after="0"/>
              <w:rPr>
                <w:sz w:val="20"/>
                <w:szCs w:val="20"/>
                <w:color w:val="auto"/>
              </w:rPr>
            </w:pPr>
            <w:r>
              <w:rPr>
                <w:rFonts w:ascii="Arial" w:cs="Arial" w:eastAsia="Arial" w:hAnsi="Arial"/>
                <w:sz w:val="16"/>
                <w:szCs w:val="16"/>
                <w:color w:val="auto"/>
              </w:rPr>
              <w:t>logistic operations, safety and</w:t>
            </w:r>
          </w:p>
        </w:tc>
        <w:tc>
          <w:tcPr>
            <w:tcW w:w="0" w:type="dxa"/>
            <w:vAlign w:val="bottom"/>
          </w:tcPr>
          <w:p>
            <w:pPr>
              <w:spacing w:after="0"/>
              <w:rPr>
                <w:sz w:val="1"/>
                <w:szCs w:val="1"/>
                <w:color w:val="auto"/>
              </w:rPr>
            </w:pPr>
          </w:p>
        </w:tc>
      </w:tr>
      <w:tr>
        <w:trPr>
          <w:trHeight w:val="219"/>
        </w:trPr>
        <w:tc>
          <w:tcPr>
            <w:tcW w:w="5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20" w:type="dxa"/>
            <w:vAlign w:val="bottom"/>
          </w:tcPr>
          <w:p>
            <w:pPr>
              <w:ind w:left="60"/>
              <w:spacing w:after="0"/>
              <w:rPr>
                <w:sz w:val="20"/>
                <w:szCs w:val="20"/>
                <w:color w:val="auto"/>
              </w:rPr>
            </w:pPr>
            <w:r>
              <w:rPr>
                <w:rFonts w:ascii="Arial" w:cs="Arial" w:eastAsia="Arial" w:hAnsi="Arial"/>
                <w:sz w:val="16"/>
                <w:szCs w:val="16"/>
                <w:color w:val="auto"/>
              </w:rPr>
              <w:t>rail operations</w:t>
            </w:r>
          </w:p>
        </w:tc>
        <w:tc>
          <w:tcPr>
            <w:tcW w:w="0" w:type="dxa"/>
            <w:vAlign w:val="bottom"/>
          </w:tcPr>
          <w:p>
            <w:pPr>
              <w:spacing w:after="0"/>
              <w:rPr>
                <w:sz w:val="1"/>
                <w:szCs w:val="1"/>
                <w:color w:val="auto"/>
              </w:rPr>
            </w:pPr>
          </w:p>
        </w:tc>
      </w:tr>
      <w:tr>
        <w:trPr>
          <w:trHeight w:val="241"/>
        </w:trPr>
        <w:tc>
          <w:tcPr>
            <w:tcW w:w="5780" w:type="dxa"/>
            <w:vAlign w:val="bottom"/>
          </w:tcPr>
          <w:p>
            <w:pPr>
              <w:spacing w:after="0"/>
              <w:rPr>
                <w:sz w:val="20"/>
                <w:szCs w:val="20"/>
                <w:color w:val="auto"/>
              </w:rPr>
            </w:pPr>
          </w:p>
        </w:tc>
        <w:tc>
          <w:tcPr>
            <w:tcW w:w="260" w:type="dxa"/>
            <w:vAlign w:val="bottom"/>
          </w:tcPr>
          <w:p>
            <w:pPr>
              <w:ind w:left="140"/>
              <w:spacing w:after="0"/>
              <w:rPr>
                <w:sz w:val="20"/>
                <w:szCs w:val="20"/>
                <w:color w:val="auto"/>
              </w:rPr>
            </w:pPr>
            <w:r>
              <w:rPr>
                <w:rFonts w:ascii="Arial" w:cs="Arial" w:eastAsia="Arial" w:hAnsi="Arial"/>
                <w:sz w:val="16"/>
                <w:szCs w:val="16"/>
                <w:color w:val="007CBA"/>
              </w:rPr>
              <w:t>•</w:t>
            </w:r>
          </w:p>
        </w:tc>
        <w:tc>
          <w:tcPr>
            <w:tcW w:w="2320" w:type="dxa"/>
            <w:vAlign w:val="bottom"/>
          </w:tcPr>
          <w:p>
            <w:pPr>
              <w:ind w:left="40"/>
              <w:spacing w:after="0"/>
              <w:rPr>
                <w:sz w:val="20"/>
                <w:szCs w:val="20"/>
                <w:color w:val="auto"/>
              </w:rPr>
            </w:pPr>
            <w:r>
              <w:rPr>
                <w:rFonts w:ascii="Arial" w:cs="Arial" w:eastAsia="Arial" w:hAnsi="Arial"/>
                <w:sz w:val="16"/>
                <w:szCs w:val="16"/>
                <w:color w:val="auto"/>
              </w:rPr>
              <w:t>Broad strategic analysis and</w:t>
            </w:r>
          </w:p>
        </w:tc>
        <w:tc>
          <w:tcPr>
            <w:tcW w:w="0" w:type="dxa"/>
            <w:vAlign w:val="bottom"/>
          </w:tcPr>
          <w:p>
            <w:pPr>
              <w:spacing w:after="0"/>
              <w:rPr>
                <w:sz w:val="1"/>
                <w:szCs w:val="1"/>
                <w:color w:val="auto"/>
              </w:rPr>
            </w:pPr>
          </w:p>
        </w:tc>
      </w:tr>
      <w:tr>
        <w:trPr>
          <w:trHeight w:val="189"/>
        </w:trPr>
        <w:tc>
          <w:tcPr>
            <w:tcW w:w="5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20" w:type="dxa"/>
            <w:vAlign w:val="bottom"/>
          </w:tcPr>
          <w:p>
            <w:pPr>
              <w:ind w:left="60"/>
              <w:spacing w:after="0"/>
              <w:rPr>
                <w:sz w:val="20"/>
                <w:szCs w:val="20"/>
                <w:color w:val="auto"/>
              </w:rPr>
            </w:pPr>
            <w:r>
              <w:rPr>
                <w:rFonts w:ascii="Arial" w:cs="Arial" w:eastAsia="Arial" w:hAnsi="Arial"/>
                <w:sz w:val="16"/>
                <w:szCs w:val="16"/>
                <w:color w:val="auto"/>
              </w:rPr>
              <w:t>experience with acquisitions,</w:t>
            </w:r>
          </w:p>
        </w:tc>
        <w:tc>
          <w:tcPr>
            <w:tcW w:w="0" w:type="dxa"/>
            <w:vAlign w:val="bottom"/>
          </w:tcPr>
          <w:p>
            <w:pPr>
              <w:spacing w:after="0"/>
              <w:rPr>
                <w:sz w:val="1"/>
                <w:szCs w:val="1"/>
                <w:color w:val="auto"/>
              </w:rPr>
            </w:pPr>
          </w:p>
        </w:tc>
      </w:tr>
      <w:tr>
        <w:trPr>
          <w:trHeight w:val="189"/>
        </w:trPr>
        <w:tc>
          <w:tcPr>
            <w:tcW w:w="5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20" w:type="dxa"/>
            <w:vAlign w:val="bottom"/>
          </w:tcPr>
          <w:p>
            <w:pPr>
              <w:ind w:left="60"/>
              <w:spacing w:after="0"/>
              <w:rPr>
                <w:sz w:val="20"/>
                <w:szCs w:val="20"/>
                <w:color w:val="auto"/>
              </w:rPr>
            </w:pPr>
            <w:r>
              <w:rPr>
                <w:rFonts w:ascii="Arial" w:cs="Arial" w:eastAsia="Arial" w:hAnsi="Arial"/>
                <w:sz w:val="16"/>
                <w:szCs w:val="16"/>
                <w:color w:val="auto"/>
              </w:rPr>
              <w:t>integration, marketing and</w:t>
            </w:r>
          </w:p>
        </w:tc>
        <w:tc>
          <w:tcPr>
            <w:tcW w:w="0" w:type="dxa"/>
            <w:vAlign w:val="bottom"/>
          </w:tcPr>
          <w:p>
            <w:pPr>
              <w:spacing w:after="0"/>
              <w:rPr>
                <w:sz w:val="1"/>
                <w:szCs w:val="1"/>
                <w:color w:val="auto"/>
              </w:rPr>
            </w:pPr>
          </w:p>
        </w:tc>
      </w:tr>
      <w:tr>
        <w:trPr>
          <w:trHeight w:val="219"/>
        </w:trPr>
        <w:tc>
          <w:tcPr>
            <w:tcW w:w="5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20" w:type="dxa"/>
            <w:vAlign w:val="bottom"/>
          </w:tcPr>
          <w:p>
            <w:pPr>
              <w:ind w:left="60"/>
              <w:spacing w:after="0"/>
              <w:rPr>
                <w:sz w:val="20"/>
                <w:szCs w:val="20"/>
                <w:color w:val="auto"/>
              </w:rPr>
            </w:pPr>
            <w:r>
              <w:rPr>
                <w:rFonts w:ascii="Arial" w:cs="Arial" w:eastAsia="Arial" w:hAnsi="Arial"/>
                <w:sz w:val="16"/>
                <w:szCs w:val="16"/>
                <w:color w:val="auto"/>
              </w:rPr>
              <w:t>information technologies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-1681480</wp:posOffset>
            </wp:positionH>
            <wp:positionV relativeFrom="paragraph">
              <wp:posOffset>241300</wp:posOffset>
            </wp:positionV>
            <wp:extent cx="6997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40" w:space="220"/>
            <w:col w:w="8360"/>
          </w:cols>
          <w:pgMar w:left="24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0"/>
        <w:spacing w:after="0" w:line="322" w:lineRule="exact"/>
        <w:rPr>
          <w:sz w:val="20"/>
          <w:szCs w:val="20"/>
          <w:color w:val="auto"/>
        </w:rPr>
      </w:pPr>
      <w:r>
        <w:rPr>
          <w:rFonts w:ascii="MS PGothic" w:cs="MS PGothic" w:eastAsia="MS PGothic" w:hAnsi="MS PGothic"/>
          <w:sz w:val="28"/>
          <w:szCs w:val="28"/>
          <w:color w:val="007CBA"/>
        </w:rPr>
        <w:t>◆</w:t>
      </w:r>
      <w:r>
        <w:rPr>
          <w:rFonts w:ascii="Arial" w:cs="Arial" w:eastAsia="Arial" w:hAnsi="Arial"/>
          <w:sz w:val="22"/>
          <w:szCs w:val="22"/>
          <w:b w:val="1"/>
          <w:bCs w:val="1"/>
          <w:color w:val="007CBA"/>
        </w:rPr>
        <w:t>DAVID G.</w:t>
      </w:r>
    </w:p>
    <w:p>
      <w:pPr>
        <w:spacing w:after="0" w:line="88" w:lineRule="exact"/>
        <w:rPr>
          <w:sz w:val="20"/>
          <w:szCs w:val="20"/>
          <w:color w:val="auto"/>
        </w:rPr>
      </w:pPr>
    </w:p>
    <w:p>
      <w:pPr>
        <w:ind w:left="440"/>
        <w:spacing w:after="0"/>
        <w:rPr>
          <w:sz w:val="20"/>
          <w:szCs w:val="20"/>
          <w:color w:val="auto"/>
        </w:rPr>
      </w:pPr>
      <w:r>
        <w:rPr>
          <w:rFonts w:ascii="Arial" w:cs="Arial" w:eastAsia="Arial" w:hAnsi="Arial"/>
          <w:sz w:val="22"/>
          <w:szCs w:val="22"/>
          <w:b w:val="1"/>
          <w:bCs w:val="1"/>
          <w:color w:val="007CBA"/>
        </w:rPr>
        <w:t>MAFFUCCI</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2005</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67</w:t>
      </w:r>
    </w:p>
    <w:p>
      <w:pPr>
        <w:spacing w:after="0" w:line="88" w:lineRule="exact"/>
        <w:rPr>
          <w:sz w:val="20"/>
          <w:szCs w:val="20"/>
          <w:color w:val="auto"/>
        </w:rPr>
      </w:pPr>
    </w:p>
    <w:p>
      <w:pPr>
        <w:ind w:left="320"/>
        <w:spacing w:after="0" w:line="261" w:lineRule="auto"/>
        <w:rPr>
          <w:sz w:val="20"/>
          <w:szCs w:val="20"/>
          <w:color w:val="auto"/>
        </w:rPr>
      </w:pPr>
      <w:r>
        <w:rPr>
          <w:rFonts w:ascii="Arial" w:cs="Arial" w:eastAsia="Arial" w:hAnsi="Arial"/>
          <w:sz w:val="16"/>
          <w:szCs w:val="16"/>
          <w:color w:val="auto"/>
        </w:rPr>
        <w:t>Chair of the Audit Committee and member of the Ethics, Environment, Safety and Health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Mr. Maffucci is a Director of Domtar Corporation, which designs, manufactures, markets and distributes a wide variety of fiber-based products, including communication papers, specialty and packaging papers, market pulp and absorbent hygiene products. He is currently the Chair of its Audit Committee and a member of its Finance Committee and Nominating and Corporate Governance Committee. Mr. Maffucci previously served as Executive Vice President and Chief Financial Officer of Xerium Technologies, Inc., a manufacturer and supplier of consumable products used in paper production, from 2009 to 2010, as well as on its Board of Directors from 2008 until 2010, serving on its Audit and Compensation Committees from 2008 to 2009. On March 30, 2010, Xerium Technologies, Inc. filed a voluntary petition for relief under Chapter 11 of the Federal bankruptcy laws as part of a “pre-arranged” restructuring plan with the support of its lenders. On May 25, 2010, Xerium Technologies, Inc. emerged from Chapter 11 protection. Mr. Maffucci also served as Executive Vice President and Chief Financial Officer of Bowater Incorporated. Mr. Maffucci previously worked at KPMG and is a Certified Public Accountant. He received his Bachelor’s degree from Sacred Heart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1619250</wp:posOffset>
            </wp:positionH>
            <wp:positionV relativeFrom="paragraph">
              <wp:posOffset>746760</wp:posOffset>
            </wp:positionV>
            <wp:extent cx="411480" cy="2489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840"/>
        <w:spacing w:after="0" w:line="299" w:lineRule="auto"/>
        <w:rPr>
          <w:sz w:val="20"/>
          <w:szCs w:val="20"/>
          <w:color w:val="auto"/>
        </w:rPr>
      </w:pPr>
      <w:r>
        <w:rPr>
          <w:rFonts w:ascii="Arial" w:cs="Arial" w:eastAsia="Arial" w:hAnsi="Arial"/>
          <w:sz w:val="16"/>
          <w:szCs w:val="16"/>
          <w:b w:val="1"/>
          <w:bCs w:val="1"/>
          <w:i w:val="1"/>
          <w:iCs w:val="1"/>
          <w:color w:val="007CBA"/>
        </w:rPr>
        <w:t>Key attributes, experience and skills:</w:t>
      </w:r>
    </w:p>
    <w:p>
      <w:pPr>
        <w:spacing w:after="0" w:line="1" w:lineRule="exact"/>
        <w:rPr>
          <w:sz w:val="20"/>
          <w:szCs w:val="20"/>
          <w:color w:val="auto"/>
        </w:rPr>
      </w:pPr>
    </w:p>
    <w:p>
      <w:pPr>
        <w:jc w:val="both"/>
        <w:ind w:left="260" w:right="100" w:hanging="171"/>
        <w:spacing w:after="0" w:line="269" w:lineRule="auto"/>
        <w:tabs>
          <w:tab w:leader="none" w:pos="227" w:val="left"/>
        </w:tabs>
        <w:numPr>
          <w:ilvl w:val="0"/>
          <w:numId w:val="18"/>
        </w:numPr>
        <w:rPr>
          <w:rFonts w:ascii="Arial" w:cs="Arial" w:eastAsia="Arial" w:hAnsi="Arial"/>
          <w:sz w:val="16"/>
          <w:szCs w:val="16"/>
          <w:color w:val="007CBA"/>
        </w:rPr>
      </w:pPr>
      <w:r>
        <w:rPr>
          <w:rFonts w:ascii="Arial" w:cs="Arial" w:eastAsia="Arial" w:hAnsi="Arial"/>
          <w:sz w:val="16"/>
          <w:szCs w:val="16"/>
          <w:color w:val="auto"/>
        </w:rPr>
        <w:t>Extensive financial experience with a large public accounting firm</w:t>
      </w:r>
    </w:p>
    <w:p>
      <w:pPr>
        <w:spacing w:after="0" w:line="29" w:lineRule="exact"/>
        <w:rPr>
          <w:rFonts w:ascii="Arial" w:cs="Arial" w:eastAsia="Arial" w:hAnsi="Arial"/>
          <w:sz w:val="16"/>
          <w:szCs w:val="16"/>
          <w:color w:val="007CBA"/>
        </w:rPr>
      </w:pPr>
    </w:p>
    <w:p>
      <w:pPr>
        <w:ind w:left="260" w:right="40" w:hanging="171"/>
        <w:spacing w:after="0" w:line="257" w:lineRule="auto"/>
        <w:tabs>
          <w:tab w:leader="none" w:pos="218" w:val="left"/>
        </w:tabs>
        <w:numPr>
          <w:ilvl w:val="0"/>
          <w:numId w:val="18"/>
        </w:numPr>
        <w:rPr>
          <w:rFonts w:ascii="Arial" w:cs="Arial" w:eastAsia="Arial" w:hAnsi="Arial"/>
          <w:sz w:val="16"/>
          <w:szCs w:val="16"/>
          <w:color w:val="007CBA"/>
        </w:rPr>
      </w:pPr>
      <w:r>
        <w:rPr>
          <w:rFonts w:ascii="Arial" w:cs="Arial" w:eastAsia="Arial" w:hAnsi="Arial"/>
          <w:sz w:val="16"/>
          <w:szCs w:val="16"/>
          <w:color w:val="auto"/>
        </w:rPr>
        <w:t>Accounting principles and practices, auditing, internal control over financial reporting, and risk management processes</w:t>
      </w:r>
    </w:p>
    <w:p>
      <w:pPr>
        <w:spacing w:after="0" w:line="2345" w:lineRule="exact"/>
        <w:rPr>
          <w:sz w:val="20"/>
          <w:szCs w:val="20"/>
          <w:color w:val="auto"/>
        </w:rPr>
      </w:pPr>
    </w:p>
    <w:p>
      <w:pPr>
        <w:sectPr>
          <w:pgSz w:w="11900" w:h="16838" w:orient="portrait"/>
          <w:cols w:equalWidth="0" w:num="3">
            <w:col w:w="2700" w:space="160"/>
            <w:col w:w="5720" w:space="120"/>
            <w:col w:w="2520"/>
          </w:cols>
          <w:pgMar w:left="240" w:top="455" w:right="439" w:bottom="1440" w:gutter="0" w:footer="0" w:header="0"/>
          <w:type w:val="continuous"/>
        </w:sectPr>
      </w:pPr>
    </w:p>
    <w:tbl>
      <w:tblPr>
        <w:tblLayout w:type="fixed"/>
        <w:tblInd w:w="9260" w:type="dxa"/>
        <w:tblCellMar>
          <w:top w:w="0" w:type="dxa"/>
          <w:left w:w="0" w:type="dxa"/>
          <w:bottom w:w="0" w:type="dxa"/>
          <w:right w:w="0" w:type="dxa"/>
        </w:tblCellMar>
      </w:tblPr>
      <w:tr>
        <w:trPr>
          <w:trHeight w:val="178"/>
        </w:trPr>
        <w:tc>
          <w:tcPr>
            <w:tcW w:w="1720" w:type="dxa"/>
            <w:vAlign w:val="bottom"/>
          </w:tcPr>
          <w:p>
            <w:pPr>
              <w:spacing w:after="0"/>
              <w:rPr>
                <w:sz w:val="20"/>
                <w:szCs w:val="20"/>
                <w:color w:val="auto"/>
              </w:rPr>
            </w:pPr>
            <w:r>
              <w:rPr>
                <w:rFonts w:ascii="Arial" w:cs="Arial" w:eastAsia="Arial" w:hAnsi="Arial"/>
                <w:sz w:val="13"/>
                <w:szCs w:val="13"/>
                <w:color w:val="007CBA"/>
              </w:rPr>
              <w:t>2018 PROXY STATEMENT</w:t>
            </w:r>
          </w:p>
        </w:tc>
        <w:tc>
          <w:tcPr>
            <w:tcW w:w="240" w:type="dxa"/>
            <w:vAlign w:val="bottom"/>
          </w:tcPr>
          <w:p>
            <w:pPr>
              <w:jc w:val="right"/>
              <w:spacing w:after="0"/>
              <w:rPr>
                <w:sz w:val="20"/>
                <w:szCs w:val="20"/>
                <w:color w:val="auto"/>
              </w:rPr>
            </w:pPr>
            <w:r>
              <w:rPr>
                <w:rFonts w:ascii="Arial" w:cs="Arial" w:eastAsia="Arial" w:hAnsi="Arial"/>
                <w:sz w:val="13"/>
                <w:szCs w:val="13"/>
                <w:b w:val="1"/>
                <w:bCs w:val="1"/>
                <w:color w:val="auto"/>
              </w:rPr>
              <w:t>9</w:t>
            </w:r>
          </w:p>
        </w:tc>
      </w:tr>
    </w:tbl>
    <w:p>
      <w:pPr>
        <w:sectPr>
          <w:pgSz w:w="11900" w:h="16838" w:orient="portrait"/>
          <w:cols w:equalWidth="0" w:num="1">
            <w:col w:w="11220"/>
          </w:cols>
          <w:pgMar w:left="240" w:top="455" w:right="439" w:bottom="1440" w:gutter="0" w:footer="0" w:header="0"/>
          <w:type w:val="continuous"/>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64" w:lineRule="exact"/>
        <w:rPr>
          <w:sz w:val="20"/>
          <w:szCs w:val="20"/>
          <w:color w:val="auto"/>
        </w:rPr>
      </w:pPr>
    </w:p>
    <w:p>
      <w:pPr>
        <w:ind w:left="200"/>
        <w:spacing w:after="0" w:line="276" w:lineRule="exact"/>
        <w:rPr>
          <w:sz w:val="20"/>
          <w:szCs w:val="20"/>
          <w:color w:val="auto"/>
        </w:rPr>
      </w:pPr>
      <w:r>
        <w:rPr>
          <w:rFonts w:ascii="Arial" w:cs="Arial" w:eastAsia="Arial" w:hAnsi="Arial"/>
          <w:sz w:val="13"/>
          <w:szCs w:val="13"/>
          <w:color w:val="007CBA"/>
        </w:rPr>
        <w:t xml:space="preserve">Proposal 1: Election of Directors </w:t>
      </w:r>
      <w:r>
        <w:rPr>
          <w:rFonts w:ascii="MS PGothic" w:cs="MS PGothic" w:eastAsia="MS PGothic" w:hAnsi="MS PGothic"/>
          <w:sz w:val="24"/>
          <w:szCs w:val="24"/>
          <w:color w:val="007CBA"/>
        </w:rPr>
        <w:t>◆</w:t>
      </w:r>
      <w:r>
        <w:rPr>
          <w:rFonts w:ascii="Arial" w:cs="Arial" w:eastAsia="Arial" w:hAnsi="Arial"/>
          <w:sz w:val="13"/>
          <w:szCs w:val="13"/>
          <w:color w:val="007CBA"/>
        </w:rPr>
        <w:t xml:space="preserve"> </w:t>
      </w:r>
      <w:r>
        <w:rPr>
          <w:rFonts w:ascii="Arial" w:cs="Arial" w:eastAsia="Arial" w:hAnsi="Arial"/>
          <w:sz w:val="13"/>
          <w:szCs w:val="13"/>
          <w:color w:val="000000"/>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148590</wp:posOffset>
            </wp:positionV>
            <wp:extent cx="1123315" cy="14579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23315" cy="1457960"/>
                    </a:xfrm>
                    <a:prstGeom prst="rect">
                      <a:avLst/>
                    </a:prstGeom>
                    <a:noFill/>
                  </pic:spPr>
                </pic:pic>
              </a:graphicData>
            </a:graphic>
          </wp:anchor>
        </w:drawing>
      </w:r>
    </w:p>
    <w:p>
      <w:pPr>
        <w:sectPr>
          <w:pgSz w:w="11900" w:h="16838" w:orient="portrait"/>
          <w:cols w:equalWidth="0" w:num="1">
            <w:col w:w="11200"/>
          </w:cols>
          <w:pgMar w:left="240" w:top="455"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860"/>
        <w:spacing w:after="0" w:line="299" w:lineRule="exact"/>
        <w:rPr>
          <w:sz w:val="20"/>
          <w:szCs w:val="20"/>
          <w:color w:val="auto"/>
        </w:rPr>
      </w:pPr>
      <w:r>
        <w:rPr>
          <w:rFonts w:ascii="MS PGothic" w:cs="MS PGothic" w:eastAsia="MS PGothic" w:hAnsi="MS PGothic"/>
          <w:sz w:val="26"/>
          <w:szCs w:val="26"/>
          <w:color w:val="007CBA"/>
        </w:rPr>
        <w:t>◆</w:t>
      </w:r>
      <w:r>
        <w:rPr>
          <w:rFonts w:ascii="Arial" w:cs="Arial" w:eastAsia="Arial" w:hAnsi="Arial"/>
          <w:sz w:val="20"/>
          <w:szCs w:val="20"/>
          <w:b w:val="1"/>
          <w:bCs w:val="1"/>
          <w:color w:val="007CBA"/>
        </w:rPr>
        <w:t>MICHAEL J.</w:t>
      </w:r>
    </w:p>
    <w:p>
      <w:pPr>
        <w:spacing w:after="0" w:line="109" w:lineRule="exact"/>
        <w:rPr>
          <w:sz w:val="20"/>
          <w:szCs w:val="20"/>
          <w:color w:val="auto"/>
        </w:rPr>
      </w:pPr>
    </w:p>
    <w:p>
      <w:pPr>
        <w:jc w:val="center"/>
        <w:ind w:right="860"/>
        <w:spacing w:after="0"/>
        <w:rPr>
          <w:sz w:val="20"/>
          <w:szCs w:val="20"/>
          <w:color w:val="auto"/>
        </w:rPr>
      </w:pPr>
      <w:r>
        <w:rPr>
          <w:rFonts w:ascii="Arial" w:cs="Arial" w:eastAsia="Arial" w:hAnsi="Arial"/>
          <w:sz w:val="22"/>
          <w:szCs w:val="22"/>
          <w:b w:val="1"/>
          <w:bCs w:val="1"/>
          <w:color w:val="007CBA"/>
        </w:rPr>
        <w:t>QUILLEN</w:t>
      </w:r>
    </w:p>
    <w:p>
      <w:pPr>
        <w:ind w:left="3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2008</w:t>
      </w:r>
    </w:p>
    <w:p>
      <w:pPr>
        <w:spacing w:after="0" w:line="5"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69</w:t>
      </w:r>
    </w:p>
    <w:p>
      <w:pPr>
        <w:spacing w:after="0" w:line="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Lead Independent Director, Chair</w:t>
      </w:r>
    </w:p>
    <w:p>
      <w:pPr>
        <w:spacing w:after="0" w:line="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of the Management Development</w:t>
      </w:r>
    </w:p>
    <w:p>
      <w:pPr>
        <w:spacing w:after="0" w:line="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and Compensation Committee,</w:t>
      </w:r>
    </w:p>
    <w:p>
      <w:pPr>
        <w:spacing w:after="0" w:line="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Member of the Executive</w:t>
      </w:r>
    </w:p>
    <w:p>
      <w:pPr>
        <w:spacing w:after="0" w:line="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Committee and the Nominating</w:t>
      </w:r>
    </w:p>
    <w:p>
      <w:pPr>
        <w:spacing w:after="0" w:line="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and Corporate Governance</w:t>
      </w:r>
    </w:p>
    <w:p>
      <w:pPr>
        <w:spacing w:after="0" w:line="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516890</wp:posOffset>
            </wp:positionV>
            <wp:extent cx="1123315" cy="14579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23315" cy="14579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Mr. Quillen was the founder and served as Chief Executive Officer of Alpha Natural Resources, Inc. (ANR), a leading Appalachian coal supplier, since its formation in 2004 until its merger with Foundation Coal Holdings, Inc. in July 2009, and served as President and Chairman of ANR from 2006 to 2009, and non-Executive Chairman until May 2012. Mr. Quillen held senior executive positions in the coal industry throughout his career at Pittston/Pittston Coal Sales Corp., AMVEST Corporation, NERCO Coal Corporation, Addington, Inc. and Mid-Vol Leasing, Inc. He has also served as Chairman (Rector) of the Board of Visitors of Virginia Polytechnic Institute and State University from July 2012 to June 2014 and was reappointed to an additional four-year term on the Board of Governors in July 2014. He was Chairman of the Audit and Finance Committee of Virginia Polytechnic Institute and State University from July 2010 to June 2012. He also served on the Virginia Port Authority from 2003 to 2012 and as Chairman from July 2011 to December 2012. Mr. Quillen attended Virginia Polytechnic Institute and State University, earning both Bachelor’s and Master’s degrees in Civil Engineering.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-1681480</wp:posOffset>
            </wp:positionH>
            <wp:positionV relativeFrom="paragraph">
              <wp:posOffset>1193800</wp:posOffset>
            </wp:positionV>
            <wp:extent cx="6997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ind w:right="820"/>
        <w:spacing w:after="0" w:line="259" w:lineRule="auto"/>
        <w:rPr>
          <w:sz w:val="20"/>
          <w:szCs w:val="20"/>
          <w:color w:val="auto"/>
        </w:rPr>
      </w:pPr>
      <w:r>
        <w:rPr>
          <w:rFonts w:ascii="Arial" w:cs="Arial" w:eastAsia="Arial" w:hAnsi="Arial"/>
          <w:sz w:val="16"/>
          <w:szCs w:val="16"/>
          <w:b w:val="1"/>
          <w:bCs w:val="1"/>
          <w:i w:val="1"/>
          <w:iCs w:val="1"/>
          <w:color w:val="007CBA"/>
        </w:rPr>
        <w:t>Key attributes, experience and skills:</w:t>
      </w:r>
    </w:p>
    <w:p>
      <w:pPr>
        <w:spacing w:after="0" w:line="1" w:lineRule="exact"/>
        <w:rPr>
          <w:sz w:val="20"/>
          <w:szCs w:val="20"/>
          <w:color w:val="auto"/>
        </w:rPr>
      </w:pPr>
    </w:p>
    <w:p>
      <w:pPr>
        <w:ind w:left="260" w:right="40" w:hanging="171"/>
        <w:spacing w:after="0" w:line="253" w:lineRule="auto"/>
        <w:tabs>
          <w:tab w:leader="none" w:pos="272" w:val="left"/>
        </w:tabs>
        <w:numPr>
          <w:ilvl w:val="0"/>
          <w:numId w:val="19"/>
        </w:numPr>
        <w:rPr>
          <w:rFonts w:ascii="Arial" w:cs="Arial" w:eastAsia="Arial" w:hAnsi="Arial"/>
          <w:sz w:val="16"/>
          <w:szCs w:val="16"/>
          <w:color w:val="007CBA"/>
        </w:rPr>
      </w:pPr>
      <w:r>
        <w:rPr>
          <w:rFonts w:ascii="Arial" w:cs="Arial" w:eastAsia="Arial" w:hAnsi="Arial"/>
          <w:sz w:val="16"/>
          <w:szCs w:val="16"/>
          <w:color w:val="auto"/>
        </w:rPr>
        <w:t>Valuable business, leadership, management, financial, and mergers and acquisitions experience</w:t>
      </w:r>
    </w:p>
    <w:p>
      <w:pPr>
        <w:spacing w:after="0" w:line="41" w:lineRule="exact"/>
        <w:rPr>
          <w:rFonts w:ascii="Arial" w:cs="Arial" w:eastAsia="Arial" w:hAnsi="Arial"/>
          <w:sz w:val="16"/>
          <w:szCs w:val="16"/>
          <w:color w:val="007CBA"/>
        </w:rPr>
      </w:pPr>
    </w:p>
    <w:p>
      <w:pPr>
        <w:ind w:left="260" w:right="140" w:hanging="171"/>
        <w:spacing w:after="0" w:line="257" w:lineRule="auto"/>
        <w:tabs>
          <w:tab w:leader="none" w:pos="272" w:val="left"/>
        </w:tabs>
        <w:numPr>
          <w:ilvl w:val="0"/>
          <w:numId w:val="19"/>
        </w:numPr>
        <w:rPr>
          <w:rFonts w:ascii="Arial" w:cs="Arial" w:eastAsia="Arial" w:hAnsi="Arial"/>
          <w:sz w:val="16"/>
          <w:szCs w:val="16"/>
          <w:color w:val="007CBA"/>
        </w:rPr>
      </w:pPr>
      <w:r>
        <w:rPr>
          <w:rFonts w:ascii="Arial" w:cs="Arial" w:eastAsia="Arial" w:hAnsi="Arial"/>
          <w:sz w:val="16"/>
          <w:szCs w:val="16"/>
          <w:color w:val="auto"/>
        </w:rPr>
        <w:t>Extensive experience related to mining companies, governmental and regulatory issues, safety, health and environmental matters</w:t>
      </w:r>
    </w:p>
    <w:p>
      <w:pPr>
        <w:spacing w:after="0" w:line="41" w:lineRule="exact"/>
        <w:rPr>
          <w:rFonts w:ascii="Arial" w:cs="Arial" w:eastAsia="Arial" w:hAnsi="Arial"/>
          <w:sz w:val="16"/>
          <w:szCs w:val="16"/>
          <w:color w:val="007CBA"/>
        </w:rPr>
      </w:pPr>
    </w:p>
    <w:p>
      <w:pPr>
        <w:ind w:left="260" w:right="20" w:hanging="171"/>
        <w:spacing w:after="0" w:line="261" w:lineRule="auto"/>
        <w:tabs>
          <w:tab w:leader="none" w:pos="269" w:val="left"/>
        </w:tabs>
        <w:numPr>
          <w:ilvl w:val="0"/>
          <w:numId w:val="19"/>
        </w:numPr>
        <w:rPr>
          <w:rFonts w:ascii="Arial" w:cs="Arial" w:eastAsia="Arial" w:hAnsi="Arial"/>
          <w:sz w:val="16"/>
          <w:szCs w:val="16"/>
          <w:color w:val="007CBA"/>
        </w:rPr>
      </w:pPr>
      <w:r>
        <w:rPr>
          <w:rFonts w:ascii="Arial" w:cs="Arial" w:eastAsia="Arial" w:hAnsi="Arial"/>
          <w:sz w:val="16"/>
          <w:szCs w:val="16"/>
          <w:color w:val="auto"/>
        </w:rPr>
        <w:t>Tremendous insight and expertise with respect to strategic analysis, the natural resources industry, and energy</w:t>
      </w:r>
    </w:p>
    <w:p>
      <w:pPr>
        <w:spacing w:after="0" w:line="36" w:lineRule="exact"/>
        <w:rPr>
          <w:rFonts w:ascii="Arial" w:cs="Arial" w:eastAsia="Arial" w:hAnsi="Arial"/>
          <w:sz w:val="16"/>
          <w:szCs w:val="16"/>
          <w:color w:val="007CBA"/>
        </w:rPr>
      </w:pPr>
    </w:p>
    <w:p>
      <w:pPr>
        <w:ind w:left="260" w:hanging="171"/>
        <w:spacing w:after="0" w:line="291" w:lineRule="auto"/>
        <w:tabs>
          <w:tab w:leader="none" w:pos="272" w:val="left"/>
        </w:tabs>
        <w:numPr>
          <w:ilvl w:val="0"/>
          <w:numId w:val="19"/>
        </w:numPr>
        <w:rPr>
          <w:rFonts w:ascii="Arial" w:cs="Arial" w:eastAsia="Arial" w:hAnsi="Arial"/>
          <w:sz w:val="16"/>
          <w:szCs w:val="16"/>
          <w:color w:val="007CBA"/>
        </w:rPr>
      </w:pPr>
      <w:r>
        <w:rPr>
          <w:rFonts w:ascii="Arial" w:cs="Arial" w:eastAsia="Arial" w:hAnsi="Arial"/>
          <w:sz w:val="16"/>
          <w:szCs w:val="16"/>
          <w:color w:val="auto"/>
        </w:rPr>
        <w:t>Wealth of knowledge related to transportation</w:t>
      </w:r>
    </w:p>
    <w:p>
      <w:pPr>
        <w:spacing w:after="0" w:line="1213" w:lineRule="exact"/>
        <w:rPr>
          <w:sz w:val="20"/>
          <w:szCs w:val="20"/>
          <w:color w:val="auto"/>
        </w:rPr>
      </w:pPr>
    </w:p>
    <w:p>
      <w:pPr>
        <w:sectPr>
          <w:pgSz w:w="11900" w:h="16838" w:orient="portrait"/>
          <w:cols w:equalWidth="0" w:num="3">
            <w:col w:w="2700" w:space="160"/>
            <w:col w:w="5720" w:space="120"/>
            <w:col w:w="2500"/>
          </w:cols>
          <w:pgMar w:left="240" w:top="455"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00"/>
        <w:spacing w:after="0" w:line="322" w:lineRule="exact"/>
        <w:rPr>
          <w:sz w:val="20"/>
          <w:szCs w:val="20"/>
          <w:color w:val="auto"/>
        </w:rPr>
      </w:pPr>
      <w:r>
        <w:rPr>
          <w:rFonts w:ascii="MS PGothic" w:cs="MS PGothic" w:eastAsia="MS PGothic" w:hAnsi="MS PGothic"/>
          <w:sz w:val="28"/>
          <w:szCs w:val="28"/>
          <w:color w:val="007CBA"/>
        </w:rPr>
        <w:t>◆</w:t>
      </w:r>
      <w:r>
        <w:rPr>
          <w:rFonts w:ascii="Arial" w:cs="Arial" w:eastAsia="Arial" w:hAnsi="Arial"/>
          <w:sz w:val="22"/>
          <w:szCs w:val="22"/>
          <w:b w:val="1"/>
          <w:bCs w:val="1"/>
          <w:color w:val="007CBA"/>
        </w:rPr>
        <w:t>DONALD W.</w:t>
      </w:r>
    </w:p>
    <w:p>
      <w:pPr>
        <w:spacing w:after="0" w:line="88" w:lineRule="exact"/>
        <w:rPr>
          <w:sz w:val="20"/>
          <w:szCs w:val="20"/>
          <w:color w:val="auto"/>
        </w:rPr>
      </w:pPr>
    </w:p>
    <w:p>
      <w:pPr>
        <w:ind w:left="440"/>
        <w:spacing w:after="0"/>
        <w:rPr>
          <w:sz w:val="20"/>
          <w:szCs w:val="20"/>
          <w:color w:val="auto"/>
        </w:rPr>
      </w:pPr>
      <w:r>
        <w:rPr>
          <w:rFonts w:ascii="Arial" w:cs="Arial" w:eastAsia="Arial" w:hAnsi="Arial"/>
          <w:sz w:val="22"/>
          <w:szCs w:val="22"/>
          <w:b w:val="1"/>
          <w:bCs w:val="1"/>
          <w:color w:val="007CBA"/>
        </w:rPr>
        <w:t>SLAGER</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2016</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56</w:t>
      </w:r>
    </w:p>
    <w:p>
      <w:pPr>
        <w:spacing w:after="0" w:line="88" w:lineRule="exact"/>
        <w:rPr>
          <w:sz w:val="20"/>
          <w:szCs w:val="20"/>
          <w:color w:val="auto"/>
        </w:rPr>
      </w:pPr>
    </w:p>
    <w:p>
      <w:pPr>
        <w:ind w:left="320"/>
        <w:spacing w:after="0" w:line="261" w:lineRule="auto"/>
        <w:rPr>
          <w:sz w:val="20"/>
          <w:szCs w:val="20"/>
          <w:color w:val="auto"/>
        </w:rPr>
      </w:pPr>
      <w:r>
        <w:rPr>
          <w:rFonts w:ascii="Arial" w:cs="Arial" w:eastAsia="Arial" w:hAnsi="Arial"/>
          <w:sz w:val="16"/>
          <w:szCs w:val="16"/>
          <w:color w:val="auto"/>
        </w:rPr>
        <w:t>Member of the Finance Committee and the Nominating and Corporate Governance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Mr. Slager serves as President and Chief Executive Officer of Republic Services, Inc., a service provider in the non-hazardous solid waste industry, holding this position since January 2011. Prior to this, he served as President and Chief Operating Officer of Republic from December 2008 until his promotion to CEO. Prior to that, Mr. Slager served in the same capacity for Allied Waste Industries, Inc. (“Allied Waste”), from 2005 to 2008, prior to its merger with Republic Services. Mr. Slager was Executive Vice President and Chief Operating Officer of Allied Waste between 2003 and 2004. Prior to that, Mr. Slager held varying positions of increasing responsibility with Allied Waste. Mr. Slager also has served as a Director of Republic since 2010. Mr. Slager previously served as an independent Director of UTi Worldwide Inc. (UTi) from 2009 to January 2016, where he served as Chairman of the Nominating and Corporate Governance Committee and as a member of both the Compensation and Risk Committees. UTi, a former NYSE listed company, was an international, non-asset-based supply chain services and solutions company providing air and ocean freight forwarding, contract logistics, customs brokerage, distribution, inbound logistics, truckload brokerage and other supply chain management services until it was acquired by DSV A/S a third-party logistics services provider, in January 2016. Mr. Slager has completed the Northwestern University Kellogg School Advanced Executive Program and holds a certificate from the Stanford University Board Consortium Development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1696720</wp:posOffset>
            </wp:positionH>
            <wp:positionV relativeFrom="paragraph">
              <wp:posOffset>271780</wp:posOffset>
            </wp:positionV>
            <wp:extent cx="411480" cy="2489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160"/>
        <w:spacing w:after="0" w:line="299" w:lineRule="auto"/>
        <w:rPr>
          <w:sz w:val="20"/>
          <w:szCs w:val="20"/>
          <w:color w:val="auto"/>
        </w:rPr>
      </w:pPr>
      <w:r>
        <w:rPr>
          <w:rFonts w:ascii="Arial" w:cs="Arial" w:eastAsia="Arial" w:hAnsi="Arial"/>
          <w:sz w:val="16"/>
          <w:szCs w:val="16"/>
          <w:b w:val="1"/>
          <w:bCs w:val="1"/>
          <w:i w:val="1"/>
          <w:iCs w:val="1"/>
          <w:color w:val="007CBA"/>
        </w:rPr>
        <w:t>Key attributes, experience and skills:</w:t>
      </w:r>
    </w:p>
    <w:p>
      <w:pPr>
        <w:spacing w:after="0" w:line="1" w:lineRule="exact"/>
        <w:rPr>
          <w:sz w:val="20"/>
          <w:szCs w:val="20"/>
          <w:color w:val="auto"/>
        </w:rPr>
      </w:pPr>
    </w:p>
    <w:p>
      <w:pPr>
        <w:ind w:left="260" w:right="100" w:hanging="171"/>
        <w:spacing w:after="0" w:line="291" w:lineRule="auto"/>
        <w:tabs>
          <w:tab w:leader="none" w:pos="227" w:val="left"/>
        </w:tabs>
        <w:numPr>
          <w:ilvl w:val="0"/>
          <w:numId w:val="20"/>
        </w:numPr>
        <w:rPr>
          <w:rFonts w:ascii="Arial" w:cs="Arial" w:eastAsia="Arial" w:hAnsi="Arial"/>
          <w:sz w:val="16"/>
          <w:szCs w:val="16"/>
          <w:color w:val="007CBA"/>
        </w:rPr>
      </w:pPr>
      <w:r>
        <w:rPr>
          <w:rFonts w:ascii="Arial" w:cs="Arial" w:eastAsia="Arial" w:hAnsi="Arial"/>
          <w:sz w:val="16"/>
          <w:szCs w:val="16"/>
          <w:color w:val="auto"/>
        </w:rPr>
        <w:t>More than 13 years of C-Suite experience</w:t>
      </w:r>
    </w:p>
    <w:p>
      <w:pPr>
        <w:spacing w:after="0" w:line="13" w:lineRule="exact"/>
        <w:rPr>
          <w:rFonts w:ascii="Arial" w:cs="Arial" w:eastAsia="Arial" w:hAnsi="Arial"/>
          <w:sz w:val="16"/>
          <w:szCs w:val="16"/>
          <w:color w:val="007CBA"/>
        </w:rPr>
      </w:pPr>
    </w:p>
    <w:p>
      <w:pPr>
        <w:ind w:left="260" w:right="60" w:hanging="171"/>
        <w:spacing w:after="0" w:line="261" w:lineRule="auto"/>
        <w:tabs>
          <w:tab w:leader="none" w:pos="227" w:val="left"/>
        </w:tabs>
        <w:numPr>
          <w:ilvl w:val="0"/>
          <w:numId w:val="20"/>
        </w:numPr>
        <w:rPr>
          <w:rFonts w:ascii="Arial" w:cs="Arial" w:eastAsia="Arial" w:hAnsi="Arial"/>
          <w:sz w:val="16"/>
          <w:szCs w:val="16"/>
          <w:color w:val="007CBA"/>
        </w:rPr>
      </w:pPr>
      <w:r>
        <w:rPr>
          <w:rFonts w:ascii="Arial" w:cs="Arial" w:eastAsia="Arial" w:hAnsi="Arial"/>
          <w:sz w:val="16"/>
          <w:szCs w:val="16"/>
          <w:color w:val="auto"/>
        </w:rPr>
        <w:t>More than 26 years of general management experience in a complex, capital intensive and logistics business</w:t>
      </w:r>
    </w:p>
    <w:p>
      <w:pPr>
        <w:spacing w:after="0" w:line="36" w:lineRule="exact"/>
        <w:rPr>
          <w:rFonts w:ascii="Arial" w:cs="Arial" w:eastAsia="Arial" w:hAnsi="Arial"/>
          <w:sz w:val="16"/>
          <w:szCs w:val="16"/>
          <w:color w:val="007CBA"/>
        </w:rPr>
      </w:pPr>
    </w:p>
    <w:p>
      <w:pPr>
        <w:ind w:left="260" w:right="360" w:hanging="171"/>
        <w:spacing w:after="0" w:line="261" w:lineRule="auto"/>
        <w:tabs>
          <w:tab w:leader="none" w:pos="227" w:val="left"/>
        </w:tabs>
        <w:numPr>
          <w:ilvl w:val="0"/>
          <w:numId w:val="20"/>
        </w:numPr>
        <w:rPr>
          <w:rFonts w:ascii="Arial" w:cs="Arial" w:eastAsia="Arial" w:hAnsi="Arial"/>
          <w:sz w:val="16"/>
          <w:szCs w:val="16"/>
          <w:color w:val="007CBA"/>
        </w:rPr>
      </w:pPr>
      <w:r>
        <w:rPr>
          <w:rFonts w:ascii="Arial" w:cs="Arial" w:eastAsia="Arial" w:hAnsi="Arial"/>
          <w:sz w:val="16"/>
          <w:szCs w:val="16"/>
          <w:color w:val="auto"/>
        </w:rPr>
        <w:t>Extensive experience in mergers and acquisitions, integration, and strategic development and analysis</w:t>
      </w:r>
    </w:p>
    <w:p>
      <w:pPr>
        <w:spacing w:after="0" w:line="36" w:lineRule="exact"/>
        <w:rPr>
          <w:rFonts w:ascii="Arial" w:cs="Arial" w:eastAsia="Arial" w:hAnsi="Arial"/>
          <w:sz w:val="16"/>
          <w:szCs w:val="16"/>
          <w:color w:val="007CBA"/>
        </w:rPr>
      </w:pPr>
    </w:p>
    <w:p>
      <w:pPr>
        <w:jc w:val="both"/>
        <w:ind w:left="260" w:right="180" w:hanging="171"/>
        <w:spacing w:after="0" w:line="269" w:lineRule="auto"/>
        <w:tabs>
          <w:tab w:leader="none" w:pos="227" w:val="left"/>
        </w:tabs>
        <w:numPr>
          <w:ilvl w:val="0"/>
          <w:numId w:val="20"/>
        </w:numPr>
        <w:rPr>
          <w:rFonts w:ascii="Arial" w:cs="Arial" w:eastAsia="Arial" w:hAnsi="Arial"/>
          <w:sz w:val="16"/>
          <w:szCs w:val="16"/>
          <w:color w:val="007CBA"/>
        </w:rPr>
      </w:pPr>
      <w:r>
        <w:rPr>
          <w:rFonts w:ascii="Arial" w:cs="Arial" w:eastAsia="Arial" w:hAnsi="Arial"/>
          <w:sz w:val="16"/>
          <w:szCs w:val="16"/>
          <w:color w:val="auto"/>
        </w:rPr>
        <w:t>Valuable experience from his membership on two publicly-traded board of directors</w:t>
      </w:r>
    </w:p>
    <w:p>
      <w:pPr>
        <w:spacing w:after="0" w:line="1228" w:lineRule="exact"/>
        <w:rPr>
          <w:sz w:val="20"/>
          <w:szCs w:val="20"/>
          <w:color w:val="auto"/>
        </w:rPr>
      </w:pPr>
    </w:p>
    <w:p>
      <w:pPr>
        <w:sectPr>
          <w:pgSz w:w="11900" w:h="16838" w:orient="portrait"/>
          <w:cols w:equalWidth="0" w:num="3">
            <w:col w:w="2540" w:space="320"/>
            <w:col w:w="5740" w:space="100"/>
            <w:col w:w="2500"/>
          </w:cols>
          <w:pgMar w:left="240" w:top="455" w:right="459" w:bottom="1440" w:gutter="0" w:footer="0" w:header="0"/>
          <w:type w:val="continuous"/>
        </w:sectPr>
      </w:pPr>
    </w:p>
    <w:p>
      <w:pPr>
        <w:ind w:left="640" w:hanging="436"/>
        <w:spacing w:after="0"/>
        <w:tabs>
          <w:tab w:leader="none" w:pos="640" w:val="left"/>
        </w:tabs>
        <w:numPr>
          <w:ilvl w:val="0"/>
          <w:numId w:val="21"/>
        </w:numPr>
        <w:rPr>
          <w:rFonts w:ascii="Arial" w:cs="Arial" w:eastAsia="Arial" w:hAnsi="Arial"/>
          <w:sz w:val="12"/>
          <w:szCs w:val="12"/>
          <w:b w:val="1"/>
          <w:bCs w:val="1"/>
          <w:color w:val="auto"/>
        </w:rPr>
      </w:pPr>
      <w:r>
        <w:rPr>
          <w:rFonts w:ascii="Arial" w:cs="Arial" w:eastAsia="Arial" w:hAnsi="Arial"/>
          <w:sz w:val="12"/>
          <w:szCs w:val="12"/>
          <w:color w:val="007CBA"/>
        </w:rPr>
        <w:t>2018 PROXY STATEMENT</w:t>
      </w:r>
    </w:p>
    <w:p>
      <w:pPr>
        <w:sectPr>
          <w:pgSz w:w="11900" w:h="16838" w:orient="portrait"/>
          <w:cols w:equalWidth="0" w:num="1">
            <w:col w:w="11200"/>
          </w:cols>
          <w:pgMar w:left="240" w:top="455" w:right="459" w:bottom="1440" w:gutter="0" w:footer="0" w:header="0"/>
          <w:type w:val="continuous"/>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491490</wp:posOffset>
            </wp:positionV>
            <wp:extent cx="1123315" cy="14579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23315" cy="1457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0"/>
        <w:spacing w:after="0" w:line="322" w:lineRule="exact"/>
        <w:rPr>
          <w:sz w:val="20"/>
          <w:szCs w:val="20"/>
          <w:color w:val="auto"/>
        </w:rPr>
      </w:pPr>
      <w:r>
        <w:rPr>
          <w:rFonts w:ascii="MS PGothic" w:cs="MS PGothic" w:eastAsia="MS PGothic" w:hAnsi="MS PGothic"/>
          <w:sz w:val="28"/>
          <w:szCs w:val="28"/>
          <w:color w:val="007CBA"/>
        </w:rPr>
        <w:t>◆</w:t>
      </w:r>
      <w:r>
        <w:rPr>
          <w:rFonts w:ascii="Arial" w:cs="Arial" w:eastAsia="Arial" w:hAnsi="Arial"/>
          <w:sz w:val="22"/>
          <w:szCs w:val="22"/>
          <w:b w:val="1"/>
          <w:bCs w:val="1"/>
          <w:color w:val="007CBA"/>
        </w:rPr>
        <w:t>STEPHEN P.</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007CBA"/>
        </w:rPr>
        <w:t>ZELNAK, JR.</w:t>
      </w:r>
    </w:p>
    <w:p>
      <w:pPr>
        <w:ind w:left="3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1993</w:t>
      </w:r>
    </w:p>
    <w:p>
      <w:pPr>
        <w:spacing w:after="0" w:line="64"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73</w:t>
      </w:r>
    </w:p>
    <w:p>
      <w:pPr>
        <w:spacing w:after="0" w:line="88" w:lineRule="exact"/>
        <w:rPr>
          <w:sz w:val="20"/>
          <w:szCs w:val="20"/>
          <w:color w:val="auto"/>
        </w:rPr>
      </w:pPr>
    </w:p>
    <w:p>
      <w:pPr>
        <w:ind w:left="320"/>
        <w:spacing w:after="0" w:line="261" w:lineRule="auto"/>
        <w:rPr>
          <w:sz w:val="20"/>
          <w:szCs w:val="20"/>
          <w:color w:val="auto"/>
        </w:rPr>
      </w:pPr>
      <w:r>
        <w:rPr>
          <w:rFonts w:ascii="Arial" w:cs="Arial" w:eastAsia="Arial" w:hAnsi="Arial"/>
          <w:sz w:val="16"/>
          <w:szCs w:val="16"/>
          <w:color w:val="auto"/>
        </w:rPr>
        <w:t>Chair of the Finance Committee and Member of the Ethics, Environment, Safety and Health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1" w:lineRule="exact"/>
        <w:rPr>
          <w:sz w:val="20"/>
          <w:szCs w:val="20"/>
          <w:color w:val="auto"/>
        </w:rPr>
      </w:pPr>
    </w:p>
    <w:p>
      <w:pPr>
        <w:jc w:val="right"/>
        <w:spacing w:after="0" w:line="288" w:lineRule="exact"/>
        <w:rPr>
          <w:sz w:val="20"/>
          <w:szCs w:val="20"/>
          <w:color w:val="auto"/>
        </w:rPr>
      </w:pPr>
      <w:r>
        <w:rPr>
          <w:rFonts w:ascii="Arial" w:cs="Arial" w:eastAsia="Arial" w:hAnsi="Arial"/>
          <w:sz w:val="14"/>
          <w:szCs w:val="14"/>
          <w:color w:val="auto"/>
        </w:rPr>
        <w:t xml:space="preserve">Director Nominees </w:t>
      </w:r>
      <w:r>
        <w:rPr>
          <w:rFonts w:ascii="MS PGothic" w:cs="MS PGothic" w:eastAsia="MS PGothic" w:hAnsi="MS PGothic"/>
          <w:sz w:val="25"/>
          <w:szCs w:val="25"/>
          <w:color w:val="007CBA"/>
        </w:rPr>
        <w:t>◆</w:t>
      </w:r>
      <w:r>
        <w:rPr>
          <w:rFonts w:ascii="Arial" w:cs="Arial" w:eastAsia="Arial" w:hAnsi="Arial"/>
          <w:sz w:val="14"/>
          <w:szCs w:val="14"/>
          <w:color w:val="auto"/>
        </w:rPr>
        <w:t xml:space="preserve"> </w:t>
      </w:r>
      <w:r>
        <w:rPr>
          <w:rFonts w:ascii="Arial" w:cs="Arial" w:eastAsia="Arial" w:hAnsi="Arial"/>
          <w:sz w:val="14"/>
          <w:szCs w:val="14"/>
          <w:color w:val="007CBA"/>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-681355</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80" w:type="dxa"/>
            <w:vAlign w:val="bottom"/>
          </w:tcPr>
          <w:p>
            <w:pPr>
              <w:spacing w:after="0"/>
              <w:rPr>
                <w:sz w:val="20"/>
                <w:szCs w:val="20"/>
                <w:color w:val="auto"/>
              </w:rPr>
            </w:pPr>
            <w:r>
              <w:rPr>
                <w:rFonts w:ascii="Arial" w:cs="Arial" w:eastAsia="Arial" w:hAnsi="Arial"/>
                <w:sz w:val="16"/>
                <w:szCs w:val="16"/>
                <w:color w:val="auto"/>
              </w:rPr>
              <w:t>Mr. Zelnak currently serves as Chairman of the Board of Beazer Homes USA,</w:t>
            </w:r>
          </w:p>
        </w:tc>
        <w:tc>
          <w:tcPr>
            <w:tcW w:w="2580" w:type="dxa"/>
            <w:vAlign w:val="bottom"/>
            <w:gridSpan w:val="2"/>
          </w:tcPr>
          <w:p>
            <w:pPr>
              <w:ind w:left="60"/>
              <w:spacing w:after="0"/>
              <w:rPr>
                <w:sz w:val="20"/>
                <w:szCs w:val="20"/>
                <w:color w:val="auto"/>
              </w:rPr>
            </w:pPr>
            <w:r>
              <w:rPr>
                <w:rFonts w:ascii="Arial" w:cs="Arial" w:eastAsia="Arial" w:hAnsi="Arial"/>
                <w:sz w:val="16"/>
                <w:szCs w:val="16"/>
                <w:b w:val="1"/>
                <w:bCs w:val="1"/>
                <w:i w:val="1"/>
                <w:iCs w:val="1"/>
                <w:color w:val="007CBA"/>
              </w:rPr>
              <w:t>Key attributes, experience and</w:t>
            </w:r>
          </w:p>
        </w:tc>
        <w:tc>
          <w:tcPr>
            <w:tcW w:w="0" w:type="dxa"/>
            <w:vAlign w:val="bottom"/>
          </w:tcPr>
          <w:p>
            <w:pPr>
              <w:spacing w:after="0"/>
              <w:rPr>
                <w:sz w:val="1"/>
                <w:szCs w:val="1"/>
                <w:color w:val="auto"/>
              </w:rPr>
            </w:pPr>
          </w:p>
        </w:tc>
      </w:tr>
      <w:tr>
        <w:trPr>
          <w:trHeight w:val="189"/>
        </w:trPr>
        <w:tc>
          <w:tcPr>
            <w:tcW w:w="5780" w:type="dxa"/>
            <w:vAlign w:val="bottom"/>
          </w:tcPr>
          <w:p>
            <w:pPr>
              <w:spacing w:after="0"/>
              <w:rPr>
                <w:sz w:val="20"/>
                <w:szCs w:val="20"/>
                <w:color w:val="auto"/>
              </w:rPr>
            </w:pPr>
            <w:r>
              <w:rPr>
                <w:rFonts w:ascii="Arial" w:cs="Arial" w:eastAsia="Arial" w:hAnsi="Arial"/>
                <w:sz w:val="16"/>
                <w:szCs w:val="16"/>
                <w:color w:val="auto"/>
              </w:rPr>
              <w:t>Inc., a geographically diversified homebuilder with active operations in 13 states</w:t>
            </w:r>
          </w:p>
        </w:tc>
        <w:tc>
          <w:tcPr>
            <w:tcW w:w="2580" w:type="dxa"/>
            <w:vAlign w:val="bottom"/>
            <w:gridSpan w:val="2"/>
          </w:tcPr>
          <w:p>
            <w:pPr>
              <w:ind w:left="60"/>
              <w:spacing w:after="0"/>
              <w:rPr>
                <w:sz w:val="20"/>
                <w:szCs w:val="20"/>
                <w:color w:val="auto"/>
              </w:rPr>
            </w:pPr>
            <w:r>
              <w:rPr>
                <w:rFonts w:ascii="Arial" w:cs="Arial" w:eastAsia="Arial" w:hAnsi="Arial"/>
                <w:sz w:val="16"/>
                <w:szCs w:val="16"/>
                <w:b w:val="1"/>
                <w:bCs w:val="1"/>
                <w:i w:val="1"/>
                <w:iCs w:val="1"/>
                <w:color w:val="007CBA"/>
              </w:rPr>
              <w:t>skills:</w:t>
            </w:r>
          </w:p>
        </w:tc>
        <w:tc>
          <w:tcPr>
            <w:tcW w:w="0" w:type="dxa"/>
            <w:vAlign w:val="bottom"/>
          </w:tcPr>
          <w:p>
            <w:pPr>
              <w:spacing w:after="0"/>
              <w:rPr>
                <w:sz w:val="1"/>
                <w:szCs w:val="1"/>
                <w:color w:val="auto"/>
              </w:rPr>
            </w:pPr>
          </w:p>
        </w:tc>
      </w:tr>
      <w:tr>
        <w:trPr>
          <w:trHeight w:val="189"/>
        </w:trPr>
        <w:tc>
          <w:tcPr>
            <w:tcW w:w="5780" w:type="dxa"/>
            <w:vAlign w:val="bottom"/>
          </w:tcPr>
          <w:p>
            <w:pPr>
              <w:spacing w:after="0"/>
              <w:rPr>
                <w:sz w:val="20"/>
                <w:szCs w:val="20"/>
                <w:color w:val="auto"/>
              </w:rPr>
            </w:pPr>
            <w:r>
              <w:rPr>
                <w:rFonts w:ascii="Arial" w:cs="Arial" w:eastAsia="Arial" w:hAnsi="Arial"/>
                <w:sz w:val="16"/>
                <w:szCs w:val="16"/>
                <w:color w:val="auto"/>
              </w:rPr>
              <w:t>within three geographic regions in the United States. He previously served as</w:t>
            </w:r>
          </w:p>
        </w:tc>
        <w:tc>
          <w:tcPr>
            <w:tcW w:w="2580" w:type="dxa"/>
            <w:vAlign w:val="bottom"/>
            <w:gridSpan w:val="2"/>
            <w:vMerge w:val="restart"/>
          </w:tcPr>
          <w:p>
            <w:pPr>
              <w:ind w:left="140"/>
              <w:spacing w:after="0"/>
              <w:rPr>
                <w:sz w:val="20"/>
                <w:szCs w:val="20"/>
                <w:color w:val="auto"/>
              </w:rPr>
            </w:pPr>
            <w:r>
              <w:rPr>
                <w:rFonts w:ascii="Arial" w:cs="Arial" w:eastAsia="Arial" w:hAnsi="Arial"/>
                <w:sz w:val="16"/>
                <w:szCs w:val="16"/>
                <w:color w:val="007CBA"/>
              </w:rPr>
              <w:t xml:space="preserve">• </w:t>
            </w:r>
            <w:r>
              <w:rPr>
                <w:rFonts w:ascii="Arial" w:cs="Arial" w:eastAsia="Arial" w:hAnsi="Arial"/>
                <w:sz w:val="16"/>
                <w:szCs w:val="16"/>
                <w:color w:val="000000"/>
              </w:rPr>
              <w:t>Former Chairman and CEO of</w:t>
            </w:r>
          </w:p>
        </w:tc>
        <w:tc>
          <w:tcPr>
            <w:tcW w:w="0" w:type="dxa"/>
            <w:vAlign w:val="bottom"/>
          </w:tcPr>
          <w:p>
            <w:pPr>
              <w:spacing w:after="0"/>
              <w:rPr>
                <w:sz w:val="1"/>
                <w:szCs w:val="1"/>
                <w:color w:val="auto"/>
              </w:rPr>
            </w:pPr>
          </w:p>
        </w:tc>
      </w:tr>
      <w:tr>
        <w:trPr>
          <w:trHeight w:val="81"/>
        </w:trPr>
        <w:tc>
          <w:tcPr>
            <w:tcW w:w="5780" w:type="dxa"/>
            <w:vAlign w:val="bottom"/>
            <w:vMerge w:val="restart"/>
          </w:tcPr>
          <w:p>
            <w:pPr>
              <w:spacing w:after="0"/>
              <w:rPr>
                <w:sz w:val="20"/>
                <w:szCs w:val="20"/>
                <w:color w:val="auto"/>
              </w:rPr>
            </w:pPr>
            <w:r>
              <w:rPr>
                <w:rFonts w:ascii="Arial" w:cs="Arial" w:eastAsia="Arial" w:hAnsi="Arial"/>
                <w:sz w:val="16"/>
                <w:szCs w:val="16"/>
                <w:color w:val="auto"/>
              </w:rPr>
              <w:t>Chief Executive Officer of Martin Marietta from 1993 to 2009, President from</w:t>
            </w:r>
          </w:p>
        </w:tc>
        <w:tc>
          <w:tcPr>
            <w:tcW w:w="25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57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320" w:type="dxa"/>
            <w:vAlign w:val="bottom"/>
            <w:vMerge w:val="restart"/>
          </w:tcPr>
          <w:p>
            <w:pPr>
              <w:ind w:left="60"/>
              <w:spacing w:after="0"/>
              <w:rPr>
                <w:sz w:val="20"/>
                <w:szCs w:val="20"/>
                <w:color w:val="auto"/>
              </w:rPr>
            </w:pPr>
            <w:r>
              <w:rPr>
                <w:rFonts w:ascii="Arial" w:cs="Arial" w:eastAsia="Arial" w:hAnsi="Arial"/>
                <w:sz w:val="16"/>
                <w:szCs w:val="16"/>
                <w:color w:val="auto"/>
              </w:rPr>
              <w:t>Martin Marietta</w:t>
            </w:r>
          </w:p>
        </w:tc>
        <w:tc>
          <w:tcPr>
            <w:tcW w:w="0" w:type="dxa"/>
            <w:vAlign w:val="bottom"/>
          </w:tcPr>
          <w:p>
            <w:pPr>
              <w:spacing w:after="0"/>
              <w:rPr>
                <w:sz w:val="1"/>
                <w:szCs w:val="1"/>
                <w:color w:val="auto"/>
              </w:rPr>
            </w:pPr>
          </w:p>
        </w:tc>
      </w:tr>
      <w:tr>
        <w:trPr>
          <w:trHeight w:val="111"/>
        </w:trPr>
        <w:tc>
          <w:tcPr>
            <w:tcW w:w="5780" w:type="dxa"/>
            <w:vAlign w:val="bottom"/>
            <w:vMerge w:val="restart"/>
          </w:tcPr>
          <w:p>
            <w:pPr>
              <w:spacing w:after="0"/>
              <w:rPr>
                <w:sz w:val="20"/>
                <w:szCs w:val="20"/>
                <w:color w:val="auto"/>
              </w:rPr>
            </w:pPr>
            <w:r>
              <w:rPr>
                <w:rFonts w:ascii="Arial" w:cs="Arial" w:eastAsia="Arial" w:hAnsi="Arial"/>
                <w:sz w:val="16"/>
                <w:szCs w:val="16"/>
                <w:color w:val="auto"/>
              </w:rPr>
              <w:t>1993 to 2006, Chairman of the Board from 1997 through 2009, Executive</w:t>
            </w:r>
          </w:p>
        </w:tc>
        <w:tc>
          <w:tcPr>
            <w:tcW w:w="260" w:type="dxa"/>
            <w:vAlign w:val="bottom"/>
          </w:tcPr>
          <w:p>
            <w:pPr>
              <w:spacing w:after="0"/>
              <w:rPr>
                <w:sz w:val="9"/>
                <w:szCs w:val="9"/>
                <w:color w:val="auto"/>
              </w:rPr>
            </w:pPr>
          </w:p>
        </w:tc>
        <w:tc>
          <w:tcPr>
            <w:tcW w:w="2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5780" w:type="dxa"/>
            <w:vAlign w:val="bottom"/>
            <w:vMerge w:val="continue"/>
          </w:tcPr>
          <w:p>
            <w:pPr>
              <w:spacing w:after="0"/>
              <w:rPr>
                <w:sz w:val="6"/>
                <w:szCs w:val="6"/>
                <w:color w:val="auto"/>
              </w:rPr>
            </w:pPr>
          </w:p>
        </w:tc>
        <w:tc>
          <w:tcPr>
            <w:tcW w:w="2580" w:type="dxa"/>
            <w:vAlign w:val="bottom"/>
            <w:gridSpan w:val="2"/>
            <w:vMerge w:val="restart"/>
          </w:tcPr>
          <w:p>
            <w:pPr>
              <w:ind w:left="140"/>
              <w:spacing w:after="0"/>
              <w:rPr>
                <w:sz w:val="20"/>
                <w:szCs w:val="20"/>
                <w:color w:val="auto"/>
              </w:rPr>
            </w:pPr>
            <w:r>
              <w:rPr>
                <w:rFonts w:ascii="Arial" w:cs="Arial" w:eastAsia="Arial" w:hAnsi="Arial"/>
                <w:sz w:val="16"/>
                <w:szCs w:val="16"/>
                <w:color w:val="007CBA"/>
              </w:rPr>
              <w:t xml:space="preserve">• </w:t>
            </w:r>
            <w:r>
              <w:rPr>
                <w:rFonts w:ascii="Arial" w:cs="Arial" w:eastAsia="Arial" w:hAnsi="Arial"/>
                <w:sz w:val="16"/>
                <w:szCs w:val="16"/>
                <w:color w:val="000000"/>
              </w:rPr>
              <w:t>Extensive mentorship, business</w:t>
            </w:r>
          </w:p>
        </w:tc>
        <w:tc>
          <w:tcPr>
            <w:tcW w:w="0" w:type="dxa"/>
            <w:vAlign w:val="bottom"/>
          </w:tcPr>
          <w:p>
            <w:pPr>
              <w:spacing w:after="0"/>
              <w:rPr>
                <w:sz w:val="1"/>
                <w:szCs w:val="1"/>
                <w:color w:val="auto"/>
              </w:rPr>
            </w:pPr>
          </w:p>
        </w:tc>
      </w:tr>
      <w:tr>
        <w:trPr>
          <w:trHeight w:val="167"/>
        </w:trPr>
        <w:tc>
          <w:tcPr>
            <w:tcW w:w="5780" w:type="dxa"/>
            <w:vAlign w:val="bottom"/>
          </w:tcPr>
          <w:p>
            <w:pPr>
              <w:spacing w:after="0" w:line="167" w:lineRule="exact"/>
              <w:rPr>
                <w:sz w:val="20"/>
                <w:szCs w:val="20"/>
                <w:color w:val="auto"/>
              </w:rPr>
            </w:pPr>
            <w:r>
              <w:rPr>
                <w:rFonts w:ascii="Arial" w:cs="Arial" w:eastAsia="Arial" w:hAnsi="Arial"/>
                <w:sz w:val="16"/>
                <w:szCs w:val="16"/>
                <w:color w:val="auto"/>
              </w:rPr>
              <w:t>Chairman from January 2010 to May 2010, and non-Executive Chairman from</w:t>
            </w:r>
          </w:p>
        </w:tc>
        <w:tc>
          <w:tcPr>
            <w:tcW w:w="2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5780" w:type="dxa"/>
            <w:vAlign w:val="bottom"/>
          </w:tcPr>
          <w:p>
            <w:pPr>
              <w:spacing w:after="0"/>
              <w:rPr>
                <w:sz w:val="20"/>
                <w:szCs w:val="20"/>
                <w:color w:val="auto"/>
              </w:rPr>
            </w:pPr>
            <w:r>
              <w:rPr>
                <w:rFonts w:ascii="Arial" w:cs="Arial" w:eastAsia="Arial" w:hAnsi="Arial"/>
                <w:sz w:val="16"/>
                <w:szCs w:val="16"/>
                <w:color w:val="auto"/>
              </w:rPr>
              <w:t>May 2010 until May 2014. Mr. Zelnak joined Martin Marietta Corporation in</w:t>
            </w:r>
          </w:p>
        </w:tc>
        <w:tc>
          <w:tcPr>
            <w:tcW w:w="260" w:type="dxa"/>
            <w:vAlign w:val="bottom"/>
          </w:tcPr>
          <w:p>
            <w:pPr>
              <w:spacing w:after="0"/>
              <w:rPr>
                <w:sz w:val="18"/>
                <w:szCs w:val="18"/>
                <w:color w:val="auto"/>
              </w:rPr>
            </w:pPr>
          </w:p>
        </w:tc>
        <w:tc>
          <w:tcPr>
            <w:tcW w:w="2320" w:type="dxa"/>
            <w:vAlign w:val="bottom"/>
          </w:tcPr>
          <w:p>
            <w:pPr>
              <w:ind w:left="60"/>
              <w:spacing w:after="0"/>
              <w:rPr>
                <w:sz w:val="20"/>
                <w:szCs w:val="20"/>
                <w:color w:val="auto"/>
              </w:rPr>
            </w:pPr>
            <w:r>
              <w:rPr>
                <w:rFonts w:ascii="Arial" w:cs="Arial" w:eastAsia="Arial" w:hAnsi="Arial"/>
                <w:sz w:val="16"/>
                <w:szCs w:val="16"/>
                <w:color w:val="auto"/>
              </w:rPr>
              <w:t>and operating experience</w:t>
            </w:r>
          </w:p>
        </w:tc>
        <w:tc>
          <w:tcPr>
            <w:tcW w:w="0" w:type="dxa"/>
            <w:vAlign w:val="bottom"/>
          </w:tcPr>
          <w:p>
            <w:pPr>
              <w:spacing w:after="0"/>
              <w:rPr>
                <w:sz w:val="1"/>
                <w:szCs w:val="1"/>
                <w:color w:val="auto"/>
              </w:rPr>
            </w:pPr>
          </w:p>
        </w:tc>
      </w:tr>
      <w:tr>
        <w:trPr>
          <w:trHeight w:val="221"/>
        </w:trPr>
        <w:tc>
          <w:tcPr>
            <w:tcW w:w="5780" w:type="dxa"/>
            <w:vAlign w:val="bottom"/>
          </w:tcPr>
          <w:p>
            <w:pPr>
              <w:spacing w:after="0"/>
              <w:rPr>
                <w:sz w:val="20"/>
                <w:szCs w:val="20"/>
                <w:color w:val="auto"/>
              </w:rPr>
            </w:pPr>
            <w:r>
              <w:rPr>
                <w:rFonts w:ascii="Arial" w:cs="Arial" w:eastAsia="Arial" w:hAnsi="Arial"/>
                <w:sz w:val="16"/>
                <w:szCs w:val="16"/>
                <w:color w:val="auto"/>
              </w:rPr>
              <w:t>1981 and was responsible for the aggregates operations since 1982. Mr. Zelnak</w:t>
            </w:r>
          </w:p>
        </w:tc>
        <w:tc>
          <w:tcPr>
            <w:tcW w:w="260" w:type="dxa"/>
            <w:vAlign w:val="bottom"/>
          </w:tcPr>
          <w:p>
            <w:pPr>
              <w:ind w:left="140"/>
              <w:spacing w:after="0"/>
              <w:rPr>
                <w:sz w:val="20"/>
                <w:szCs w:val="20"/>
                <w:color w:val="auto"/>
              </w:rPr>
            </w:pPr>
            <w:r>
              <w:rPr>
                <w:rFonts w:ascii="Arial" w:cs="Arial" w:eastAsia="Arial" w:hAnsi="Arial"/>
                <w:sz w:val="16"/>
                <w:szCs w:val="16"/>
                <w:color w:val="007CBA"/>
              </w:rPr>
              <w:t>•</w:t>
            </w:r>
          </w:p>
        </w:tc>
        <w:tc>
          <w:tcPr>
            <w:tcW w:w="2320" w:type="dxa"/>
            <w:vAlign w:val="bottom"/>
          </w:tcPr>
          <w:p>
            <w:pPr>
              <w:ind w:left="40"/>
              <w:spacing w:after="0"/>
              <w:rPr>
                <w:sz w:val="20"/>
                <w:szCs w:val="20"/>
                <w:color w:val="auto"/>
              </w:rPr>
            </w:pPr>
            <w:r>
              <w:rPr>
                <w:rFonts w:ascii="Arial" w:cs="Arial" w:eastAsia="Arial" w:hAnsi="Arial"/>
                <w:sz w:val="16"/>
                <w:szCs w:val="16"/>
                <w:color w:val="auto"/>
              </w:rPr>
              <w:t>Knowledge of all aspects of</w:t>
            </w:r>
          </w:p>
        </w:tc>
        <w:tc>
          <w:tcPr>
            <w:tcW w:w="0" w:type="dxa"/>
            <w:vAlign w:val="bottom"/>
          </w:tcPr>
          <w:p>
            <w:pPr>
              <w:spacing w:after="0"/>
              <w:rPr>
                <w:sz w:val="1"/>
                <w:szCs w:val="1"/>
                <w:color w:val="auto"/>
              </w:rPr>
            </w:pPr>
          </w:p>
        </w:tc>
      </w:tr>
      <w:tr>
        <w:trPr>
          <w:trHeight w:val="189"/>
        </w:trPr>
        <w:tc>
          <w:tcPr>
            <w:tcW w:w="5780" w:type="dxa"/>
            <w:vAlign w:val="bottom"/>
          </w:tcPr>
          <w:p>
            <w:pPr>
              <w:spacing w:after="0"/>
              <w:rPr>
                <w:sz w:val="20"/>
                <w:szCs w:val="20"/>
                <w:color w:val="auto"/>
              </w:rPr>
            </w:pPr>
            <w:r>
              <w:rPr>
                <w:rFonts w:ascii="Arial" w:cs="Arial" w:eastAsia="Arial" w:hAnsi="Arial"/>
                <w:sz w:val="16"/>
                <w:szCs w:val="16"/>
                <w:color w:val="auto"/>
              </w:rPr>
              <w:t>is  also  Chairman  and  majority  owner  of  ZP  Enterprises,  LLC,  a  private</w:t>
            </w:r>
          </w:p>
        </w:tc>
        <w:tc>
          <w:tcPr>
            <w:tcW w:w="260" w:type="dxa"/>
            <w:vAlign w:val="bottom"/>
          </w:tcPr>
          <w:p>
            <w:pPr>
              <w:spacing w:after="0"/>
              <w:rPr>
                <w:sz w:val="16"/>
                <w:szCs w:val="16"/>
                <w:color w:val="auto"/>
              </w:rPr>
            </w:pPr>
          </w:p>
        </w:tc>
        <w:tc>
          <w:tcPr>
            <w:tcW w:w="2320" w:type="dxa"/>
            <w:vAlign w:val="bottom"/>
          </w:tcPr>
          <w:p>
            <w:pPr>
              <w:ind w:left="60"/>
              <w:spacing w:after="0"/>
              <w:rPr>
                <w:sz w:val="20"/>
                <w:szCs w:val="20"/>
                <w:color w:val="auto"/>
              </w:rPr>
            </w:pPr>
            <w:r>
              <w:rPr>
                <w:rFonts w:ascii="Arial" w:cs="Arial" w:eastAsia="Arial" w:hAnsi="Arial"/>
                <w:sz w:val="16"/>
                <w:szCs w:val="16"/>
                <w:color w:val="auto"/>
              </w:rPr>
              <w:t>Martin Marietta and the</w:t>
            </w:r>
          </w:p>
        </w:tc>
        <w:tc>
          <w:tcPr>
            <w:tcW w:w="0" w:type="dxa"/>
            <w:vAlign w:val="bottom"/>
          </w:tcPr>
          <w:p>
            <w:pPr>
              <w:spacing w:after="0"/>
              <w:rPr>
                <w:sz w:val="1"/>
                <w:szCs w:val="1"/>
                <w:color w:val="auto"/>
              </w:rPr>
            </w:pPr>
          </w:p>
        </w:tc>
      </w:tr>
      <w:tr>
        <w:trPr>
          <w:trHeight w:val="189"/>
        </w:trPr>
        <w:tc>
          <w:tcPr>
            <w:tcW w:w="5780" w:type="dxa"/>
            <w:vAlign w:val="bottom"/>
          </w:tcPr>
          <w:p>
            <w:pPr>
              <w:spacing w:after="0"/>
              <w:rPr>
                <w:sz w:val="20"/>
                <w:szCs w:val="20"/>
                <w:color w:val="auto"/>
              </w:rPr>
            </w:pPr>
            <w:r>
              <w:rPr>
                <w:rFonts w:ascii="Arial" w:cs="Arial" w:eastAsia="Arial" w:hAnsi="Arial"/>
                <w:sz w:val="16"/>
                <w:szCs w:val="16"/>
                <w:color w:val="auto"/>
              </w:rPr>
              <w:t>investment firm. In addition to community and charitable organizations, Mr.</w:t>
            </w:r>
          </w:p>
        </w:tc>
        <w:tc>
          <w:tcPr>
            <w:tcW w:w="260" w:type="dxa"/>
            <w:vAlign w:val="bottom"/>
          </w:tcPr>
          <w:p>
            <w:pPr>
              <w:spacing w:after="0"/>
              <w:rPr>
                <w:sz w:val="16"/>
                <w:szCs w:val="16"/>
                <w:color w:val="auto"/>
              </w:rPr>
            </w:pPr>
          </w:p>
        </w:tc>
        <w:tc>
          <w:tcPr>
            <w:tcW w:w="2320" w:type="dxa"/>
            <w:vAlign w:val="bottom"/>
          </w:tcPr>
          <w:p>
            <w:pPr>
              <w:ind w:left="60"/>
              <w:spacing w:after="0"/>
              <w:rPr>
                <w:sz w:val="20"/>
                <w:szCs w:val="20"/>
                <w:color w:val="auto"/>
              </w:rPr>
            </w:pPr>
            <w:r>
              <w:rPr>
                <w:rFonts w:ascii="Arial" w:cs="Arial" w:eastAsia="Arial" w:hAnsi="Arial"/>
                <w:sz w:val="16"/>
                <w:szCs w:val="16"/>
                <w:color w:val="auto"/>
              </w:rPr>
              <w:t>construction aggregates</w:t>
            </w:r>
          </w:p>
        </w:tc>
        <w:tc>
          <w:tcPr>
            <w:tcW w:w="0" w:type="dxa"/>
            <w:vAlign w:val="bottom"/>
          </w:tcPr>
          <w:p>
            <w:pPr>
              <w:spacing w:after="0"/>
              <w:rPr>
                <w:sz w:val="1"/>
                <w:szCs w:val="1"/>
                <w:color w:val="auto"/>
              </w:rPr>
            </w:pPr>
          </w:p>
        </w:tc>
      </w:tr>
      <w:tr>
        <w:trPr>
          <w:trHeight w:val="189"/>
        </w:trPr>
        <w:tc>
          <w:tcPr>
            <w:tcW w:w="5780" w:type="dxa"/>
            <w:vAlign w:val="bottom"/>
          </w:tcPr>
          <w:p>
            <w:pPr>
              <w:spacing w:after="0"/>
              <w:rPr>
                <w:sz w:val="20"/>
                <w:szCs w:val="20"/>
                <w:color w:val="auto"/>
              </w:rPr>
            </w:pPr>
            <w:r>
              <w:rPr>
                <w:rFonts w:ascii="Arial" w:cs="Arial" w:eastAsia="Arial" w:hAnsi="Arial"/>
                <w:sz w:val="16"/>
                <w:szCs w:val="16"/>
                <w:color w:val="auto"/>
              </w:rPr>
              <w:t>Zelnak has served as Chairman of the North Carolina Chamber and the</w:t>
            </w:r>
          </w:p>
        </w:tc>
        <w:tc>
          <w:tcPr>
            <w:tcW w:w="260" w:type="dxa"/>
            <w:vAlign w:val="bottom"/>
          </w:tcPr>
          <w:p>
            <w:pPr>
              <w:spacing w:after="0"/>
              <w:rPr>
                <w:sz w:val="16"/>
                <w:szCs w:val="16"/>
                <w:color w:val="auto"/>
              </w:rPr>
            </w:pPr>
          </w:p>
        </w:tc>
        <w:tc>
          <w:tcPr>
            <w:tcW w:w="2320" w:type="dxa"/>
            <w:vAlign w:val="bottom"/>
          </w:tcPr>
          <w:p>
            <w:pPr>
              <w:ind w:left="60"/>
              <w:spacing w:after="0"/>
              <w:rPr>
                <w:sz w:val="20"/>
                <w:szCs w:val="20"/>
                <w:color w:val="auto"/>
              </w:rPr>
            </w:pPr>
            <w:r>
              <w:rPr>
                <w:rFonts w:ascii="Arial" w:cs="Arial" w:eastAsia="Arial" w:hAnsi="Arial"/>
                <w:sz w:val="16"/>
                <w:szCs w:val="16"/>
                <w:color w:val="auto"/>
              </w:rPr>
              <w:t>industry</w:t>
            </w:r>
          </w:p>
        </w:tc>
        <w:tc>
          <w:tcPr>
            <w:tcW w:w="0" w:type="dxa"/>
            <w:vAlign w:val="bottom"/>
          </w:tcPr>
          <w:p>
            <w:pPr>
              <w:spacing w:after="0"/>
              <w:rPr>
                <w:sz w:val="1"/>
                <w:szCs w:val="1"/>
                <w:color w:val="auto"/>
              </w:rPr>
            </w:pPr>
          </w:p>
        </w:tc>
      </w:tr>
      <w:tr>
        <w:trPr>
          <w:trHeight w:val="157"/>
        </w:trPr>
        <w:tc>
          <w:tcPr>
            <w:tcW w:w="5780" w:type="dxa"/>
            <w:vAlign w:val="bottom"/>
          </w:tcPr>
          <w:p>
            <w:pPr>
              <w:spacing w:after="0" w:line="158" w:lineRule="exact"/>
              <w:rPr>
                <w:sz w:val="20"/>
                <w:szCs w:val="20"/>
                <w:color w:val="auto"/>
              </w:rPr>
            </w:pPr>
            <w:r>
              <w:rPr>
                <w:rFonts w:ascii="Arial" w:cs="Arial" w:eastAsia="Arial" w:hAnsi="Arial"/>
                <w:sz w:val="16"/>
                <w:szCs w:val="16"/>
                <w:color w:val="auto"/>
              </w:rPr>
              <w:t>National Stone, Sand and Gravel Association. He currently serves on the</w:t>
            </w:r>
          </w:p>
        </w:tc>
        <w:tc>
          <w:tcPr>
            <w:tcW w:w="260" w:type="dxa"/>
            <w:vAlign w:val="bottom"/>
            <w:vMerge w:val="restart"/>
          </w:tcPr>
          <w:p>
            <w:pPr>
              <w:ind w:left="140"/>
              <w:spacing w:after="0"/>
              <w:rPr>
                <w:sz w:val="20"/>
                <w:szCs w:val="20"/>
                <w:color w:val="auto"/>
              </w:rPr>
            </w:pPr>
            <w:r>
              <w:rPr>
                <w:rFonts w:ascii="Arial" w:cs="Arial" w:eastAsia="Arial" w:hAnsi="Arial"/>
                <w:sz w:val="16"/>
                <w:szCs w:val="16"/>
                <w:color w:val="007CBA"/>
              </w:rPr>
              <w:t>•</w:t>
            </w:r>
          </w:p>
        </w:tc>
        <w:tc>
          <w:tcPr>
            <w:tcW w:w="2320" w:type="dxa"/>
            <w:vAlign w:val="bottom"/>
            <w:vMerge w:val="restart"/>
          </w:tcPr>
          <w:p>
            <w:pPr>
              <w:ind w:left="40"/>
              <w:spacing w:after="0"/>
              <w:rPr>
                <w:sz w:val="20"/>
                <w:szCs w:val="20"/>
                <w:color w:val="auto"/>
              </w:rPr>
            </w:pPr>
            <w:r>
              <w:rPr>
                <w:rFonts w:ascii="Arial" w:cs="Arial" w:eastAsia="Arial" w:hAnsi="Arial"/>
                <w:sz w:val="16"/>
                <w:szCs w:val="16"/>
                <w:color w:val="auto"/>
              </w:rPr>
              <w:t>Broad strategic and financial</w:t>
            </w:r>
          </w:p>
        </w:tc>
        <w:tc>
          <w:tcPr>
            <w:tcW w:w="0" w:type="dxa"/>
            <w:vAlign w:val="bottom"/>
          </w:tcPr>
          <w:p>
            <w:pPr>
              <w:spacing w:after="0"/>
              <w:rPr>
                <w:sz w:val="1"/>
                <w:szCs w:val="1"/>
                <w:color w:val="auto"/>
              </w:rPr>
            </w:pPr>
          </w:p>
        </w:tc>
      </w:tr>
      <w:tr>
        <w:trPr>
          <w:trHeight w:val="167"/>
        </w:trPr>
        <w:tc>
          <w:tcPr>
            <w:tcW w:w="5780" w:type="dxa"/>
            <w:vAlign w:val="bottom"/>
          </w:tcPr>
          <w:p>
            <w:pPr>
              <w:spacing w:after="0" w:line="167" w:lineRule="exact"/>
              <w:rPr>
                <w:sz w:val="20"/>
                <w:szCs w:val="20"/>
                <w:color w:val="auto"/>
              </w:rPr>
            </w:pPr>
            <w:r>
              <w:rPr>
                <w:rFonts w:ascii="Arial" w:cs="Arial" w:eastAsia="Arial" w:hAnsi="Arial"/>
                <w:sz w:val="16"/>
                <w:szCs w:val="16"/>
                <w:color w:val="auto"/>
              </w:rPr>
              <w:t>Advisory  Board  of  the  College  of  Management  at  North  Carolina  State</w:t>
            </w:r>
          </w:p>
        </w:tc>
        <w:tc>
          <w:tcPr>
            <w:tcW w:w="260" w:type="dxa"/>
            <w:vAlign w:val="bottom"/>
            <w:vMerge w:val="continue"/>
          </w:tcPr>
          <w:p>
            <w:pPr>
              <w:spacing w:after="0"/>
              <w:rPr>
                <w:sz w:val="14"/>
                <w:szCs w:val="14"/>
                <w:color w:val="auto"/>
              </w:rPr>
            </w:pPr>
          </w:p>
        </w:tc>
        <w:tc>
          <w:tcPr>
            <w:tcW w:w="2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5780" w:type="dxa"/>
            <w:vAlign w:val="bottom"/>
          </w:tcPr>
          <w:p>
            <w:pPr>
              <w:spacing w:after="0"/>
              <w:rPr>
                <w:sz w:val="20"/>
                <w:szCs w:val="20"/>
                <w:color w:val="auto"/>
              </w:rPr>
            </w:pPr>
            <w:r>
              <w:rPr>
                <w:rFonts w:ascii="Arial" w:cs="Arial" w:eastAsia="Arial" w:hAnsi="Arial"/>
                <w:sz w:val="16"/>
                <w:szCs w:val="16"/>
                <w:color w:val="auto"/>
              </w:rPr>
              <w:t>University and is a Trustee Emeritus of the Georgia Tech Foundation Board. Mr.</w:t>
            </w:r>
          </w:p>
        </w:tc>
        <w:tc>
          <w:tcPr>
            <w:tcW w:w="260" w:type="dxa"/>
            <w:vAlign w:val="bottom"/>
          </w:tcPr>
          <w:p>
            <w:pPr>
              <w:spacing w:after="0"/>
              <w:rPr>
                <w:sz w:val="18"/>
                <w:szCs w:val="18"/>
                <w:color w:val="auto"/>
              </w:rPr>
            </w:pPr>
          </w:p>
        </w:tc>
        <w:tc>
          <w:tcPr>
            <w:tcW w:w="2320" w:type="dxa"/>
            <w:vAlign w:val="bottom"/>
          </w:tcPr>
          <w:p>
            <w:pPr>
              <w:ind w:left="6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94"/>
        </w:trPr>
        <w:tc>
          <w:tcPr>
            <w:tcW w:w="5780" w:type="dxa"/>
            <w:vAlign w:val="bottom"/>
          </w:tcPr>
          <w:p>
            <w:pPr>
              <w:spacing w:after="0"/>
              <w:rPr>
                <w:sz w:val="20"/>
                <w:szCs w:val="20"/>
                <w:color w:val="auto"/>
              </w:rPr>
            </w:pPr>
            <w:r>
              <w:rPr>
                <w:rFonts w:ascii="Arial" w:cs="Arial" w:eastAsia="Arial" w:hAnsi="Arial"/>
                <w:sz w:val="16"/>
                <w:szCs w:val="16"/>
                <w:color w:val="auto"/>
              </w:rPr>
              <w:t>Zelnak received a Bachelor’s degree from Georgia Institute of Technology and</w:t>
            </w:r>
          </w:p>
        </w:tc>
        <w:tc>
          <w:tcPr>
            <w:tcW w:w="260" w:type="dxa"/>
            <w:vAlign w:val="bottom"/>
          </w:tcPr>
          <w:p>
            <w:pPr>
              <w:ind w:left="140"/>
              <w:spacing w:after="0"/>
              <w:rPr>
                <w:sz w:val="20"/>
                <w:szCs w:val="20"/>
                <w:color w:val="auto"/>
              </w:rPr>
            </w:pPr>
            <w:r>
              <w:rPr>
                <w:rFonts w:ascii="Arial" w:cs="Arial" w:eastAsia="Arial" w:hAnsi="Arial"/>
                <w:sz w:val="16"/>
                <w:szCs w:val="16"/>
                <w:color w:val="007CBA"/>
              </w:rPr>
              <w:t>•</w:t>
            </w:r>
          </w:p>
        </w:tc>
        <w:tc>
          <w:tcPr>
            <w:tcW w:w="2320" w:type="dxa"/>
            <w:vAlign w:val="bottom"/>
          </w:tcPr>
          <w:p>
            <w:pPr>
              <w:ind w:left="40"/>
              <w:spacing w:after="0"/>
              <w:rPr>
                <w:sz w:val="20"/>
                <w:szCs w:val="20"/>
                <w:color w:val="auto"/>
              </w:rPr>
            </w:pPr>
            <w:r>
              <w:rPr>
                <w:rFonts w:ascii="Arial" w:cs="Arial" w:eastAsia="Arial" w:hAnsi="Arial"/>
                <w:sz w:val="16"/>
                <w:szCs w:val="16"/>
                <w:color w:val="auto"/>
              </w:rPr>
              <w:t>Knowledge of the homebuilding</w:t>
            </w:r>
          </w:p>
        </w:tc>
        <w:tc>
          <w:tcPr>
            <w:tcW w:w="0" w:type="dxa"/>
            <w:vAlign w:val="bottom"/>
          </w:tcPr>
          <w:p>
            <w:pPr>
              <w:spacing w:after="0"/>
              <w:rPr>
                <w:sz w:val="1"/>
                <w:szCs w:val="1"/>
                <w:color w:val="auto"/>
              </w:rPr>
            </w:pPr>
          </w:p>
        </w:tc>
      </w:tr>
      <w:tr>
        <w:trPr>
          <w:trHeight w:val="189"/>
        </w:trPr>
        <w:tc>
          <w:tcPr>
            <w:tcW w:w="5780" w:type="dxa"/>
            <w:vAlign w:val="bottom"/>
          </w:tcPr>
          <w:p>
            <w:pPr>
              <w:spacing w:after="0"/>
              <w:rPr>
                <w:sz w:val="20"/>
                <w:szCs w:val="20"/>
                <w:color w:val="auto"/>
              </w:rPr>
            </w:pPr>
            <w:r>
              <w:rPr>
                <w:rFonts w:ascii="Arial" w:cs="Arial" w:eastAsia="Arial" w:hAnsi="Arial"/>
                <w:sz w:val="16"/>
                <w:szCs w:val="16"/>
                <w:color w:val="auto"/>
              </w:rPr>
              <w:t>Master’s degrees in Administrative Science and Business Administration from</w:t>
            </w:r>
          </w:p>
        </w:tc>
        <w:tc>
          <w:tcPr>
            <w:tcW w:w="260" w:type="dxa"/>
            <w:vAlign w:val="bottom"/>
          </w:tcPr>
          <w:p>
            <w:pPr>
              <w:spacing w:after="0"/>
              <w:rPr>
                <w:sz w:val="16"/>
                <w:szCs w:val="16"/>
                <w:color w:val="auto"/>
              </w:rPr>
            </w:pPr>
          </w:p>
        </w:tc>
        <w:tc>
          <w:tcPr>
            <w:tcW w:w="2320" w:type="dxa"/>
            <w:vAlign w:val="bottom"/>
          </w:tcPr>
          <w:p>
            <w:pPr>
              <w:ind w:left="60"/>
              <w:spacing w:after="0"/>
              <w:rPr>
                <w:sz w:val="20"/>
                <w:szCs w:val="20"/>
                <w:color w:val="auto"/>
              </w:rPr>
            </w:pPr>
            <w:r>
              <w:rPr>
                <w:rFonts w:ascii="Arial" w:cs="Arial" w:eastAsia="Arial" w:hAnsi="Arial"/>
                <w:sz w:val="16"/>
                <w:szCs w:val="16"/>
                <w:color w:val="auto"/>
              </w:rPr>
              <w:t>industry and factors that impact</w:t>
            </w:r>
          </w:p>
        </w:tc>
        <w:tc>
          <w:tcPr>
            <w:tcW w:w="0" w:type="dxa"/>
            <w:vAlign w:val="bottom"/>
          </w:tcPr>
          <w:p>
            <w:pPr>
              <w:spacing w:after="0"/>
              <w:rPr>
                <w:sz w:val="1"/>
                <w:szCs w:val="1"/>
                <w:color w:val="auto"/>
              </w:rPr>
            </w:pPr>
          </w:p>
        </w:tc>
      </w:tr>
      <w:tr>
        <w:trPr>
          <w:trHeight w:val="241"/>
        </w:trPr>
        <w:tc>
          <w:tcPr>
            <w:tcW w:w="5780" w:type="dxa"/>
            <w:vAlign w:val="bottom"/>
          </w:tcPr>
          <w:p>
            <w:pPr>
              <w:spacing w:after="0"/>
              <w:rPr>
                <w:sz w:val="20"/>
                <w:szCs w:val="20"/>
                <w:color w:val="auto"/>
              </w:rPr>
            </w:pPr>
            <w:r>
              <w:rPr>
                <w:rFonts w:ascii="Arial" w:cs="Arial" w:eastAsia="Arial" w:hAnsi="Arial"/>
                <w:sz w:val="16"/>
                <w:szCs w:val="16"/>
                <w:color w:val="auto"/>
              </w:rPr>
              <w:t>the University of Alabama system.</w:t>
            </w:r>
          </w:p>
        </w:tc>
        <w:tc>
          <w:tcPr>
            <w:tcW w:w="260" w:type="dxa"/>
            <w:vAlign w:val="bottom"/>
          </w:tcPr>
          <w:p>
            <w:pPr>
              <w:spacing w:after="0"/>
              <w:rPr>
                <w:sz w:val="20"/>
                <w:szCs w:val="20"/>
                <w:color w:val="auto"/>
              </w:rPr>
            </w:pPr>
          </w:p>
        </w:tc>
        <w:tc>
          <w:tcPr>
            <w:tcW w:w="2320" w:type="dxa"/>
            <w:vAlign w:val="bottom"/>
          </w:tcPr>
          <w:p>
            <w:pPr>
              <w:ind w:left="60"/>
              <w:spacing w:after="0"/>
              <w:rPr>
                <w:sz w:val="20"/>
                <w:szCs w:val="20"/>
                <w:color w:val="auto"/>
              </w:rPr>
            </w:pPr>
            <w:r>
              <w:rPr>
                <w:rFonts w:ascii="Arial" w:cs="Arial" w:eastAsia="Arial" w:hAnsi="Arial"/>
                <w:sz w:val="16"/>
                <w:szCs w:val="16"/>
                <w:color w:val="auto"/>
              </w:rPr>
              <w:t>construction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440"/>
        <w:spacing w:after="0"/>
        <w:rPr>
          <w:sz w:val="20"/>
          <w:szCs w:val="20"/>
          <w:color w:val="auto"/>
        </w:rPr>
      </w:pPr>
      <w:r>
        <w:rPr>
          <w:rFonts w:ascii="Arial" w:cs="Arial" w:eastAsia="Arial" w:hAnsi="Arial"/>
          <w:sz w:val="25"/>
          <w:szCs w:val="25"/>
          <w:color w:val="007CBA"/>
        </w:rPr>
        <w:t>The Board Unanimously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469900</wp:posOffset>
            </wp:positionH>
            <wp:positionV relativeFrom="paragraph">
              <wp:posOffset>-162560</wp:posOffset>
            </wp:positionV>
            <wp:extent cx="325755" cy="3257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5755" cy="325755"/>
                    </a:xfrm>
                    <a:prstGeom prst="rect">
                      <a:avLst/>
                    </a:prstGeom>
                    <a:noFill/>
                  </pic:spPr>
                </pic:pic>
              </a:graphicData>
            </a:graphic>
          </wp:anchor>
        </w:drawing>
      </w:r>
    </w:p>
    <w:p>
      <w:pPr>
        <w:spacing w:after="0" w:line="22" w:lineRule="exact"/>
        <w:rPr>
          <w:sz w:val="20"/>
          <w:szCs w:val="20"/>
          <w:color w:val="auto"/>
        </w:rPr>
      </w:pPr>
    </w:p>
    <w:p>
      <w:pPr>
        <w:ind w:left="1440"/>
        <w:spacing w:after="0"/>
        <w:rPr>
          <w:sz w:val="20"/>
          <w:szCs w:val="20"/>
          <w:color w:val="auto"/>
        </w:rPr>
      </w:pPr>
      <w:r>
        <w:rPr>
          <w:rFonts w:ascii="Arial" w:cs="Arial" w:eastAsia="Arial" w:hAnsi="Arial"/>
          <w:sz w:val="25"/>
          <w:szCs w:val="25"/>
          <w:color w:val="007CBA"/>
        </w:rPr>
        <w:t>Recommends a Vote “</w:t>
      </w:r>
      <w:r>
        <w:rPr>
          <w:rFonts w:ascii="Arial" w:cs="Arial" w:eastAsia="Arial" w:hAnsi="Arial"/>
          <w:sz w:val="25"/>
          <w:szCs w:val="25"/>
          <w:b w:val="1"/>
          <w:bCs w:val="1"/>
          <w:color w:val="007CBA"/>
        </w:rPr>
        <w:t>FOR</w:t>
      </w:r>
      <w:r>
        <w:rPr>
          <w:rFonts w:ascii="Arial" w:cs="Arial" w:eastAsia="Arial" w:hAnsi="Arial"/>
          <w:sz w:val="25"/>
          <w:szCs w:val="25"/>
          <w:color w:val="007CBA"/>
        </w:rPr>
        <w:t>”</w:t>
      </w:r>
    </w:p>
    <w:p>
      <w:pPr>
        <w:spacing w:after="0" w:line="10" w:lineRule="exact"/>
        <w:rPr>
          <w:sz w:val="20"/>
          <w:szCs w:val="20"/>
          <w:color w:val="auto"/>
        </w:rPr>
      </w:pPr>
    </w:p>
    <w:p>
      <w:pPr>
        <w:ind w:left="1440"/>
        <w:spacing w:after="0"/>
        <w:rPr>
          <w:sz w:val="20"/>
          <w:szCs w:val="20"/>
          <w:color w:val="auto"/>
        </w:rPr>
      </w:pPr>
      <w:r>
        <w:rPr>
          <w:rFonts w:ascii="Arial" w:cs="Arial" w:eastAsia="Arial" w:hAnsi="Arial"/>
          <w:sz w:val="25"/>
          <w:szCs w:val="25"/>
          <w:color w:val="007CBA"/>
        </w:rPr>
        <w:t>All Nominees for Election to the</w:t>
      </w:r>
    </w:p>
    <w:p>
      <w:pPr>
        <w:spacing w:after="0" w:line="10" w:lineRule="exact"/>
        <w:rPr>
          <w:sz w:val="20"/>
          <w:szCs w:val="20"/>
          <w:color w:val="auto"/>
        </w:rPr>
      </w:pPr>
    </w:p>
    <w:p>
      <w:pPr>
        <w:ind w:left="1440"/>
        <w:spacing w:after="0"/>
        <w:rPr>
          <w:sz w:val="20"/>
          <w:szCs w:val="20"/>
          <w:color w:val="auto"/>
        </w:rPr>
      </w:pPr>
      <w:r>
        <w:rPr>
          <w:rFonts w:ascii="Arial" w:cs="Arial" w:eastAsia="Arial" w:hAnsi="Arial"/>
          <w:sz w:val="25"/>
          <w:szCs w:val="25"/>
          <w:color w:val="007CBA"/>
        </w:rPr>
        <w:t>Board of Directors</w:t>
      </w:r>
    </w:p>
    <w:p>
      <w:pPr>
        <w:spacing w:after="0" w:line="10" w:lineRule="exact"/>
        <w:rPr>
          <w:sz w:val="20"/>
          <w:szCs w:val="20"/>
          <w:color w:val="auto"/>
        </w:rPr>
      </w:pPr>
    </w:p>
    <w:p>
      <w:pPr>
        <w:ind w:left="1440"/>
        <w:spacing w:after="0"/>
        <w:rPr>
          <w:sz w:val="20"/>
          <w:szCs w:val="20"/>
          <w:color w:val="auto"/>
        </w:rPr>
      </w:pPr>
      <w:r>
        <w:rPr>
          <w:rFonts w:ascii="Arial" w:cs="Arial" w:eastAsia="Arial" w:hAnsi="Arial"/>
          <w:sz w:val="25"/>
          <w:szCs w:val="25"/>
          <w:color w:val="007CBA"/>
        </w:rPr>
        <w:t>on this 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1619250</wp:posOffset>
            </wp:positionH>
            <wp:positionV relativeFrom="paragraph">
              <wp:posOffset>107950</wp:posOffset>
            </wp:positionV>
            <wp:extent cx="411480" cy="2489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167" w:lineRule="exact"/>
        <w:rPr>
          <w:sz w:val="20"/>
          <w:szCs w:val="20"/>
          <w:color w:val="auto"/>
        </w:rPr>
      </w:pPr>
    </w:p>
    <w:tbl>
      <w:tblPr>
        <w:tblLayout w:type="fixed"/>
        <w:tblInd w:w="6400" w:type="dxa"/>
        <w:tblCellMar>
          <w:top w:w="0" w:type="dxa"/>
          <w:left w:w="0" w:type="dxa"/>
          <w:bottom w:w="0" w:type="dxa"/>
          <w:right w:w="0" w:type="dxa"/>
        </w:tblCellMar>
      </w:tblPr>
      <w:tr>
        <w:trPr>
          <w:trHeight w:val="178"/>
        </w:trPr>
        <w:tc>
          <w:tcPr>
            <w:tcW w:w="1680" w:type="dxa"/>
            <w:vAlign w:val="bottom"/>
          </w:tcPr>
          <w:p>
            <w:pPr>
              <w:spacing w:after="0"/>
              <w:rPr>
                <w:sz w:val="20"/>
                <w:szCs w:val="20"/>
                <w:color w:val="auto"/>
              </w:rPr>
            </w:pPr>
            <w:r>
              <w:rPr>
                <w:rFonts w:ascii="Arial" w:cs="Arial" w:eastAsia="Arial" w:hAnsi="Arial"/>
                <w:sz w:val="13"/>
                <w:szCs w:val="13"/>
                <w:color w:val="007CBA"/>
              </w:rPr>
              <w:t>2018 PROXY STATEMENT</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rPr>
              <w:t>11</w:t>
            </w:r>
          </w:p>
        </w:tc>
      </w:tr>
    </w:tbl>
    <w:p>
      <w:pPr>
        <w:sectPr>
          <w:pgSz w:w="11900" w:h="16838" w:orient="portrait"/>
          <w:cols w:equalWidth="0" w:num="2">
            <w:col w:w="2600" w:space="260"/>
            <w:col w:w="8360"/>
          </w:cols>
          <w:pgMar w:left="240" w:top="455" w:right="4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64" w:lineRule="exact"/>
        <w:rPr>
          <w:sz w:val="20"/>
          <w:szCs w:val="20"/>
          <w:color w:val="auto"/>
        </w:rPr>
      </w:pPr>
    </w:p>
    <w:p>
      <w:pPr>
        <w:ind w:left="200"/>
        <w:spacing w:after="0" w:line="288" w:lineRule="exact"/>
        <w:rPr>
          <w:sz w:val="20"/>
          <w:szCs w:val="20"/>
          <w:color w:val="auto"/>
        </w:rPr>
      </w:pPr>
      <w:r>
        <w:rPr>
          <w:rFonts w:ascii="Arial" w:cs="Arial" w:eastAsia="Arial" w:hAnsi="Arial"/>
          <w:sz w:val="14"/>
          <w:szCs w:val="14"/>
          <w:color w:val="007CBA"/>
        </w:rPr>
        <w:t xml:space="preserve">Proposal 1: Election of Directors </w:t>
      </w:r>
      <w:r>
        <w:rPr>
          <w:rFonts w:ascii="MS PGothic" w:cs="MS PGothic" w:eastAsia="MS PGothic" w:hAnsi="MS PGothic"/>
          <w:sz w:val="25"/>
          <w:szCs w:val="25"/>
          <w:color w:val="007CBA"/>
        </w:rPr>
        <w:t>◆</w:t>
      </w:r>
      <w:r>
        <w:rPr>
          <w:rFonts w:ascii="Arial" w:cs="Arial" w:eastAsia="Arial" w:hAnsi="Arial"/>
          <w:sz w:val="14"/>
          <w:szCs w:val="14"/>
          <w:color w:val="007CBA"/>
        </w:rPr>
        <w:t xml:space="preserve"> </w:t>
      </w:r>
      <w:r>
        <w:rPr>
          <w:rFonts w:ascii="Arial" w:cs="Arial" w:eastAsia="Arial" w:hAnsi="Arial"/>
          <w:sz w:val="14"/>
          <w:szCs w:val="14"/>
          <w:color w:val="000000"/>
        </w:rPr>
        <w:t>Director Nominees</w:t>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19"/>
          <w:szCs w:val="19"/>
          <w:i w:val="1"/>
          <w:iCs w:val="1"/>
          <w:color w:val="auto"/>
        </w:rPr>
        <w:t>Other Directors Whose Terms Continue Until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246380</wp:posOffset>
            </wp:positionV>
            <wp:extent cx="1123315" cy="14579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23315" cy="1457960"/>
                    </a:xfrm>
                    <a:prstGeom prst="rect">
                      <a:avLst/>
                    </a:prstGeom>
                    <a:noFill/>
                  </pic:spPr>
                </pic:pic>
              </a:graphicData>
            </a:graphic>
          </wp:anchor>
        </w:drawing>
      </w:r>
    </w:p>
    <w:p>
      <w:pPr>
        <w:sectPr>
          <w:pgSz w:w="11900" w:h="16838" w:orient="portrait"/>
          <w:cols w:equalWidth="0" w:num="1">
            <w:col w:w="11220"/>
          </w:cols>
          <w:pgMar w:left="24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0"/>
        <w:spacing w:after="0" w:line="253" w:lineRule="exact"/>
        <w:rPr>
          <w:sz w:val="20"/>
          <w:szCs w:val="20"/>
          <w:color w:val="auto"/>
        </w:rPr>
      </w:pPr>
      <w:r>
        <w:rPr>
          <w:rFonts w:ascii="MS PGothic" w:cs="MS PGothic" w:eastAsia="MS PGothic" w:hAnsi="MS PGothic"/>
          <w:sz w:val="22"/>
          <w:szCs w:val="22"/>
          <w:color w:val="007CBA"/>
        </w:rPr>
        <w:t>◆</w:t>
      </w:r>
      <w:r>
        <w:rPr>
          <w:rFonts w:ascii="Arial" w:cs="Arial" w:eastAsia="Arial" w:hAnsi="Arial"/>
          <w:sz w:val="22"/>
          <w:szCs w:val="22"/>
          <w:b w:val="1"/>
          <w:bCs w:val="1"/>
          <w:color w:val="007CBA"/>
        </w:rPr>
        <w:t>C. HOWARD NYE</w:t>
      </w:r>
    </w:p>
    <w:p>
      <w:pPr>
        <w:spacing w:after="0" w:line="153"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2010</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55</w:t>
      </w:r>
    </w:p>
    <w:p>
      <w:pPr>
        <w:spacing w:after="0" w:line="88" w:lineRule="exact"/>
        <w:rPr>
          <w:sz w:val="20"/>
          <w:szCs w:val="20"/>
          <w:color w:val="auto"/>
        </w:rPr>
      </w:pPr>
    </w:p>
    <w:p>
      <w:pPr>
        <w:ind w:left="320"/>
        <w:spacing w:after="0" w:line="291" w:lineRule="auto"/>
        <w:rPr>
          <w:sz w:val="20"/>
          <w:szCs w:val="20"/>
          <w:color w:val="auto"/>
        </w:rPr>
      </w:pPr>
      <w:r>
        <w:rPr>
          <w:rFonts w:ascii="Arial" w:cs="Arial" w:eastAsia="Arial" w:hAnsi="Arial"/>
          <w:sz w:val="16"/>
          <w:szCs w:val="16"/>
          <w:color w:val="auto"/>
        </w:rPr>
        <w:t>Chairman of the Board and Chair of the Executive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765810</wp:posOffset>
            </wp:positionV>
            <wp:extent cx="1123315" cy="14579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23315" cy="14579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Mr. Nye has served as Chairman of the Board since 2014 and as President and Chief Executive Officer of Martin Marietta since January 1, 2010. He previously served as President and Chief Operating Officer of Martin Marietta from August 2006 to 2009. From 2003 to 2006, Mr. Nye served as Executive Vice President of Hanson Aggregates North America, a producer of aggregates for the construction industry, and in other managerial roles since 1993. Mr. Nye is also currently an independent Director of CREE, Inc., a multi-national manufacturer and market-leading innovator of lighting-class LEDs, LED lighting, and semiconductor solutions for wireless and power applications, where he serves as a member on the Compensation Committee and Chair of the Governance and Nominations Committee. Mr. Nye has also been active in a number of various business, civic, and education organizations, including serving as Chairman of the Steering Committee, as a member of the Executive Committee and Nominating &amp; Leadership Development Committee and past Chairman of the Board of Directors of the National Stone, Sand &amp; Gravel Association, Vice Chairman of the Board of Directors of the American Road &amp; Transportation Builders Association (ARTBA), and a member of the Board of Directors of the United States Chamber of Commerce. Mr. Nye has also been a gubernatorial appointee to the North Carolina Mining Commission. Mr. Nye received a Bachelor’s degree from Duke University and a Juris Doctor degree from Wake Forest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-1681480</wp:posOffset>
            </wp:positionH>
            <wp:positionV relativeFrom="paragraph">
              <wp:posOffset>246380</wp:posOffset>
            </wp:positionV>
            <wp:extent cx="6997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ind w:right="180"/>
        <w:spacing w:after="0" w:line="299" w:lineRule="auto"/>
        <w:rPr>
          <w:sz w:val="20"/>
          <w:szCs w:val="20"/>
          <w:color w:val="auto"/>
        </w:rPr>
      </w:pPr>
      <w:r>
        <w:rPr>
          <w:rFonts w:ascii="Arial" w:cs="Arial" w:eastAsia="Arial" w:hAnsi="Arial"/>
          <w:sz w:val="16"/>
          <w:szCs w:val="16"/>
          <w:b w:val="1"/>
          <w:bCs w:val="1"/>
          <w:i w:val="1"/>
          <w:iCs w:val="1"/>
          <w:color w:val="007CBA"/>
        </w:rPr>
        <w:t>Key attributes, experience and skills:</w:t>
      </w:r>
    </w:p>
    <w:p>
      <w:pPr>
        <w:spacing w:after="0" w:line="1" w:lineRule="exact"/>
        <w:rPr>
          <w:sz w:val="20"/>
          <w:szCs w:val="20"/>
          <w:color w:val="auto"/>
        </w:rPr>
      </w:pPr>
    </w:p>
    <w:p>
      <w:pPr>
        <w:ind w:left="260" w:right="320" w:hanging="171"/>
        <w:spacing w:after="0" w:line="269" w:lineRule="auto"/>
        <w:tabs>
          <w:tab w:leader="none" w:pos="227" w:val="left"/>
        </w:tabs>
        <w:numPr>
          <w:ilvl w:val="0"/>
          <w:numId w:val="22"/>
        </w:numPr>
        <w:rPr>
          <w:rFonts w:ascii="Arial" w:cs="Arial" w:eastAsia="Arial" w:hAnsi="Arial"/>
          <w:sz w:val="16"/>
          <w:szCs w:val="16"/>
          <w:color w:val="007CBA"/>
        </w:rPr>
      </w:pPr>
      <w:r>
        <w:rPr>
          <w:rFonts w:ascii="Arial" w:cs="Arial" w:eastAsia="Arial" w:hAnsi="Arial"/>
          <w:sz w:val="16"/>
          <w:szCs w:val="16"/>
          <w:color w:val="auto"/>
        </w:rPr>
        <w:t>Extensive knowledge of the construction aggregates industry</w:t>
      </w:r>
    </w:p>
    <w:p>
      <w:pPr>
        <w:spacing w:after="0" w:line="29" w:lineRule="exact"/>
        <w:rPr>
          <w:rFonts w:ascii="Arial" w:cs="Arial" w:eastAsia="Arial" w:hAnsi="Arial"/>
          <w:sz w:val="16"/>
          <w:szCs w:val="16"/>
          <w:color w:val="007CBA"/>
        </w:rPr>
      </w:pPr>
    </w:p>
    <w:p>
      <w:pPr>
        <w:ind w:left="260" w:right="20" w:hanging="171"/>
        <w:spacing w:after="0" w:line="257" w:lineRule="auto"/>
        <w:tabs>
          <w:tab w:leader="none" w:pos="227" w:val="left"/>
        </w:tabs>
        <w:numPr>
          <w:ilvl w:val="0"/>
          <w:numId w:val="22"/>
        </w:numPr>
        <w:rPr>
          <w:rFonts w:ascii="Arial" w:cs="Arial" w:eastAsia="Arial" w:hAnsi="Arial"/>
          <w:sz w:val="16"/>
          <w:szCs w:val="16"/>
          <w:color w:val="007CBA"/>
        </w:rPr>
      </w:pPr>
      <w:r>
        <w:rPr>
          <w:rFonts w:ascii="Arial" w:cs="Arial" w:eastAsia="Arial" w:hAnsi="Arial"/>
          <w:sz w:val="16"/>
          <w:szCs w:val="16"/>
          <w:color w:val="auto"/>
        </w:rPr>
        <w:t>Extensive leadership, business, operating, marketing, mergers and acquisitions, legal, customer-relations, and safety and environmental experience</w:t>
      </w:r>
    </w:p>
    <w:p>
      <w:pPr>
        <w:spacing w:after="0" w:line="41" w:lineRule="exact"/>
        <w:rPr>
          <w:rFonts w:ascii="Arial" w:cs="Arial" w:eastAsia="Arial" w:hAnsi="Arial"/>
          <w:sz w:val="16"/>
          <w:szCs w:val="16"/>
          <w:color w:val="007CBA"/>
        </w:rPr>
      </w:pPr>
    </w:p>
    <w:p>
      <w:pPr>
        <w:ind w:left="260" w:right="40" w:hanging="171"/>
        <w:spacing w:after="0" w:line="261" w:lineRule="auto"/>
        <w:tabs>
          <w:tab w:leader="none" w:pos="227" w:val="left"/>
        </w:tabs>
        <w:numPr>
          <w:ilvl w:val="0"/>
          <w:numId w:val="22"/>
        </w:numPr>
        <w:rPr>
          <w:rFonts w:ascii="Arial" w:cs="Arial" w:eastAsia="Arial" w:hAnsi="Arial"/>
          <w:sz w:val="16"/>
          <w:szCs w:val="16"/>
          <w:color w:val="007CBA"/>
        </w:rPr>
      </w:pPr>
      <w:r>
        <w:rPr>
          <w:rFonts w:ascii="Arial" w:cs="Arial" w:eastAsia="Arial" w:hAnsi="Arial"/>
          <w:sz w:val="16"/>
          <w:szCs w:val="16"/>
          <w:color w:val="auto"/>
        </w:rPr>
        <w:t>Understands the competitive nature of the business and has strong management skills and broad executive experience</w:t>
      </w:r>
    </w:p>
    <w:p>
      <w:pPr>
        <w:spacing w:after="0" w:line="36" w:lineRule="exact"/>
        <w:rPr>
          <w:rFonts w:ascii="Arial" w:cs="Arial" w:eastAsia="Arial" w:hAnsi="Arial"/>
          <w:sz w:val="16"/>
          <w:szCs w:val="16"/>
          <w:color w:val="007CBA"/>
        </w:rPr>
      </w:pPr>
    </w:p>
    <w:p>
      <w:pPr>
        <w:ind w:left="260" w:hanging="171"/>
        <w:spacing w:after="0" w:line="291" w:lineRule="auto"/>
        <w:tabs>
          <w:tab w:leader="none" w:pos="227" w:val="left"/>
        </w:tabs>
        <w:numPr>
          <w:ilvl w:val="0"/>
          <w:numId w:val="22"/>
        </w:numPr>
        <w:rPr>
          <w:rFonts w:ascii="Arial" w:cs="Arial" w:eastAsia="Arial" w:hAnsi="Arial"/>
          <w:sz w:val="16"/>
          <w:szCs w:val="16"/>
          <w:color w:val="007CBA"/>
        </w:rPr>
      </w:pPr>
      <w:r>
        <w:rPr>
          <w:rFonts w:ascii="Arial" w:cs="Arial" w:eastAsia="Arial" w:hAnsi="Arial"/>
          <w:sz w:val="16"/>
          <w:szCs w:val="16"/>
          <w:color w:val="auto"/>
        </w:rPr>
        <w:t>Broad strategic vision for the future growth of Martin Marietta</w:t>
      </w:r>
    </w:p>
    <w:p>
      <w:pPr>
        <w:spacing w:after="0" w:line="775" w:lineRule="exact"/>
        <w:rPr>
          <w:sz w:val="20"/>
          <w:szCs w:val="20"/>
          <w:color w:val="auto"/>
        </w:rPr>
      </w:pPr>
    </w:p>
    <w:p>
      <w:pPr>
        <w:sectPr>
          <w:pgSz w:w="11900" w:h="16838" w:orient="portrait"/>
          <w:cols w:equalWidth="0" w:num="3">
            <w:col w:w="2700" w:space="160"/>
            <w:col w:w="5740" w:space="100"/>
            <w:col w:w="2520"/>
          </w:cols>
          <w:pgMar w:left="240" w:top="455"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00"/>
        <w:spacing w:after="0" w:line="322" w:lineRule="exact"/>
        <w:rPr>
          <w:sz w:val="20"/>
          <w:szCs w:val="20"/>
          <w:color w:val="auto"/>
        </w:rPr>
      </w:pPr>
      <w:r>
        <w:rPr>
          <w:rFonts w:ascii="MS PGothic" w:cs="MS PGothic" w:eastAsia="MS PGothic" w:hAnsi="MS PGothic"/>
          <w:sz w:val="28"/>
          <w:szCs w:val="28"/>
          <w:color w:val="007CBA"/>
        </w:rPr>
        <w:t>◆</w:t>
      </w:r>
      <w:r>
        <w:rPr>
          <w:rFonts w:ascii="Arial" w:cs="Arial" w:eastAsia="Arial" w:hAnsi="Arial"/>
          <w:sz w:val="22"/>
          <w:szCs w:val="22"/>
          <w:b w:val="1"/>
          <w:bCs w:val="1"/>
          <w:color w:val="007CBA"/>
        </w:rPr>
        <w:t>LAREE E. PEREZ</w:t>
      </w:r>
    </w:p>
    <w:p>
      <w:pPr>
        <w:spacing w:after="0" w:line="196"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2004</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64</w:t>
      </w:r>
    </w:p>
    <w:p>
      <w:pPr>
        <w:spacing w:after="0" w:line="129" w:lineRule="exact"/>
        <w:rPr>
          <w:sz w:val="20"/>
          <w:szCs w:val="20"/>
          <w:color w:val="auto"/>
        </w:rPr>
      </w:pPr>
    </w:p>
    <w:p>
      <w:pPr>
        <w:ind w:left="320"/>
        <w:spacing w:after="0" w:line="259" w:lineRule="auto"/>
        <w:rPr>
          <w:sz w:val="20"/>
          <w:szCs w:val="20"/>
          <w:color w:val="auto"/>
        </w:rPr>
      </w:pPr>
      <w:r>
        <w:rPr>
          <w:rFonts w:ascii="Arial" w:cs="Arial" w:eastAsia="Arial" w:hAnsi="Arial"/>
          <w:sz w:val="16"/>
          <w:szCs w:val="16"/>
          <w:color w:val="auto"/>
        </w:rPr>
        <w:t>Chair of the Ethics, Environment, Safety and</w:t>
      </w:r>
    </w:p>
    <w:p>
      <w:pPr>
        <w:spacing w:after="0" w:line="1" w:lineRule="exact"/>
        <w:rPr>
          <w:sz w:val="20"/>
          <w:szCs w:val="20"/>
          <w:color w:val="auto"/>
        </w:rPr>
      </w:pPr>
    </w:p>
    <w:p>
      <w:pPr>
        <w:ind w:left="320" w:right="760"/>
        <w:spacing w:after="0" w:line="256" w:lineRule="auto"/>
        <w:rPr>
          <w:sz w:val="20"/>
          <w:szCs w:val="20"/>
          <w:color w:val="auto"/>
        </w:rPr>
      </w:pPr>
      <w:r>
        <w:rPr>
          <w:rFonts w:ascii="Arial" w:cs="Arial" w:eastAsia="Arial" w:hAnsi="Arial"/>
          <w:sz w:val="16"/>
          <w:szCs w:val="16"/>
          <w:color w:val="auto"/>
        </w:rPr>
        <w:t>Health Committee and member of the Audit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Ms. Perez is an investment consultant with DeRoy &amp; Devereaux, an independent investment adviser, where she has provided client consulting services since 2015. She was previously Owner and Managing Partner of The Medallion Company, LLC, a consulting firm, from 2003 to 2015. Ms. Perez was previously a Director of GenOn Energy, Inc., one of the largest power producers in the United States, from 2002 to 2012, and served as the Chairman of the Audit Committee of GenOn Energy, Inc. from 2002 to 2007 and a member of its Audit and Risk and Finance Oversight Committees from 2008 to 2012. Previously, she was Vice President of Loomis, Sayles &amp; Company, L.P. and co-founder, President and Chief Executive Officer of Medallion Investment Company, Inc. In addition to civic and charitable organizations, Ms. Perez recently served as Vice Chairman of the Board of Regents at Baylor University and previously served on the Board of Trustees of New Mexico State University, where she was also Chairman of the Board. Ms. Perez earned a Bachelor’s degree from Baylor University in Finance and Economics.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1696720</wp:posOffset>
            </wp:positionH>
            <wp:positionV relativeFrom="paragraph">
              <wp:posOffset>980440</wp:posOffset>
            </wp:positionV>
            <wp:extent cx="411480" cy="2489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180"/>
        <w:spacing w:after="0" w:line="299" w:lineRule="auto"/>
        <w:rPr>
          <w:sz w:val="20"/>
          <w:szCs w:val="20"/>
          <w:color w:val="auto"/>
        </w:rPr>
      </w:pPr>
      <w:r>
        <w:rPr>
          <w:rFonts w:ascii="Arial" w:cs="Arial" w:eastAsia="Arial" w:hAnsi="Arial"/>
          <w:sz w:val="16"/>
          <w:szCs w:val="16"/>
          <w:b w:val="1"/>
          <w:bCs w:val="1"/>
          <w:i w:val="1"/>
          <w:iCs w:val="1"/>
          <w:color w:val="007CBA"/>
        </w:rPr>
        <w:t>Key attributes, experience and skills:</w:t>
      </w:r>
    </w:p>
    <w:p>
      <w:pPr>
        <w:spacing w:after="0" w:line="1" w:lineRule="exact"/>
        <w:rPr>
          <w:sz w:val="20"/>
          <w:szCs w:val="20"/>
          <w:color w:val="auto"/>
        </w:rPr>
      </w:pPr>
    </w:p>
    <w:p>
      <w:pPr>
        <w:ind w:left="260" w:right="160" w:hanging="171"/>
        <w:spacing w:after="0" w:line="269" w:lineRule="auto"/>
        <w:tabs>
          <w:tab w:leader="none" w:pos="227" w:val="left"/>
        </w:tabs>
        <w:numPr>
          <w:ilvl w:val="0"/>
          <w:numId w:val="23"/>
        </w:numPr>
        <w:rPr>
          <w:rFonts w:ascii="Arial" w:cs="Arial" w:eastAsia="Arial" w:hAnsi="Arial"/>
          <w:sz w:val="16"/>
          <w:szCs w:val="16"/>
          <w:color w:val="007CBA"/>
        </w:rPr>
      </w:pPr>
      <w:r>
        <w:rPr>
          <w:rFonts w:ascii="Arial" w:cs="Arial" w:eastAsia="Arial" w:hAnsi="Arial"/>
          <w:sz w:val="16"/>
          <w:szCs w:val="16"/>
          <w:color w:val="auto"/>
        </w:rPr>
        <w:t>Significant business, financial and private investment experience</w:t>
      </w:r>
    </w:p>
    <w:p>
      <w:pPr>
        <w:spacing w:after="0" w:line="29" w:lineRule="exact"/>
        <w:rPr>
          <w:rFonts w:ascii="Arial" w:cs="Arial" w:eastAsia="Arial" w:hAnsi="Arial"/>
          <w:sz w:val="16"/>
          <w:szCs w:val="16"/>
          <w:color w:val="007CBA"/>
        </w:rPr>
      </w:pPr>
    </w:p>
    <w:p>
      <w:pPr>
        <w:ind w:left="260" w:right="20" w:hanging="171"/>
        <w:spacing w:after="0" w:line="255" w:lineRule="auto"/>
        <w:tabs>
          <w:tab w:leader="none" w:pos="227" w:val="left"/>
        </w:tabs>
        <w:numPr>
          <w:ilvl w:val="0"/>
          <w:numId w:val="23"/>
        </w:numPr>
        <w:rPr>
          <w:rFonts w:ascii="Arial" w:cs="Arial" w:eastAsia="Arial" w:hAnsi="Arial"/>
          <w:sz w:val="16"/>
          <w:szCs w:val="16"/>
          <w:color w:val="007CBA"/>
        </w:rPr>
      </w:pPr>
      <w:r>
        <w:rPr>
          <w:rFonts w:ascii="Arial" w:cs="Arial" w:eastAsia="Arial" w:hAnsi="Arial"/>
          <w:sz w:val="16"/>
          <w:szCs w:val="16"/>
          <w:color w:val="auto"/>
        </w:rPr>
        <w:t>Significant expertise with respect to financial statements, corporate finance, accounting and capital markets, mergers and acquisitions, and strategic analysis</w:t>
      </w:r>
    </w:p>
    <w:p>
      <w:pPr>
        <w:spacing w:after="0" w:line="42" w:lineRule="exact"/>
        <w:rPr>
          <w:rFonts w:ascii="Arial" w:cs="Arial" w:eastAsia="Arial" w:hAnsi="Arial"/>
          <w:sz w:val="16"/>
          <w:szCs w:val="16"/>
          <w:color w:val="007CBA"/>
        </w:rPr>
      </w:pPr>
    </w:p>
    <w:p>
      <w:pPr>
        <w:ind w:left="260" w:right="540" w:hanging="171"/>
        <w:spacing w:after="0" w:line="291" w:lineRule="auto"/>
        <w:tabs>
          <w:tab w:leader="none" w:pos="227" w:val="left"/>
        </w:tabs>
        <w:numPr>
          <w:ilvl w:val="0"/>
          <w:numId w:val="23"/>
        </w:numPr>
        <w:rPr>
          <w:rFonts w:ascii="Arial" w:cs="Arial" w:eastAsia="Arial" w:hAnsi="Arial"/>
          <w:sz w:val="16"/>
          <w:szCs w:val="16"/>
          <w:color w:val="007CBA"/>
        </w:rPr>
      </w:pPr>
      <w:r>
        <w:rPr>
          <w:rFonts w:ascii="Arial" w:cs="Arial" w:eastAsia="Arial" w:hAnsi="Arial"/>
          <w:sz w:val="16"/>
          <w:szCs w:val="16"/>
          <w:color w:val="auto"/>
        </w:rPr>
        <w:t>Insight into auditing best practices</w:t>
      </w:r>
    </w:p>
    <w:p>
      <w:pPr>
        <w:spacing w:after="0" w:line="13" w:lineRule="exact"/>
        <w:rPr>
          <w:rFonts w:ascii="Arial" w:cs="Arial" w:eastAsia="Arial" w:hAnsi="Arial"/>
          <w:sz w:val="16"/>
          <w:szCs w:val="16"/>
          <w:color w:val="007CBA"/>
        </w:rPr>
      </w:pPr>
    </w:p>
    <w:p>
      <w:pPr>
        <w:ind w:left="260" w:right="260" w:hanging="171"/>
        <w:spacing w:after="0" w:line="291" w:lineRule="auto"/>
        <w:tabs>
          <w:tab w:leader="none" w:pos="227" w:val="left"/>
        </w:tabs>
        <w:numPr>
          <w:ilvl w:val="0"/>
          <w:numId w:val="23"/>
        </w:numPr>
        <w:rPr>
          <w:rFonts w:ascii="Arial" w:cs="Arial" w:eastAsia="Arial" w:hAnsi="Arial"/>
          <w:sz w:val="16"/>
          <w:szCs w:val="16"/>
          <w:color w:val="007CBA"/>
        </w:rPr>
      </w:pPr>
      <w:r>
        <w:rPr>
          <w:rFonts w:ascii="Arial" w:cs="Arial" w:eastAsia="Arial" w:hAnsi="Arial"/>
          <w:sz w:val="16"/>
          <w:szCs w:val="16"/>
          <w:color w:val="auto"/>
        </w:rPr>
        <w:t>Familiarity with the southwestern United States</w:t>
      </w:r>
    </w:p>
    <w:p>
      <w:pPr>
        <w:spacing w:after="0" w:line="1197" w:lineRule="exact"/>
        <w:rPr>
          <w:sz w:val="20"/>
          <w:szCs w:val="20"/>
          <w:color w:val="auto"/>
        </w:rPr>
      </w:pPr>
    </w:p>
    <w:p>
      <w:pPr>
        <w:sectPr>
          <w:pgSz w:w="11900" w:h="16838" w:orient="portrait"/>
          <w:cols w:equalWidth="0" w:num="3">
            <w:col w:w="2680" w:space="180"/>
            <w:col w:w="5740" w:space="100"/>
            <w:col w:w="2520"/>
          </w:cols>
          <w:pgMar w:left="240" w:top="455" w:right="439" w:bottom="1440" w:gutter="0" w:footer="0" w:header="0"/>
          <w:type w:val="continuous"/>
        </w:sectPr>
      </w:pPr>
    </w:p>
    <w:p>
      <w:pPr>
        <w:ind w:left="640" w:hanging="436"/>
        <w:spacing w:after="0"/>
        <w:tabs>
          <w:tab w:leader="none" w:pos="640" w:val="left"/>
        </w:tabs>
        <w:numPr>
          <w:ilvl w:val="0"/>
          <w:numId w:val="24"/>
        </w:numPr>
        <w:rPr>
          <w:rFonts w:ascii="Arial" w:cs="Arial" w:eastAsia="Arial" w:hAnsi="Arial"/>
          <w:sz w:val="12"/>
          <w:szCs w:val="12"/>
          <w:b w:val="1"/>
          <w:bCs w:val="1"/>
          <w:color w:val="auto"/>
        </w:rPr>
      </w:pPr>
      <w:r>
        <w:rPr>
          <w:rFonts w:ascii="Arial" w:cs="Arial" w:eastAsia="Arial" w:hAnsi="Arial"/>
          <w:sz w:val="12"/>
          <w:szCs w:val="12"/>
          <w:color w:val="007CBA"/>
        </w:rPr>
        <w:t>2018 PROXY STATEMENT</w:t>
      </w:r>
    </w:p>
    <w:p>
      <w:pPr>
        <w:sectPr>
          <w:pgSz w:w="11900" w:h="16838" w:orient="portrait"/>
          <w:cols w:equalWidth="0" w:num="1">
            <w:col w:w="11220"/>
          </w:cols>
          <w:pgMar w:left="240" w:top="455" w:right="439" w:bottom="1440" w:gutter="0" w:footer="0" w:header="0"/>
          <w:type w:val="continuous"/>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64" w:lineRule="exact"/>
        <w:rPr>
          <w:sz w:val="20"/>
          <w:szCs w:val="20"/>
          <w:color w:val="auto"/>
        </w:rPr>
      </w:pPr>
    </w:p>
    <w:p>
      <w:pPr>
        <w:jc w:val="right"/>
        <w:spacing w:after="0" w:line="288" w:lineRule="exact"/>
        <w:rPr>
          <w:sz w:val="20"/>
          <w:szCs w:val="20"/>
          <w:color w:val="auto"/>
        </w:rPr>
      </w:pPr>
      <w:r>
        <w:rPr>
          <w:rFonts w:ascii="Arial" w:cs="Arial" w:eastAsia="Arial" w:hAnsi="Arial"/>
          <w:sz w:val="14"/>
          <w:szCs w:val="14"/>
          <w:color w:val="auto"/>
        </w:rPr>
        <w:t xml:space="preserve">Director Nominees </w:t>
      </w:r>
      <w:r>
        <w:rPr>
          <w:rFonts w:ascii="MS PGothic" w:cs="MS PGothic" w:eastAsia="MS PGothic" w:hAnsi="MS PGothic"/>
          <w:sz w:val="25"/>
          <w:szCs w:val="25"/>
          <w:color w:val="007CBA"/>
        </w:rPr>
        <w:t>◆</w:t>
      </w:r>
      <w:r>
        <w:rPr>
          <w:rFonts w:ascii="Arial" w:cs="Arial" w:eastAsia="Arial" w:hAnsi="Arial"/>
          <w:sz w:val="14"/>
          <w:szCs w:val="14"/>
          <w:color w:val="auto"/>
        </w:rPr>
        <w:t xml:space="preserve"> </w:t>
      </w:r>
      <w:r>
        <w:rPr>
          <w:rFonts w:ascii="Arial" w:cs="Arial" w:eastAsia="Arial" w:hAnsi="Arial"/>
          <w:sz w:val="14"/>
          <w:szCs w:val="14"/>
          <w:color w:val="007CBA"/>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140970</wp:posOffset>
            </wp:positionV>
            <wp:extent cx="1123315" cy="14579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23315" cy="1457960"/>
                    </a:xfrm>
                    <a:prstGeom prst="rect">
                      <a:avLst/>
                    </a:prstGeom>
                    <a:noFill/>
                  </pic:spPr>
                </pic:pic>
              </a:graphicData>
            </a:graphic>
          </wp:anchor>
        </w:drawing>
      </w:r>
    </w:p>
    <w:p>
      <w:pPr>
        <w:spacing w:after="0" w:line="373" w:lineRule="exact"/>
        <w:rPr>
          <w:sz w:val="20"/>
          <w:szCs w:val="20"/>
          <w:color w:val="auto"/>
        </w:rPr>
      </w:pPr>
    </w:p>
    <w:tbl>
      <w:tblPr>
        <w:tblLayout w:type="fixed"/>
        <w:tblInd w:w="2640" w:type="dxa"/>
        <w:tblCellMar>
          <w:top w:w="0" w:type="dxa"/>
          <w:left w:w="0" w:type="dxa"/>
          <w:bottom w:w="0" w:type="dxa"/>
          <w:right w:w="0" w:type="dxa"/>
        </w:tblCellMar>
      </w:tblPr>
      <w:tr>
        <w:trPr>
          <w:trHeight w:val="189"/>
        </w:trPr>
        <w:tc>
          <w:tcPr>
            <w:tcW w:w="6000" w:type="dxa"/>
            <w:vAlign w:val="bottom"/>
          </w:tcPr>
          <w:p>
            <w:pPr>
              <w:spacing w:after="0"/>
              <w:rPr>
                <w:sz w:val="20"/>
                <w:szCs w:val="20"/>
                <w:color w:val="auto"/>
              </w:rPr>
            </w:pPr>
            <w:r>
              <w:rPr>
                <w:rFonts w:ascii="Arial" w:cs="Arial" w:eastAsia="Arial" w:hAnsi="Arial"/>
                <w:sz w:val="16"/>
                <w:szCs w:val="16"/>
                <w:color w:val="auto"/>
              </w:rPr>
              <w:t>Mr.  Rediker  served  as  the  President  and  Chief  Operating  Officer  of  Utility</w:t>
            </w:r>
          </w:p>
        </w:tc>
        <w:tc>
          <w:tcPr>
            <w:tcW w:w="2580" w:type="dxa"/>
            <w:vAlign w:val="bottom"/>
            <w:gridSpan w:val="2"/>
          </w:tcPr>
          <w:p>
            <w:pPr>
              <w:ind w:left="60"/>
              <w:spacing w:after="0"/>
              <w:rPr>
                <w:sz w:val="20"/>
                <w:szCs w:val="20"/>
                <w:color w:val="auto"/>
              </w:rPr>
            </w:pPr>
            <w:r>
              <w:rPr>
                <w:rFonts w:ascii="Arial" w:cs="Arial" w:eastAsia="Arial" w:hAnsi="Arial"/>
                <w:sz w:val="16"/>
                <w:szCs w:val="16"/>
                <w:b w:val="1"/>
                <w:bCs w:val="1"/>
                <w:i w:val="1"/>
                <w:iCs w:val="1"/>
                <w:color w:val="007CBA"/>
              </w:rPr>
              <w:t>Key attributes,</w:t>
            </w:r>
          </w:p>
        </w:tc>
        <w:tc>
          <w:tcPr>
            <w:tcW w:w="0" w:type="dxa"/>
            <w:vAlign w:val="bottom"/>
          </w:tcPr>
          <w:p>
            <w:pPr>
              <w:spacing w:after="0"/>
              <w:rPr>
                <w:sz w:val="1"/>
                <w:szCs w:val="1"/>
                <w:color w:val="auto"/>
              </w:rPr>
            </w:pPr>
          </w:p>
        </w:tc>
      </w:tr>
      <w:tr>
        <w:trPr>
          <w:trHeight w:val="189"/>
        </w:trPr>
        <w:tc>
          <w:tcPr>
            <w:tcW w:w="6000" w:type="dxa"/>
            <w:vAlign w:val="bottom"/>
          </w:tcPr>
          <w:p>
            <w:pPr>
              <w:spacing w:after="0"/>
              <w:rPr>
                <w:sz w:val="20"/>
                <w:szCs w:val="20"/>
                <w:color w:val="auto"/>
              </w:rPr>
            </w:pPr>
            <w:r>
              <w:rPr>
                <w:rFonts w:ascii="Arial" w:cs="Arial" w:eastAsia="Arial" w:hAnsi="Arial"/>
                <w:sz w:val="16"/>
                <w:szCs w:val="16"/>
                <w:color w:val="auto"/>
              </w:rPr>
              <w:t>Composite Solutions International, a developer and maker of composite materials</w:t>
            </w:r>
          </w:p>
        </w:tc>
        <w:tc>
          <w:tcPr>
            <w:tcW w:w="2580" w:type="dxa"/>
            <w:vAlign w:val="bottom"/>
            <w:gridSpan w:val="2"/>
          </w:tcPr>
          <w:p>
            <w:pPr>
              <w:ind w:left="60"/>
              <w:spacing w:after="0"/>
              <w:rPr>
                <w:sz w:val="20"/>
                <w:szCs w:val="20"/>
                <w:color w:val="auto"/>
              </w:rPr>
            </w:pPr>
            <w:r>
              <w:rPr>
                <w:rFonts w:ascii="Arial" w:cs="Arial" w:eastAsia="Arial" w:hAnsi="Arial"/>
                <w:sz w:val="16"/>
                <w:szCs w:val="16"/>
                <w:b w:val="1"/>
                <w:bCs w:val="1"/>
                <w:i w:val="1"/>
                <w:iCs w:val="1"/>
                <w:color w:val="007CBA"/>
              </w:rPr>
              <w:t>experience and skills:</w:t>
            </w:r>
          </w:p>
        </w:tc>
        <w:tc>
          <w:tcPr>
            <w:tcW w:w="0" w:type="dxa"/>
            <w:vAlign w:val="bottom"/>
          </w:tcPr>
          <w:p>
            <w:pPr>
              <w:spacing w:after="0"/>
              <w:rPr>
                <w:sz w:val="1"/>
                <w:szCs w:val="1"/>
                <w:color w:val="auto"/>
              </w:rPr>
            </w:pPr>
          </w:p>
        </w:tc>
      </w:tr>
      <w:tr>
        <w:trPr>
          <w:trHeight w:val="189"/>
        </w:trPr>
        <w:tc>
          <w:tcPr>
            <w:tcW w:w="6000" w:type="dxa"/>
            <w:vAlign w:val="bottom"/>
          </w:tcPr>
          <w:p>
            <w:pPr>
              <w:spacing w:after="0"/>
              <w:rPr>
                <w:sz w:val="20"/>
                <w:szCs w:val="20"/>
                <w:color w:val="auto"/>
              </w:rPr>
            </w:pPr>
            <w:r>
              <w:rPr>
                <w:rFonts w:ascii="Arial" w:cs="Arial" w:eastAsia="Arial" w:hAnsi="Arial"/>
                <w:sz w:val="16"/>
                <w:szCs w:val="16"/>
                <w:color w:val="auto"/>
              </w:rPr>
              <w:t>for utility and municipal lighting applications, from 2011 until its sale to Highland</w:t>
            </w:r>
          </w:p>
        </w:tc>
        <w:tc>
          <w:tcPr>
            <w:tcW w:w="260" w:type="dxa"/>
            <w:vAlign w:val="bottom"/>
            <w:vMerge w:val="restart"/>
          </w:tcPr>
          <w:p>
            <w:pPr>
              <w:ind w:left="140"/>
              <w:spacing w:after="0"/>
              <w:rPr>
                <w:sz w:val="20"/>
                <w:szCs w:val="20"/>
                <w:color w:val="auto"/>
              </w:rPr>
            </w:pPr>
            <w:r>
              <w:rPr>
                <w:rFonts w:ascii="Arial" w:cs="Arial" w:eastAsia="Arial" w:hAnsi="Arial"/>
                <w:sz w:val="16"/>
                <w:szCs w:val="16"/>
                <w:color w:val="007CBA"/>
              </w:rPr>
              <w:t>•</w:t>
            </w:r>
          </w:p>
        </w:tc>
        <w:tc>
          <w:tcPr>
            <w:tcW w:w="2320" w:type="dxa"/>
            <w:vAlign w:val="bottom"/>
            <w:vMerge w:val="restart"/>
          </w:tcPr>
          <w:p>
            <w:pPr>
              <w:ind w:left="40"/>
              <w:spacing w:after="0"/>
              <w:rPr>
                <w:sz w:val="20"/>
                <w:szCs w:val="20"/>
                <w:color w:val="auto"/>
              </w:rPr>
            </w:pPr>
            <w:r>
              <w:rPr>
                <w:rFonts w:ascii="Arial" w:cs="Arial" w:eastAsia="Arial" w:hAnsi="Arial"/>
                <w:sz w:val="16"/>
                <w:szCs w:val="16"/>
                <w:color w:val="auto"/>
              </w:rPr>
              <w:t>Significant operating, financial,</w:t>
            </w:r>
          </w:p>
        </w:tc>
        <w:tc>
          <w:tcPr>
            <w:tcW w:w="0" w:type="dxa"/>
            <w:vAlign w:val="bottom"/>
          </w:tcPr>
          <w:p>
            <w:pPr>
              <w:spacing w:after="0"/>
              <w:rPr>
                <w:sz w:val="1"/>
                <w:szCs w:val="1"/>
                <w:color w:val="auto"/>
              </w:rPr>
            </w:pPr>
          </w:p>
        </w:tc>
      </w:tr>
      <w:tr>
        <w:trPr>
          <w:trHeight w:val="81"/>
        </w:trPr>
        <w:tc>
          <w:tcPr>
            <w:tcW w:w="6000" w:type="dxa"/>
            <w:vAlign w:val="bottom"/>
            <w:vMerge w:val="restart"/>
          </w:tcPr>
          <w:p>
            <w:pPr>
              <w:spacing w:after="0"/>
              <w:rPr>
                <w:sz w:val="20"/>
                <w:szCs w:val="20"/>
                <w:color w:val="auto"/>
              </w:rPr>
            </w:pPr>
            <w:r>
              <w:rPr>
                <w:rFonts w:ascii="Arial" w:cs="Arial" w:eastAsia="Arial" w:hAnsi="Arial"/>
                <w:sz w:val="16"/>
                <w:szCs w:val="16"/>
                <w:color w:val="auto"/>
              </w:rPr>
              <w:t>Industries in 2016. He is currently providing consulting and transition services to</w:t>
            </w:r>
          </w:p>
        </w:tc>
        <w:tc>
          <w:tcPr>
            <w:tcW w:w="260" w:type="dxa"/>
            <w:vAlign w:val="bottom"/>
            <w:vMerge w:val="continue"/>
          </w:tcPr>
          <w:p>
            <w:pPr>
              <w:spacing w:after="0"/>
              <w:rPr>
                <w:sz w:val="7"/>
                <w:szCs w:val="7"/>
                <w:color w:val="auto"/>
              </w:rPr>
            </w:pPr>
          </w:p>
        </w:tc>
        <w:tc>
          <w:tcPr>
            <w:tcW w:w="2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0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320" w:type="dxa"/>
            <w:vAlign w:val="bottom"/>
            <w:vMerge w:val="restart"/>
          </w:tcPr>
          <w:p>
            <w:pPr>
              <w:ind w:left="60"/>
              <w:spacing w:after="0"/>
              <w:rPr>
                <w:sz w:val="20"/>
                <w:szCs w:val="20"/>
                <w:color w:val="auto"/>
              </w:rPr>
            </w:pPr>
            <w:r>
              <w:rPr>
                <w:rFonts w:ascii="Arial" w:cs="Arial" w:eastAsia="Arial" w:hAnsi="Arial"/>
                <w:sz w:val="16"/>
                <w:szCs w:val="16"/>
                <w:color w:val="auto"/>
              </w:rPr>
              <w:t>leadership, strategic, audit, and</w:t>
            </w:r>
          </w:p>
        </w:tc>
        <w:tc>
          <w:tcPr>
            <w:tcW w:w="0" w:type="dxa"/>
            <w:vAlign w:val="bottom"/>
          </w:tcPr>
          <w:p>
            <w:pPr>
              <w:spacing w:after="0"/>
              <w:rPr>
                <w:sz w:val="1"/>
                <w:szCs w:val="1"/>
                <w:color w:val="auto"/>
              </w:rPr>
            </w:pPr>
          </w:p>
        </w:tc>
      </w:tr>
      <w:tr>
        <w:trPr>
          <w:trHeight w:val="81"/>
        </w:trPr>
        <w:tc>
          <w:tcPr>
            <w:tcW w:w="6000" w:type="dxa"/>
            <w:vAlign w:val="bottom"/>
            <w:vMerge w:val="restart"/>
          </w:tcPr>
          <w:p>
            <w:pPr>
              <w:spacing w:after="0"/>
              <w:rPr>
                <w:sz w:val="20"/>
                <w:szCs w:val="20"/>
                <w:color w:val="auto"/>
              </w:rPr>
            </w:pPr>
            <w:r>
              <w:rPr>
                <w:rFonts w:ascii="Arial" w:cs="Arial" w:eastAsia="Arial" w:hAnsi="Arial"/>
                <w:sz w:val="16"/>
                <w:szCs w:val="16"/>
                <w:color w:val="auto"/>
              </w:rPr>
              <w:t>Highland Industries. From 2009 to 2011, Mr. Rediker served as the President and</w:t>
            </w:r>
          </w:p>
        </w:tc>
        <w:tc>
          <w:tcPr>
            <w:tcW w:w="260" w:type="dxa"/>
            <w:vAlign w:val="bottom"/>
          </w:tcPr>
          <w:p>
            <w:pPr>
              <w:spacing w:after="0"/>
              <w:rPr>
                <w:sz w:val="7"/>
                <w:szCs w:val="7"/>
                <w:color w:val="auto"/>
              </w:rPr>
            </w:pPr>
          </w:p>
        </w:tc>
        <w:tc>
          <w:tcPr>
            <w:tcW w:w="2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0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320" w:type="dxa"/>
            <w:vAlign w:val="bottom"/>
            <w:vMerge w:val="restart"/>
          </w:tcPr>
          <w:p>
            <w:pPr>
              <w:ind w:left="60"/>
              <w:spacing w:after="0"/>
              <w:rPr>
                <w:sz w:val="20"/>
                <w:szCs w:val="20"/>
                <w:color w:val="auto"/>
              </w:rPr>
            </w:pPr>
            <w:r>
              <w:rPr>
                <w:rFonts w:ascii="Arial" w:cs="Arial" w:eastAsia="Arial" w:hAnsi="Arial"/>
                <w:sz w:val="16"/>
                <w:szCs w:val="16"/>
                <w:color w:val="auto"/>
              </w:rPr>
              <w:t>marketing experience</w:t>
            </w:r>
          </w:p>
        </w:tc>
        <w:tc>
          <w:tcPr>
            <w:tcW w:w="0" w:type="dxa"/>
            <w:vAlign w:val="bottom"/>
          </w:tcPr>
          <w:p>
            <w:pPr>
              <w:spacing w:after="0"/>
              <w:rPr>
                <w:sz w:val="1"/>
                <w:szCs w:val="1"/>
                <w:color w:val="auto"/>
              </w:rPr>
            </w:pPr>
          </w:p>
        </w:tc>
      </w:tr>
      <w:tr>
        <w:trPr>
          <w:trHeight w:val="111"/>
        </w:trPr>
        <w:tc>
          <w:tcPr>
            <w:tcW w:w="6000" w:type="dxa"/>
            <w:vAlign w:val="bottom"/>
            <w:vMerge w:val="restart"/>
          </w:tcPr>
          <w:p>
            <w:pPr>
              <w:spacing w:after="0"/>
              <w:rPr>
                <w:sz w:val="20"/>
                <w:szCs w:val="20"/>
                <w:color w:val="auto"/>
              </w:rPr>
            </w:pPr>
            <w:r>
              <w:rPr>
                <w:rFonts w:ascii="Arial" w:cs="Arial" w:eastAsia="Arial" w:hAnsi="Arial"/>
                <w:sz w:val="16"/>
                <w:szCs w:val="16"/>
                <w:color w:val="auto"/>
              </w:rPr>
              <w:t>Chief Operating Officer of B4C, LLC, a developer and maker of ceramic materials</w:t>
            </w:r>
          </w:p>
        </w:tc>
        <w:tc>
          <w:tcPr>
            <w:tcW w:w="260" w:type="dxa"/>
            <w:vAlign w:val="bottom"/>
          </w:tcPr>
          <w:p>
            <w:pPr>
              <w:spacing w:after="0"/>
              <w:rPr>
                <w:sz w:val="9"/>
                <w:szCs w:val="9"/>
                <w:color w:val="auto"/>
              </w:rPr>
            </w:pPr>
          </w:p>
        </w:tc>
        <w:tc>
          <w:tcPr>
            <w:tcW w:w="2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6000" w:type="dxa"/>
            <w:vAlign w:val="bottom"/>
            <w:vMerge w:val="continue"/>
          </w:tcPr>
          <w:p>
            <w:pPr>
              <w:spacing w:after="0"/>
              <w:rPr>
                <w:sz w:val="6"/>
                <w:szCs w:val="6"/>
                <w:color w:val="auto"/>
              </w:rPr>
            </w:pPr>
          </w:p>
        </w:tc>
        <w:tc>
          <w:tcPr>
            <w:tcW w:w="260" w:type="dxa"/>
            <w:vAlign w:val="bottom"/>
            <w:vMerge w:val="restart"/>
          </w:tcPr>
          <w:p>
            <w:pPr>
              <w:ind w:left="140"/>
              <w:spacing w:after="0"/>
              <w:rPr>
                <w:sz w:val="20"/>
                <w:szCs w:val="20"/>
                <w:color w:val="auto"/>
              </w:rPr>
            </w:pPr>
            <w:r>
              <w:rPr>
                <w:rFonts w:ascii="Arial" w:cs="Arial" w:eastAsia="Arial" w:hAnsi="Arial"/>
                <w:sz w:val="16"/>
                <w:szCs w:val="16"/>
                <w:color w:val="007CBA"/>
              </w:rPr>
              <w:t>•</w:t>
            </w:r>
          </w:p>
        </w:tc>
        <w:tc>
          <w:tcPr>
            <w:tcW w:w="2320" w:type="dxa"/>
            <w:vAlign w:val="bottom"/>
            <w:vMerge w:val="restart"/>
          </w:tcPr>
          <w:p>
            <w:pPr>
              <w:ind w:left="40"/>
              <w:spacing w:after="0"/>
              <w:rPr>
                <w:sz w:val="20"/>
                <w:szCs w:val="20"/>
                <w:color w:val="auto"/>
              </w:rPr>
            </w:pPr>
            <w:r>
              <w:rPr>
                <w:rFonts w:ascii="Arial" w:cs="Arial" w:eastAsia="Arial" w:hAnsi="Arial"/>
                <w:sz w:val="16"/>
                <w:szCs w:val="16"/>
                <w:color w:val="auto"/>
              </w:rPr>
              <w:t>Extensive experience in</w:t>
            </w:r>
          </w:p>
        </w:tc>
        <w:tc>
          <w:tcPr>
            <w:tcW w:w="0" w:type="dxa"/>
            <w:vAlign w:val="bottom"/>
          </w:tcPr>
          <w:p>
            <w:pPr>
              <w:spacing w:after="0"/>
              <w:rPr>
                <w:sz w:val="1"/>
                <w:szCs w:val="1"/>
                <w:color w:val="auto"/>
              </w:rPr>
            </w:pPr>
          </w:p>
        </w:tc>
      </w:tr>
      <w:tr>
        <w:trPr>
          <w:trHeight w:val="167"/>
        </w:trPr>
        <w:tc>
          <w:tcPr>
            <w:tcW w:w="6000" w:type="dxa"/>
            <w:vAlign w:val="bottom"/>
          </w:tcPr>
          <w:p>
            <w:pPr>
              <w:spacing w:after="0" w:line="167" w:lineRule="exact"/>
              <w:rPr>
                <w:sz w:val="20"/>
                <w:szCs w:val="20"/>
                <w:color w:val="auto"/>
              </w:rPr>
            </w:pPr>
            <w:r>
              <w:rPr>
                <w:rFonts w:ascii="Arial" w:cs="Arial" w:eastAsia="Arial" w:hAnsi="Arial"/>
                <w:sz w:val="16"/>
                <w:szCs w:val="16"/>
                <w:color w:val="auto"/>
              </w:rPr>
              <w:t>for defense and aerospace applications. He previously served as President and</w:t>
            </w:r>
          </w:p>
        </w:tc>
        <w:tc>
          <w:tcPr>
            <w:tcW w:w="260" w:type="dxa"/>
            <w:vAlign w:val="bottom"/>
            <w:vMerge w:val="continue"/>
          </w:tcPr>
          <w:p>
            <w:pPr>
              <w:spacing w:after="0"/>
              <w:rPr>
                <w:sz w:val="14"/>
                <w:szCs w:val="14"/>
                <w:color w:val="auto"/>
              </w:rPr>
            </w:pPr>
          </w:p>
        </w:tc>
        <w:tc>
          <w:tcPr>
            <w:tcW w:w="2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000" w:type="dxa"/>
            <w:vAlign w:val="bottom"/>
          </w:tcPr>
          <w:p>
            <w:pPr>
              <w:spacing w:after="0"/>
              <w:rPr>
                <w:sz w:val="20"/>
                <w:szCs w:val="20"/>
                <w:color w:val="auto"/>
              </w:rPr>
            </w:pPr>
            <w:r>
              <w:rPr>
                <w:rFonts w:ascii="Arial" w:cs="Arial" w:eastAsia="Arial" w:hAnsi="Arial"/>
                <w:sz w:val="16"/>
                <w:szCs w:val="16"/>
                <w:color w:val="auto"/>
              </w:rPr>
              <w:t>Chief Executive Officer and Director of The Standard Register Company, and as</w:t>
            </w:r>
          </w:p>
        </w:tc>
        <w:tc>
          <w:tcPr>
            <w:tcW w:w="260" w:type="dxa"/>
            <w:vAlign w:val="bottom"/>
          </w:tcPr>
          <w:p>
            <w:pPr>
              <w:spacing w:after="0"/>
              <w:rPr>
                <w:sz w:val="16"/>
                <w:szCs w:val="16"/>
                <w:color w:val="auto"/>
              </w:rPr>
            </w:pPr>
          </w:p>
        </w:tc>
        <w:tc>
          <w:tcPr>
            <w:tcW w:w="2320" w:type="dxa"/>
            <w:vAlign w:val="bottom"/>
          </w:tcPr>
          <w:p>
            <w:pPr>
              <w:ind w:left="60"/>
              <w:spacing w:after="0"/>
              <w:rPr>
                <w:sz w:val="20"/>
                <w:szCs w:val="20"/>
                <w:color w:val="auto"/>
              </w:rPr>
            </w:pPr>
            <w:r>
              <w:rPr>
                <w:rFonts w:ascii="Arial" w:cs="Arial" w:eastAsia="Arial" w:hAnsi="Arial"/>
                <w:sz w:val="16"/>
                <w:szCs w:val="16"/>
                <w:color w:val="auto"/>
              </w:rPr>
              <w:t>mergers and acquisitions,</w:t>
            </w:r>
          </w:p>
        </w:tc>
        <w:tc>
          <w:tcPr>
            <w:tcW w:w="0" w:type="dxa"/>
            <w:vAlign w:val="bottom"/>
          </w:tcPr>
          <w:p>
            <w:pPr>
              <w:spacing w:after="0"/>
              <w:rPr>
                <w:sz w:val="1"/>
                <w:szCs w:val="1"/>
                <w:color w:val="auto"/>
              </w:rPr>
            </w:pPr>
          </w:p>
        </w:tc>
      </w:tr>
      <w:tr>
        <w:trPr>
          <w:trHeight w:val="189"/>
        </w:trPr>
        <w:tc>
          <w:tcPr>
            <w:tcW w:w="6000" w:type="dxa"/>
            <w:vAlign w:val="bottom"/>
          </w:tcPr>
          <w:p>
            <w:pPr>
              <w:spacing w:after="0"/>
              <w:rPr>
                <w:sz w:val="20"/>
                <w:szCs w:val="20"/>
                <w:color w:val="auto"/>
              </w:rPr>
            </w:pPr>
            <w:r>
              <w:rPr>
                <w:rFonts w:ascii="Arial" w:cs="Arial" w:eastAsia="Arial" w:hAnsi="Arial"/>
                <w:sz w:val="16"/>
                <w:szCs w:val="16"/>
                <w:color w:val="auto"/>
              </w:rPr>
              <w:t>the Chief Executive Officer and a Director of English China Clays, plc. Mr. Rediker</w:t>
            </w:r>
          </w:p>
        </w:tc>
        <w:tc>
          <w:tcPr>
            <w:tcW w:w="260" w:type="dxa"/>
            <w:vAlign w:val="bottom"/>
          </w:tcPr>
          <w:p>
            <w:pPr>
              <w:spacing w:after="0"/>
              <w:rPr>
                <w:sz w:val="16"/>
                <w:szCs w:val="16"/>
                <w:color w:val="auto"/>
              </w:rPr>
            </w:pPr>
          </w:p>
        </w:tc>
        <w:tc>
          <w:tcPr>
            <w:tcW w:w="2320" w:type="dxa"/>
            <w:vAlign w:val="bottom"/>
          </w:tcPr>
          <w:p>
            <w:pPr>
              <w:ind w:left="60"/>
              <w:spacing w:after="0"/>
              <w:rPr>
                <w:sz w:val="20"/>
                <w:szCs w:val="20"/>
                <w:color w:val="auto"/>
              </w:rPr>
            </w:pPr>
            <w:r>
              <w:rPr>
                <w:rFonts w:ascii="Arial" w:cs="Arial" w:eastAsia="Arial" w:hAnsi="Arial"/>
                <w:sz w:val="16"/>
                <w:szCs w:val="16"/>
                <w:color w:val="auto"/>
              </w:rPr>
              <w:t>environmental and safety, and</w:t>
            </w:r>
          </w:p>
        </w:tc>
        <w:tc>
          <w:tcPr>
            <w:tcW w:w="0" w:type="dxa"/>
            <w:vAlign w:val="bottom"/>
          </w:tcPr>
          <w:p>
            <w:pPr>
              <w:spacing w:after="0"/>
              <w:rPr>
                <w:sz w:val="1"/>
                <w:szCs w:val="1"/>
                <w:color w:val="auto"/>
              </w:rPr>
            </w:pPr>
          </w:p>
        </w:tc>
      </w:tr>
      <w:tr>
        <w:trPr>
          <w:trHeight w:val="211"/>
        </w:trPr>
        <w:tc>
          <w:tcPr>
            <w:tcW w:w="6000" w:type="dxa"/>
            <w:vAlign w:val="bottom"/>
          </w:tcPr>
          <w:p>
            <w:pPr>
              <w:spacing w:after="0"/>
              <w:rPr>
                <w:sz w:val="20"/>
                <w:szCs w:val="20"/>
                <w:color w:val="auto"/>
              </w:rPr>
            </w:pPr>
            <w:r>
              <w:rPr>
                <w:rFonts w:ascii="Arial" w:cs="Arial" w:eastAsia="Arial" w:hAnsi="Arial"/>
                <w:sz w:val="16"/>
                <w:szCs w:val="16"/>
                <w:color w:val="auto"/>
              </w:rPr>
              <w:t>received a Bachelor’s degree from the University of California at Santa Barbara in</w:t>
            </w:r>
          </w:p>
        </w:tc>
        <w:tc>
          <w:tcPr>
            <w:tcW w:w="260" w:type="dxa"/>
            <w:vAlign w:val="bottom"/>
          </w:tcPr>
          <w:p>
            <w:pPr>
              <w:spacing w:after="0"/>
              <w:rPr>
                <w:sz w:val="18"/>
                <w:szCs w:val="18"/>
                <w:color w:val="auto"/>
              </w:rPr>
            </w:pPr>
          </w:p>
        </w:tc>
        <w:tc>
          <w:tcPr>
            <w:tcW w:w="2320" w:type="dxa"/>
            <w:vAlign w:val="bottom"/>
          </w:tcPr>
          <w:p>
            <w:pPr>
              <w:ind w:left="60"/>
              <w:spacing w:after="0"/>
              <w:rPr>
                <w:sz w:val="20"/>
                <w:szCs w:val="20"/>
                <w:color w:val="auto"/>
              </w:rPr>
            </w:pPr>
            <w:r>
              <w:rPr>
                <w:rFonts w:ascii="Arial" w:cs="Arial" w:eastAsia="Arial" w:hAnsi="Arial"/>
                <w:sz w:val="16"/>
                <w:szCs w:val="16"/>
                <w:color w:val="auto"/>
              </w:rPr>
              <w:t>customer service</w:t>
            </w:r>
          </w:p>
        </w:tc>
        <w:tc>
          <w:tcPr>
            <w:tcW w:w="0" w:type="dxa"/>
            <w:vAlign w:val="bottom"/>
          </w:tcPr>
          <w:p>
            <w:pPr>
              <w:spacing w:after="0"/>
              <w:rPr>
                <w:sz w:val="1"/>
                <w:szCs w:val="1"/>
                <w:color w:val="auto"/>
              </w:rPr>
            </w:pPr>
          </w:p>
        </w:tc>
      </w:tr>
      <w:tr>
        <w:trPr>
          <w:trHeight w:val="273"/>
        </w:trPr>
        <w:tc>
          <w:tcPr>
            <w:tcW w:w="6000" w:type="dxa"/>
            <w:vAlign w:val="bottom"/>
          </w:tcPr>
          <w:p>
            <w:pPr>
              <w:spacing w:after="0"/>
              <w:rPr>
                <w:sz w:val="20"/>
                <w:szCs w:val="20"/>
                <w:color w:val="auto"/>
              </w:rPr>
            </w:pPr>
            <w:r>
              <w:rPr>
                <w:rFonts w:ascii="Arial" w:cs="Arial" w:eastAsia="Arial" w:hAnsi="Arial"/>
                <w:sz w:val="16"/>
                <w:szCs w:val="16"/>
                <w:color w:val="auto"/>
              </w:rPr>
              <w:t>electrical engineering.</w:t>
            </w:r>
          </w:p>
        </w:tc>
        <w:tc>
          <w:tcPr>
            <w:tcW w:w="260" w:type="dxa"/>
            <w:vAlign w:val="bottom"/>
          </w:tcPr>
          <w:p>
            <w:pPr>
              <w:ind w:left="140"/>
              <w:spacing w:after="0"/>
              <w:rPr>
                <w:sz w:val="20"/>
                <w:szCs w:val="20"/>
                <w:color w:val="auto"/>
              </w:rPr>
            </w:pPr>
            <w:r>
              <w:rPr>
                <w:rFonts w:ascii="Arial" w:cs="Arial" w:eastAsia="Arial" w:hAnsi="Arial"/>
                <w:sz w:val="16"/>
                <w:szCs w:val="16"/>
                <w:color w:val="007CBA"/>
              </w:rPr>
              <w:t>•</w:t>
            </w:r>
          </w:p>
        </w:tc>
        <w:tc>
          <w:tcPr>
            <w:tcW w:w="2320" w:type="dxa"/>
            <w:vAlign w:val="bottom"/>
          </w:tcPr>
          <w:p>
            <w:pPr>
              <w:ind w:left="40"/>
              <w:spacing w:after="0"/>
              <w:rPr>
                <w:sz w:val="20"/>
                <w:szCs w:val="20"/>
                <w:color w:val="auto"/>
              </w:rPr>
            </w:pPr>
            <w:r>
              <w:rPr>
                <w:rFonts w:ascii="Arial" w:cs="Arial" w:eastAsia="Arial" w:hAnsi="Arial"/>
                <w:sz w:val="16"/>
                <w:szCs w:val="16"/>
                <w:color w:val="auto"/>
              </w:rPr>
              <w:t>Expertise in corporate strategy</w:t>
            </w:r>
          </w:p>
        </w:tc>
        <w:tc>
          <w:tcPr>
            <w:tcW w:w="0" w:type="dxa"/>
            <w:vAlign w:val="bottom"/>
          </w:tcPr>
          <w:p>
            <w:pPr>
              <w:spacing w:after="0"/>
              <w:rPr>
                <w:sz w:val="1"/>
                <w:szCs w:val="1"/>
                <w:color w:val="auto"/>
              </w:rPr>
            </w:pPr>
          </w:p>
        </w:tc>
      </w:tr>
    </w:tbl>
    <w:p>
      <w:pPr>
        <w:spacing w:after="0" w:line="35" w:lineRule="exact"/>
        <w:rPr>
          <w:sz w:val="20"/>
          <w:szCs w:val="20"/>
          <w:color w:val="auto"/>
        </w:rPr>
      </w:pPr>
    </w:p>
    <w:p>
      <w:pPr>
        <w:jc w:val="right"/>
        <w:ind w:right="9780"/>
        <w:spacing w:after="0" w:line="253" w:lineRule="exact"/>
        <w:rPr>
          <w:sz w:val="20"/>
          <w:szCs w:val="20"/>
          <w:color w:val="auto"/>
        </w:rPr>
      </w:pPr>
      <w:r>
        <w:rPr>
          <w:rFonts w:ascii="MS PGothic" w:cs="MS PGothic" w:eastAsia="MS PGothic" w:hAnsi="MS PGothic"/>
          <w:sz w:val="22"/>
          <w:szCs w:val="22"/>
          <w:color w:val="007CBA"/>
        </w:rPr>
        <w:t>◆</w:t>
      </w:r>
      <w:r>
        <w:rPr>
          <w:rFonts w:ascii="Arial" w:cs="Arial" w:eastAsia="Arial" w:hAnsi="Arial"/>
          <w:sz w:val="22"/>
          <w:szCs w:val="22"/>
          <w:b w:val="1"/>
          <w:bCs w:val="1"/>
          <w:color w:val="007CBA"/>
        </w:rPr>
        <w:t>DENNIS L.</w:t>
      </w:r>
    </w:p>
    <w:p>
      <w:pPr>
        <w:spacing w:after="0" w:line="45" w:lineRule="exact"/>
        <w:rPr>
          <w:sz w:val="20"/>
          <w:szCs w:val="20"/>
          <w:color w:val="auto"/>
        </w:rPr>
      </w:pPr>
    </w:p>
    <w:p>
      <w:pPr>
        <w:jc w:val="right"/>
        <w:ind w:right="9800"/>
        <w:spacing w:after="0"/>
        <w:rPr>
          <w:sz w:val="20"/>
          <w:szCs w:val="20"/>
          <w:color w:val="auto"/>
        </w:rPr>
      </w:pPr>
      <w:r>
        <w:rPr>
          <w:rFonts w:ascii="Arial" w:cs="Arial" w:eastAsia="Arial" w:hAnsi="Arial"/>
          <w:sz w:val="22"/>
          <w:szCs w:val="22"/>
          <w:b w:val="1"/>
          <w:bCs w:val="1"/>
          <w:color w:val="007CBA"/>
        </w:rPr>
        <w:t>REDIKER</w:t>
      </w:r>
    </w:p>
    <w:p>
      <w:pPr>
        <w:spacing w:after="0" w:line="103"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2003</w:t>
      </w:r>
    </w:p>
    <w:p>
      <w:pPr>
        <w:spacing w:after="0" w:line="77"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74</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Member of the Audit</w:t>
      </w:r>
    </w:p>
    <w:p>
      <w:pPr>
        <w:spacing w:after="0" w:line="2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Committee and the</w:t>
      </w:r>
    </w:p>
    <w:p>
      <w:pPr>
        <w:spacing w:after="0" w:line="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Finance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250825</wp:posOffset>
            </wp:positionV>
            <wp:extent cx="6997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007CBA"/>
        </w:rPr>
        <w:t>Director Compensation</w:t>
      </w:r>
    </w:p>
    <w:p>
      <w:pPr>
        <w:spacing w:after="0" w:line="242" w:lineRule="exact"/>
        <w:rPr>
          <w:sz w:val="20"/>
          <w:szCs w:val="20"/>
          <w:color w:val="auto"/>
        </w:rPr>
      </w:pPr>
    </w:p>
    <w:p>
      <w:pPr>
        <w:jc w:val="both"/>
        <w:ind w:left="220"/>
        <w:spacing w:after="0" w:line="251" w:lineRule="auto"/>
        <w:rPr>
          <w:sz w:val="20"/>
          <w:szCs w:val="20"/>
          <w:color w:val="auto"/>
        </w:rPr>
      </w:pPr>
      <w:r>
        <w:rPr>
          <w:rFonts w:ascii="Arial" w:cs="Arial" w:eastAsia="Arial" w:hAnsi="Arial"/>
          <w:sz w:val="16"/>
          <w:szCs w:val="16"/>
          <w:color w:val="auto"/>
        </w:rPr>
        <w:t>Martin Marietta uses a combination of cash and stock-based compensation to attract and retain qualified candidates to serve on the Board of Directors. In setting Director compensation, Martin Marietta considers the significant amount of time that Directors expend in fulfilling their duties to Martin Marietta as well as the skill level required by Martin Marietta of members of the Board. The Board determines reasonable compensation for Directors upon recommendation of the Management Development and Compensation Committee of the Board, which retains an independent compensation consultant to assist it in making each recommendation.</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Cash Compensation Paid to Board Members</w:t>
      </w:r>
    </w:p>
    <w:p>
      <w:pPr>
        <w:spacing w:after="0" w:line="114" w:lineRule="exact"/>
        <w:rPr>
          <w:sz w:val="20"/>
          <w:szCs w:val="20"/>
          <w:color w:val="auto"/>
        </w:rPr>
      </w:pPr>
    </w:p>
    <w:p>
      <w:pPr>
        <w:jc w:val="both"/>
        <w:ind w:left="220" w:right="20"/>
        <w:spacing w:after="0" w:line="264" w:lineRule="auto"/>
        <w:rPr>
          <w:sz w:val="20"/>
          <w:szCs w:val="20"/>
          <w:color w:val="auto"/>
        </w:rPr>
      </w:pPr>
      <w:r>
        <w:rPr>
          <w:rFonts w:ascii="Arial" w:cs="Arial" w:eastAsia="Arial" w:hAnsi="Arial"/>
          <w:sz w:val="16"/>
          <w:szCs w:val="16"/>
          <w:color w:val="auto"/>
        </w:rPr>
        <w:t>The cash-based elements of annual Director compensation for fiscal year 2017 paid in quarterly installments, measured from the end of the month during which the Annual Meeting of Shareholders is held. were as follows.</w:t>
      </w:r>
    </w:p>
    <w:p>
      <w:pPr>
        <w:spacing w:after="0" w:line="203" w:lineRule="exact"/>
        <w:rPr>
          <w:sz w:val="20"/>
          <w:szCs w:val="20"/>
          <w:color w:val="auto"/>
        </w:rPr>
      </w:pPr>
    </w:p>
    <w:tbl>
      <w:tblPr>
        <w:tblLayout w:type="fixed"/>
        <w:tblInd w:w="220" w:type="dxa"/>
        <w:tblCellMar>
          <w:top w:w="0" w:type="dxa"/>
          <w:left w:w="0" w:type="dxa"/>
          <w:bottom w:w="0" w:type="dxa"/>
          <w:right w:w="0" w:type="dxa"/>
        </w:tblCellMar>
      </w:tblPr>
      <w:tr>
        <w:trPr>
          <w:trHeight w:val="214"/>
        </w:trPr>
        <w:tc>
          <w:tcPr>
            <w:tcW w:w="3360" w:type="dxa"/>
            <w:vAlign w:val="bottom"/>
            <w:tcBorders>
              <w:bottom w:val="single" w:sz="8" w:color="A5D1E6"/>
            </w:tcBorders>
          </w:tcPr>
          <w:p>
            <w:pPr>
              <w:ind w:left="220"/>
              <w:spacing w:after="0"/>
              <w:rPr>
                <w:sz w:val="20"/>
                <w:szCs w:val="20"/>
                <w:color w:val="auto"/>
              </w:rPr>
            </w:pPr>
            <w:r>
              <w:rPr>
                <w:rFonts w:ascii="Arial" w:cs="Arial" w:eastAsia="Arial" w:hAnsi="Arial"/>
                <w:sz w:val="16"/>
                <w:szCs w:val="16"/>
                <w:color w:val="007CBA"/>
              </w:rPr>
              <w:t>Annual Board cash retainer</w:t>
            </w:r>
          </w:p>
        </w:tc>
        <w:tc>
          <w:tcPr>
            <w:tcW w:w="340" w:type="dxa"/>
            <w:vAlign w:val="bottom"/>
            <w:tcBorders>
              <w:bottom w:val="single" w:sz="8" w:color="A5D1E6"/>
            </w:tcBorders>
            <w:gridSpan w:val="2"/>
          </w:tcPr>
          <w:p>
            <w:pPr>
              <w:jc w:val="right"/>
              <w:spacing w:after="0"/>
              <w:rPr>
                <w:sz w:val="20"/>
                <w:szCs w:val="20"/>
                <w:color w:val="auto"/>
              </w:rPr>
            </w:pPr>
            <w:r>
              <w:rPr>
                <w:rFonts w:ascii="Arial" w:cs="Arial" w:eastAsia="Arial" w:hAnsi="Arial"/>
                <w:sz w:val="16"/>
                <w:szCs w:val="16"/>
                <w:color w:val="007CBA"/>
              </w:rPr>
              <w:t>$</w:t>
            </w:r>
          </w:p>
        </w:tc>
        <w:tc>
          <w:tcPr>
            <w:tcW w:w="1580" w:type="dxa"/>
            <w:vAlign w:val="bottom"/>
            <w:tcBorders>
              <w:bottom w:val="single" w:sz="8" w:color="A5D1E6"/>
            </w:tcBorders>
          </w:tcPr>
          <w:p>
            <w:pPr>
              <w:jc w:val="right"/>
              <w:ind w:right="899"/>
              <w:spacing w:after="0"/>
              <w:rPr>
                <w:sz w:val="20"/>
                <w:szCs w:val="20"/>
                <w:color w:val="auto"/>
              </w:rPr>
            </w:pPr>
            <w:r>
              <w:rPr>
                <w:rFonts w:ascii="Arial" w:cs="Arial" w:eastAsia="Arial" w:hAnsi="Arial"/>
                <w:sz w:val="16"/>
                <w:szCs w:val="16"/>
                <w:color w:val="007CBA"/>
              </w:rPr>
              <w:t>100,000</w:t>
            </w:r>
          </w:p>
        </w:tc>
      </w:tr>
      <w:tr>
        <w:trPr>
          <w:trHeight w:val="189"/>
        </w:trPr>
        <w:tc>
          <w:tcPr>
            <w:tcW w:w="3360" w:type="dxa"/>
            <w:vAlign w:val="bottom"/>
            <w:tcBorders>
              <w:bottom w:val="single" w:sz="8" w:color="A5D1E6"/>
            </w:tcBorders>
            <w:shd w:val="clear" w:color="auto" w:fill="CCE4F1"/>
          </w:tcPr>
          <w:p>
            <w:pPr>
              <w:ind w:left="220"/>
              <w:spacing w:after="0" w:line="189" w:lineRule="exact"/>
              <w:rPr>
                <w:sz w:val="20"/>
                <w:szCs w:val="20"/>
                <w:color w:val="auto"/>
              </w:rPr>
            </w:pPr>
            <w:r>
              <w:rPr>
                <w:rFonts w:ascii="Arial" w:cs="Arial" w:eastAsia="Arial" w:hAnsi="Arial"/>
                <w:sz w:val="13"/>
                <w:szCs w:val="13"/>
                <w:color w:val="007CBA"/>
              </w:rPr>
              <w:t>Annual committee chair retainer</w:t>
            </w:r>
            <w:r>
              <w:rPr>
                <w:rFonts w:ascii="Arial" w:cs="Arial" w:eastAsia="Arial" w:hAnsi="Arial"/>
                <w:sz w:val="21"/>
                <w:szCs w:val="21"/>
                <w:color w:val="007CBA"/>
                <w:vertAlign w:val="superscript"/>
              </w:rPr>
              <w:t>1</w:t>
            </w:r>
          </w:p>
        </w:tc>
        <w:tc>
          <w:tcPr>
            <w:tcW w:w="20" w:type="dxa"/>
            <w:vAlign w:val="bottom"/>
            <w:tcBorders>
              <w:bottom w:val="single" w:sz="8" w:color="A5D1E6"/>
            </w:tcBorders>
            <w:shd w:val="clear" w:color="auto" w:fill="CCE4F1"/>
          </w:tcPr>
          <w:p>
            <w:pPr>
              <w:spacing w:after="0"/>
              <w:rPr>
                <w:sz w:val="16"/>
                <w:szCs w:val="16"/>
                <w:color w:val="auto"/>
              </w:rPr>
            </w:pPr>
          </w:p>
        </w:tc>
        <w:tc>
          <w:tcPr>
            <w:tcW w:w="320" w:type="dxa"/>
            <w:vAlign w:val="bottom"/>
            <w:tcBorders>
              <w:bottom w:val="single" w:sz="8" w:color="CCE4F1"/>
            </w:tcBorders>
            <w:shd w:val="clear" w:color="auto" w:fill="CCE4F1"/>
          </w:tcPr>
          <w:p>
            <w:pPr>
              <w:jc w:val="right"/>
              <w:spacing w:after="0"/>
              <w:rPr>
                <w:sz w:val="20"/>
                <w:szCs w:val="20"/>
                <w:color w:val="auto"/>
              </w:rPr>
            </w:pPr>
            <w:r>
              <w:rPr>
                <w:rFonts w:ascii="Arial" w:cs="Arial" w:eastAsia="Arial" w:hAnsi="Arial"/>
                <w:sz w:val="16"/>
                <w:szCs w:val="16"/>
                <w:color w:val="007CBA"/>
              </w:rPr>
              <w:t>$</w:t>
            </w:r>
          </w:p>
        </w:tc>
        <w:tc>
          <w:tcPr>
            <w:tcW w:w="1580" w:type="dxa"/>
            <w:vAlign w:val="bottom"/>
            <w:tcBorders>
              <w:bottom w:val="single" w:sz="8" w:color="CCE4F1"/>
            </w:tcBorders>
            <w:shd w:val="clear" w:color="auto" w:fill="CCE4F1"/>
          </w:tcPr>
          <w:p>
            <w:pPr>
              <w:jc w:val="right"/>
              <w:ind w:right="899"/>
              <w:spacing w:after="0"/>
              <w:rPr>
                <w:sz w:val="20"/>
                <w:szCs w:val="20"/>
                <w:color w:val="auto"/>
              </w:rPr>
            </w:pPr>
            <w:r>
              <w:rPr>
                <w:rFonts w:ascii="Arial" w:cs="Arial" w:eastAsia="Arial" w:hAnsi="Arial"/>
                <w:sz w:val="16"/>
                <w:szCs w:val="16"/>
                <w:color w:val="007CBA"/>
              </w:rPr>
              <w:t>8,000</w:t>
            </w:r>
          </w:p>
        </w:tc>
      </w:tr>
      <w:tr>
        <w:trPr>
          <w:trHeight w:val="183"/>
        </w:trPr>
        <w:tc>
          <w:tcPr>
            <w:tcW w:w="3360" w:type="dxa"/>
            <w:vAlign w:val="bottom"/>
            <w:tcBorders>
              <w:bottom w:val="single" w:sz="8" w:color="A5D1E6"/>
            </w:tcBorders>
          </w:tcPr>
          <w:p>
            <w:pPr>
              <w:ind w:left="220"/>
              <w:spacing w:after="0" w:line="183" w:lineRule="exact"/>
              <w:rPr>
                <w:sz w:val="20"/>
                <w:szCs w:val="20"/>
                <w:color w:val="auto"/>
              </w:rPr>
            </w:pPr>
            <w:r>
              <w:rPr>
                <w:rFonts w:ascii="Arial" w:cs="Arial" w:eastAsia="Arial" w:hAnsi="Arial"/>
                <w:sz w:val="13"/>
                <w:szCs w:val="13"/>
                <w:color w:val="007CBA"/>
              </w:rPr>
              <w:t>Annual Audit Committee chair retainer</w:t>
            </w:r>
            <w:r>
              <w:rPr>
                <w:rFonts w:ascii="Arial" w:cs="Arial" w:eastAsia="Arial" w:hAnsi="Arial"/>
                <w:sz w:val="21"/>
                <w:szCs w:val="21"/>
                <w:color w:val="007CBA"/>
                <w:vertAlign w:val="superscript"/>
              </w:rPr>
              <w:t>2</w:t>
            </w:r>
          </w:p>
        </w:tc>
        <w:tc>
          <w:tcPr>
            <w:tcW w:w="340" w:type="dxa"/>
            <w:vAlign w:val="bottom"/>
            <w:tcBorders>
              <w:bottom w:val="single" w:sz="8" w:color="A5D1E6"/>
            </w:tcBorders>
            <w:gridSpan w:val="2"/>
          </w:tcPr>
          <w:p>
            <w:pPr>
              <w:jc w:val="right"/>
              <w:spacing w:after="0" w:line="183" w:lineRule="exact"/>
              <w:rPr>
                <w:sz w:val="20"/>
                <w:szCs w:val="20"/>
                <w:color w:val="auto"/>
              </w:rPr>
            </w:pPr>
            <w:r>
              <w:rPr>
                <w:rFonts w:ascii="Arial" w:cs="Arial" w:eastAsia="Arial" w:hAnsi="Arial"/>
                <w:sz w:val="16"/>
                <w:szCs w:val="16"/>
                <w:color w:val="007CBA"/>
              </w:rPr>
              <w:t>$</w:t>
            </w:r>
          </w:p>
        </w:tc>
        <w:tc>
          <w:tcPr>
            <w:tcW w:w="1580" w:type="dxa"/>
            <w:vAlign w:val="bottom"/>
            <w:tcBorders>
              <w:bottom w:val="single" w:sz="8" w:color="A5D1E6"/>
            </w:tcBorders>
          </w:tcPr>
          <w:p>
            <w:pPr>
              <w:jc w:val="right"/>
              <w:ind w:right="899"/>
              <w:spacing w:after="0" w:line="183" w:lineRule="exact"/>
              <w:rPr>
                <w:sz w:val="20"/>
                <w:szCs w:val="20"/>
                <w:color w:val="auto"/>
              </w:rPr>
            </w:pPr>
            <w:r>
              <w:rPr>
                <w:rFonts w:ascii="Arial" w:cs="Arial" w:eastAsia="Arial" w:hAnsi="Arial"/>
                <w:sz w:val="16"/>
                <w:szCs w:val="16"/>
                <w:color w:val="007CBA"/>
              </w:rPr>
              <w:t>15,000</w:t>
            </w:r>
          </w:p>
        </w:tc>
      </w:tr>
      <w:tr>
        <w:trPr>
          <w:trHeight w:val="183"/>
        </w:trPr>
        <w:tc>
          <w:tcPr>
            <w:tcW w:w="3360" w:type="dxa"/>
            <w:vAlign w:val="bottom"/>
            <w:tcBorders>
              <w:bottom w:val="single" w:sz="8" w:color="A5D1E6"/>
            </w:tcBorders>
          </w:tcPr>
          <w:p>
            <w:pPr>
              <w:ind w:left="220"/>
              <w:spacing w:after="0" w:line="183" w:lineRule="exact"/>
              <w:rPr>
                <w:sz w:val="20"/>
                <w:szCs w:val="20"/>
                <w:color w:val="auto"/>
              </w:rPr>
            </w:pPr>
            <w:r>
              <w:rPr>
                <w:rFonts w:ascii="Arial" w:cs="Arial" w:eastAsia="Arial" w:hAnsi="Arial"/>
                <w:sz w:val="13"/>
                <w:szCs w:val="13"/>
                <w:color w:val="007CBA"/>
              </w:rPr>
              <w:t>Annual Audit Committee member retainer</w:t>
            </w:r>
            <w:r>
              <w:rPr>
                <w:rFonts w:ascii="Arial" w:cs="Arial" w:eastAsia="Arial" w:hAnsi="Arial"/>
                <w:sz w:val="21"/>
                <w:szCs w:val="21"/>
                <w:color w:val="007CBA"/>
                <w:vertAlign w:val="superscript"/>
              </w:rPr>
              <w:t>1</w:t>
            </w:r>
          </w:p>
        </w:tc>
        <w:tc>
          <w:tcPr>
            <w:tcW w:w="340" w:type="dxa"/>
            <w:vAlign w:val="bottom"/>
            <w:tcBorders>
              <w:bottom w:val="single" w:sz="8" w:color="A5D1E6"/>
            </w:tcBorders>
            <w:gridSpan w:val="2"/>
          </w:tcPr>
          <w:p>
            <w:pPr>
              <w:jc w:val="right"/>
              <w:spacing w:after="0" w:line="183" w:lineRule="exact"/>
              <w:rPr>
                <w:sz w:val="20"/>
                <w:szCs w:val="20"/>
                <w:color w:val="auto"/>
              </w:rPr>
            </w:pPr>
            <w:r>
              <w:rPr>
                <w:rFonts w:ascii="Arial" w:cs="Arial" w:eastAsia="Arial" w:hAnsi="Arial"/>
                <w:sz w:val="16"/>
                <w:szCs w:val="16"/>
                <w:color w:val="007CBA"/>
              </w:rPr>
              <w:t>$</w:t>
            </w:r>
          </w:p>
        </w:tc>
        <w:tc>
          <w:tcPr>
            <w:tcW w:w="1580" w:type="dxa"/>
            <w:vAlign w:val="bottom"/>
            <w:tcBorders>
              <w:bottom w:val="single" w:sz="8" w:color="A5D1E6"/>
            </w:tcBorders>
          </w:tcPr>
          <w:p>
            <w:pPr>
              <w:jc w:val="right"/>
              <w:ind w:right="899"/>
              <w:spacing w:after="0" w:line="183" w:lineRule="exact"/>
              <w:rPr>
                <w:sz w:val="20"/>
                <w:szCs w:val="20"/>
                <w:color w:val="auto"/>
              </w:rPr>
            </w:pPr>
            <w:r>
              <w:rPr>
                <w:rFonts w:ascii="Arial" w:cs="Arial" w:eastAsia="Arial" w:hAnsi="Arial"/>
                <w:sz w:val="16"/>
                <w:szCs w:val="16"/>
                <w:color w:val="007CBA"/>
              </w:rPr>
              <w:t>5,000</w:t>
            </w:r>
          </w:p>
        </w:tc>
      </w:tr>
      <w:tr>
        <w:trPr>
          <w:trHeight w:val="183"/>
        </w:trPr>
        <w:tc>
          <w:tcPr>
            <w:tcW w:w="3360" w:type="dxa"/>
            <w:vAlign w:val="bottom"/>
            <w:shd w:val="clear" w:color="auto" w:fill="CCE4F1"/>
          </w:tcPr>
          <w:p>
            <w:pPr>
              <w:ind w:left="220"/>
              <w:spacing w:after="0" w:line="183" w:lineRule="exact"/>
              <w:rPr>
                <w:sz w:val="20"/>
                <w:szCs w:val="20"/>
                <w:color w:val="auto"/>
              </w:rPr>
            </w:pPr>
            <w:r>
              <w:rPr>
                <w:rFonts w:ascii="Arial" w:cs="Arial" w:eastAsia="Arial" w:hAnsi="Arial"/>
                <w:sz w:val="13"/>
                <w:szCs w:val="13"/>
                <w:color w:val="007CBA"/>
              </w:rPr>
              <w:t>Annual Lead Director retainer</w:t>
            </w:r>
            <w:r>
              <w:rPr>
                <w:rFonts w:ascii="Arial" w:cs="Arial" w:eastAsia="Arial" w:hAnsi="Arial"/>
                <w:sz w:val="21"/>
                <w:szCs w:val="21"/>
                <w:color w:val="007CBA"/>
                <w:vertAlign w:val="superscript"/>
              </w:rPr>
              <w:t>3</w:t>
            </w:r>
          </w:p>
        </w:tc>
        <w:tc>
          <w:tcPr>
            <w:tcW w:w="340" w:type="dxa"/>
            <w:vAlign w:val="bottom"/>
            <w:gridSpan w:val="2"/>
            <w:shd w:val="clear" w:color="auto" w:fill="CCE4F1"/>
          </w:tcPr>
          <w:p>
            <w:pPr>
              <w:jc w:val="right"/>
              <w:spacing w:after="0" w:line="183" w:lineRule="exact"/>
              <w:rPr>
                <w:sz w:val="20"/>
                <w:szCs w:val="20"/>
                <w:color w:val="auto"/>
              </w:rPr>
            </w:pPr>
            <w:r>
              <w:rPr>
                <w:rFonts w:ascii="Arial" w:cs="Arial" w:eastAsia="Arial" w:hAnsi="Arial"/>
                <w:sz w:val="16"/>
                <w:szCs w:val="16"/>
                <w:color w:val="007CBA"/>
              </w:rPr>
              <w:t>$</w:t>
            </w:r>
          </w:p>
        </w:tc>
        <w:tc>
          <w:tcPr>
            <w:tcW w:w="1580" w:type="dxa"/>
            <w:vAlign w:val="bottom"/>
            <w:shd w:val="clear" w:color="auto" w:fill="CCE4F1"/>
          </w:tcPr>
          <w:p>
            <w:pPr>
              <w:jc w:val="right"/>
              <w:ind w:right="899"/>
              <w:spacing w:after="0" w:line="183" w:lineRule="exact"/>
              <w:rPr>
                <w:sz w:val="20"/>
                <w:szCs w:val="20"/>
                <w:color w:val="auto"/>
              </w:rPr>
            </w:pPr>
            <w:r>
              <w:rPr>
                <w:rFonts w:ascii="Arial" w:cs="Arial" w:eastAsia="Arial" w:hAnsi="Arial"/>
                <w:sz w:val="16"/>
                <w:szCs w:val="16"/>
                <w:color w:val="007CBA"/>
              </w:rPr>
              <w:t>25,000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-650875</wp:posOffset>
            </wp:positionV>
            <wp:extent cx="3353435" cy="660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53435" cy="660400"/>
                    </a:xfrm>
                    <a:prstGeom prst="rect">
                      <a:avLst/>
                    </a:prstGeom>
                    <a:noFill/>
                  </pic:spPr>
                </pic:pic>
              </a:graphicData>
            </a:graphic>
          </wp:anchor>
        </w:drawing>
      </w:r>
    </w:p>
    <w:p>
      <w:pPr>
        <w:ind w:left="340" w:hanging="129"/>
        <w:spacing w:after="0" w:line="180" w:lineRule="auto"/>
        <w:tabs>
          <w:tab w:leader="none" w:pos="340" w:val="left"/>
        </w:tabs>
        <w:numPr>
          <w:ilvl w:val="0"/>
          <w:numId w:val="25"/>
        </w:numPr>
        <w:rPr>
          <w:rFonts w:ascii="Arial" w:cs="Arial" w:eastAsia="Arial" w:hAnsi="Arial"/>
          <w:sz w:val="20"/>
          <w:szCs w:val="20"/>
          <w:color w:val="auto"/>
          <w:vertAlign w:val="superscript"/>
        </w:rPr>
      </w:pPr>
      <w:r>
        <w:rPr>
          <w:rFonts w:ascii="Arial" w:cs="Arial" w:eastAsia="Arial" w:hAnsi="Arial"/>
          <w:sz w:val="12"/>
          <w:szCs w:val="12"/>
          <w:color w:val="auto"/>
        </w:rPr>
        <w:t>This is in addition to the annual retainer in view of increased responsibilities</w:t>
      </w:r>
    </w:p>
    <w:p>
      <w:pPr>
        <w:jc w:val="both"/>
        <w:ind w:left="340" w:right="20" w:hanging="129"/>
        <w:spacing w:after="0" w:line="195" w:lineRule="auto"/>
        <w:tabs>
          <w:tab w:leader="none" w:pos="340" w:val="left"/>
        </w:tabs>
        <w:numPr>
          <w:ilvl w:val="0"/>
          <w:numId w:val="26"/>
        </w:numPr>
        <w:rPr>
          <w:rFonts w:ascii="Arial" w:cs="Arial" w:eastAsia="Arial" w:hAnsi="Arial"/>
          <w:sz w:val="24"/>
          <w:szCs w:val="24"/>
          <w:color w:val="auto"/>
          <w:vertAlign w:val="superscript"/>
        </w:rPr>
      </w:pPr>
      <w:r>
        <w:rPr>
          <w:rFonts w:ascii="Arial" w:cs="Arial" w:eastAsia="Arial" w:hAnsi="Arial"/>
          <w:sz w:val="14"/>
          <w:szCs w:val="14"/>
          <w:color w:val="auto"/>
        </w:rPr>
        <w:t>This is in addition to the annual retainer and the annual Audit Committee member retainer, but in lieu of the annual committee chair retainer in view of increased responsibilities</w:t>
      </w:r>
    </w:p>
    <w:p>
      <w:pPr>
        <w:ind w:left="340" w:right="20" w:hanging="129"/>
        <w:spacing w:after="0" w:line="189" w:lineRule="auto"/>
        <w:tabs>
          <w:tab w:leader="none" w:pos="340" w:val="left"/>
        </w:tabs>
        <w:numPr>
          <w:ilvl w:val="0"/>
          <w:numId w:val="27"/>
        </w:numPr>
        <w:rPr>
          <w:rFonts w:ascii="Arial" w:cs="Arial" w:eastAsia="Arial" w:hAnsi="Arial"/>
          <w:sz w:val="24"/>
          <w:szCs w:val="24"/>
          <w:color w:val="auto"/>
          <w:vertAlign w:val="superscript"/>
        </w:rPr>
      </w:pPr>
      <w:r>
        <w:rPr>
          <w:rFonts w:ascii="Arial" w:cs="Arial" w:eastAsia="Arial" w:hAnsi="Arial"/>
          <w:sz w:val="14"/>
          <w:szCs w:val="14"/>
          <w:color w:val="auto"/>
        </w:rPr>
        <w:t>This is in addition to the annual retainer and the annual committee chair retainers in view of increased responsibilities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 reimburses Directors for the travel expenses of, or provides transportation on Company aircraft for, Board and Committee meetings, meetings with management or independent consultants or advisors, and other Company-related events, such as Investor Day and meetings with potential Board candidates. Martin Marietta’s plane was used to transport some Directors to and from Board and committee meetings, but no Directors received personal use of Martin Marietta’s plane or other perquisites and personal benefits in 2017.</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Compensation Paid to Board Members</w:t>
      </w:r>
    </w:p>
    <w:p>
      <w:pPr>
        <w:spacing w:after="0" w:line="11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Non-employee Directors received an award of restricted stock units (RSUs) with a value of $100,000 (rounded up to the nearest RSU) based on the closing price as of the date of grant, which was generally immediately following the 2017 Annual Meeting of Shareholders in May 2017. In 2017, this award was 437 RSUs. The RSUs granted to the Directors in 2017 were fully vested upon award. Directors are required to defer at least 50% of the RSUs until retirement from the Board. Directors may choose to voluntarily defer an additional portion of their RSUs, and any RSUs that are not so deferred are settled in shares of common stock of Martin Marietta as soon as practicable following the grant date. The RSUs were awarded under the Martin Marietta Amended and Restated Stock-Based Award Plan (the “Stock Plan”), which was approved by shareholders on May 19, 2016. The Stock Plan provides that, during any calendar year, no non-employee Director may be granted (i) restricted shares and other full-value stock-based awards, including RSUs, in respect of more than 7,000 shares of common stock of Martin Marietta or (ii) options or stock appreciation rights in respect of more than 20,000 shares of common stock of Martin Marietta.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-259715</wp:posOffset>
            </wp:positionH>
            <wp:positionV relativeFrom="paragraph">
              <wp:posOffset>489585</wp:posOffset>
            </wp:positionV>
            <wp:extent cx="411480" cy="2489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690" w:lineRule="exact"/>
        <w:rPr>
          <w:sz w:val="20"/>
          <w:szCs w:val="20"/>
          <w:color w:val="auto"/>
        </w:rPr>
      </w:pPr>
    </w:p>
    <w:p>
      <w:pPr>
        <w:sectPr>
          <w:pgSz w:w="11900" w:h="16838" w:orient="portrait"/>
          <w:cols w:equalWidth="0" w:num="2">
            <w:col w:w="5500" w:space="320"/>
            <w:col w:w="5400"/>
          </w:cols>
          <w:pgMar w:left="240" w:top="455" w:right="439" w:bottom="1440" w:gutter="0" w:footer="0" w:header="0"/>
          <w:type w:val="continuous"/>
        </w:sectPr>
      </w:pPr>
    </w:p>
    <w:p>
      <w:pPr>
        <w:spacing w:after="0" w:line="96" w:lineRule="exact"/>
        <w:rPr>
          <w:sz w:val="20"/>
          <w:szCs w:val="20"/>
          <w:color w:val="auto"/>
        </w:rPr>
      </w:pPr>
    </w:p>
    <w:tbl>
      <w:tblPr>
        <w:tblLayout w:type="fixed"/>
        <w:tblInd w:w="9260" w:type="dxa"/>
        <w:tblCellMar>
          <w:top w:w="0" w:type="dxa"/>
          <w:left w:w="0" w:type="dxa"/>
          <w:bottom w:w="0" w:type="dxa"/>
          <w:right w:w="0" w:type="dxa"/>
        </w:tblCellMar>
      </w:tblPr>
      <w:tr>
        <w:trPr>
          <w:trHeight w:val="178"/>
        </w:trPr>
        <w:tc>
          <w:tcPr>
            <w:tcW w:w="1680" w:type="dxa"/>
            <w:vAlign w:val="bottom"/>
          </w:tcPr>
          <w:p>
            <w:pPr>
              <w:spacing w:after="0"/>
              <w:rPr>
                <w:sz w:val="20"/>
                <w:szCs w:val="20"/>
                <w:color w:val="auto"/>
              </w:rPr>
            </w:pPr>
            <w:r>
              <w:rPr>
                <w:rFonts w:ascii="Arial" w:cs="Arial" w:eastAsia="Arial" w:hAnsi="Arial"/>
                <w:sz w:val="13"/>
                <w:szCs w:val="13"/>
                <w:color w:val="007CBA"/>
              </w:rPr>
              <w:t>2018 PROXY STATEMENT</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rPr>
              <w:t>13</w:t>
            </w:r>
          </w:p>
        </w:tc>
      </w:tr>
    </w:tbl>
    <w:p>
      <w:pPr>
        <w:sectPr>
          <w:pgSz w:w="11900" w:h="16838" w:orient="portrait"/>
          <w:cols w:equalWidth="0" w:num="1">
            <w:col w:w="11220"/>
          </w:cols>
          <w:pgMar w:left="240" w:top="455" w:right="439" w:bottom="1440" w:gutter="0" w:footer="0" w:header="0"/>
          <w:type w:val="continuous"/>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64" w:lineRule="exact"/>
        <w:rPr>
          <w:sz w:val="20"/>
          <w:szCs w:val="20"/>
          <w:color w:val="auto"/>
        </w:rPr>
      </w:pPr>
    </w:p>
    <w:p>
      <w:pPr>
        <w:ind w:left="200"/>
        <w:spacing w:after="0" w:line="288" w:lineRule="exact"/>
        <w:rPr>
          <w:sz w:val="20"/>
          <w:szCs w:val="20"/>
          <w:color w:val="auto"/>
        </w:rPr>
      </w:pPr>
      <w:r>
        <w:rPr>
          <w:rFonts w:ascii="Arial" w:cs="Arial" w:eastAsia="Arial" w:hAnsi="Arial"/>
          <w:sz w:val="14"/>
          <w:szCs w:val="14"/>
          <w:color w:val="007CBA"/>
        </w:rPr>
        <w:t xml:space="preserve">Proposal 1: Election of Directors </w:t>
      </w:r>
      <w:r>
        <w:rPr>
          <w:rFonts w:ascii="MS PGothic" w:cs="MS PGothic" w:eastAsia="MS PGothic" w:hAnsi="MS PGothic"/>
          <w:sz w:val="25"/>
          <w:szCs w:val="25"/>
          <w:color w:val="007CBA"/>
        </w:rPr>
        <w:t>◆</w:t>
      </w:r>
      <w:r>
        <w:rPr>
          <w:rFonts w:ascii="Arial" w:cs="Arial" w:eastAsia="Arial" w:hAnsi="Arial"/>
          <w:sz w:val="14"/>
          <w:szCs w:val="14"/>
          <w:color w:val="007CBA"/>
        </w:rPr>
        <w:t xml:space="preserve"> </w:t>
      </w:r>
      <w:r>
        <w:rPr>
          <w:rFonts w:ascii="Arial" w:cs="Arial" w:eastAsia="Arial" w:hAnsi="Arial"/>
          <w:sz w:val="14"/>
          <w:szCs w:val="14"/>
          <w:color w:val="000000"/>
        </w:rPr>
        <w:t>Director Compensation</w:t>
      </w:r>
    </w:p>
    <w:p>
      <w:pPr>
        <w:spacing w:after="0" w:line="258" w:lineRule="exact"/>
        <w:rPr>
          <w:sz w:val="20"/>
          <w:szCs w:val="20"/>
          <w:color w:val="auto"/>
        </w:rPr>
      </w:pPr>
    </w:p>
    <w:p>
      <w:pPr>
        <w:jc w:val="both"/>
        <w:ind w:left="220"/>
        <w:spacing w:after="0" w:line="291" w:lineRule="auto"/>
        <w:rPr>
          <w:sz w:val="20"/>
          <w:szCs w:val="20"/>
          <w:color w:val="auto"/>
        </w:rPr>
      </w:pPr>
      <w:r>
        <w:rPr>
          <w:rFonts w:ascii="Arial" w:cs="Arial" w:eastAsia="Arial" w:hAnsi="Arial"/>
          <w:sz w:val="16"/>
          <w:szCs w:val="16"/>
          <w:color w:val="auto"/>
        </w:rPr>
        <w:t>The Directors do not have voting or investment power for their respective RSUs.</w:t>
      </w:r>
    </w:p>
    <w:p>
      <w:pPr>
        <w:spacing w:after="0" w:line="136"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Deferred Compensation Program for Board Members</w:t>
      </w:r>
    </w:p>
    <w:p>
      <w:pPr>
        <w:spacing w:after="0" w:line="114" w:lineRule="exact"/>
        <w:rPr>
          <w:sz w:val="20"/>
          <w:szCs w:val="20"/>
          <w:color w:val="auto"/>
        </w:rPr>
      </w:pPr>
    </w:p>
    <w:p>
      <w:pPr>
        <w:jc w:val="both"/>
        <w:ind w:left="220"/>
        <w:spacing w:after="0" w:line="253" w:lineRule="auto"/>
        <w:rPr>
          <w:sz w:val="20"/>
          <w:szCs w:val="20"/>
          <w:color w:val="auto"/>
        </w:rPr>
      </w:pPr>
      <w:r>
        <w:rPr>
          <w:rFonts w:ascii="Arial" w:cs="Arial" w:eastAsia="Arial" w:hAnsi="Arial"/>
          <w:sz w:val="16"/>
          <w:szCs w:val="16"/>
          <w:color w:val="auto"/>
        </w:rPr>
        <w:t>The Common Stock Purchase Plan for Directors provides that non-employee Directors may elect to receive all or a portion of their fees earned in 2017 in the form of Martin Marietta’s common stock units. If deferral is elected, there is a mandatory deferral minimum time of three years with, subject to certain restrictions, redeferrals at each Director’s election up to the date the person ceases to be a Director or the date that is one year and one month following the date that the person ceases to be a Director. Directors may elect to receive payment of the</w:t>
      </w:r>
    </w:p>
    <w:p>
      <w:pPr>
        <w:spacing w:after="0" w:line="314"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Director Compensation Table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 xml:space="preserve">deferred amount in a single lump sum or in equal annual installments for a period up to ten years. Amounts deferred under the plan in common stock are credited toward units of common stock at a 20% discount from the fair market value of the common stock (the closing price of the common stock as reported in the </w:t>
      </w:r>
      <w:r>
        <w:rPr>
          <w:rFonts w:ascii="Arial" w:cs="Arial" w:eastAsia="Arial" w:hAnsi="Arial"/>
          <w:sz w:val="16"/>
          <w:szCs w:val="16"/>
          <w:i w:val="1"/>
          <w:iCs w:val="1"/>
          <w:color w:val="auto"/>
        </w:rPr>
        <w:t>Wall Street Journal</w:t>
      </w:r>
      <w:r>
        <w:rPr>
          <w:rFonts w:ascii="Arial" w:cs="Arial" w:eastAsia="Arial" w:hAnsi="Arial"/>
          <w:sz w:val="16"/>
          <w:szCs w:val="16"/>
          <w:color w:val="auto"/>
        </w:rPr>
        <w:t>) on the date the Director fees would otherwise be paid. There are no matching contributions made by Martin Marietta. Dividend equivalents are paid on the units at the same rate as dividends are paid to all shareholders. The Directors do not have voting or investment power for their respective common stock units. Directors may also elect to defer their fees into a cash-based account on the same basis. Amounts deferred under the plan in cash are credited with interest at the prime rate as of January 1 of that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-2305685</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766" w:lineRule="exact"/>
        <w:rPr>
          <w:sz w:val="20"/>
          <w:szCs w:val="20"/>
          <w:color w:val="auto"/>
        </w:rPr>
      </w:pPr>
    </w:p>
    <w:p>
      <w:pPr>
        <w:sectPr>
          <w:pgSz w:w="11900" w:h="16838" w:orient="portrait"/>
          <w:cols w:equalWidth="0" w:num="2">
            <w:col w:w="5480" w:space="340"/>
            <w:col w:w="5420"/>
          </w:cols>
          <w:pgMar w:left="240" w:top="455" w:right="419" w:bottom="1440" w:gutter="0" w:footer="0" w:header="0"/>
        </w:sectPr>
      </w:pPr>
    </w:p>
    <w:p>
      <w:pPr>
        <w:ind w:left="200" w:right="20"/>
        <w:spacing w:after="0" w:line="291" w:lineRule="auto"/>
        <w:rPr>
          <w:sz w:val="20"/>
          <w:szCs w:val="20"/>
          <w:color w:val="auto"/>
        </w:rPr>
      </w:pPr>
      <w:r>
        <w:rPr>
          <w:rFonts w:ascii="Arial" w:cs="Arial" w:eastAsia="Arial" w:hAnsi="Arial"/>
          <w:sz w:val="16"/>
          <w:szCs w:val="16"/>
          <w:color w:val="auto"/>
        </w:rPr>
        <w:t>The table below summarizes the compensation paid by Martin Marietta to each person who served as a non-employee Director during the fiscal year ended December 31, 2017.</w:t>
      </w:r>
    </w:p>
    <w:p>
      <w:pPr>
        <w:spacing w:after="0" w:line="152"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4560" w:type="dxa"/>
            <w:vAlign w:val="bottom"/>
            <w:tcBorders>
              <w:right w:val="single" w:sz="8" w:color="007CBA"/>
            </w:tcBorders>
            <w:shd w:val="clear" w:color="auto" w:fill="007CBA"/>
          </w:tcPr>
          <w:p>
            <w:pPr>
              <w:spacing w:after="0"/>
              <w:rPr>
                <w:sz w:val="14"/>
                <w:szCs w:val="14"/>
                <w:color w:val="auto"/>
              </w:rPr>
            </w:pPr>
          </w:p>
        </w:tc>
        <w:tc>
          <w:tcPr>
            <w:tcW w:w="1160" w:type="dxa"/>
            <w:vAlign w:val="bottom"/>
            <w:tcBorders>
              <w:right w:val="single" w:sz="8" w:color="007CBA"/>
            </w:tcBorders>
            <w:shd w:val="clear" w:color="auto" w:fill="007CBA"/>
          </w:tcPr>
          <w:p>
            <w:pPr>
              <w:spacing w:after="0"/>
              <w:rPr>
                <w:sz w:val="14"/>
                <w:szCs w:val="14"/>
                <w:color w:val="auto"/>
              </w:rPr>
            </w:pPr>
          </w:p>
        </w:tc>
        <w:tc>
          <w:tcPr>
            <w:tcW w:w="1240" w:type="dxa"/>
            <w:vAlign w:val="bottom"/>
            <w:tcBorders>
              <w:right w:val="single" w:sz="8" w:color="007CBA"/>
            </w:tcBorders>
            <w:shd w:val="clear" w:color="auto" w:fill="007CBA"/>
          </w:tcPr>
          <w:p>
            <w:pPr>
              <w:spacing w:after="0"/>
              <w:rPr>
                <w:sz w:val="14"/>
                <w:szCs w:val="14"/>
                <w:color w:val="auto"/>
              </w:rPr>
            </w:pPr>
          </w:p>
        </w:tc>
        <w:tc>
          <w:tcPr>
            <w:tcW w:w="1600" w:type="dxa"/>
            <w:vAlign w:val="bottom"/>
            <w:tcBorders>
              <w:right w:val="single" w:sz="8" w:color="007CBA"/>
            </w:tcBorders>
            <w:shd w:val="clear" w:color="auto" w:fill="007CBA"/>
          </w:tcPr>
          <w:p>
            <w:pPr>
              <w:jc w:val="center"/>
              <w:ind w:left="189"/>
              <w:spacing w:after="0"/>
              <w:rPr>
                <w:sz w:val="20"/>
                <w:szCs w:val="20"/>
                <w:color w:val="auto"/>
              </w:rPr>
            </w:pPr>
            <w:r>
              <w:rPr>
                <w:rFonts w:ascii="Arial" w:cs="Arial" w:eastAsia="Arial" w:hAnsi="Arial"/>
                <w:sz w:val="14"/>
                <w:szCs w:val="14"/>
                <w:b w:val="1"/>
                <w:bCs w:val="1"/>
                <w:color w:val="FFFFFF"/>
              </w:rPr>
              <w:t>Change in Pension</w:t>
            </w:r>
          </w:p>
        </w:tc>
        <w:tc>
          <w:tcPr>
            <w:tcW w:w="1300" w:type="dxa"/>
            <w:vAlign w:val="bottom"/>
            <w:tcBorders>
              <w:right w:val="single" w:sz="8" w:color="007CBA"/>
            </w:tcBorders>
            <w:shd w:val="clear" w:color="auto" w:fill="007CBA"/>
          </w:tcPr>
          <w:p>
            <w:pPr>
              <w:spacing w:after="0"/>
              <w:rPr>
                <w:sz w:val="14"/>
                <w:szCs w:val="14"/>
                <w:color w:val="auto"/>
              </w:rPr>
            </w:pPr>
          </w:p>
        </w:tc>
        <w:tc>
          <w:tcPr>
            <w:tcW w:w="1160" w:type="dxa"/>
            <w:vAlign w:val="bottom"/>
            <w:shd w:val="clear" w:color="auto" w:fill="007CB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60" w:type="dxa"/>
            <w:vAlign w:val="bottom"/>
            <w:tcBorders>
              <w:right w:val="single" w:sz="8" w:color="007CBA"/>
            </w:tcBorders>
            <w:shd w:val="clear" w:color="auto" w:fill="007CBA"/>
          </w:tcPr>
          <w:p>
            <w:pPr>
              <w:spacing w:after="0"/>
              <w:rPr>
                <w:sz w:val="14"/>
                <w:szCs w:val="14"/>
                <w:color w:val="auto"/>
              </w:rPr>
            </w:pPr>
          </w:p>
        </w:tc>
        <w:tc>
          <w:tcPr>
            <w:tcW w:w="1160" w:type="dxa"/>
            <w:vAlign w:val="bottom"/>
            <w:tcBorders>
              <w:right w:val="single" w:sz="8" w:color="007CBA"/>
            </w:tcBorders>
            <w:shd w:val="clear" w:color="auto" w:fill="007CBA"/>
          </w:tcPr>
          <w:p>
            <w:pPr>
              <w:spacing w:after="0"/>
              <w:rPr>
                <w:sz w:val="14"/>
                <w:szCs w:val="14"/>
                <w:color w:val="auto"/>
              </w:rPr>
            </w:pPr>
          </w:p>
        </w:tc>
        <w:tc>
          <w:tcPr>
            <w:tcW w:w="1240" w:type="dxa"/>
            <w:vAlign w:val="bottom"/>
            <w:tcBorders>
              <w:right w:val="single" w:sz="8" w:color="007CBA"/>
            </w:tcBorders>
            <w:shd w:val="clear" w:color="auto" w:fill="007CBA"/>
          </w:tcPr>
          <w:p>
            <w:pPr>
              <w:spacing w:after="0"/>
              <w:rPr>
                <w:sz w:val="14"/>
                <w:szCs w:val="14"/>
                <w:color w:val="auto"/>
              </w:rPr>
            </w:pPr>
          </w:p>
        </w:tc>
        <w:tc>
          <w:tcPr>
            <w:tcW w:w="1600" w:type="dxa"/>
            <w:vAlign w:val="bottom"/>
            <w:tcBorders>
              <w:right w:val="single" w:sz="8" w:color="007CBA"/>
            </w:tcBorders>
            <w:shd w:val="clear" w:color="auto" w:fill="007CBA"/>
          </w:tcPr>
          <w:p>
            <w:pPr>
              <w:jc w:val="center"/>
              <w:ind w:left="169"/>
              <w:spacing w:after="0"/>
              <w:rPr>
                <w:sz w:val="20"/>
                <w:szCs w:val="20"/>
                <w:color w:val="auto"/>
              </w:rPr>
            </w:pPr>
            <w:r>
              <w:rPr>
                <w:rFonts w:ascii="Arial" w:cs="Arial" w:eastAsia="Arial" w:hAnsi="Arial"/>
                <w:sz w:val="14"/>
                <w:szCs w:val="14"/>
                <w:b w:val="1"/>
                <w:bCs w:val="1"/>
                <w:color w:val="FFFFFF"/>
              </w:rPr>
              <w:t>Value and</w:t>
            </w:r>
          </w:p>
        </w:tc>
        <w:tc>
          <w:tcPr>
            <w:tcW w:w="1300" w:type="dxa"/>
            <w:vAlign w:val="bottom"/>
            <w:tcBorders>
              <w:right w:val="single" w:sz="8" w:color="007CBA"/>
            </w:tcBorders>
            <w:shd w:val="clear" w:color="auto" w:fill="007CBA"/>
          </w:tcPr>
          <w:p>
            <w:pPr>
              <w:spacing w:after="0"/>
              <w:rPr>
                <w:sz w:val="14"/>
                <w:szCs w:val="14"/>
                <w:color w:val="auto"/>
              </w:rPr>
            </w:pPr>
          </w:p>
        </w:tc>
        <w:tc>
          <w:tcPr>
            <w:tcW w:w="1160" w:type="dxa"/>
            <w:vAlign w:val="bottom"/>
            <w:shd w:val="clear" w:color="auto" w:fill="007CB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60" w:type="dxa"/>
            <w:vAlign w:val="bottom"/>
            <w:tcBorders>
              <w:right w:val="single" w:sz="8" w:color="007CBA"/>
            </w:tcBorders>
            <w:shd w:val="clear" w:color="auto" w:fill="007CBA"/>
          </w:tcPr>
          <w:p>
            <w:pPr>
              <w:spacing w:after="0"/>
              <w:rPr>
                <w:sz w:val="14"/>
                <w:szCs w:val="14"/>
                <w:color w:val="auto"/>
              </w:rPr>
            </w:pPr>
          </w:p>
        </w:tc>
        <w:tc>
          <w:tcPr>
            <w:tcW w:w="1160" w:type="dxa"/>
            <w:vAlign w:val="bottom"/>
            <w:tcBorders>
              <w:right w:val="single" w:sz="8" w:color="007CBA"/>
            </w:tcBorders>
            <w:shd w:val="clear" w:color="auto" w:fill="007CBA"/>
          </w:tcPr>
          <w:p>
            <w:pPr>
              <w:spacing w:after="0"/>
              <w:rPr>
                <w:sz w:val="14"/>
                <w:szCs w:val="14"/>
                <w:color w:val="auto"/>
              </w:rPr>
            </w:pPr>
          </w:p>
        </w:tc>
        <w:tc>
          <w:tcPr>
            <w:tcW w:w="1240" w:type="dxa"/>
            <w:vAlign w:val="bottom"/>
            <w:tcBorders>
              <w:right w:val="single" w:sz="8" w:color="007CBA"/>
            </w:tcBorders>
            <w:shd w:val="clear" w:color="auto" w:fill="007CBA"/>
          </w:tcPr>
          <w:p>
            <w:pPr>
              <w:spacing w:after="0"/>
              <w:rPr>
                <w:sz w:val="14"/>
                <w:szCs w:val="14"/>
                <w:color w:val="auto"/>
              </w:rPr>
            </w:pPr>
          </w:p>
        </w:tc>
        <w:tc>
          <w:tcPr>
            <w:tcW w:w="1600" w:type="dxa"/>
            <w:vAlign w:val="bottom"/>
            <w:tcBorders>
              <w:right w:val="single" w:sz="8" w:color="007CBA"/>
            </w:tcBorders>
            <w:shd w:val="clear" w:color="auto" w:fill="007CBA"/>
          </w:tcPr>
          <w:p>
            <w:pPr>
              <w:jc w:val="center"/>
              <w:ind w:left="169"/>
              <w:spacing w:after="0"/>
              <w:rPr>
                <w:sz w:val="20"/>
                <w:szCs w:val="20"/>
                <w:color w:val="auto"/>
              </w:rPr>
            </w:pPr>
            <w:r>
              <w:rPr>
                <w:rFonts w:ascii="Arial" w:cs="Arial" w:eastAsia="Arial" w:hAnsi="Arial"/>
                <w:sz w:val="14"/>
                <w:szCs w:val="14"/>
                <w:b w:val="1"/>
                <w:bCs w:val="1"/>
                <w:color w:val="FFFFFF"/>
              </w:rPr>
              <w:t>Nonqualified</w:t>
            </w:r>
          </w:p>
        </w:tc>
        <w:tc>
          <w:tcPr>
            <w:tcW w:w="1300" w:type="dxa"/>
            <w:vAlign w:val="bottom"/>
            <w:tcBorders>
              <w:right w:val="single" w:sz="8" w:color="007CBA"/>
            </w:tcBorders>
            <w:shd w:val="clear" w:color="auto" w:fill="007CBA"/>
          </w:tcPr>
          <w:p>
            <w:pPr>
              <w:spacing w:after="0"/>
              <w:rPr>
                <w:sz w:val="14"/>
                <w:szCs w:val="14"/>
                <w:color w:val="auto"/>
              </w:rPr>
            </w:pPr>
          </w:p>
        </w:tc>
        <w:tc>
          <w:tcPr>
            <w:tcW w:w="1160" w:type="dxa"/>
            <w:vAlign w:val="bottom"/>
            <w:shd w:val="clear" w:color="auto" w:fill="007CB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60" w:type="dxa"/>
            <w:vAlign w:val="bottom"/>
            <w:tcBorders>
              <w:right w:val="single" w:sz="8" w:color="007CBA"/>
            </w:tcBorders>
            <w:shd w:val="clear" w:color="auto" w:fill="007CBA"/>
          </w:tcPr>
          <w:p>
            <w:pPr>
              <w:spacing w:after="0"/>
              <w:rPr>
                <w:sz w:val="14"/>
                <w:szCs w:val="14"/>
                <w:color w:val="auto"/>
              </w:rPr>
            </w:pPr>
          </w:p>
        </w:tc>
        <w:tc>
          <w:tcPr>
            <w:tcW w:w="1160" w:type="dxa"/>
            <w:vAlign w:val="bottom"/>
            <w:tcBorders>
              <w:right w:val="single" w:sz="8" w:color="007CBA"/>
            </w:tcBorders>
            <w:shd w:val="clear" w:color="auto" w:fill="007CBA"/>
          </w:tcPr>
          <w:p>
            <w:pPr>
              <w:jc w:val="center"/>
              <w:ind w:left="169"/>
              <w:spacing w:after="0"/>
              <w:rPr>
                <w:sz w:val="20"/>
                <w:szCs w:val="20"/>
                <w:color w:val="auto"/>
              </w:rPr>
            </w:pPr>
            <w:r>
              <w:rPr>
                <w:rFonts w:ascii="Arial" w:cs="Arial" w:eastAsia="Arial" w:hAnsi="Arial"/>
                <w:sz w:val="14"/>
                <w:szCs w:val="14"/>
                <w:b w:val="1"/>
                <w:bCs w:val="1"/>
                <w:color w:val="FFFFFF"/>
              </w:rPr>
              <w:t>Fees</w:t>
            </w:r>
          </w:p>
        </w:tc>
        <w:tc>
          <w:tcPr>
            <w:tcW w:w="1240" w:type="dxa"/>
            <w:vAlign w:val="bottom"/>
            <w:tcBorders>
              <w:right w:val="single" w:sz="8" w:color="007CBA"/>
            </w:tcBorders>
            <w:shd w:val="clear" w:color="auto" w:fill="007CBA"/>
          </w:tcPr>
          <w:p>
            <w:pPr>
              <w:spacing w:after="0"/>
              <w:rPr>
                <w:sz w:val="14"/>
                <w:szCs w:val="14"/>
                <w:color w:val="auto"/>
              </w:rPr>
            </w:pPr>
          </w:p>
        </w:tc>
        <w:tc>
          <w:tcPr>
            <w:tcW w:w="1600" w:type="dxa"/>
            <w:vAlign w:val="bottom"/>
            <w:tcBorders>
              <w:right w:val="single" w:sz="8" w:color="007CBA"/>
            </w:tcBorders>
            <w:shd w:val="clear" w:color="auto" w:fill="007CBA"/>
          </w:tcPr>
          <w:p>
            <w:pPr>
              <w:jc w:val="center"/>
              <w:ind w:left="169"/>
              <w:spacing w:after="0"/>
              <w:rPr>
                <w:sz w:val="20"/>
                <w:szCs w:val="20"/>
                <w:color w:val="auto"/>
              </w:rPr>
            </w:pPr>
            <w:r>
              <w:rPr>
                <w:rFonts w:ascii="Arial" w:cs="Arial" w:eastAsia="Arial" w:hAnsi="Arial"/>
                <w:sz w:val="14"/>
                <w:szCs w:val="14"/>
                <w:b w:val="1"/>
                <w:bCs w:val="1"/>
                <w:color w:val="FFFFFF"/>
              </w:rPr>
              <w:t>Deferred</w:t>
            </w:r>
          </w:p>
        </w:tc>
        <w:tc>
          <w:tcPr>
            <w:tcW w:w="1300" w:type="dxa"/>
            <w:vAlign w:val="bottom"/>
            <w:tcBorders>
              <w:right w:val="single" w:sz="8" w:color="007CBA"/>
            </w:tcBorders>
            <w:shd w:val="clear" w:color="auto" w:fill="007CBA"/>
          </w:tcPr>
          <w:p>
            <w:pPr>
              <w:spacing w:after="0"/>
              <w:rPr>
                <w:sz w:val="14"/>
                <w:szCs w:val="14"/>
                <w:color w:val="auto"/>
              </w:rPr>
            </w:pPr>
          </w:p>
        </w:tc>
        <w:tc>
          <w:tcPr>
            <w:tcW w:w="1160" w:type="dxa"/>
            <w:vAlign w:val="bottom"/>
            <w:shd w:val="clear" w:color="auto" w:fill="007CB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60" w:type="dxa"/>
            <w:vAlign w:val="bottom"/>
            <w:tcBorders>
              <w:right w:val="single" w:sz="8" w:color="007CBA"/>
            </w:tcBorders>
            <w:shd w:val="clear" w:color="auto" w:fill="007CBA"/>
          </w:tcPr>
          <w:p>
            <w:pPr>
              <w:spacing w:after="0"/>
              <w:rPr>
                <w:sz w:val="14"/>
                <w:szCs w:val="14"/>
                <w:color w:val="auto"/>
              </w:rPr>
            </w:pPr>
          </w:p>
        </w:tc>
        <w:tc>
          <w:tcPr>
            <w:tcW w:w="1160" w:type="dxa"/>
            <w:vAlign w:val="bottom"/>
            <w:tcBorders>
              <w:right w:val="single" w:sz="8" w:color="007CBA"/>
            </w:tcBorders>
            <w:shd w:val="clear" w:color="auto" w:fill="007CBA"/>
          </w:tcPr>
          <w:p>
            <w:pPr>
              <w:jc w:val="center"/>
              <w:ind w:left="169"/>
              <w:spacing w:after="0"/>
              <w:rPr>
                <w:sz w:val="20"/>
                <w:szCs w:val="20"/>
                <w:color w:val="auto"/>
              </w:rPr>
            </w:pPr>
            <w:r>
              <w:rPr>
                <w:rFonts w:ascii="Arial" w:cs="Arial" w:eastAsia="Arial" w:hAnsi="Arial"/>
                <w:sz w:val="14"/>
                <w:szCs w:val="14"/>
                <w:b w:val="1"/>
                <w:bCs w:val="1"/>
                <w:color w:val="FFFFFF"/>
              </w:rPr>
              <w:t>Earned or</w:t>
            </w:r>
          </w:p>
        </w:tc>
        <w:tc>
          <w:tcPr>
            <w:tcW w:w="1240" w:type="dxa"/>
            <w:vAlign w:val="bottom"/>
            <w:tcBorders>
              <w:right w:val="single" w:sz="8" w:color="007CBA"/>
            </w:tcBorders>
            <w:shd w:val="clear" w:color="auto" w:fill="007CBA"/>
          </w:tcPr>
          <w:p>
            <w:pPr>
              <w:jc w:val="center"/>
              <w:ind w:left="69"/>
              <w:spacing w:after="0"/>
              <w:rPr>
                <w:sz w:val="20"/>
                <w:szCs w:val="20"/>
                <w:color w:val="auto"/>
              </w:rPr>
            </w:pPr>
            <w:r>
              <w:rPr>
                <w:rFonts w:ascii="Arial" w:cs="Arial" w:eastAsia="Arial" w:hAnsi="Arial"/>
                <w:sz w:val="14"/>
                <w:szCs w:val="14"/>
                <w:b w:val="1"/>
                <w:bCs w:val="1"/>
                <w:color w:val="FFFFFF"/>
                <w:w w:val="99"/>
              </w:rPr>
              <w:t>Stock</w:t>
            </w:r>
          </w:p>
        </w:tc>
        <w:tc>
          <w:tcPr>
            <w:tcW w:w="1600" w:type="dxa"/>
            <w:vAlign w:val="bottom"/>
            <w:tcBorders>
              <w:right w:val="single" w:sz="8" w:color="007CBA"/>
            </w:tcBorders>
            <w:shd w:val="clear" w:color="auto" w:fill="007CBA"/>
          </w:tcPr>
          <w:p>
            <w:pPr>
              <w:jc w:val="center"/>
              <w:ind w:left="169"/>
              <w:spacing w:after="0"/>
              <w:rPr>
                <w:sz w:val="20"/>
                <w:szCs w:val="20"/>
                <w:color w:val="auto"/>
              </w:rPr>
            </w:pPr>
            <w:r>
              <w:rPr>
                <w:rFonts w:ascii="Arial" w:cs="Arial" w:eastAsia="Arial" w:hAnsi="Arial"/>
                <w:sz w:val="14"/>
                <w:szCs w:val="14"/>
                <w:b w:val="1"/>
                <w:bCs w:val="1"/>
                <w:color w:val="FFFFFF"/>
              </w:rPr>
              <w:t>Compensation</w:t>
            </w:r>
          </w:p>
        </w:tc>
        <w:tc>
          <w:tcPr>
            <w:tcW w:w="1300" w:type="dxa"/>
            <w:vAlign w:val="bottom"/>
            <w:tcBorders>
              <w:right w:val="single" w:sz="8" w:color="007CBA"/>
            </w:tcBorders>
            <w:shd w:val="clear" w:color="auto" w:fill="007CBA"/>
          </w:tcPr>
          <w:p>
            <w:pPr>
              <w:jc w:val="center"/>
              <w:ind w:left="189"/>
              <w:spacing w:after="0"/>
              <w:rPr>
                <w:sz w:val="20"/>
                <w:szCs w:val="20"/>
                <w:color w:val="auto"/>
              </w:rPr>
            </w:pPr>
            <w:r>
              <w:rPr>
                <w:rFonts w:ascii="Arial" w:cs="Arial" w:eastAsia="Arial" w:hAnsi="Arial"/>
                <w:sz w:val="14"/>
                <w:szCs w:val="14"/>
                <w:b w:val="1"/>
                <w:bCs w:val="1"/>
                <w:color w:val="FFFFFF"/>
              </w:rPr>
              <w:t>All Other</w:t>
            </w:r>
          </w:p>
        </w:tc>
        <w:tc>
          <w:tcPr>
            <w:tcW w:w="1160" w:type="dxa"/>
            <w:vAlign w:val="bottom"/>
            <w:shd w:val="clear" w:color="auto" w:fill="007CBA"/>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560" w:type="dxa"/>
            <w:vAlign w:val="bottom"/>
            <w:tcBorders>
              <w:right w:val="single" w:sz="8" w:color="007CBA"/>
            </w:tcBorders>
            <w:vMerge w:val="restart"/>
            <w:shd w:val="clear" w:color="auto" w:fill="007CBA"/>
          </w:tcPr>
          <w:p>
            <w:pPr>
              <w:ind w:left="60"/>
              <w:spacing w:after="0"/>
              <w:rPr>
                <w:sz w:val="20"/>
                <w:szCs w:val="20"/>
                <w:color w:val="auto"/>
              </w:rPr>
            </w:pPr>
            <w:r>
              <w:rPr>
                <w:rFonts w:ascii="Arial" w:cs="Arial" w:eastAsia="Arial" w:hAnsi="Arial"/>
                <w:sz w:val="14"/>
                <w:szCs w:val="14"/>
                <w:b w:val="1"/>
                <w:bCs w:val="1"/>
                <w:color w:val="FFFFFF"/>
              </w:rPr>
              <w:t>Name</w:t>
            </w:r>
            <w:r>
              <w:rPr>
                <w:rFonts w:ascii="Arial" w:cs="Arial" w:eastAsia="Arial" w:hAnsi="Arial"/>
                <w:sz w:val="24"/>
                <w:szCs w:val="24"/>
                <w:b w:val="1"/>
                <w:bCs w:val="1"/>
                <w:color w:val="FFFFFF"/>
                <w:vertAlign w:val="superscript"/>
              </w:rPr>
              <w:t>1</w:t>
            </w:r>
          </w:p>
        </w:tc>
        <w:tc>
          <w:tcPr>
            <w:tcW w:w="1160" w:type="dxa"/>
            <w:vAlign w:val="bottom"/>
            <w:tcBorders>
              <w:right w:val="single" w:sz="8" w:color="007CBA"/>
            </w:tcBorders>
            <w:shd w:val="clear" w:color="auto" w:fill="007CBA"/>
          </w:tcPr>
          <w:p>
            <w:pPr>
              <w:jc w:val="center"/>
              <w:ind w:left="189"/>
              <w:spacing w:after="0" w:line="159" w:lineRule="exact"/>
              <w:rPr>
                <w:sz w:val="20"/>
                <w:szCs w:val="20"/>
                <w:color w:val="auto"/>
              </w:rPr>
            </w:pPr>
            <w:r>
              <w:rPr>
                <w:rFonts w:ascii="Arial" w:cs="Arial" w:eastAsia="Arial" w:hAnsi="Arial"/>
                <w:sz w:val="14"/>
                <w:szCs w:val="14"/>
                <w:b w:val="1"/>
                <w:bCs w:val="1"/>
                <w:color w:val="FFFFFF"/>
              </w:rPr>
              <w:t>Paid in Cash</w:t>
            </w:r>
          </w:p>
        </w:tc>
        <w:tc>
          <w:tcPr>
            <w:tcW w:w="1240" w:type="dxa"/>
            <w:vAlign w:val="bottom"/>
            <w:tcBorders>
              <w:right w:val="single" w:sz="8" w:color="007CBA"/>
            </w:tcBorders>
            <w:shd w:val="clear" w:color="auto" w:fill="007CBA"/>
          </w:tcPr>
          <w:p>
            <w:pPr>
              <w:jc w:val="center"/>
              <w:ind w:left="89"/>
              <w:spacing w:after="0" w:line="159" w:lineRule="exact"/>
              <w:rPr>
                <w:sz w:val="20"/>
                <w:szCs w:val="20"/>
                <w:color w:val="auto"/>
              </w:rPr>
            </w:pPr>
            <w:r>
              <w:rPr>
                <w:rFonts w:ascii="Arial" w:cs="Arial" w:eastAsia="Arial" w:hAnsi="Arial"/>
                <w:sz w:val="14"/>
                <w:szCs w:val="14"/>
                <w:b w:val="1"/>
                <w:bCs w:val="1"/>
                <w:color w:val="FFFFFF"/>
              </w:rPr>
              <w:t>Awards</w:t>
            </w:r>
          </w:p>
        </w:tc>
        <w:tc>
          <w:tcPr>
            <w:tcW w:w="1600" w:type="dxa"/>
            <w:vAlign w:val="bottom"/>
            <w:tcBorders>
              <w:right w:val="single" w:sz="8" w:color="007CBA"/>
            </w:tcBorders>
            <w:shd w:val="clear" w:color="auto" w:fill="007CBA"/>
          </w:tcPr>
          <w:p>
            <w:pPr>
              <w:jc w:val="center"/>
              <w:ind w:left="189"/>
              <w:spacing w:after="0" w:line="159" w:lineRule="exact"/>
              <w:rPr>
                <w:sz w:val="20"/>
                <w:szCs w:val="20"/>
                <w:color w:val="auto"/>
              </w:rPr>
            </w:pPr>
            <w:r>
              <w:rPr>
                <w:rFonts w:ascii="Arial" w:cs="Arial" w:eastAsia="Arial" w:hAnsi="Arial"/>
                <w:sz w:val="14"/>
                <w:szCs w:val="14"/>
                <w:b w:val="1"/>
                <w:bCs w:val="1"/>
                <w:color w:val="FFFFFF"/>
              </w:rPr>
              <w:t>Earnings</w:t>
            </w:r>
          </w:p>
        </w:tc>
        <w:tc>
          <w:tcPr>
            <w:tcW w:w="1300" w:type="dxa"/>
            <w:vAlign w:val="bottom"/>
            <w:tcBorders>
              <w:right w:val="single" w:sz="8" w:color="007CBA"/>
            </w:tcBorders>
            <w:shd w:val="clear" w:color="auto" w:fill="007CBA"/>
          </w:tcPr>
          <w:p>
            <w:pPr>
              <w:jc w:val="center"/>
              <w:ind w:left="189"/>
              <w:spacing w:after="0" w:line="159" w:lineRule="exact"/>
              <w:rPr>
                <w:sz w:val="20"/>
                <w:szCs w:val="20"/>
                <w:color w:val="auto"/>
              </w:rPr>
            </w:pPr>
            <w:r>
              <w:rPr>
                <w:rFonts w:ascii="Arial" w:cs="Arial" w:eastAsia="Arial" w:hAnsi="Arial"/>
                <w:sz w:val="14"/>
                <w:szCs w:val="14"/>
                <w:b w:val="1"/>
                <w:bCs w:val="1"/>
                <w:color w:val="FFFFFF"/>
              </w:rPr>
              <w:t>Compensation</w:t>
            </w:r>
          </w:p>
        </w:tc>
        <w:tc>
          <w:tcPr>
            <w:tcW w:w="1160" w:type="dxa"/>
            <w:vAlign w:val="bottom"/>
            <w:shd w:val="clear" w:color="auto" w:fill="007CBA"/>
          </w:tcPr>
          <w:p>
            <w:pPr>
              <w:jc w:val="center"/>
              <w:spacing w:after="0" w:line="159" w:lineRule="exact"/>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66"/>
        </w:trPr>
        <w:tc>
          <w:tcPr>
            <w:tcW w:w="4560" w:type="dxa"/>
            <w:vAlign w:val="bottom"/>
            <w:tcBorders>
              <w:right w:val="single" w:sz="8" w:color="007CBA"/>
            </w:tcBorders>
            <w:vMerge w:val="continue"/>
            <w:shd w:val="clear" w:color="auto" w:fill="007CBA"/>
          </w:tcPr>
          <w:p>
            <w:pPr>
              <w:spacing w:after="0"/>
              <w:rPr>
                <w:sz w:val="14"/>
                <w:szCs w:val="14"/>
                <w:color w:val="auto"/>
              </w:rPr>
            </w:pPr>
          </w:p>
        </w:tc>
        <w:tc>
          <w:tcPr>
            <w:tcW w:w="1160" w:type="dxa"/>
            <w:vAlign w:val="bottom"/>
            <w:tcBorders>
              <w:right w:val="single" w:sz="8" w:color="007CBA"/>
            </w:tcBorders>
            <w:shd w:val="clear" w:color="auto" w:fill="007CBA"/>
          </w:tcPr>
          <w:p>
            <w:pPr>
              <w:jc w:val="center"/>
              <w:ind w:left="209"/>
              <w:spacing w:after="0" w:line="165" w:lineRule="exact"/>
              <w:rPr>
                <w:sz w:val="20"/>
                <w:szCs w:val="20"/>
                <w:color w:val="auto"/>
              </w:rPr>
            </w:pPr>
            <w:r>
              <w:rPr>
                <w:rFonts w:ascii="Arial" w:cs="Arial" w:eastAsia="Arial" w:hAnsi="Arial"/>
                <w:sz w:val="12"/>
                <w:szCs w:val="12"/>
                <w:b w:val="1"/>
                <w:bCs w:val="1"/>
                <w:color w:val="FFFFFF"/>
              </w:rPr>
              <w:t>($)</w:t>
            </w:r>
            <w:r>
              <w:rPr>
                <w:rFonts w:ascii="Arial" w:cs="Arial" w:eastAsia="Arial" w:hAnsi="Arial"/>
                <w:sz w:val="19"/>
                <w:szCs w:val="19"/>
                <w:b w:val="1"/>
                <w:bCs w:val="1"/>
                <w:color w:val="FFFFFF"/>
                <w:vertAlign w:val="superscript"/>
              </w:rPr>
              <w:t>2</w:t>
            </w:r>
          </w:p>
        </w:tc>
        <w:tc>
          <w:tcPr>
            <w:tcW w:w="1240" w:type="dxa"/>
            <w:vAlign w:val="bottom"/>
            <w:tcBorders>
              <w:right w:val="single" w:sz="8" w:color="007CBA"/>
            </w:tcBorders>
            <w:shd w:val="clear" w:color="auto" w:fill="007CBA"/>
          </w:tcPr>
          <w:p>
            <w:pPr>
              <w:jc w:val="center"/>
              <w:ind w:left="129"/>
              <w:spacing w:after="0" w:line="165" w:lineRule="exact"/>
              <w:rPr>
                <w:sz w:val="20"/>
                <w:szCs w:val="20"/>
                <w:color w:val="auto"/>
              </w:rPr>
            </w:pPr>
            <w:r>
              <w:rPr>
                <w:rFonts w:ascii="Arial" w:cs="Arial" w:eastAsia="Arial" w:hAnsi="Arial"/>
                <w:sz w:val="12"/>
                <w:szCs w:val="12"/>
                <w:b w:val="1"/>
                <w:bCs w:val="1"/>
                <w:color w:val="FFFFFF"/>
              </w:rPr>
              <w:t>($)</w:t>
            </w:r>
            <w:r>
              <w:rPr>
                <w:rFonts w:ascii="Arial" w:cs="Arial" w:eastAsia="Arial" w:hAnsi="Arial"/>
                <w:sz w:val="19"/>
                <w:szCs w:val="19"/>
                <w:b w:val="1"/>
                <w:bCs w:val="1"/>
                <w:color w:val="FFFFFF"/>
                <w:vertAlign w:val="superscript"/>
              </w:rPr>
              <w:t>3</w:t>
            </w:r>
          </w:p>
        </w:tc>
        <w:tc>
          <w:tcPr>
            <w:tcW w:w="1600" w:type="dxa"/>
            <w:vAlign w:val="bottom"/>
            <w:tcBorders>
              <w:right w:val="single" w:sz="8" w:color="007CBA"/>
            </w:tcBorders>
            <w:shd w:val="clear" w:color="auto" w:fill="007CBA"/>
          </w:tcPr>
          <w:p>
            <w:pPr>
              <w:jc w:val="center"/>
              <w:ind w:left="209"/>
              <w:spacing w:after="0" w:line="165" w:lineRule="exact"/>
              <w:rPr>
                <w:sz w:val="20"/>
                <w:szCs w:val="20"/>
                <w:color w:val="auto"/>
              </w:rPr>
            </w:pPr>
            <w:r>
              <w:rPr>
                <w:rFonts w:ascii="Arial" w:cs="Arial" w:eastAsia="Arial" w:hAnsi="Arial"/>
                <w:sz w:val="12"/>
                <w:szCs w:val="12"/>
                <w:b w:val="1"/>
                <w:bCs w:val="1"/>
                <w:color w:val="FFFFFF"/>
              </w:rPr>
              <w:t>($)</w:t>
            </w:r>
            <w:r>
              <w:rPr>
                <w:rFonts w:ascii="Arial" w:cs="Arial" w:eastAsia="Arial" w:hAnsi="Arial"/>
                <w:sz w:val="19"/>
                <w:szCs w:val="19"/>
                <w:b w:val="1"/>
                <w:bCs w:val="1"/>
                <w:color w:val="FFFFFF"/>
                <w:vertAlign w:val="superscript"/>
              </w:rPr>
              <w:t>5</w:t>
            </w:r>
          </w:p>
        </w:tc>
        <w:tc>
          <w:tcPr>
            <w:tcW w:w="1300" w:type="dxa"/>
            <w:vAlign w:val="bottom"/>
            <w:tcBorders>
              <w:right w:val="single" w:sz="8" w:color="007CBA"/>
            </w:tcBorders>
            <w:shd w:val="clear" w:color="auto" w:fill="007CBA"/>
          </w:tcPr>
          <w:p>
            <w:pPr>
              <w:jc w:val="center"/>
              <w:ind w:left="189"/>
              <w:spacing w:after="0" w:line="165" w:lineRule="exact"/>
              <w:rPr>
                <w:sz w:val="20"/>
                <w:szCs w:val="20"/>
                <w:color w:val="auto"/>
              </w:rPr>
            </w:pPr>
            <w:r>
              <w:rPr>
                <w:rFonts w:ascii="Arial" w:cs="Arial" w:eastAsia="Arial" w:hAnsi="Arial"/>
                <w:sz w:val="12"/>
                <w:szCs w:val="12"/>
                <w:b w:val="1"/>
                <w:bCs w:val="1"/>
                <w:color w:val="FFFFFF"/>
              </w:rPr>
              <w:t>($)</w:t>
            </w:r>
            <w:r>
              <w:rPr>
                <w:rFonts w:ascii="Arial" w:cs="Arial" w:eastAsia="Arial" w:hAnsi="Arial"/>
                <w:sz w:val="19"/>
                <w:szCs w:val="19"/>
                <w:b w:val="1"/>
                <w:bCs w:val="1"/>
                <w:color w:val="FFFFFF"/>
                <w:vertAlign w:val="superscript"/>
              </w:rPr>
              <w:t>6</w:t>
            </w:r>
          </w:p>
        </w:tc>
        <w:tc>
          <w:tcPr>
            <w:tcW w:w="116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91"/>
        </w:trPr>
        <w:tc>
          <w:tcPr>
            <w:tcW w:w="456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4"/>
                <w:szCs w:val="14"/>
                <w:b w:val="1"/>
                <w:bCs w:val="1"/>
                <w:color w:val="FFFFFF"/>
              </w:rPr>
              <w:t>(a)</w:t>
            </w:r>
          </w:p>
        </w:tc>
        <w:tc>
          <w:tcPr>
            <w:tcW w:w="1160" w:type="dxa"/>
            <w:vAlign w:val="bottom"/>
            <w:tcBorders>
              <w:right w:val="single" w:sz="8" w:color="007CBA"/>
            </w:tcBorders>
            <w:shd w:val="clear" w:color="auto" w:fill="007CBA"/>
          </w:tcPr>
          <w:p>
            <w:pPr>
              <w:jc w:val="center"/>
              <w:ind w:left="189"/>
              <w:spacing w:after="0"/>
              <w:rPr>
                <w:sz w:val="20"/>
                <w:szCs w:val="20"/>
                <w:color w:val="auto"/>
              </w:rPr>
            </w:pPr>
            <w:r>
              <w:rPr>
                <w:rFonts w:ascii="Arial" w:cs="Arial" w:eastAsia="Arial" w:hAnsi="Arial"/>
                <w:sz w:val="14"/>
                <w:szCs w:val="14"/>
                <w:b w:val="1"/>
                <w:bCs w:val="1"/>
                <w:color w:val="FFFFFF"/>
              </w:rPr>
              <w:t>(b)</w:t>
            </w:r>
          </w:p>
        </w:tc>
        <w:tc>
          <w:tcPr>
            <w:tcW w:w="1240" w:type="dxa"/>
            <w:vAlign w:val="bottom"/>
            <w:tcBorders>
              <w:right w:val="single" w:sz="8" w:color="007CBA"/>
            </w:tcBorders>
            <w:shd w:val="clear" w:color="auto" w:fill="007CBA"/>
          </w:tcPr>
          <w:p>
            <w:pPr>
              <w:jc w:val="center"/>
              <w:ind w:left="69"/>
              <w:spacing w:after="0"/>
              <w:rPr>
                <w:sz w:val="20"/>
                <w:szCs w:val="20"/>
                <w:color w:val="auto"/>
              </w:rPr>
            </w:pPr>
            <w:r>
              <w:rPr>
                <w:rFonts w:ascii="Arial" w:cs="Arial" w:eastAsia="Arial" w:hAnsi="Arial"/>
                <w:sz w:val="14"/>
                <w:szCs w:val="14"/>
                <w:b w:val="1"/>
                <w:bCs w:val="1"/>
                <w:color w:val="FFFFFF"/>
              </w:rPr>
              <w:t>(c)</w:t>
            </w:r>
          </w:p>
        </w:tc>
        <w:tc>
          <w:tcPr>
            <w:tcW w:w="1600" w:type="dxa"/>
            <w:vAlign w:val="bottom"/>
            <w:tcBorders>
              <w:right w:val="single" w:sz="8" w:color="007CBA"/>
            </w:tcBorders>
            <w:shd w:val="clear" w:color="auto" w:fill="007CBA"/>
          </w:tcPr>
          <w:p>
            <w:pPr>
              <w:jc w:val="center"/>
              <w:ind w:left="189"/>
              <w:spacing w:after="0"/>
              <w:rPr>
                <w:sz w:val="20"/>
                <w:szCs w:val="20"/>
                <w:color w:val="auto"/>
              </w:rPr>
            </w:pPr>
            <w:r>
              <w:rPr>
                <w:rFonts w:ascii="Arial" w:cs="Arial" w:eastAsia="Arial" w:hAnsi="Arial"/>
                <w:sz w:val="14"/>
                <w:szCs w:val="14"/>
                <w:b w:val="1"/>
                <w:bCs w:val="1"/>
                <w:color w:val="FFFFFF"/>
                <w:w w:val="99"/>
              </w:rPr>
              <w:t>(f)</w:t>
            </w:r>
          </w:p>
        </w:tc>
        <w:tc>
          <w:tcPr>
            <w:tcW w:w="1300" w:type="dxa"/>
            <w:vAlign w:val="bottom"/>
            <w:tcBorders>
              <w:right w:val="single" w:sz="8" w:color="007CBA"/>
            </w:tcBorders>
            <w:shd w:val="clear" w:color="auto" w:fill="007CBA"/>
          </w:tcPr>
          <w:p>
            <w:pPr>
              <w:jc w:val="center"/>
              <w:ind w:left="169"/>
              <w:spacing w:after="0"/>
              <w:rPr>
                <w:sz w:val="20"/>
                <w:szCs w:val="20"/>
                <w:color w:val="auto"/>
              </w:rPr>
            </w:pPr>
            <w:r>
              <w:rPr>
                <w:rFonts w:ascii="Arial" w:cs="Arial" w:eastAsia="Arial" w:hAnsi="Arial"/>
                <w:sz w:val="14"/>
                <w:szCs w:val="14"/>
                <w:b w:val="1"/>
                <w:bCs w:val="1"/>
                <w:color w:val="FFFFFF"/>
              </w:rPr>
              <w:t>(g)</w:t>
            </w:r>
          </w:p>
        </w:tc>
        <w:tc>
          <w:tcPr>
            <w:tcW w:w="116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(h)</w:t>
            </w:r>
          </w:p>
        </w:tc>
        <w:tc>
          <w:tcPr>
            <w:tcW w:w="0" w:type="dxa"/>
            <w:vAlign w:val="bottom"/>
          </w:tcPr>
          <w:p>
            <w:pPr>
              <w:spacing w:after="0"/>
              <w:rPr>
                <w:sz w:val="1"/>
                <w:szCs w:val="1"/>
                <w:color w:val="auto"/>
              </w:rPr>
            </w:pPr>
          </w:p>
        </w:tc>
      </w:tr>
      <w:tr>
        <w:trPr>
          <w:trHeight w:val="162"/>
        </w:trPr>
        <w:tc>
          <w:tcPr>
            <w:tcW w:w="4560" w:type="dxa"/>
            <w:vAlign w:val="bottom"/>
            <w:tcBorders>
              <w:right w:val="single" w:sz="8" w:color="007CBA"/>
            </w:tcBorders>
          </w:tcPr>
          <w:p>
            <w:pPr>
              <w:ind w:left="60"/>
              <w:spacing w:after="0"/>
              <w:rPr>
                <w:sz w:val="20"/>
                <w:szCs w:val="20"/>
                <w:color w:val="auto"/>
              </w:rPr>
            </w:pPr>
            <w:r>
              <w:rPr>
                <w:rFonts w:ascii="Arial" w:cs="Arial" w:eastAsia="Arial" w:hAnsi="Arial"/>
                <w:sz w:val="14"/>
                <w:szCs w:val="14"/>
                <w:color w:val="auto"/>
              </w:rPr>
              <w:t>Sue W. Cole</w:t>
            </w:r>
          </w:p>
        </w:tc>
        <w:tc>
          <w:tcPr>
            <w:tcW w:w="1160" w:type="dxa"/>
            <w:vAlign w:val="bottom"/>
            <w:tcBorders>
              <w:right w:val="single" w:sz="8" w:color="007CBA"/>
            </w:tcBorders>
          </w:tcPr>
          <w:p>
            <w:pPr>
              <w:jc w:val="center"/>
              <w:ind w:left="169"/>
              <w:spacing w:after="0"/>
              <w:rPr>
                <w:sz w:val="20"/>
                <w:szCs w:val="20"/>
                <w:color w:val="auto"/>
              </w:rPr>
            </w:pPr>
            <w:r>
              <w:rPr>
                <w:rFonts w:ascii="Arial" w:cs="Arial" w:eastAsia="Arial" w:hAnsi="Arial"/>
                <w:sz w:val="14"/>
                <w:szCs w:val="14"/>
                <w:color w:val="auto"/>
              </w:rPr>
              <w:t>108,000</w:t>
            </w:r>
          </w:p>
        </w:tc>
        <w:tc>
          <w:tcPr>
            <w:tcW w:w="1240" w:type="dxa"/>
            <w:vAlign w:val="bottom"/>
            <w:tcBorders>
              <w:right w:val="single" w:sz="8" w:color="007CBA"/>
            </w:tcBorders>
          </w:tcPr>
          <w:p>
            <w:pPr>
              <w:jc w:val="center"/>
              <w:ind w:left="49"/>
              <w:spacing w:after="0"/>
              <w:rPr>
                <w:sz w:val="20"/>
                <w:szCs w:val="20"/>
                <w:color w:val="auto"/>
              </w:rPr>
            </w:pPr>
            <w:r>
              <w:rPr>
                <w:rFonts w:ascii="Arial" w:cs="Arial" w:eastAsia="Arial" w:hAnsi="Arial"/>
                <w:sz w:val="14"/>
                <w:szCs w:val="14"/>
                <w:color w:val="auto"/>
              </w:rPr>
              <w:t>100,195</w:t>
            </w:r>
          </w:p>
        </w:tc>
        <w:tc>
          <w:tcPr>
            <w:tcW w:w="1600" w:type="dxa"/>
            <w:vAlign w:val="bottom"/>
            <w:tcBorders>
              <w:right w:val="single" w:sz="8" w:color="007CBA"/>
            </w:tcBorders>
          </w:tcPr>
          <w:p>
            <w:pPr>
              <w:jc w:val="right"/>
              <w:ind w:right="389"/>
              <w:spacing w:after="0"/>
              <w:rPr>
                <w:sz w:val="20"/>
                <w:szCs w:val="20"/>
                <w:color w:val="auto"/>
              </w:rPr>
            </w:pPr>
            <w:r>
              <w:rPr>
                <w:rFonts w:ascii="Arial" w:cs="Arial" w:eastAsia="Arial" w:hAnsi="Arial"/>
                <w:sz w:val="14"/>
                <w:szCs w:val="14"/>
                <w:color w:val="auto"/>
              </w:rPr>
              <w:t>12,565</w:t>
            </w:r>
          </w:p>
        </w:tc>
        <w:tc>
          <w:tcPr>
            <w:tcW w:w="1300" w:type="dxa"/>
            <w:vAlign w:val="bottom"/>
            <w:tcBorders>
              <w:right w:val="single" w:sz="8" w:color="007CBA"/>
            </w:tcBorders>
          </w:tcPr>
          <w:p>
            <w:pPr>
              <w:jc w:val="right"/>
              <w:ind w:right="229"/>
              <w:spacing w:after="0"/>
              <w:rPr>
                <w:sz w:val="20"/>
                <w:szCs w:val="20"/>
                <w:color w:val="auto"/>
              </w:rPr>
            </w:pPr>
            <w:r>
              <w:rPr>
                <w:rFonts w:ascii="Arial" w:cs="Arial" w:eastAsia="Arial" w:hAnsi="Arial"/>
                <w:sz w:val="14"/>
                <w:szCs w:val="14"/>
                <w:color w:val="auto"/>
              </w:rPr>
              <w:t>68,449</w:t>
            </w:r>
          </w:p>
        </w:tc>
        <w:tc>
          <w:tcPr>
            <w:tcW w:w="1160" w:type="dxa"/>
            <w:vAlign w:val="bottom"/>
          </w:tcPr>
          <w:p>
            <w:pPr>
              <w:jc w:val="center"/>
              <w:spacing w:after="0"/>
              <w:rPr>
                <w:sz w:val="20"/>
                <w:szCs w:val="20"/>
                <w:color w:val="auto"/>
              </w:rPr>
            </w:pPr>
            <w:r>
              <w:rPr>
                <w:rFonts w:ascii="Arial" w:cs="Arial" w:eastAsia="Arial" w:hAnsi="Arial"/>
                <w:sz w:val="14"/>
                <w:szCs w:val="14"/>
                <w:color w:val="auto"/>
              </w:rPr>
              <w:t>289,209</w:t>
            </w:r>
          </w:p>
        </w:tc>
        <w:tc>
          <w:tcPr>
            <w:tcW w:w="0" w:type="dxa"/>
            <w:vAlign w:val="bottom"/>
          </w:tcPr>
          <w:p>
            <w:pPr>
              <w:spacing w:after="0"/>
              <w:rPr>
                <w:sz w:val="1"/>
                <w:szCs w:val="1"/>
                <w:color w:val="auto"/>
              </w:rPr>
            </w:pPr>
          </w:p>
        </w:tc>
      </w:tr>
      <w:tr>
        <w:trPr>
          <w:trHeight w:val="162"/>
        </w:trPr>
        <w:tc>
          <w:tcPr>
            <w:tcW w:w="456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color w:val="auto"/>
              </w:rPr>
              <w:t>John J. Koraleski</w:t>
            </w:r>
          </w:p>
        </w:tc>
        <w:tc>
          <w:tcPr>
            <w:tcW w:w="1160" w:type="dxa"/>
            <w:vAlign w:val="bottom"/>
            <w:tcBorders>
              <w:right w:val="single" w:sz="8" w:color="007CBA"/>
            </w:tcBorders>
            <w:shd w:val="clear" w:color="auto" w:fill="E5F1F8"/>
          </w:tcPr>
          <w:p>
            <w:pPr>
              <w:jc w:val="center"/>
              <w:ind w:left="169"/>
              <w:spacing w:after="0"/>
              <w:rPr>
                <w:sz w:val="20"/>
                <w:szCs w:val="20"/>
                <w:color w:val="auto"/>
              </w:rPr>
            </w:pPr>
            <w:r>
              <w:rPr>
                <w:rFonts w:ascii="Arial" w:cs="Arial" w:eastAsia="Arial" w:hAnsi="Arial"/>
                <w:sz w:val="14"/>
                <w:szCs w:val="14"/>
                <w:color w:val="auto"/>
              </w:rPr>
              <w:t>105,000</w:t>
            </w:r>
          </w:p>
        </w:tc>
        <w:tc>
          <w:tcPr>
            <w:tcW w:w="1240" w:type="dxa"/>
            <w:vAlign w:val="bottom"/>
            <w:tcBorders>
              <w:right w:val="single" w:sz="8" w:color="007CBA"/>
            </w:tcBorders>
            <w:shd w:val="clear" w:color="auto" w:fill="E5F1F8"/>
          </w:tcPr>
          <w:p>
            <w:pPr>
              <w:jc w:val="center"/>
              <w:ind w:left="49"/>
              <w:spacing w:after="0"/>
              <w:rPr>
                <w:sz w:val="20"/>
                <w:szCs w:val="20"/>
                <w:color w:val="auto"/>
              </w:rPr>
            </w:pPr>
            <w:r>
              <w:rPr>
                <w:rFonts w:ascii="Arial" w:cs="Arial" w:eastAsia="Arial" w:hAnsi="Arial"/>
                <w:sz w:val="14"/>
                <w:szCs w:val="14"/>
                <w:color w:val="auto"/>
              </w:rPr>
              <w:t>100,195</w:t>
            </w:r>
          </w:p>
        </w:tc>
        <w:tc>
          <w:tcPr>
            <w:tcW w:w="1600" w:type="dxa"/>
            <w:vAlign w:val="bottom"/>
            <w:tcBorders>
              <w:right w:val="single" w:sz="8" w:color="007CBA"/>
            </w:tcBorders>
            <w:shd w:val="clear" w:color="auto" w:fill="E5F1F8"/>
          </w:tcPr>
          <w:p>
            <w:pPr>
              <w:jc w:val="right"/>
              <w:ind w:right="389"/>
              <w:spacing w:after="0"/>
              <w:rPr>
                <w:sz w:val="20"/>
                <w:szCs w:val="20"/>
                <w:color w:val="auto"/>
              </w:rPr>
            </w:pPr>
            <w:r>
              <w:rPr>
                <w:rFonts w:ascii="Arial" w:cs="Arial" w:eastAsia="Arial" w:hAnsi="Arial"/>
                <w:sz w:val="14"/>
                <w:szCs w:val="14"/>
                <w:color w:val="auto"/>
              </w:rPr>
              <w:t>34</w:t>
            </w:r>
          </w:p>
        </w:tc>
        <w:tc>
          <w:tcPr>
            <w:tcW w:w="1300" w:type="dxa"/>
            <w:vAlign w:val="bottom"/>
            <w:tcBorders>
              <w:right w:val="single" w:sz="8" w:color="007CBA"/>
            </w:tcBorders>
            <w:shd w:val="clear" w:color="auto" w:fill="E5F1F8"/>
          </w:tcPr>
          <w:p>
            <w:pPr>
              <w:jc w:val="right"/>
              <w:ind w:right="229"/>
              <w:spacing w:after="0"/>
              <w:rPr>
                <w:sz w:val="20"/>
                <w:szCs w:val="20"/>
                <w:color w:val="auto"/>
              </w:rPr>
            </w:pPr>
            <w:r>
              <w:rPr>
                <w:rFonts w:ascii="Arial" w:cs="Arial" w:eastAsia="Arial" w:hAnsi="Arial"/>
                <w:sz w:val="14"/>
                <w:szCs w:val="14"/>
                <w:color w:val="auto"/>
              </w:rPr>
              <w:t>1,432</w:t>
            </w:r>
          </w:p>
        </w:tc>
        <w:tc>
          <w:tcPr>
            <w:tcW w:w="116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206,661</w:t>
            </w:r>
          </w:p>
        </w:tc>
        <w:tc>
          <w:tcPr>
            <w:tcW w:w="0" w:type="dxa"/>
            <w:vAlign w:val="bottom"/>
          </w:tcPr>
          <w:p>
            <w:pPr>
              <w:spacing w:after="0"/>
              <w:rPr>
                <w:sz w:val="1"/>
                <w:szCs w:val="1"/>
                <w:color w:val="auto"/>
              </w:rPr>
            </w:pPr>
          </w:p>
        </w:tc>
      </w:tr>
      <w:tr>
        <w:trPr>
          <w:trHeight w:val="162"/>
        </w:trPr>
        <w:tc>
          <w:tcPr>
            <w:tcW w:w="4560" w:type="dxa"/>
            <w:vAlign w:val="bottom"/>
            <w:tcBorders>
              <w:right w:val="single" w:sz="8" w:color="007CBA"/>
            </w:tcBorders>
          </w:tcPr>
          <w:p>
            <w:pPr>
              <w:ind w:left="60"/>
              <w:spacing w:after="0"/>
              <w:rPr>
                <w:sz w:val="20"/>
                <w:szCs w:val="20"/>
                <w:color w:val="auto"/>
              </w:rPr>
            </w:pPr>
            <w:r>
              <w:rPr>
                <w:rFonts w:ascii="Arial" w:cs="Arial" w:eastAsia="Arial" w:hAnsi="Arial"/>
                <w:sz w:val="14"/>
                <w:szCs w:val="14"/>
                <w:color w:val="auto"/>
              </w:rPr>
              <w:t>David G. Maffucci</w:t>
            </w:r>
          </w:p>
        </w:tc>
        <w:tc>
          <w:tcPr>
            <w:tcW w:w="1160" w:type="dxa"/>
            <w:vAlign w:val="bottom"/>
            <w:tcBorders>
              <w:right w:val="single" w:sz="8" w:color="007CBA"/>
            </w:tcBorders>
          </w:tcPr>
          <w:p>
            <w:pPr>
              <w:jc w:val="center"/>
              <w:ind w:left="169"/>
              <w:spacing w:after="0"/>
              <w:rPr>
                <w:sz w:val="20"/>
                <w:szCs w:val="20"/>
                <w:color w:val="auto"/>
              </w:rPr>
            </w:pPr>
            <w:r>
              <w:rPr>
                <w:rFonts w:ascii="Arial" w:cs="Arial" w:eastAsia="Arial" w:hAnsi="Arial"/>
                <w:sz w:val="14"/>
                <w:szCs w:val="14"/>
                <w:color w:val="auto"/>
              </w:rPr>
              <w:t>120,000</w:t>
            </w:r>
          </w:p>
        </w:tc>
        <w:tc>
          <w:tcPr>
            <w:tcW w:w="1240" w:type="dxa"/>
            <w:vAlign w:val="bottom"/>
            <w:tcBorders>
              <w:right w:val="single" w:sz="8" w:color="007CBA"/>
            </w:tcBorders>
          </w:tcPr>
          <w:p>
            <w:pPr>
              <w:jc w:val="center"/>
              <w:ind w:left="49"/>
              <w:spacing w:after="0"/>
              <w:rPr>
                <w:sz w:val="20"/>
                <w:szCs w:val="20"/>
                <w:color w:val="auto"/>
              </w:rPr>
            </w:pPr>
            <w:r>
              <w:rPr>
                <w:rFonts w:ascii="Arial" w:cs="Arial" w:eastAsia="Arial" w:hAnsi="Arial"/>
                <w:sz w:val="14"/>
                <w:szCs w:val="14"/>
                <w:color w:val="auto"/>
              </w:rPr>
              <w:t>100,195</w:t>
            </w:r>
          </w:p>
        </w:tc>
        <w:tc>
          <w:tcPr>
            <w:tcW w:w="1600" w:type="dxa"/>
            <w:vAlign w:val="bottom"/>
            <w:tcBorders>
              <w:right w:val="single" w:sz="8" w:color="007CBA"/>
            </w:tcBorders>
          </w:tcPr>
          <w:p>
            <w:pPr>
              <w:jc w:val="right"/>
              <w:ind w:right="389"/>
              <w:spacing w:after="0"/>
              <w:rPr>
                <w:sz w:val="20"/>
                <w:szCs w:val="20"/>
                <w:color w:val="auto"/>
              </w:rPr>
            </w:pPr>
            <w:r>
              <w:rPr>
                <w:rFonts w:ascii="Arial" w:cs="Arial" w:eastAsia="Arial" w:hAnsi="Arial"/>
                <w:sz w:val="14"/>
                <w:szCs w:val="14"/>
                <w:color w:val="auto"/>
              </w:rPr>
              <w:t>7,403</w:t>
            </w:r>
          </w:p>
        </w:tc>
        <w:tc>
          <w:tcPr>
            <w:tcW w:w="1300" w:type="dxa"/>
            <w:vAlign w:val="bottom"/>
            <w:tcBorders>
              <w:right w:val="single" w:sz="8" w:color="007CBA"/>
            </w:tcBorders>
          </w:tcPr>
          <w:p>
            <w:pPr>
              <w:jc w:val="right"/>
              <w:ind w:right="229"/>
              <w:spacing w:after="0"/>
              <w:rPr>
                <w:sz w:val="20"/>
                <w:szCs w:val="20"/>
                <w:color w:val="auto"/>
              </w:rPr>
            </w:pPr>
            <w:r>
              <w:rPr>
                <w:rFonts w:ascii="Arial" w:cs="Arial" w:eastAsia="Arial" w:hAnsi="Arial"/>
                <w:sz w:val="14"/>
                <w:szCs w:val="14"/>
                <w:color w:val="auto"/>
              </w:rPr>
              <w:t>34,872</w:t>
            </w:r>
          </w:p>
        </w:tc>
        <w:tc>
          <w:tcPr>
            <w:tcW w:w="1160" w:type="dxa"/>
            <w:vAlign w:val="bottom"/>
          </w:tcPr>
          <w:p>
            <w:pPr>
              <w:jc w:val="center"/>
              <w:spacing w:after="0"/>
              <w:rPr>
                <w:sz w:val="20"/>
                <w:szCs w:val="20"/>
                <w:color w:val="auto"/>
              </w:rPr>
            </w:pPr>
            <w:r>
              <w:rPr>
                <w:rFonts w:ascii="Arial" w:cs="Arial" w:eastAsia="Arial" w:hAnsi="Arial"/>
                <w:sz w:val="14"/>
                <w:szCs w:val="14"/>
                <w:color w:val="auto"/>
              </w:rPr>
              <w:t>262,470</w:t>
            </w:r>
          </w:p>
        </w:tc>
        <w:tc>
          <w:tcPr>
            <w:tcW w:w="0" w:type="dxa"/>
            <w:vAlign w:val="bottom"/>
          </w:tcPr>
          <w:p>
            <w:pPr>
              <w:spacing w:after="0"/>
              <w:rPr>
                <w:sz w:val="1"/>
                <w:szCs w:val="1"/>
                <w:color w:val="auto"/>
              </w:rPr>
            </w:pPr>
          </w:p>
        </w:tc>
      </w:tr>
      <w:tr>
        <w:trPr>
          <w:trHeight w:val="162"/>
        </w:trPr>
        <w:tc>
          <w:tcPr>
            <w:tcW w:w="4560" w:type="dxa"/>
            <w:vAlign w:val="bottom"/>
            <w:tcBorders>
              <w:right w:val="single" w:sz="8" w:color="007CBA"/>
            </w:tcBorders>
            <w:shd w:val="clear" w:color="auto" w:fill="E5F1F8"/>
          </w:tcPr>
          <w:p>
            <w:pPr>
              <w:ind w:left="60"/>
              <w:spacing w:after="0" w:line="162" w:lineRule="exact"/>
              <w:rPr>
                <w:sz w:val="20"/>
                <w:szCs w:val="20"/>
                <w:color w:val="auto"/>
              </w:rPr>
            </w:pPr>
            <w:r>
              <w:rPr>
                <w:rFonts w:ascii="Arial" w:cs="Arial" w:eastAsia="Arial" w:hAnsi="Arial"/>
                <w:sz w:val="11"/>
                <w:szCs w:val="11"/>
                <w:color w:val="auto"/>
              </w:rPr>
              <w:t>William E. McDonald</w:t>
            </w:r>
            <w:r>
              <w:rPr>
                <w:rFonts w:ascii="Arial" w:cs="Arial" w:eastAsia="Arial" w:hAnsi="Arial"/>
                <w:sz w:val="18"/>
                <w:szCs w:val="18"/>
                <w:color w:val="auto"/>
                <w:vertAlign w:val="superscript"/>
              </w:rPr>
              <w:t>7</w:t>
            </w:r>
          </w:p>
        </w:tc>
        <w:tc>
          <w:tcPr>
            <w:tcW w:w="1160" w:type="dxa"/>
            <w:vAlign w:val="bottom"/>
            <w:tcBorders>
              <w:right w:val="single" w:sz="8" w:color="007CBA"/>
            </w:tcBorders>
            <w:shd w:val="clear" w:color="auto" w:fill="E5F1F8"/>
          </w:tcPr>
          <w:p>
            <w:pPr>
              <w:jc w:val="center"/>
              <w:ind w:left="169"/>
              <w:spacing w:after="0"/>
              <w:rPr>
                <w:sz w:val="20"/>
                <w:szCs w:val="20"/>
                <w:color w:val="auto"/>
              </w:rPr>
            </w:pPr>
            <w:r>
              <w:rPr>
                <w:rFonts w:ascii="Arial" w:cs="Arial" w:eastAsia="Arial" w:hAnsi="Arial"/>
                <w:sz w:val="14"/>
                <w:szCs w:val="14"/>
                <w:color w:val="auto"/>
              </w:rPr>
              <w:t>25,000</w:t>
            </w:r>
          </w:p>
        </w:tc>
        <w:tc>
          <w:tcPr>
            <w:tcW w:w="1240" w:type="dxa"/>
            <w:vAlign w:val="bottom"/>
            <w:tcBorders>
              <w:right w:val="single" w:sz="8" w:color="007CBA"/>
            </w:tcBorders>
            <w:shd w:val="clear" w:color="auto" w:fill="E5F1F8"/>
          </w:tcPr>
          <w:p>
            <w:pPr>
              <w:jc w:val="center"/>
              <w:ind w:left="29"/>
              <w:spacing w:after="0"/>
              <w:rPr>
                <w:sz w:val="20"/>
                <w:szCs w:val="20"/>
                <w:color w:val="auto"/>
              </w:rPr>
            </w:pPr>
            <w:r>
              <w:rPr>
                <w:rFonts w:ascii="Arial" w:cs="Arial" w:eastAsia="Arial" w:hAnsi="Arial"/>
                <w:sz w:val="14"/>
                <w:szCs w:val="14"/>
                <w:color w:val="auto"/>
                <w:w w:val="99"/>
              </w:rPr>
              <w:t>—</w:t>
            </w:r>
          </w:p>
        </w:tc>
        <w:tc>
          <w:tcPr>
            <w:tcW w:w="1600" w:type="dxa"/>
            <w:vAlign w:val="bottom"/>
            <w:tcBorders>
              <w:right w:val="single" w:sz="8" w:color="007CBA"/>
            </w:tcBorders>
            <w:shd w:val="clear" w:color="auto" w:fill="E5F1F8"/>
          </w:tcPr>
          <w:p>
            <w:pPr>
              <w:jc w:val="center"/>
              <w:ind w:left="169"/>
              <w:spacing w:after="0"/>
              <w:rPr>
                <w:sz w:val="20"/>
                <w:szCs w:val="20"/>
                <w:color w:val="auto"/>
              </w:rPr>
            </w:pPr>
            <w:r>
              <w:rPr>
                <w:rFonts w:ascii="Arial" w:cs="Arial" w:eastAsia="Arial" w:hAnsi="Arial"/>
                <w:sz w:val="14"/>
                <w:szCs w:val="14"/>
                <w:color w:val="auto"/>
              </w:rPr>
              <w:t>6,279</w:t>
            </w:r>
          </w:p>
        </w:tc>
        <w:tc>
          <w:tcPr>
            <w:tcW w:w="1300" w:type="dxa"/>
            <w:vAlign w:val="bottom"/>
            <w:tcBorders>
              <w:right w:val="single" w:sz="8" w:color="007CBA"/>
            </w:tcBorders>
            <w:shd w:val="clear" w:color="auto" w:fill="E5F1F8"/>
          </w:tcPr>
          <w:p>
            <w:pPr>
              <w:jc w:val="right"/>
              <w:ind w:right="229"/>
              <w:spacing w:after="0"/>
              <w:rPr>
                <w:sz w:val="20"/>
                <w:szCs w:val="20"/>
                <w:color w:val="auto"/>
              </w:rPr>
            </w:pPr>
            <w:r>
              <w:rPr>
                <w:rFonts w:ascii="Arial" w:cs="Arial" w:eastAsia="Arial" w:hAnsi="Arial"/>
                <w:sz w:val="14"/>
                <w:szCs w:val="14"/>
                <w:color w:val="auto"/>
              </w:rPr>
              <w:t>33,774</w:t>
            </w:r>
          </w:p>
        </w:tc>
        <w:tc>
          <w:tcPr>
            <w:tcW w:w="116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65,053</w:t>
            </w:r>
          </w:p>
        </w:tc>
        <w:tc>
          <w:tcPr>
            <w:tcW w:w="0" w:type="dxa"/>
            <w:vAlign w:val="bottom"/>
          </w:tcPr>
          <w:p>
            <w:pPr>
              <w:spacing w:after="0"/>
              <w:rPr>
                <w:sz w:val="1"/>
                <w:szCs w:val="1"/>
                <w:color w:val="auto"/>
              </w:rPr>
            </w:pPr>
          </w:p>
        </w:tc>
      </w:tr>
      <w:tr>
        <w:trPr>
          <w:trHeight w:val="162"/>
        </w:trPr>
        <w:tc>
          <w:tcPr>
            <w:tcW w:w="4560" w:type="dxa"/>
            <w:vAlign w:val="bottom"/>
            <w:tcBorders>
              <w:right w:val="single" w:sz="8" w:color="007CBA"/>
            </w:tcBorders>
          </w:tcPr>
          <w:p>
            <w:pPr>
              <w:ind w:left="60"/>
              <w:spacing w:after="0"/>
              <w:rPr>
                <w:sz w:val="20"/>
                <w:szCs w:val="20"/>
                <w:color w:val="auto"/>
              </w:rPr>
            </w:pPr>
            <w:r>
              <w:rPr>
                <w:rFonts w:ascii="Arial" w:cs="Arial" w:eastAsia="Arial" w:hAnsi="Arial"/>
                <w:sz w:val="14"/>
                <w:szCs w:val="14"/>
                <w:color w:val="auto"/>
              </w:rPr>
              <w:t>Laree E. Perez</w:t>
            </w:r>
          </w:p>
        </w:tc>
        <w:tc>
          <w:tcPr>
            <w:tcW w:w="1160" w:type="dxa"/>
            <w:vAlign w:val="bottom"/>
            <w:tcBorders>
              <w:right w:val="single" w:sz="8" w:color="007CBA"/>
            </w:tcBorders>
          </w:tcPr>
          <w:p>
            <w:pPr>
              <w:jc w:val="center"/>
              <w:ind w:left="169"/>
              <w:spacing w:after="0"/>
              <w:rPr>
                <w:sz w:val="20"/>
                <w:szCs w:val="20"/>
                <w:color w:val="auto"/>
              </w:rPr>
            </w:pPr>
            <w:r>
              <w:rPr>
                <w:rFonts w:ascii="Arial" w:cs="Arial" w:eastAsia="Arial" w:hAnsi="Arial"/>
                <w:sz w:val="14"/>
                <w:szCs w:val="14"/>
                <w:color w:val="auto"/>
              </w:rPr>
              <w:t>113,000</w:t>
            </w:r>
          </w:p>
        </w:tc>
        <w:tc>
          <w:tcPr>
            <w:tcW w:w="1240" w:type="dxa"/>
            <w:vAlign w:val="bottom"/>
            <w:tcBorders>
              <w:right w:val="single" w:sz="8" w:color="007CBA"/>
            </w:tcBorders>
          </w:tcPr>
          <w:p>
            <w:pPr>
              <w:jc w:val="center"/>
              <w:ind w:left="49"/>
              <w:spacing w:after="0"/>
              <w:rPr>
                <w:sz w:val="20"/>
                <w:szCs w:val="20"/>
                <w:color w:val="auto"/>
              </w:rPr>
            </w:pPr>
            <w:r>
              <w:rPr>
                <w:rFonts w:ascii="Arial" w:cs="Arial" w:eastAsia="Arial" w:hAnsi="Arial"/>
                <w:sz w:val="14"/>
                <w:szCs w:val="14"/>
                <w:color w:val="auto"/>
              </w:rPr>
              <w:t>100,195</w:t>
            </w:r>
          </w:p>
        </w:tc>
        <w:tc>
          <w:tcPr>
            <w:tcW w:w="1600" w:type="dxa"/>
            <w:vAlign w:val="bottom"/>
            <w:tcBorders>
              <w:right w:val="single" w:sz="8" w:color="007CBA"/>
            </w:tcBorders>
          </w:tcPr>
          <w:p>
            <w:pPr>
              <w:jc w:val="right"/>
              <w:ind w:right="389"/>
              <w:spacing w:after="0"/>
              <w:rPr>
                <w:sz w:val="20"/>
                <w:szCs w:val="20"/>
                <w:color w:val="auto"/>
              </w:rPr>
            </w:pPr>
            <w:r>
              <w:rPr>
                <w:rFonts w:ascii="Arial" w:cs="Arial" w:eastAsia="Arial" w:hAnsi="Arial"/>
                <w:sz w:val="14"/>
                <w:szCs w:val="14"/>
                <w:color w:val="auto"/>
              </w:rPr>
              <w:t>5,721</w:t>
            </w:r>
          </w:p>
        </w:tc>
        <w:tc>
          <w:tcPr>
            <w:tcW w:w="1300" w:type="dxa"/>
            <w:vAlign w:val="bottom"/>
            <w:tcBorders>
              <w:right w:val="single" w:sz="8" w:color="007CBA"/>
            </w:tcBorders>
          </w:tcPr>
          <w:p>
            <w:pPr>
              <w:jc w:val="right"/>
              <w:ind w:right="229"/>
              <w:spacing w:after="0"/>
              <w:rPr>
                <w:sz w:val="20"/>
                <w:szCs w:val="20"/>
                <w:color w:val="auto"/>
              </w:rPr>
            </w:pPr>
            <w:r>
              <w:rPr>
                <w:rFonts w:ascii="Arial" w:cs="Arial" w:eastAsia="Arial" w:hAnsi="Arial"/>
                <w:sz w:val="14"/>
                <w:szCs w:val="14"/>
                <w:color w:val="auto"/>
              </w:rPr>
              <w:t>23,959</w:t>
            </w:r>
          </w:p>
        </w:tc>
        <w:tc>
          <w:tcPr>
            <w:tcW w:w="1160" w:type="dxa"/>
            <w:vAlign w:val="bottom"/>
          </w:tcPr>
          <w:p>
            <w:pPr>
              <w:jc w:val="center"/>
              <w:spacing w:after="0"/>
              <w:rPr>
                <w:sz w:val="20"/>
                <w:szCs w:val="20"/>
                <w:color w:val="auto"/>
              </w:rPr>
            </w:pPr>
            <w:r>
              <w:rPr>
                <w:rFonts w:ascii="Arial" w:cs="Arial" w:eastAsia="Arial" w:hAnsi="Arial"/>
                <w:sz w:val="14"/>
                <w:szCs w:val="14"/>
                <w:color w:val="auto"/>
              </w:rPr>
              <w:t>242,875</w:t>
            </w:r>
          </w:p>
        </w:tc>
        <w:tc>
          <w:tcPr>
            <w:tcW w:w="0" w:type="dxa"/>
            <w:vAlign w:val="bottom"/>
          </w:tcPr>
          <w:p>
            <w:pPr>
              <w:spacing w:after="0"/>
              <w:rPr>
                <w:sz w:val="1"/>
                <w:szCs w:val="1"/>
                <w:color w:val="auto"/>
              </w:rPr>
            </w:pPr>
          </w:p>
        </w:tc>
      </w:tr>
      <w:tr>
        <w:trPr>
          <w:trHeight w:val="162"/>
        </w:trPr>
        <w:tc>
          <w:tcPr>
            <w:tcW w:w="456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color w:val="auto"/>
              </w:rPr>
              <w:t>Michael J. Quillen</w:t>
            </w:r>
          </w:p>
        </w:tc>
        <w:tc>
          <w:tcPr>
            <w:tcW w:w="1160" w:type="dxa"/>
            <w:vAlign w:val="bottom"/>
            <w:tcBorders>
              <w:right w:val="single" w:sz="8" w:color="007CBA"/>
            </w:tcBorders>
            <w:shd w:val="clear" w:color="auto" w:fill="E5F1F8"/>
          </w:tcPr>
          <w:p>
            <w:pPr>
              <w:jc w:val="center"/>
              <w:ind w:left="169"/>
              <w:spacing w:after="0"/>
              <w:rPr>
                <w:sz w:val="20"/>
                <w:szCs w:val="20"/>
                <w:color w:val="auto"/>
              </w:rPr>
            </w:pPr>
            <w:r>
              <w:rPr>
                <w:rFonts w:ascii="Arial" w:cs="Arial" w:eastAsia="Arial" w:hAnsi="Arial"/>
                <w:sz w:val="14"/>
                <w:szCs w:val="14"/>
                <w:color w:val="auto"/>
              </w:rPr>
              <w:t>133,000</w:t>
            </w:r>
          </w:p>
        </w:tc>
        <w:tc>
          <w:tcPr>
            <w:tcW w:w="1240" w:type="dxa"/>
            <w:vAlign w:val="bottom"/>
            <w:tcBorders>
              <w:right w:val="single" w:sz="8" w:color="007CBA"/>
            </w:tcBorders>
            <w:shd w:val="clear" w:color="auto" w:fill="E5F1F8"/>
          </w:tcPr>
          <w:p>
            <w:pPr>
              <w:jc w:val="center"/>
              <w:ind w:left="49"/>
              <w:spacing w:after="0"/>
              <w:rPr>
                <w:sz w:val="20"/>
                <w:szCs w:val="20"/>
                <w:color w:val="auto"/>
              </w:rPr>
            </w:pPr>
            <w:r>
              <w:rPr>
                <w:rFonts w:ascii="Arial" w:cs="Arial" w:eastAsia="Arial" w:hAnsi="Arial"/>
                <w:sz w:val="14"/>
                <w:szCs w:val="14"/>
                <w:color w:val="auto"/>
              </w:rPr>
              <w:t>100,195</w:t>
            </w:r>
          </w:p>
        </w:tc>
        <w:tc>
          <w:tcPr>
            <w:tcW w:w="1600" w:type="dxa"/>
            <w:vAlign w:val="bottom"/>
            <w:tcBorders>
              <w:right w:val="single" w:sz="8" w:color="007CBA"/>
            </w:tcBorders>
            <w:shd w:val="clear" w:color="auto" w:fill="E5F1F8"/>
          </w:tcPr>
          <w:p>
            <w:pPr>
              <w:jc w:val="right"/>
              <w:ind w:right="389"/>
              <w:spacing w:after="0"/>
              <w:rPr>
                <w:sz w:val="20"/>
                <w:szCs w:val="20"/>
                <w:color w:val="auto"/>
              </w:rPr>
            </w:pPr>
            <w:r>
              <w:rPr>
                <w:rFonts w:ascii="Arial" w:cs="Arial" w:eastAsia="Arial" w:hAnsi="Arial"/>
                <w:sz w:val="14"/>
                <w:szCs w:val="14"/>
                <w:color w:val="auto"/>
              </w:rPr>
              <w:t>5,387</w:t>
            </w:r>
          </w:p>
        </w:tc>
        <w:tc>
          <w:tcPr>
            <w:tcW w:w="1300" w:type="dxa"/>
            <w:vAlign w:val="bottom"/>
            <w:tcBorders>
              <w:right w:val="single" w:sz="8" w:color="007CBA"/>
            </w:tcBorders>
            <w:shd w:val="clear" w:color="auto" w:fill="E5F1F8"/>
          </w:tcPr>
          <w:p>
            <w:pPr>
              <w:jc w:val="right"/>
              <w:ind w:right="229"/>
              <w:spacing w:after="0"/>
              <w:rPr>
                <w:sz w:val="20"/>
                <w:szCs w:val="20"/>
                <w:color w:val="auto"/>
              </w:rPr>
            </w:pPr>
            <w:r>
              <w:rPr>
                <w:rFonts w:ascii="Arial" w:cs="Arial" w:eastAsia="Arial" w:hAnsi="Arial"/>
                <w:sz w:val="14"/>
                <w:szCs w:val="14"/>
                <w:color w:val="auto"/>
              </w:rPr>
              <w:t>61,748</w:t>
            </w:r>
          </w:p>
        </w:tc>
        <w:tc>
          <w:tcPr>
            <w:tcW w:w="116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300,330</w:t>
            </w:r>
          </w:p>
        </w:tc>
        <w:tc>
          <w:tcPr>
            <w:tcW w:w="0" w:type="dxa"/>
            <w:vAlign w:val="bottom"/>
          </w:tcPr>
          <w:p>
            <w:pPr>
              <w:spacing w:after="0"/>
              <w:rPr>
                <w:sz w:val="1"/>
                <w:szCs w:val="1"/>
                <w:color w:val="auto"/>
              </w:rPr>
            </w:pPr>
          </w:p>
        </w:tc>
      </w:tr>
      <w:tr>
        <w:trPr>
          <w:trHeight w:val="162"/>
        </w:trPr>
        <w:tc>
          <w:tcPr>
            <w:tcW w:w="4560" w:type="dxa"/>
            <w:vAlign w:val="bottom"/>
            <w:tcBorders>
              <w:right w:val="single" w:sz="8" w:color="007CBA"/>
            </w:tcBorders>
          </w:tcPr>
          <w:p>
            <w:pPr>
              <w:ind w:left="60"/>
              <w:spacing w:after="0"/>
              <w:rPr>
                <w:sz w:val="20"/>
                <w:szCs w:val="20"/>
                <w:color w:val="auto"/>
              </w:rPr>
            </w:pPr>
            <w:r>
              <w:rPr>
                <w:rFonts w:ascii="Arial" w:cs="Arial" w:eastAsia="Arial" w:hAnsi="Arial"/>
                <w:sz w:val="14"/>
                <w:szCs w:val="14"/>
                <w:color w:val="auto"/>
              </w:rPr>
              <w:t>Dennis L. Rediker</w:t>
            </w:r>
          </w:p>
        </w:tc>
        <w:tc>
          <w:tcPr>
            <w:tcW w:w="1160" w:type="dxa"/>
            <w:vAlign w:val="bottom"/>
            <w:tcBorders>
              <w:right w:val="single" w:sz="8" w:color="007CBA"/>
            </w:tcBorders>
          </w:tcPr>
          <w:p>
            <w:pPr>
              <w:jc w:val="center"/>
              <w:ind w:left="169"/>
              <w:spacing w:after="0"/>
              <w:rPr>
                <w:sz w:val="20"/>
                <w:szCs w:val="20"/>
                <w:color w:val="auto"/>
              </w:rPr>
            </w:pPr>
            <w:r>
              <w:rPr>
                <w:rFonts w:ascii="Arial" w:cs="Arial" w:eastAsia="Arial" w:hAnsi="Arial"/>
                <w:sz w:val="14"/>
                <w:szCs w:val="14"/>
                <w:color w:val="auto"/>
              </w:rPr>
              <w:t>105,000</w:t>
            </w:r>
          </w:p>
        </w:tc>
        <w:tc>
          <w:tcPr>
            <w:tcW w:w="1240" w:type="dxa"/>
            <w:vAlign w:val="bottom"/>
            <w:tcBorders>
              <w:right w:val="single" w:sz="8" w:color="007CBA"/>
            </w:tcBorders>
          </w:tcPr>
          <w:p>
            <w:pPr>
              <w:jc w:val="center"/>
              <w:ind w:left="49"/>
              <w:spacing w:after="0"/>
              <w:rPr>
                <w:sz w:val="20"/>
                <w:szCs w:val="20"/>
                <w:color w:val="auto"/>
              </w:rPr>
            </w:pPr>
            <w:r>
              <w:rPr>
                <w:rFonts w:ascii="Arial" w:cs="Arial" w:eastAsia="Arial" w:hAnsi="Arial"/>
                <w:sz w:val="14"/>
                <w:szCs w:val="14"/>
                <w:color w:val="auto"/>
              </w:rPr>
              <w:t>100,195</w:t>
            </w:r>
          </w:p>
        </w:tc>
        <w:tc>
          <w:tcPr>
            <w:tcW w:w="1600" w:type="dxa"/>
            <w:vAlign w:val="bottom"/>
            <w:tcBorders>
              <w:right w:val="single" w:sz="8" w:color="007CBA"/>
            </w:tcBorders>
          </w:tcPr>
          <w:p>
            <w:pPr>
              <w:jc w:val="right"/>
              <w:ind w:right="389"/>
              <w:spacing w:after="0"/>
              <w:rPr>
                <w:sz w:val="20"/>
                <w:szCs w:val="20"/>
                <w:color w:val="auto"/>
              </w:rPr>
            </w:pPr>
            <w:r>
              <w:rPr>
                <w:rFonts w:ascii="Arial" w:cs="Arial" w:eastAsia="Arial" w:hAnsi="Arial"/>
                <w:sz w:val="14"/>
                <w:szCs w:val="14"/>
                <w:color w:val="auto"/>
              </w:rPr>
              <w:t>9,683</w:t>
            </w:r>
          </w:p>
        </w:tc>
        <w:tc>
          <w:tcPr>
            <w:tcW w:w="1300" w:type="dxa"/>
            <w:vAlign w:val="bottom"/>
            <w:tcBorders>
              <w:right w:val="single" w:sz="8" w:color="007CBA"/>
            </w:tcBorders>
          </w:tcPr>
          <w:p>
            <w:pPr>
              <w:jc w:val="right"/>
              <w:ind w:right="229"/>
              <w:spacing w:after="0"/>
              <w:rPr>
                <w:sz w:val="20"/>
                <w:szCs w:val="20"/>
                <w:color w:val="auto"/>
              </w:rPr>
            </w:pPr>
            <w:r>
              <w:rPr>
                <w:rFonts w:ascii="Arial" w:cs="Arial" w:eastAsia="Arial" w:hAnsi="Arial"/>
                <w:sz w:val="14"/>
                <w:szCs w:val="14"/>
                <w:color w:val="auto"/>
              </w:rPr>
              <w:t>37,691</w:t>
            </w:r>
          </w:p>
        </w:tc>
        <w:tc>
          <w:tcPr>
            <w:tcW w:w="1160" w:type="dxa"/>
            <w:vAlign w:val="bottom"/>
          </w:tcPr>
          <w:p>
            <w:pPr>
              <w:jc w:val="center"/>
              <w:spacing w:after="0"/>
              <w:rPr>
                <w:sz w:val="20"/>
                <w:szCs w:val="20"/>
                <w:color w:val="auto"/>
              </w:rPr>
            </w:pPr>
            <w:r>
              <w:rPr>
                <w:rFonts w:ascii="Arial" w:cs="Arial" w:eastAsia="Arial" w:hAnsi="Arial"/>
                <w:sz w:val="14"/>
                <w:szCs w:val="14"/>
                <w:color w:val="auto"/>
              </w:rPr>
              <w:t>252,569</w:t>
            </w:r>
          </w:p>
        </w:tc>
        <w:tc>
          <w:tcPr>
            <w:tcW w:w="0" w:type="dxa"/>
            <w:vAlign w:val="bottom"/>
          </w:tcPr>
          <w:p>
            <w:pPr>
              <w:spacing w:after="0"/>
              <w:rPr>
                <w:sz w:val="1"/>
                <w:szCs w:val="1"/>
                <w:color w:val="auto"/>
              </w:rPr>
            </w:pPr>
          </w:p>
        </w:tc>
      </w:tr>
      <w:tr>
        <w:trPr>
          <w:trHeight w:val="162"/>
        </w:trPr>
        <w:tc>
          <w:tcPr>
            <w:tcW w:w="456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color w:val="auto"/>
              </w:rPr>
              <w:t>Donald W. Slager</w:t>
            </w:r>
          </w:p>
        </w:tc>
        <w:tc>
          <w:tcPr>
            <w:tcW w:w="1160" w:type="dxa"/>
            <w:vAlign w:val="bottom"/>
            <w:tcBorders>
              <w:right w:val="single" w:sz="8" w:color="007CBA"/>
            </w:tcBorders>
            <w:shd w:val="clear" w:color="auto" w:fill="E5F1F8"/>
          </w:tcPr>
          <w:p>
            <w:pPr>
              <w:jc w:val="center"/>
              <w:ind w:left="169"/>
              <w:spacing w:after="0"/>
              <w:rPr>
                <w:sz w:val="20"/>
                <w:szCs w:val="20"/>
                <w:color w:val="auto"/>
              </w:rPr>
            </w:pPr>
            <w:r>
              <w:rPr>
                <w:rFonts w:ascii="Arial" w:cs="Arial" w:eastAsia="Arial" w:hAnsi="Arial"/>
                <w:sz w:val="14"/>
                <w:szCs w:val="14"/>
                <w:color w:val="auto"/>
              </w:rPr>
              <w:t>100,000</w:t>
            </w:r>
          </w:p>
        </w:tc>
        <w:tc>
          <w:tcPr>
            <w:tcW w:w="1240" w:type="dxa"/>
            <w:vAlign w:val="bottom"/>
            <w:tcBorders>
              <w:right w:val="single" w:sz="8" w:color="007CBA"/>
            </w:tcBorders>
            <w:shd w:val="clear" w:color="auto" w:fill="E5F1F8"/>
          </w:tcPr>
          <w:p>
            <w:pPr>
              <w:jc w:val="center"/>
              <w:ind w:left="49"/>
              <w:spacing w:after="0"/>
              <w:rPr>
                <w:sz w:val="20"/>
                <w:szCs w:val="20"/>
                <w:color w:val="auto"/>
              </w:rPr>
            </w:pPr>
            <w:r>
              <w:rPr>
                <w:rFonts w:ascii="Arial" w:cs="Arial" w:eastAsia="Arial" w:hAnsi="Arial"/>
                <w:sz w:val="14"/>
                <w:szCs w:val="14"/>
                <w:color w:val="auto"/>
              </w:rPr>
              <w:t>100,195</w:t>
            </w:r>
          </w:p>
        </w:tc>
        <w:tc>
          <w:tcPr>
            <w:tcW w:w="1600" w:type="dxa"/>
            <w:vAlign w:val="bottom"/>
            <w:tcBorders>
              <w:right w:val="single" w:sz="8" w:color="007CBA"/>
            </w:tcBorders>
            <w:shd w:val="clear" w:color="auto" w:fill="E5F1F8"/>
          </w:tcPr>
          <w:p>
            <w:pPr>
              <w:jc w:val="right"/>
              <w:ind w:right="389"/>
              <w:spacing w:after="0"/>
              <w:rPr>
                <w:sz w:val="20"/>
                <w:szCs w:val="20"/>
                <w:color w:val="auto"/>
              </w:rPr>
            </w:pPr>
            <w:r>
              <w:rPr>
                <w:rFonts w:ascii="Arial" w:cs="Arial" w:eastAsia="Arial" w:hAnsi="Arial"/>
                <w:sz w:val="14"/>
                <w:szCs w:val="14"/>
                <w:color w:val="auto"/>
              </w:rPr>
              <w:t>44</w:t>
            </w:r>
          </w:p>
        </w:tc>
        <w:tc>
          <w:tcPr>
            <w:tcW w:w="1300" w:type="dxa"/>
            <w:vAlign w:val="bottom"/>
            <w:tcBorders>
              <w:right w:val="single" w:sz="8" w:color="007CBA"/>
            </w:tcBorders>
            <w:shd w:val="clear" w:color="auto" w:fill="E5F1F8"/>
          </w:tcPr>
          <w:p>
            <w:pPr>
              <w:jc w:val="right"/>
              <w:ind w:right="229"/>
              <w:spacing w:after="0"/>
              <w:rPr>
                <w:sz w:val="20"/>
                <w:szCs w:val="20"/>
                <w:color w:val="auto"/>
              </w:rPr>
            </w:pPr>
            <w:r>
              <w:rPr>
                <w:rFonts w:ascii="Arial" w:cs="Arial" w:eastAsia="Arial" w:hAnsi="Arial"/>
                <w:sz w:val="14"/>
                <w:szCs w:val="14"/>
                <w:color w:val="auto"/>
              </w:rPr>
              <w:t>1,499</w:t>
            </w:r>
          </w:p>
        </w:tc>
        <w:tc>
          <w:tcPr>
            <w:tcW w:w="116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201,738</w:t>
            </w:r>
          </w:p>
        </w:tc>
        <w:tc>
          <w:tcPr>
            <w:tcW w:w="0" w:type="dxa"/>
            <w:vAlign w:val="bottom"/>
          </w:tcPr>
          <w:p>
            <w:pPr>
              <w:spacing w:after="0"/>
              <w:rPr>
                <w:sz w:val="1"/>
                <w:szCs w:val="1"/>
                <w:color w:val="auto"/>
              </w:rPr>
            </w:pPr>
          </w:p>
        </w:tc>
      </w:tr>
      <w:tr>
        <w:trPr>
          <w:trHeight w:val="162"/>
        </w:trPr>
        <w:tc>
          <w:tcPr>
            <w:tcW w:w="4560" w:type="dxa"/>
            <w:vAlign w:val="bottom"/>
            <w:tcBorders>
              <w:bottom w:val="single" w:sz="8" w:color="007CBA"/>
              <w:right w:val="single" w:sz="8" w:color="007CBA"/>
            </w:tcBorders>
          </w:tcPr>
          <w:p>
            <w:pPr>
              <w:ind w:left="60"/>
              <w:spacing w:after="0"/>
              <w:rPr>
                <w:sz w:val="20"/>
                <w:szCs w:val="20"/>
                <w:color w:val="auto"/>
              </w:rPr>
            </w:pPr>
            <w:r>
              <w:rPr>
                <w:rFonts w:ascii="Arial" w:cs="Arial" w:eastAsia="Arial" w:hAnsi="Arial"/>
                <w:sz w:val="14"/>
                <w:szCs w:val="14"/>
                <w:color w:val="auto"/>
              </w:rPr>
              <w:t>Stephen P. Zelnak, Jr.</w:t>
            </w:r>
          </w:p>
        </w:tc>
        <w:tc>
          <w:tcPr>
            <w:tcW w:w="1160" w:type="dxa"/>
            <w:vAlign w:val="bottom"/>
            <w:tcBorders>
              <w:bottom w:val="single" w:sz="8" w:color="007CBA"/>
              <w:right w:val="single" w:sz="8" w:color="007CBA"/>
            </w:tcBorders>
          </w:tcPr>
          <w:p>
            <w:pPr>
              <w:jc w:val="center"/>
              <w:ind w:left="169"/>
              <w:spacing w:after="0"/>
              <w:rPr>
                <w:sz w:val="20"/>
                <w:szCs w:val="20"/>
                <w:color w:val="auto"/>
              </w:rPr>
            </w:pPr>
            <w:r>
              <w:rPr>
                <w:rFonts w:ascii="Arial" w:cs="Arial" w:eastAsia="Arial" w:hAnsi="Arial"/>
                <w:sz w:val="14"/>
                <w:szCs w:val="14"/>
                <w:color w:val="auto"/>
              </w:rPr>
              <w:t>108,000</w:t>
            </w:r>
          </w:p>
        </w:tc>
        <w:tc>
          <w:tcPr>
            <w:tcW w:w="1240" w:type="dxa"/>
            <w:vAlign w:val="bottom"/>
            <w:tcBorders>
              <w:bottom w:val="single" w:sz="8" w:color="007CBA"/>
              <w:right w:val="single" w:sz="8" w:color="007CBA"/>
            </w:tcBorders>
          </w:tcPr>
          <w:p>
            <w:pPr>
              <w:jc w:val="center"/>
              <w:ind w:left="49"/>
              <w:spacing w:after="0"/>
              <w:rPr>
                <w:sz w:val="20"/>
                <w:szCs w:val="20"/>
                <w:color w:val="auto"/>
              </w:rPr>
            </w:pPr>
            <w:r>
              <w:rPr>
                <w:rFonts w:ascii="Arial" w:cs="Arial" w:eastAsia="Arial" w:hAnsi="Arial"/>
                <w:sz w:val="14"/>
                <w:szCs w:val="14"/>
                <w:color w:val="auto"/>
              </w:rPr>
              <w:t>100,195</w:t>
            </w:r>
          </w:p>
        </w:tc>
        <w:tc>
          <w:tcPr>
            <w:tcW w:w="1600" w:type="dxa"/>
            <w:vAlign w:val="bottom"/>
            <w:tcBorders>
              <w:bottom w:val="single" w:sz="8" w:color="007CBA"/>
              <w:right w:val="single" w:sz="8" w:color="007CBA"/>
            </w:tcBorders>
          </w:tcPr>
          <w:p>
            <w:pPr>
              <w:jc w:val="right"/>
              <w:ind w:right="389"/>
              <w:spacing w:after="0"/>
              <w:rPr>
                <w:sz w:val="20"/>
                <w:szCs w:val="20"/>
                <w:color w:val="auto"/>
              </w:rPr>
            </w:pPr>
            <w:r>
              <w:rPr>
                <w:rFonts w:ascii="Arial" w:cs="Arial" w:eastAsia="Arial" w:hAnsi="Arial"/>
                <w:sz w:val="14"/>
                <w:szCs w:val="14"/>
                <w:color w:val="auto"/>
              </w:rPr>
              <w:t>4,178</w:t>
            </w:r>
          </w:p>
        </w:tc>
        <w:tc>
          <w:tcPr>
            <w:tcW w:w="1300" w:type="dxa"/>
            <w:vAlign w:val="bottom"/>
            <w:tcBorders>
              <w:bottom w:val="single" w:sz="8" w:color="007CBA"/>
              <w:right w:val="single" w:sz="8" w:color="007CBA"/>
            </w:tcBorders>
          </w:tcPr>
          <w:p>
            <w:pPr>
              <w:jc w:val="right"/>
              <w:ind w:right="229"/>
              <w:spacing w:after="0"/>
              <w:rPr>
                <w:sz w:val="20"/>
                <w:szCs w:val="20"/>
                <w:color w:val="auto"/>
              </w:rPr>
            </w:pPr>
            <w:r>
              <w:rPr>
                <w:rFonts w:ascii="Arial" w:cs="Arial" w:eastAsia="Arial" w:hAnsi="Arial"/>
                <w:sz w:val="14"/>
                <w:szCs w:val="14"/>
                <w:color w:val="auto"/>
              </w:rPr>
              <w:t>37,215</w:t>
            </w:r>
          </w:p>
        </w:tc>
        <w:tc>
          <w:tcPr>
            <w:tcW w:w="1160" w:type="dxa"/>
            <w:vAlign w:val="bottom"/>
            <w:tcBorders>
              <w:bottom w:val="single" w:sz="8" w:color="007CBA"/>
            </w:tcBorders>
          </w:tcPr>
          <w:p>
            <w:pPr>
              <w:jc w:val="center"/>
              <w:spacing w:after="0"/>
              <w:rPr>
                <w:sz w:val="20"/>
                <w:szCs w:val="20"/>
                <w:color w:val="auto"/>
              </w:rPr>
            </w:pPr>
            <w:r>
              <w:rPr>
                <w:rFonts w:ascii="Arial" w:cs="Arial" w:eastAsia="Arial" w:hAnsi="Arial"/>
                <w:sz w:val="14"/>
                <w:szCs w:val="14"/>
                <w:color w:val="auto"/>
              </w:rPr>
              <w:t>249,588</w:t>
            </w:r>
          </w:p>
        </w:tc>
        <w:tc>
          <w:tcPr>
            <w:tcW w:w="0" w:type="dxa"/>
            <w:vAlign w:val="bottom"/>
          </w:tcPr>
          <w:p>
            <w:pPr>
              <w:spacing w:after="0"/>
              <w:rPr>
                <w:sz w:val="1"/>
                <w:szCs w:val="1"/>
                <w:color w:val="auto"/>
              </w:rPr>
            </w:pPr>
          </w:p>
        </w:tc>
      </w:tr>
    </w:tbl>
    <w:p>
      <w:pPr>
        <w:spacing w:after="0" w:line="54" w:lineRule="exact"/>
        <w:rPr>
          <w:sz w:val="20"/>
          <w:szCs w:val="20"/>
          <w:color w:val="auto"/>
        </w:rPr>
      </w:pPr>
    </w:p>
    <w:p>
      <w:pPr>
        <w:jc w:val="both"/>
        <w:ind w:left="320" w:right="20" w:hanging="116"/>
        <w:spacing w:after="0"/>
        <w:tabs>
          <w:tab w:leader="none" w:pos="320" w:val="left"/>
        </w:tabs>
        <w:numPr>
          <w:ilvl w:val="0"/>
          <w:numId w:val="28"/>
        </w:numPr>
        <w:rPr>
          <w:rFonts w:ascii="Arial" w:cs="Arial" w:eastAsia="Arial" w:hAnsi="Arial"/>
          <w:sz w:val="24"/>
          <w:szCs w:val="24"/>
          <w:color w:val="auto"/>
          <w:vertAlign w:val="superscript"/>
        </w:rPr>
      </w:pPr>
      <w:r>
        <w:rPr>
          <w:rFonts w:ascii="Arial" w:cs="Arial" w:eastAsia="Arial" w:hAnsi="Arial"/>
          <w:sz w:val="14"/>
          <w:szCs w:val="14"/>
          <w:color w:val="auto"/>
        </w:rPr>
        <w:t>Mr. Nye, who is the Chief Executive Officer of Martin Marietta and a member of the Board of Directors, is not included in this table because he is not compensated separately for his service as a Director. The compensation received by Mr. Nye as an employee of Martin Marietta is shown in the Summary Compensation Table on page 51.</w:t>
      </w:r>
    </w:p>
    <w:p>
      <w:pPr>
        <w:spacing w:after="0" w:line="117" w:lineRule="exact"/>
        <w:rPr>
          <w:sz w:val="20"/>
          <w:szCs w:val="20"/>
          <w:color w:val="auto"/>
        </w:rPr>
      </w:pPr>
    </w:p>
    <w:p>
      <w:pPr>
        <w:jc w:val="both"/>
        <w:ind w:left="320" w:right="20" w:hanging="116"/>
        <w:spacing w:after="0" w:line="227" w:lineRule="auto"/>
        <w:tabs>
          <w:tab w:leader="none" w:pos="320" w:val="left"/>
        </w:tabs>
        <w:numPr>
          <w:ilvl w:val="0"/>
          <w:numId w:val="29"/>
        </w:numPr>
        <w:rPr>
          <w:rFonts w:ascii="Arial" w:cs="Arial" w:eastAsia="Arial" w:hAnsi="Arial"/>
          <w:sz w:val="24"/>
          <w:szCs w:val="24"/>
          <w:color w:val="auto"/>
          <w:vertAlign w:val="superscript"/>
        </w:rPr>
      </w:pPr>
      <w:r>
        <w:rPr>
          <w:rFonts w:ascii="Arial" w:cs="Arial" w:eastAsia="Arial" w:hAnsi="Arial"/>
          <w:sz w:val="14"/>
          <w:szCs w:val="14"/>
          <w:color w:val="auto"/>
        </w:rPr>
        <w:t>The amounts in column (b) reflect fees earned in 2017. Some of these fees were deferred pursuant to the Common Stock Purchase Plan for Directors in the form of common stock units. The number of units of common stock credited in 2017 to each of the Directors under the Common Stock Purchase Plan for Directors and the grant date fair value for these awards determined in accordance with FASB ASC Topic 718, which includes the 20% discount, are as follows: Ms. Cole, 630 units and $108,337 value, respectively; Mr. Koraleski, 0; Mr. Maffucci, 141 units and $24,249 value, respectively; Mr. McDonald, 145 units and $25,050 value, respectively; Ms. Perez, 0; Mr. Quillen, 776 units and $133,441 value, respectively; Mr. Rediker, 124 units and $21,326 value, respectively; Mr. Slager, 0; and Mr. Zelnak, 316 units and $54,344 value, respectively. The number of units credited to each of the Directors as of December 31, 2017, including units accumulated under the plan for all years of service as a Director, is as follows: Ms. Cole, 15,252; Mr. Koraleski, 0; Mr. Maffucci, 9,036; Mr. McDonald, 6,507; Ms. Perez, 5,258; Mr. Quillen, 7,593; Mr. Rediker, 9,833; and Mr. Zelnak, 6,197. The 20% discount from the market price of Martin Marietta’s common stock used in converting to common stock is reported in column (g).</w:t>
      </w:r>
    </w:p>
    <w:p>
      <w:pPr>
        <w:spacing w:after="0" w:line="37" w:lineRule="exact"/>
        <w:rPr>
          <w:sz w:val="20"/>
          <w:szCs w:val="20"/>
          <w:color w:val="auto"/>
        </w:rPr>
      </w:pPr>
    </w:p>
    <w:p>
      <w:pPr>
        <w:jc w:val="both"/>
        <w:ind w:left="320" w:right="20" w:hanging="116"/>
        <w:spacing w:after="0" w:line="223" w:lineRule="auto"/>
        <w:tabs>
          <w:tab w:leader="none" w:pos="320" w:val="left"/>
        </w:tabs>
        <w:numPr>
          <w:ilvl w:val="0"/>
          <w:numId w:val="30"/>
        </w:numPr>
        <w:rPr>
          <w:rFonts w:ascii="Arial" w:cs="Arial" w:eastAsia="Arial" w:hAnsi="Arial"/>
          <w:sz w:val="24"/>
          <w:szCs w:val="24"/>
          <w:color w:val="auto"/>
          <w:vertAlign w:val="superscript"/>
        </w:rPr>
      </w:pPr>
      <w:r>
        <w:rPr>
          <w:rFonts w:ascii="Arial" w:cs="Arial" w:eastAsia="Arial" w:hAnsi="Arial"/>
          <w:sz w:val="14"/>
          <w:szCs w:val="14"/>
          <w:color w:val="auto"/>
        </w:rPr>
        <w:t>Each Director who was serving immediately following the 2017 Annual Meeting of Shareholder received 437 RSUs in 2017. The amounts in column (c) reflect the grant date fair value for these awards determined in accordance with FASB ASC Topic 718. The RSUs fully vested upon award and will be distributed to the Director upon retirement, except Mr. Maffucci, Ms. Perez and Mr. Quillen each received a distribution of 219 unrestricted shares of common stock and deferred the distribution of 218 RSUs until retirement. As of December 31, 2017, each Director held RSUs in the amounts as follows: Ms. Cole, 8,944; Mr. Koraleski, 939; Mr. Maffucci, 7,675; Ms. Perez, 8,725; Mr. Quillen, 8,725; Mr. Rediker, 8,944; Mr. Slager, 978; and Mr. Zelnak, 7,565. As of December 31, 2017, each Director held options for common stock in the amounts as follows: Ms. Cole, 3,000; Mr. Koraleski, 0; Mr. Maffucci, 0; Ms. Perez, 3,000; Mr. Quillen, 3,000; Mr. Rediker, 0; Mr. Slager, 0; and Mr. Zelnak, 0.</w:t>
      </w:r>
    </w:p>
    <w:p>
      <w:pPr>
        <w:ind w:left="320" w:hanging="116"/>
        <w:spacing w:after="0" w:line="199" w:lineRule="auto"/>
        <w:tabs>
          <w:tab w:leader="none" w:pos="320" w:val="left"/>
        </w:tabs>
        <w:numPr>
          <w:ilvl w:val="0"/>
          <w:numId w:val="31"/>
        </w:numPr>
        <w:rPr>
          <w:rFonts w:ascii="Arial" w:cs="Arial" w:eastAsia="Arial" w:hAnsi="Arial"/>
          <w:sz w:val="24"/>
          <w:szCs w:val="24"/>
          <w:color w:val="auto"/>
          <w:vertAlign w:val="superscript"/>
        </w:rPr>
      </w:pPr>
      <w:r>
        <w:rPr>
          <w:rFonts w:ascii="Arial" w:cs="Arial" w:eastAsia="Arial" w:hAnsi="Arial"/>
          <w:sz w:val="14"/>
          <w:szCs w:val="14"/>
          <w:color w:val="auto"/>
        </w:rPr>
        <w:t>The amounts in column (f) reflect interest paid on fees deferred in cash under the Common Stock Purchase Plan for Directors.</w:t>
      </w:r>
    </w:p>
    <w:p>
      <w:pPr>
        <w:spacing w:after="0" w:line="47" w:lineRule="exact"/>
        <w:rPr>
          <w:sz w:val="20"/>
          <w:szCs w:val="20"/>
          <w:color w:val="auto"/>
        </w:rPr>
      </w:pPr>
    </w:p>
    <w:p>
      <w:pPr>
        <w:jc w:val="both"/>
        <w:ind w:left="320" w:right="20" w:hanging="116"/>
        <w:spacing w:after="0" w:line="203" w:lineRule="auto"/>
        <w:tabs>
          <w:tab w:leader="none" w:pos="320" w:val="left"/>
        </w:tabs>
        <w:numPr>
          <w:ilvl w:val="0"/>
          <w:numId w:val="32"/>
        </w:numPr>
        <w:rPr>
          <w:rFonts w:ascii="Arial" w:cs="Arial" w:eastAsia="Arial" w:hAnsi="Arial"/>
          <w:sz w:val="24"/>
          <w:szCs w:val="24"/>
          <w:color w:val="auto"/>
          <w:vertAlign w:val="superscript"/>
        </w:rPr>
      </w:pPr>
      <w:r>
        <w:rPr>
          <w:rFonts w:ascii="Arial" w:cs="Arial" w:eastAsia="Arial" w:hAnsi="Arial"/>
          <w:sz w:val="14"/>
          <w:szCs w:val="14"/>
          <w:color w:val="auto"/>
        </w:rPr>
        <w:t>The amounts in column (g) reflect for each Director: (i) an amount equal to the 20% discount from the market price of Martin Marietta’s common stock used in converting fees deferred in 2017 into common stock units pursuant to the Common Stock Purchase Plan for Directors, and (ii) the dollar value of dividend equivalents paid in 2017 on common stock units held under the plan. The Directors did not receive perquisites or other personal benefits in 2017.</w:t>
      </w:r>
    </w:p>
    <w:p>
      <w:pPr>
        <w:spacing w:after="0" w:line="32" w:lineRule="exact"/>
        <w:rPr>
          <w:sz w:val="20"/>
          <w:szCs w:val="20"/>
          <w:color w:val="auto"/>
        </w:rPr>
      </w:pPr>
    </w:p>
    <w:p>
      <w:pPr>
        <w:ind w:left="320" w:hanging="116"/>
        <w:spacing w:after="0"/>
        <w:tabs>
          <w:tab w:leader="none" w:pos="320" w:val="left"/>
        </w:tabs>
        <w:numPr>
          <w:ilvl w:val="0"/>
          <w:numId w:val="33"/>
        </w:numPr>
        <w:rPr>
          <w:rFonts w:ascii="Arial" w:cs="Arial" w:eastAsia="Arial" w:hAnsi="Arial"/>
          <w:sz w:val="24"/>
          <w:szCs w:val="24"/>
          <w:color w:val="auto"/>
          <w:vertAlign w:val="superscript"/>
        </w:rPr>
      </w:pPr>
      <w:r>
        <w:rPr>
          <w:rFonts w:ascii="Arial" w:cs="Arial" w:eastAsia="Arial" w:hAnsi="Arial"/>
          <w:sz w:val="14"/>
          <w:szCs w:val="14"/>
          <w:color w:val="auto"/>
        </w:rPr>
        <w:t>Mr. McDonald retired at the 2017 Annual Meeting of Shareholders in accordance with the Bylaws that provide for retirement following the Director’s 75</w:t>
      </w:r>
      <w:r>
        <w:rPr>
          <w:rFonts w:ascii="Arial" w:cs="Arial" w:eastAsia="Arial" w:hAnsi="Arial"/>
          <w:sz w:val="24"/>
          <w:szCs w:val="24"/>
          <w:color w:val="auto"/>
          <w:vertAlign w:val="superscript"/>
        </w:rPr>
        <w:t>th</w:t>
      </w:r>
      <w:r>
        <w:rPr>
          <w:rFonts w:ascii="Arial" w:cs="Arial" w:eastAsia="Arial" w:hAnsi="Arial"/>
          <w:sz w:val="14"/>
          <w:szCs w:val="14"/>
          <w:color w:val="auto"/>
        </w:rPr>
        <w:t xml:space="preserve"> birthday.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3512820</wp:posOffset>
            </wp:positionH>
            <wp:positionV relativeFrom="paragraph">
              <wp:posOffset>33655</wp:posOffset>
            </wp:positionV>
            <wp:extent cx="411480" cy="2489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52" w:lineRule="exact"/>
        <w:rPr>
          <w:sz w:val="20"/>
          <w:szCs w:val="20"/>
          <w:color w:val="auto"/>
        </w:rPr>
      </w:pPr>
    </w:p>
    <w:p>
      <w:pPr>
        <w:ind w:left="640" w:hanging="436"/>
        <w:spacing w:after="0"/>
        <w:tabs>
          <w:tab w:leader="none" w:pos="640" w:val="left"/>
        </w:tabs>
        <w:numPr>
          <w:ilvl w:val="0"/>
          <w:numId w:val="34"/>
        </w:numPr>
        <w:rPr>
          <w:rFonts w:ascii="Arial" w:cs="Arial" w:eastAsia="Arial" w:hAnsi="Arial"/>
          <w:sz w:val="13"/>
          <w:szCs w:val="13"/>
          <w:b w:val="1"/>
          <w:bCs w:val="1"/>
          <w:color w:val="auto"/>
        </w:rPr>
      </w:pPr>
      <w:r>
        <w:rPr>
          <w:rFonts w:ascii="Arial" w:cs="Arial" w:eastAsia="Arial" w:hAnsi="Arial"/>
          <w:sz w:val="13"/>
          <w:szCs w:val="13"/>
          <w:color w:val="007CBA"/>
        </w:rPr>
        <w:t>2018 PROXY STATEMENT</w:t>
      </w:r>
    </w:p>
    <w:p>
      <w:pPr>
        <w:sectPr>
          <w:pgSz w:w="11900" w:h="16838" w:orient="portrait"/>
          <w:cols w:equalWidth="0" w:num="1">
            <w:col w:w="11240"/>
          </w:cols>
          <w:pgMar w:left="240" w:top="455" w:right="419" w:bottom="1440" w:gutter="0" w:footer="0" w:header="0"/>
          <w:type w:val="continuous"/>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72" w:lineRule="exact"/>
        <w:rPr>
          <w:sz w:val="20"/>
          <w:szCs w:val="20"/>
          <w:color w:val="auto"/>
        </w:rPr>
      </w:pPr>
    </w:p>
    <w:p>
      <w:pPr>
        <w:jc w:val="center"/>
        <w:ind w:right="-199"/>
        <w:spacing w:after="0"/>
        <w:rPr>
          <w:sz w:val="20"/>
          <w:szCs w:val="20"/>
          <w:color w:val="auto"/>
        </w:rPr>
      </w:pPr>
      <w:r>
        <w:rPr>
          <w:rFonts w:ascii="Arial" w:cs="Arial" w:eastAsia="Arial" w:hAnsi="Arial"/>
          <w:sz w:val="43"/>
          <w:szCs w:val="43"/>
          <w:color w:val="auto"/>
        </w:rPr>
        <w:t>Security Ownership of Certain</w:t>
      </w:r>
    </w:p>
    <w:p>
      <w:pPr>
        <w:spacing w:after="0" w:line="61" w:lineRule="exact"/>
        <w:rPr>
          <w:sz w:val="20"/>
          <w:szCs w:val="20"/>
          <w:color w:val="auto"/>
        </w:rPr>
      </w:pPr>
    </w:p>
    <w:p>
      <w:pPr>
        <w:jc w:val="center"/>
        <w:ind w:right="-199"/>
        <w:spacing w:after="0"/>
        <w:rPr>
          <w:sz w:val="20"/>
          <w:szCs w:val="20"/>
          <w:color w:val="auto"/>
        </w:rPr>
      </w:pPr>
      <w:r>
        <w:rPr>
          <w:rFonts w:ascii="Arial" w:cs="Arial" w:eastAsia="Arial" w:hAnsi="Arial"/>
          <w:sz w:val="43"/>
          <w:szCs w:val="43"/>
          <w:color w:val="auto"/>
        </w:rPr>
        <w:t>Beneficial Owners and Management</w:t>
      </w:r>
    </w:p>
    <w:p>
      <w:pPr>
        <w:spacing w:after="0" w:line="200" w:lineRule="exact"/>
        <w:rPr>
          <w:sz w:val="20"/>
          <w:szCs w:val="20"/>
          <w:color w:val="auto"/>
        </w:rPr>
      </w:pPr>
    </w:p>
    <w:p>
      <w:pPr>
        <w:spacing w:after="0" w:line="259"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7CBA"/>
        </w:rPr>
        <w:t>How much stock do Martin Marietta’s Directors and executive officers own?</w:t>
      </w:r>
    </w:p>
    <w:p>
      <w:pPr>
        <w:spacing w:after="0" w:line="25" w:lineRule="exact"/>
        <w:rPr>
          <w:sz w:val="20"/>
          <w:szCs w:val="20"/>
          <w:color w:val="auto"/>
        </w:rPr>
      </w:pPr>
    </w:p>
    <w:p>
      <w:pPr>
        <w:jc w:val="both"/>
        <w:ind w:left="200"/>
        <w:spacing w:after="0" w:line="256" w:lineRule="auto"/>
        <w:rPr>
          <w:sz w:val="20"/>
          <w:szCs w:val="20"/>
          <w:color w:val="auto"/>
        </w:rPr>
      </w:pPr>
      <w:r>
        <w:rPr>
          <w:rFonts w:ascii="Arial" w:cs="Arial" w:eastAsia="Arial" w:hAnsi="Arial"/>
          <w:sz w:val="16"/>
          <w:szCs w:val="16"/>
          <w:color w:val="auto"/>
        </w:rPr>
        <w:t>The following table sets forth information as of March 9, 2018 with respect to the shares of common stock that are beneficially owned by the Directors, the Chief Executive Officer, the Chief Financial Officer, and the three other named executive officers who are listed in the Summary Compensation Table on page 51 of this proxy statement, individually, and by all Directors and executive officers of Martin Marietta as a group.</w:t>
      </w:r>
    </w:p>
    <w:p>
      <w:pPr>
        <w:spacing w:after="0" w:line="178" w:lineRule="exact"/>
        <w:rPr>
          <w:sz w:val="20"/>
          <w:szCs w:val="20"/>
          <w:color w:val="auto"/>
        </w:rPr>
      </w:pPr>
    </w:p>
    <w:tbl>
      <w:tblPr>
        <w:tblLayout w:type="fixed"/>
        <w:tblInd w:w="1860" w:type="dxa"/>
        <w:tblCellMar>
          <w:top w:w="0" w:type="dxa"/>
          <w:left w:w="0" w:type="dxa"/>
          <w:bottom w:w="0" w:type="dxa"/>
          <w:right w:w="0" w:type="dxa"/>
        </w:tblCellMar>
      </w:tblPr>
      <w:tr>
        <w:trPr>
          <w:trHeight w:val="184"/>
        </w:trPr>
        <w:tc>
          <w:tcPr>
            <w:tcW w:w="2720" w:type="dxa"/>
            <w:vAlign w:val="bottom"/>
            <w:tcBorders>
              <w:right w:val="single" w:sz="8" w:color="007CBA"/>
            </w:tcBorders>
            <w:shd w:val="clear" w:color="auto" w:fill="007CBA"/>
          </w:tcPr>
          <w:p>
            <w:pPr>
              <w:spacing w:after="0"/>
              <w:rPr>
                <w:sz w:val="16"/>
                <w:szCs w:val="16"/>
                <w:color w:val="auto"/>
              </w:rPr>
            </w:pPr>
          </w:p>
        </w:tc>
        <w:tc>
          <w:tcPr>
            <w:tcW w:w="2200" w:type="dxa"/>
            <w:vAlign w:val="bottom"/>
            <w:tcBorders>
              <w:right w:val="single" w:sz="8" w:color="007CBA"/>
            </w:tcBorders>
            <w:shd w:val="clear" w:color="auto" w:fill="007CBA"/>
          </w:tcPr>
          <w:p>
            <w:pPr>
              <w:spacing w:after="0"/>
              <w:rPr>
                <w:sz w:val="16"/>
                <w:szCs w:val="16"/>
                <w:color w:val="auto"/>
              </w:rPr>
            </w:pPr>
          </w:p>
        </w:tc>
        <w:tc>
          <w:tcPr>
            <w:tcW w:w="1480" w:type="dxa"/>
            <w:vAlign w:val="bottom"/>
            <w:tcBorders>
              <w:right w:val="single" w:sz="8" w:color="007CBA"/>
            </w:tcBorders>
            <w:shd w:val="clear" w:color="auto" w:fill="007CBA"/>
          </w:tcPr>
          <w:p>
            <w:pPr>
              <w:jc w:val="center"/>
              <w:ind w:right="39"/>
              <w:spacing w:after="0"/>
              <w:rPr>
                <w:sz w:val="20"/>
                <w:szCs w:val="20"/>
                <w:color w:val="auto"/>
              </w:rPr>
            </w:pPr>
            <w:r>
              <w:rPr>
                <w:rFonts w:ascii="Arial" w:cs="Arial" w:eastAsia="Arial" w:hAnsi="Arial"/>
                <w:sz w:val="16"/>
                <w:szCs w:val="16"/>
                <w:b w:val="1"/>
                <w:bCs w:val="1"/>
                <w:color w:val="FFFFFF"/>
              </w:rPr>
              <w:t>Deferred and</w:t>
            </w:r>
          </w:p>
        </w:tc>
        <w:tc>
          <w:tcPr>
            <w:tcW w:w="1300" w:type="dxa"/>
            <w:vAlign w:val="bottom"/>
            <w:shd w:val="clear" w:color="auto" w:fill="007CBA"/>
          </w:tcPr>
          <w:p>
            <w:pPr>
              <w:spacing w:after="0"/>
              <w:rPr>
                <w:sz w:val="16"/>
                <w:szCs w:val="16"/>
                <w:color w:val="auto"/>
              </w:rPr>
            </w:pPr>
          </w:p>
        </w:tc>
      </w:tr>
      <w:tr>
        <w:trPr>
          <w:trHeight w:val="188"/>
        </w:trPr>
        <w:tc>
          <w:tcPr>
            <w:tcW w:w="2720" w:type="dxa"/>
            <w:vAlign w:val="bottom"/>
            <w:tcBorders>
              <w:right w:val="single" w:sz="8" w:color="007CBA"/>
            </w:tcBorders>
            <w:shd w:val="clear" w:color="auto" w:fill="007CBA"/>
          </w:tcPr>
          <w:p>
            <w:pPr>
              <w:spacing w:after="0"/>
              <w:rPr>
                <w:sz w:val="16"/>
                <w:szCs w:val="16"/>
                <w:color w:val="auto"/>
              </w:rPr>
            </w:pPr>
          </w:p>
        </w:tc>
        <w:tc>
          <w:tcPr>
            <w:tcW w:w="2200" w:type="dxa"/>
            <w:vAlign w:val="bottom"/>
            <w:tcBorders>
              <w:right w:val="single" w:sz="8" w:color="007CBA"/>
            </w:tcBorders>
            <w:shd w:val="clear" w:color="auto" w:fill="007CBA"/>
          </w:tcPr>
          <w:p>
            <w:pPr>
              <w:jc w:val="right"/>
              <w:ind w:right="251"/>
              <w:spacing w:after="0"/>
              <w:rPr>
                <w:sz w:val="20"/>
                <w:szCs w:val="20"/>
                <w:color w:val="auto"/>
              </w:rPr>
            </w:pPr>
            <w:r>
              <w:rPr>
                <w:rFonts w:ascii="Arial" w:cs="Arial" w:eastAsia="Arial" w:hAnsi="Arial"/>
                <w:sz w:val="16"/>
                <w:szCs w:val="16"/>
                <w:b w:val="1"/>
                <w:bCs w:val="1"/>
                <w:color w:val="FFFFFF"/>
              </w:rPr>
              <w:t>Amount and Nature of</w:t>
            </w:r>
          </w:p>
        </w:tc>
        <w:tc>
          <w:tcPr>
            <w:tcW w:w="14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6"/>
                <w:szCs w:val="16"/>
                <w:b w:val="1"/>
                <w:bCs w:val="1"/>
                <w:color w:val="FFFFFF"/>
              </w:rPr>
              <w:t>Restricted</w:t>
            </w:r>
          </w:p>
        </w:tc>
        <w:tc>
          <w:tcPr>
            <w:tcW w:w="1300" w:type="dxa"/>
            <w:vAlign w:val="bottom"/>
            <w:shd w:val="clear" w:color="auto" w:fill="007CBA"/>
          </w:tcPr>
          <w:p>
            <w:pPr>
              <w:spacing w:after="0"/>
              <w:rPr>
                <w:sz w:val="16"/>
                <w:szCs w:val="16"/>
                <w:color w:val="auto"/>
              </w:rPr>
            </w:pPr>
          </w:p>
        </w:tc>
      </w:tr>
      <w:tr>
        <w:trPr>
          <w:trHeight w:val="224"/>
        </w:trPr>
        <w:tc>
          <w:tcPr>
            <w:tcW w:w="272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6"/>
                <w:szCs w:val="16"/>
                <w:b w:val="1"/>
                <w:bCs w:val="1"/>
                <w:color w:val="FFFFFF"/>
              </w:rPr>
              <w:t>Name of Beneficial Owner</w:t>
            </w:r>
          </w:p>
        </w:tc>
        <w:tc>
          <w:tcPr>
            <w:tcW w:w="2200" w:type="dxa"/>
            <w:vAlign w:val="bottom"/>
            <w:tcBorders>
              <w:right w:val="single" w:sz="8" w:color="007CBA"/>
            </w:tcBorders>
            <w:shd w:val="clear" w:color="auto" w:fill="007CBA"/>
          </w:tcPr>
          <w:p>
            <w:pPr>
              <w:jc w:val="right"/>
              <w:ind w:right="231"/>
              <w:spacing w:after="0" w:line="223" w:lineRule="exact"/>
              <w:rPr>
                <w:sz w:val="20"/>
                <w:szCs w:val="20"/>
                <w:color w:val="auto"/>
              </w:rPr>
            </w:pPr>
            <w:r>
              <w:rPr>
                <w:rFonts w:ascii="Arial" w:cs="Arial" w:eastAsia="Arial" w:hAnsi="Arial"/>
                <w:sz w:val="15"/>
                <w:szCs w:val="15"/>
                <w:b w:val="1"/>
                <w:bCs w:val="1"/>
                <w:color w:val="FFFFFF"/>
              </w:rPr>
              <w:t>Beneficial Ownership</w:t>
            </w:r>
            <w:r>
              <w:rPr>
                <w:rFonts w:ascii="Arial" w:cs="Arial" w:eastAsia="Arial" w:hAnsi="Arial"/>
                <w:sz w:val="25"/>
                <w:szCs w:val="25"/>
                <w:b w:val="1"/>
                <w:bCs w:val="1"/>
                <w:color w:val="FFFFFF"/>
                <w:vertAlign w:val="superscript"/>
              </w:rPr>
              <w:t>1</w:t>
            </w:r>
          </w:p>
        </w:tc>
        <w:tc>
          <w:tcPr>
            <w:tcW w:w="1480" w:type="dxa"/>
            <w:vAlign w:val="bottom"/>
            <w:tcBorders>
              <w:right w:val="single" w:sz="8" w:color="007CBA"/>
            </w:tcBorders>
            <w:shd w:val="clear" w:color="auto" w:fill="007CBA"/>
          </w:tcPr>
          <w:p>
            <w:pPr>
              <w:jc w:val="center"/>
              <w:ind w:right="39"/>
              <w:spacing w:after="0" w:line="223" w:lineRule="exact"/>
              <w:rPr>
                <w:sz w:val="20"/>
                <w:szCs w:val="20"/>
                <w:color w:val="auto"/>
              </w:rPr>
            </w:pPr>
            <w:r>
              <w:rPr>
                <w:rFonts w:ascii="Arial" w:cs="Arial" w:eastAsia="Arial" w:hAnsi="Arial"/>
                <w:sz w:val="15"/>
                <w:szCs w:val="15"/>
                <w:b w:val="1"/>
                <w:bCs w:val="1"/>
                <w:color w:val="FFFFFF"/>
              </w:rPr>
              <w:t>Units</w:t>
            </w:r>
            <w:r>
              <w:rPr>
                <w:rFonts w:ascii="Arial" w:cs="Arial" w:eastAsia="Arial" w:hAnsi="Arial"/>
                <w:sz w:val="25"/>
                <w:szCs w:val="25"/>
                <w:b w:val="1"/>
                <w:bCs w:val="1"/>
                <w:color w:val="FFFFFF"/>
                <w:vertAlign w:val="superscript"/>
              </w:rPr>
              <w:t>5</w:t>
            </w:r>
          </w:p>
        </w:tc>
        <w:tc>
          <w:tcPr>
            <w:tcW w:w="1300" w:type="dxa"/>
            <w:vAlign w:val="bottom"/>
            <w:shd w:val="clear" w:color="auto" w:fill="007CBA"/>
          </w:tcPr>
          <w:p>
            <w:pPr>
              <w:jc w:val="right"/>
              <w:ind w:right="399"/>
              <w:spacing w:after="0"/>
              <w:rPr>
                <w:sz w:val="20"/>
                <w:szCs w:val="20"/>
                <w:color w:val="auto"/>
              </w:rPr>
            </w:pPr>
            <w:r>
              <w:rPr>
                <w:rFonts w:ascii="Arial" w:cs="Arial" w:eastAsia="Arial" w:hAnsi="Arial"/>
                <w:sz w:val="16"/>
                <w:szCs w:val="16"/>
                <w:b w:val="1"/>
                <w:bCs w:val="1"/>
                <w:color w:val="FFFFFF"/>
              </w:rPr>
              <w:t>Total</w:t>
            </w:r>
          </w:p>
        </w:tc>
      </w:tr>
      <w:tr>
        <w:trPr>
          <w:trHeight w:val="189"/>
        </w:trPr>
        <w:tc>
          <w:tcPr>
            <w:tcW w:w="2720" w:type="dxa"/>
            <w:vAlign w:val="bottom"/>
            <w:tcBorders>
              <w:right w:val="single" w:sz="8" w:color="007CBA"/>
            </w:tcBorders>
          </w:tcPr>
          <w:p>
            <w:pPr>
              <w:ind w:left="60"/>
              <w:spacing w:after="0"/>
              <w:rPr>
                <w:sz w:val="20"/>
                <w:szCs w:val="20"/>
                <w:color w:val="auto"/>
              </w:rPr>
            </w:pPr>
            <w:r>
              <w:rPr>
                <w:rFonts w:ascii="Arial" w:cs="Arial" w:eastAsia="Arial" w:hAnsi="Arial"/>
                <w:sz w:val="16"/>
                <w:szCs w:val="16"/>
                <w:color w:val="auto"/>
              </w:rPr>
              <w:t>Roselyn R. Bar</w:t>
            </w:r>
          </w:p>
        </w:tc>
        <w:tc>
          <w:tcPr>
            <w:tcW w:w="2200" w:type="dxa"/>
            <w:vAlign w:val="bottom"/>
            <w:tcBorders>
              <w:right w:val="single" w:sz="8" w:color="007CBA"/>
            </w:tcBorders>
          </w:tcPr>
          <w:p>
            <w:pPr>
              <w:jc w:val="right"/>
              <w:ind w:right="771"/>
              <w:spacing w:after="0" w:line="189" w:lineRule="exact"/>
              <w:rPr>
                <w:sz w:val="20"/>
                <w:szCs w:val="20"/>
                <w:color w:val="auto"/>
              </w:rPr>
            </w:pPr>
            <w:r>
              <w:rPr>
                <w:rFonts w:ascii="Arial" w:cs="Arial" w:eastAsia="Arial" w:hAnsi="Arial"/>
                <w:sz w:val="13"/>
                <w:szCs w:val="13"/>
                <w:color w:val="auto"/>
              </w:rPr>
              <w:t>48,096</w:t>
            </w:r>
            <w:r>
              <w:rPr>
                <w:rFonts w:ascii="Arial" w:cs="Arial" w:eastAsia="Arial" w:hAnsi="Arial"/>
                <w:sz w:val="21"/>
                <w:szCs w:val="21"/>
                <w:color w:val="auto"/>
                <w:vertAlign w:val="superscript"/>
              </w:rPr>
              <w:t>2</w:t>
            </w:r>
          </w:p>
        </w:tc>
        <w:tc>
          <w:tcPr>
            <w:tcW w:w="1480" w:type="dxa"/>
            <w:vAlign w:val="bottom"/>
            <w:tcBorders>
              <w:right w:val="single" w:sz="8" w:color="007CBA"/>
            </w:tcBorders>
          </w:tcPr>
          <w:p>
            <w:pPr>
              <w:jc w:val="right"/>
              <w:ind w:right="499"/>
              <w:spacing w:after="0"/>
              <w:rPr>
                <w:sz w:val="20"/>
                <w:szCs w:val="20"/>
                <w:color w:val="auto"/>
              </w:rPr>
            </w:pPr>
            <w:r>
              <w:rPr>
                <w:rFonts w:ascii="Arial" w:cs="Arial" w:eastAsia="Arial" w:hAnsi="Arial"/>
                <w:sz w:val="16"/>
                <w:szCs w:val="16"/>
                <w:color w:val="auto"/>
              </w:rPr>
              <w:t>19,808</w:t>
            </w:r>
          </w:p>
        </w:tc>
        <w:tc>
          <w:tcPr>
            <w:tcW w:w="1300" w:type="dxa"/>
            <w:vAlign w:val="bottom"/>
          </w:tcPr>
          <w:p>
            <w:pPr>
              <w:jc w:val="right"/>
              <w:ind w:right="279"/>
              <w:spacing w:after="0"/>
              <w:rPr>
                <w:sz w:val="20"/>
                <w:szCs w:val="20"/>
                <w:color w:val="auto"/>
              </w:rPr>
            </w:pPr>
            <w:r>
              <w:rPr>
                <w:rFonts w:ascii="Arial" w:cs="Arial" w:eastAsia="Arial" w:hAnsi="Arial"/>
                <w:sz w:val="16"/>
                <w:szCs w:val="16"/>
                <w:color w:val="auto"/>
              </w:rPr>
              <w:t>67,904</w:t>
            </w:r>
          </w:p>
        </w:tc>
      </w:tr>
      <w:tr>
        <w:trPr>
          <w:trHeight w:val="189"/>
        </w:trPr>
        <w:tc>
          <w:tcPr>
            <w:tcW w:w="272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6"/>
                <w:szCs w:val="16"/>
                <w:color w:val="auto"/>
              </w:rPr>
              <w:t>Sue W. Cole</w:t>
            </w:r>
          </w:p>
        </w:tc>
        <w:tc>
          <w:tcPr>
            <w:tcW w:w="2200" w:type="dxa"/>
            <w:vAlign w:val="bottom"/>
            <w:tcBorders>
              <w:right w:val="single" w:sz="8" w:color="007CBA"/>
            </w:tcBorders>
            <w:shd w:val="clear" w:color="auto" w:fill="E5F1F8"/>
          </w:tcPr>
          <w:p>
            <w:pPr>
              <w:jc w:val="right"/>
              <w:ind w:right="671"/>
              <w:spacing w:after="0" w:line="189" w:lineRule="exact"/>
              <w:rPr>
                <w:sz w:val="20"/>
                <w:szCs w:val="20"/>
                <w:color w:val="auto"/>
              </w:rPr>
            </w:pPr>
            <w:r>
              <w:rPr>
                <w:rFonts w:ascii="Arial" w:cs="Arial" w:eastAsia="Arial" w:hAnsi="Arial"/>
                <w:sz w:val="13"/>
                <w:szCs w:val="13"/>
                <w:color w:val="auto"/>
              </w:rPr>
              <w:t>33,988</w:t>
            </w:r>
            <w:r>
              <w:rPr>
                <w:rFonts w:ascii="Arial" w:cs="Arial" w:eastAsia="Arial" w:hAnsi="Arial"/>
                <w:sz w:val="21"/>
                <w:szCs w:val="21"/>
                <w:color w:val="auto"/>
                <w:vertAlign w:val="superscript"/>
              </w:rPr>
              <w:t>3,4</w:t>
            </w:r>
          </w:p>
        </w:tc>
        <w:tc>
          <w:tcPr>
            <w:tcW w:w="1480" w:type="dxa"/>
            <w:vAlign w:val="bottom"/>
            <w:tcBorders>
              <w:right w:val="single" w:sz="8" w:color="007CBA"/>
            </w:tcBorders>
            <w:shd w:val="clear" w:color="auto" w:fill="E5F1F8"/>
          </w:tcPr>
          <w:p>
            <w:pPr>
              <w:jc w:val="right"/>
              <w:ind w:right="679"/>
              <w:spacing w:after="0"/>
              <w:rPr>
                <w:sz w:val="20"/>
                <w:szCs w:val="20"/>
                <w:color w:val="auto"/>
              </w:rPr>
            </w:pPr>
            <w:r>
              <w:rPr>
                <w:rFonts w:ascii="Arial" w:cs="Arial" w:eastAsia="Arial" w:hAnsi="Arial"/>
                <w:sz w:val="16"/>
                <w:szCs w:val="16"/>
                <w:color w:val="auto"/>
              </w:rPr>
              <w:t>—</w:t>
            </w:r>
          </w:p>
        </w:tc>
        <w:tc>
          <w:tcPr>
            <w:tcW w:w="1300" w:type="dxa"/>
            <w:vAlign w:val="bottom"/>
            <w:shd w:val="clear" w:color="auto" w:fill="E5F1F8"/>
          </w:tcPr>
          <w:p>
            <w:pPr>
              <w:jc w:val="right"/>
              <w:ind w:right="279"/>
              <w:spacing w:after="0"/>
              <w:rPr>
                <w:sz w:val="20"/>
                <w:szCs w:val="20"/>
                <w:color w:val="auto"/>
              </w:rPr>
            </w:pPr>
            <w:r>
              <w:rPr>
                <w:rFonts w:ascii="Arial" w:cs="Arial" w:eastAsia="Arial" w:hAnsi="Arial"/>
                <w:sz w:val="16"/>
                <w:szCs w:val="16"/>
                <w:color w:val="auto"/>
              </w:rPr>
              <w:t>33,988</w:t>
            </w:r>
          </w:p>
        </w:tc>
      </w:tr>
      <w:tr>
        <w:trPr>
          <w:trHeight w:val="189"/>
        </w:trPr>
        <w:tc>
          <w:tcPr>
            <w:tcW w:w="2720" w:type="dxa"/>
            <w:vAlign w:val="bottom"/>
            <w:tcBorders>
              <w:right w:val="single" w:sz="8" w:color="007CBA"/>
            </w:tcBorders>
          </w:tcPr>
          <w:p>
            <w:pPr>
              <w:ind w:left="60"/>
              <w:spacing w:after="0"/>
              <w:rPr>
                <w:sz w:val="20"/>
                <w:szCs w:val="20"/>
                <w:color w:val="auto"/>
              </w:rPr>
            </w:pPr>
            <w:r>
              <w:rPr>
                <w:rFonts w:ascii="Arial" w:cs="Arial" w:eastAsia="Arial" w:hAnsi="Arial"/>
                <w:sz w:val="16"/>
                <w:szCs w:val="16"/>
                <w:color w:val="auto"/>
              </w:rPr>
              <w:t>Daniel L. Grant</w:t>
            </w:r>
          </w:p>
        </w:tc>
        <w:tc>
          <w:tcPr>
            <w:tcW w:w="2200" w:type="dxa"/>
            <w:vAlign w:val="bottom"/>
            <w:tcBorders>
              <w:right w:val="single" w:sz="8" w:color="007CBA"/>
            </w:tcBorders>
          </w:tcPr>
          <w:p>
            <w:pPr>
              <w:jc w:val="right"/>
              <w:ind w:right="771"/>
              <w:spacing w:after="0" w:line="189" w:lineRule="exact"/>
              <w:rPr>
                <w:sz w:val="20"/>
                <w:szCs w:val="20"/>
                <w:color w:val="auto"/>
              </w:rPr>
            </w:pPr>
            <w:r>
              <w:rPr>
                <w:rFonts w:ascii="Arial" w:cs="Arial" w:eastAsia="Arial" w:hAnsi="Arial"/>
                <w:sz w:val="13"/>
                <w:szCs w:val="13"/>
                <w:color w:val="auto"/>
              </w:rPr>
              <w:t>3,905</w:t>
            </w:r>
            <w:r>
              <w:rPr>
                <w:rFonts w:ascii="Arial" w:cs="Arial" w:eastAsia="Arial" w:hAnsi="Arial"/>
                <w:sz w:val="21"/>
                <w:szCs w:val="21"/>
                <w:color w:val="auto"/>
                <w:vertAlign w:val="superscript"/>
              </w:rPr>
              <w:t>2</w:t>
            </w:r>
          </w:p>
        </w:tc>
        <w:tc>
          <w:tcPr>
            <w:tcW w:w="1480" w:type="dxa"/>
            <w:vAlign w:val="bottom"/>
            <w:tcBorders>
              <w:right w:val="single" w:sz="8" w:color="007CBA"/>
            </w:tcBorders>
          </w:tcPr>
          <w:p>
            <w:pPr>
              <w:jc w:val="right"/>
              <w:ind w:right="499"/>
              <w:spacing w:after="0"/>
              <w:rPr>
                <w:sz w:val="20"/>
                <w:szCs w:val="20"/>
                <w:color w:val="auto"/>
              </w:rPr>
            </w:pPr>
            <w:r>
              <w:rPr>
                <w:rFonts w:ascii="Arial" w:cs="Arial" w:eastAsia="Arial" w:hAnsi="Arial"/>
                <w:sz w:val="16"/>
                <w:szCs w:val="16"/>
                <w:color w:val="auto"/>
              </w:rPr>
              <w:t>13,308</w:t>
            </w:r>
          </w:p>
        </w:tc>
        <w:tc>
          <w:tcPr>
            <w:tcW w:w="1300" w:type="dxa"/>
            <w:vAlign w:val="bottom"/>
          </w:tcPr>
          <w:p>
            <w:pPr>
              <w:jc w:val="right"/>
              <w:ind w:right="279"/>
              <w:spacing w:after="0"/>
              <w:rPr>
                <w:sz w:val="20"/>
                <w:szCs w:val="20"/>
                <w:color w:val="auto"/>
              </w:rPr>
            </w:pPr>
            <w:r>
              <w:rPr>
                <w:rFonts w:ascii="Arial" w:cs="Arial" w:eastAsia="Arial" w:hAnsi="Arial"/>
                <w:sz w:val="16"/>
                <w:szCs w:val="16"/>
                <w:color w:val="auto"/>
              </w:rPr>
              <w:t>17,213</w:t>
            </w:r>
          </w:p>
        </w:tc>
      </w:tr>
      <w:tr>
        <w:trPr>
          <w:trHeight w:val="189"/>
        </w:trPr>
        <w:tc>
          <w:tcPr>
            <w:tcW w:w="272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6"/>
                <w:szCs w:val="16"/>
                <w:color w:val="auto"/>
              </w:rPr>
              <w:t>John J. Koraleski</w:t>
            </w:r>
          </w:p>
        </w:tc>
        <w:tc>
          <w:tcPr>
            <w:tcW w:w="2200" w:type="dxa"/>
            <w:vAlign w:val="bottom"/>
            <w:tcBorders>
              <w:right w:val="single" w:sz="8" w:color="007CBA"/>
            </w:tcBorders>
            <w:shd w:val="clear" w:color="auto" w:fill="E5F1F8"/>
          </w:tcPr>
          <w:p>
            <w:pPr>
              <w:jc w:val="right"/>
              <w:ind w:right="771"/>
              <w:spacing w:after="0" w:line="189" w:lineRule="exact"/>
              <w:rPr>
                <w:sz w:val="20"/>
                <w:szCs w:val="20"/>
                <w:color w:val="auto"/>
              </w:rPr>
            </w:pPr>
            <w:r>
              <w:rPr>
                <w:rFonts w:ascii="Arial" w:cs="Arial" w:eastAsia="Arial" w:hAnsi="Arial"/>
                <w:sz w:val="13"/>
                <w:szCs w:val="13"/>
                <w:color w:val="auto"/>
              </w:rPr>
              <w:t>1,600</w:t>
            </w:r>
            <w:r>
              <w:rPr>
                <w:rFonts w:ascii="Arial" w:cs="Arial" w:eastAsia="Arial" w:hAnsi="Arial"/>
                <w:sz w:val="21"/>
                <w:szCs w:val="21"/>
                <w:color w:val="auto"/>
                <w:vertAlign w:val="superscript"/>
              </w:rPr>
              <w:t>3</w:t>
            </w:r>
          </w:p>
        </w:tc>
        <w:tc>
          <w:tcPr>
            <w:tcW w:w="1480" w:type="dxa"/>
            <w:vAlign w:val="bottom"/>
            <w:tcBorders>
              <w:right w:val="single" w:sz="8" w:color="007CBA"/>
            </w:tcBorders>
            <w:shd w:val="clear" w:color="auto" w:fill="E5F1F8"/>
          </w:tcPr>
          <w:p>
            <w:pPr>
              <w:jc w:val="right"/>
              <w:ind w:right="679"/>
              <w:spacing w:after="0"/>
              <w:rPr>
                <w:sz w:val="20"/>
                <w:szCs w:val="20"/>
                <w:color w:val="auto"/>
              </w:rPr>
            </w:pPr>
            <w:r>
              <w:rPr>
                <w:rFonts w:ascii="Arial" w:cs="Arial" w:eastAsia="Arial" w:hAnsi="Arial"/>
                <w:sz w:val="16"/>
                <w:szCs w:val="16"/>
                <w:color w:val="auto"/>
              </w:rPr>
              <w:t>—</w:t>
            </w:r>
          </w:p>
        </w:tc>
        <w:tc>
          <w:tcPr>
            <w:tcW w:w="1300" w:type="dxa"/>
            <w:vAlign w:val="bottom"/>
            <w:shd w:val="clear" w:color="auto" w:fill="E5F1F8"/>
          </w:tcPr>
          <w:p>
            <w:pPr>
              <w:jc w:val="right"/>
              <w:ind w:right="279"/>
              <w:spacing w:after="0"/>
              <w:rPr>
                <w:sz w:val="20"/>
                <w:szCs w:val="20"/>
                <w:color w:val="auto"/>
              </w:rPr>
            </w:pPr>
            <w:r>
              <w:rPr>
                <w:rFonts w:ascii="Arial" w:cs="Arial" w:eastAsia="Arial" w:hAnsi="Arial"/>
                <w:sz w:val="16"/>
                <w:szCs w:val="16"/>
                <w:color w:val="auto"/>
              </w:rPr>
              <w:t>1,600</w:t>
            </w:r>
          </w:p>
        </w:tc>
      </w:tr>
      <w:tr>
        <w:trPr>
          <w:trHeight w:val="189"/>
        </w:trPr>
        <w:tc>
          <w:tcPr>
            <w:tcW w:w="2720" w:type="dxa"/>
            <w:vAlign w:val="bottom"/>
            <w:tcBorders>
              <w:right w:val="single" w:sz="8" w:color="007CBA"/>
            </w:tcBorders>
          </w:tcPr>
          <w:p>
            <w:pPr>
              <w:ind w:left="60"/>
              <w:spacing w:after="0" w:line="189" w:lineRule="exact"/>
              <w:rPr>
                <w:sz w:val="20"/>
                <w:szCs w:val="20"/>
                <w:color w:val="auto"/>
              </w:rPr>
            </w:pPr>
            <w:r>
              <w:rPr>
                <w:rFonts w:ascii="Arial" w:cs="Arial" w:eastAsia="Arial" w:hAnsi="Arial"/>
                <w:sz w:val="13"/>
                <w:szCs w:val="13"/>
                <w:color w:val="auto"/>
              </w:rPr>
              <w:t>Anne H. Lloyd</w:t>
            </w:r>
            <w:r>
              <w:rPr>
                <w:rFonts w:ascii="Arial" w:cs="Arial" w:eastAsia="Arial" w:hAnsi="Arial"/>
                <w:sz w:val="21"/>
                <w:szCs w:val="21"/>
                <w:color w:val="auto"/>
                <w:vertAlign w:val="superscript"/>
              </w:rPr>
              <w:t>6</w:t>
            </w:r>
          </w:p>
        </w:tc>
        <w:tc>
          <w:tcPr>
            <w:tcW w:w="2200" w:type="dxa"/>
            <w:vAlign w:val="bottom"/>
            <w:tcBorders>
              <w:right w:val="single" w:sz="8" w:color="007CBA"/>
            </w:tcBorders>
          </w:tcPr>
          <w:p>
            <w:pPr>
              <w:jc w:val="right"/>
              <w:ind w:right="771"/>
              <w:spacing w:after="0" w:line="189" w:lineRule="exact"/>
              <w:rPr>
                <w:sz w:val="20"/>
                <w:szCs w:val="20"/>
                <w:color w:val="auto"/>
              </w:rPr>
            </w:pPr>
            <w:r>
              <w:rPr>
                <w:rFonts w:ascii="Arial" w:cs="Arial" w:eastAsia="Arial" w:hAnsi="Arial"/>
                <w:sz w:val="13"/>
                <w:szCs w:val="13"/>
                <w:color w:val="auto"/>
              </w:rPr>
              <w:t>58,780</w:t>
            </w:r>
            <w:r>
              <w:rPr>
                <w:rFonts w:ascii="Arial" w:cs="Arial" w:eastAsia="Arial" w:hAnsi="Arial"/>
                <w:sz w:val="21"/>
                <w:szCs w:val="21"/>
                <w:color w:val="auto"/>
                <w:vertAlign w:val="superscript"/>
              </w:rPr>
              <w:t>2</w:t>
            </w:r>
          </w:p>
        </w:tc>
        <w:tc>
          <w:tcPr>
            <w:tcW w:w="1480" w:type="dxa"/>
            <w:vAlign w:val="bottom"/>
            <w:tcBorders>
              <w:right w:val="single" w:sz="8" w:color="007CBA"/>
            </w:tcBorders>
          </w:tcPr>
          <w:p>
            <w:pPr>
              <w:jc w:val="right"/>
              <w:ind w:right="499"/>
              <w:spacing w:after="0"/>
              <w:rPr>
                <w:sz w:val="20"/>
                <w:szCs w:val="20"/>
                <w:color w:val="auto"/>
              </w:rPr>
            </w:pPr>
            <w:r>
              <w:rPr>
                <w:rFonts w:ascii="Arial" w:cs="Arial" w:eastAsia="Arial" w:hAnsi="Arial"/>
                <w:sz w:val="16"/>
                <w:szCs w:val="16"/>
                <w:color w:val="auto"/>
              </w:rPr>
              <w:t>21,673</w:t>
            </w:r>
          </w:p>
        </w:tc>
        <w:tc>
          <w:tcPr>
            <w:tcW w:w="1300" w:type="dxa"/>
            <w:vAlign w:val="bottom"/>
          </w:tcPr>
          <w:p>
            <w:pPr>
              <w:jc w:val="right"/>
              <w:ind w:right="279"/>
              <w:spacing w:after="0"/>
              <w:rPr>
                <w:sz w:val="20"/>
                <w:szCs w:val="20"/>
                <w:color w:val="auto"/>
              </w:rPr>
            </w:pPr>
            <w:r>
              <w:rPr>
                <w:rFonts w:ascii="Arial" w:cs="Arial" w:eastAsia="Arial" w:hAnsi="Arial"/>
                <w:sz w:val="16"/>
                <w:szCs w:val="16"/>
                <w:color w:val="auto"/>
              </w:rPr>
              <w:t>80,453</w:t>
            </w:r>
          </w:p>
        </w:tc>
      </w:tr>
      <w:tr>
        <w:trPr>
          <w:trHeight w:val="189"/>
        </w:trPr>
        <w:tc>
          <w:tcPr>
            <w:tcW w:w="272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6"/>
                <w:szCs w:val="16"/>
                <w:color w:val="auto"/>
              </w:rPr>
              <w:t>David G. Maffucci</w:t>
            </w:r>
          </w:p>
        </w:tc>
        <w:tc>
          <w:tcPr>
            <w:tcW w:w="2200" w:type="dxa"/>
            <w:vAlign w:val="bottom"/>
            <w:tcBorders>
              <w:right w:val="single" w:sz="8" w:color="007CBA"/>
            </w:tcBorders>
            <w:shd w:val="clear" w:color="auto" w:fill="E5F1F8"/>
          </w:tcPr>
          <w:p>
            <w:pPr>
              <w:jc w:val="right"/>
              <w:ind w:right="771"/>
              <w:spacing w:after="0" w:line="189" w:lineRule="exact"/>
              <w:rPr>
                <w:sz w:val="20"/>
                <w:szCs w:val="20"/>
                <w:color w:val="auto"/>
              </w:rPr>
            </w:pPr>
            <w:r>
              <w:rPr>
                <w:rFonts w:ascii="Arial" w:cs="Arial" w:eastAsia="Arial" w:hAnsi="Arial"/>
                <w:sz w:val="13"/>
                <w:szCs w:val="13"/>
                <w:color w:val="auto"/>
              </w:rPr>
              <w:t>17,238</w:t>
            </w:r>
            <w:r>
              <w:rPr>
                <w:rFonts w:ascii="Arial" w:cs="Arial" w:eastAsia="Arial" w:hAnsi="Arial"/>
                <w:sz w:val="21"/>
                <w:szCs w:val="21"/>
                <w:color w:val="auto"/>
                <w:vertAlign w:val="superscript"/>
              </w:rPr>
              <w:t>3</w:t>
            </w:r>
          </w:p>
        </w:tc>
        <w:tc>
          <w:tcPr>
            <w:tcW w:w="1480" w:type="dxa"/>
            <w:vAlign w:val="bottom"/>
            <w:tcBorders>
              <w:right w:val="single" w:sz="8" w:color="007CBA"/>
            </w:tcBorders>
            <w:shd w:val="clear" w:color="auto" w:fill="E5F1F8"/>
          </w:tcPr>
          <w:p>
            <w:pPr>
              <w:jc w:val="right"/>
              <w:ind w:right="679"/>
              <w:spacing w:after="0"/>
              <w:rPr>
                <w:sz w:val="20"/>
                <w:szCs w:val="20"/>
                <w:color w:val="auto"/>
              </w:rPr>
            </w:pPr>
            <w:r>
              <w:rPr>
                <w:rFonts w:ascii="Arial" w:cs="Arial" w:eastAsia="Arial" w:hAnsi="Arial"/>
                <w:sz w:val="16"/>
                <w:szCs w:val="16"/>
                <w:color w:val="auto"/>
              </w:rPr>
              <w:t>—</w:t>
            </w:r>
          </w:p>
        </w:tc>
        <w:tc>
          <w:tcPr>
            <w:tcW w:w="1300" w:type="dxa"/>
            <w:vAlign w:val="bottom"/>
            <w:shd w:val="clear" w:color="auto" w:fill="E5F1F8"/>
          </w:tcPr>
          <w:p>
            <w:pPr>
              <w:jc w:val="right"/>
              <w:ind w:right="279"/>
              <w:spacing w:after="0"/>
              <w:rPr>
                <w:sz w:val="20"/>
                <w:szCs w:val="20"/>
                <w:color w:val="auto"/>
              </w:rPr>
            </w:pPr>
            <w:r>
              <w:rPr>
                <w:rFonts w:ascii="Arial" w:cs="Arial" w:eastAsia="Arial" w:hAnsi="Arial"/>
                <w:sz w:val="16"/>
                <w:szCs w:val="16"/>
                <w:color w:val="auto"/>
              </w:rPr>
              <w:t>17,238</w:t>
            </w:r>
          </w:p>
        </w:tc>
      </w:tr>
      <w:tr>
        <w:trPr>
          <w:trHeight w:val="189"/>
        </w:trPr>
        <w:tc>
          <w:tcPr>
            <w:tcW w:w="2720" w:type="dxa"/>
            <w:vAlign w:val="bottom"/>
            <w:tcBorders>
              <w:right w:val="single" w:sz="8" w:color="007CBA"/>
            </w:tcBorders>
          </w:tcPr>
          <w:p>
            <w:pPr>
              <w:ind w:left="60"/>
              <w:spacing w:after="0"/>
              <w:rPr>
                <w:sz w:val="20"/>
                <w:szCs w:val="20"/>
                <w:color w:val="auto"/>
              </w:rPr>
            </w:pPr>
            <w:r>
              <w:rPr>
                <w:rFonts w:ascii="Arial" w:cs="Arial" w:eastAsia="Arial" w:hAnsi="Arial"/>
                <w:sz w:val="16"/>
                <w:szCs w:val="16"/>
                <w:color w:val="auto"/>
              </w:rPr>
              <w:t>Donald A. McCunniff</w:t>
            </w:r>
          </w:p>
        </w:tc>
        <w:tc>
          <w:tcPr>
            <w:tcW w:w="2200" w:type="dxa"/>
            <w:vAlign w:val="bottom"/>
            <w:tcBorders>
              <w:right w:val="single" w:sz="8" w:color="007CBA"/>
            </w:tcBorders>
          </w:tcPr>
          <w:p>
            <w:pPr>
              <w:jc w:val="right"/>
              <w:ind w:right="771"/>
              <w:spacing w:after="0" w:line="189" w:lineRule="exact"/>
              <w:rPr>
                <w:sz w:val="20"/>
                <w:szCs w:val="20"/>
                <w:color w:val="auto"/>
              </w:rPr>
            </w:pPr>
            <w:r>
              <w:rPr>
                <w:rFonts w:ascii="Arial" w:cs="Arial" w:eastAsia="Arial" w:hAnsi="Arial"/>
                <w:sz w:val="13"/>
                <w:szCs w:val="13"/>
                <w:color w:val="auto"/>
              </w:rPr>
              <w:t>13,695</w:t>
            </w:r>
            <w:r>
              <w:rPr>
                <w:rFonts w:ascii="Arial" w:cs="Arial" w:eastAsia="Arial" w:hAnsi="Arial"/>
                <w:sz w:val="21"/>
                <w:szCs w:val="21"/>
                <w:color w:val="auto"/>
                <w:vertAlign w:val="superscript"/>
              </w:rPr>
              <w:t>2</w:t>
            </w:r>
          </w:p>
        </w:tc>
        <w:tc>
          <w:tcPr>
            <w:tcW w:w="1480" w:type="dxa"/>
            <w:vAlign w:val="bottom"/>
            <w:tcBorders>
              <w:right w:val="single" w:sz="8" w:color="007CBA"/>
            </w:tcBorders>
          </w:tcPr>
          <w:p>
            <w:pPr>
              <w:jc w:val="right"/>
              <w:ind w:right="499"/>
              <w:spacing w:after="0"/>
              <w:rPr>
                <w:sz w:val="20"/>
                <w:szCs w:val="20"/>
                <w:color w:val="auto"/>
              </w:rPr>
            </w:pPr>
            <w:r>
              <w:rPr>
                <w:rFonts w:ascii="Arial" w:cs="Arial" w:eastAsia="Arial" w:hAnsi="Arial"/>
                <w:sz w:val="16"/>
                <w:szCs w:val="16"/>
                <w:color w:val="auto"/>
              </w:rPr>
              <w:t>14,689</w:t>
            </w:r>
          </w:p>
        </w:tc>
        <w:tc>
          <w:tcPr>
            <w:tcW w:w="1300" w:type="dxa"/>
            <w:vAlign w:val="bottom"/>
          </w:tcPr>
          <w:p>
            <w:pPr>
              <w:jc w:val="right"/>
              <w:ind w:right="279"/>
              <w:spacing w:after="0"/>
              <w:rPr>
                <w:sz w:val="20"/>
                <w:szCs w:val="20"/>
                <w:color w:val="auto"/>
              </w:rPr>
            </w:pPr>
            <w:r>
              <w:rPr>
                <w:rFonts w:ascii="Arial" w:cs="Arial" w:eastAsia="Arial" w:hAnsi="Arial"/>
                <w:sz w:val="16"/>
                <w:szCs w:val="16"/>
                <w:color w:val="auto"/>
              </w:rPr>
              <w:t>28,384</w:t>
            </w:r>
          </w:p>
        </w:tc>
      </w:tr>
      <w:tr>
        <w:trPr>
          <w:trHeight w:val="189"/>
        </w:trPr>
        <w:tc>
          <w:tcPr>
            <w:tcW w:w="272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6"/>
                <w:szCs w:val="16"/>
                <w:color w:val="auto"/>
              </w:rPr>
              <w:t>James A. J. Nickolas</w:t>
            </w:r>
          </w:p>
        </w:tc>
        <w:tc>
          <w:tcPr>
            <w:tcW w:w="2200" w:type="dxa"/>
            <w:vAlign w:val="bottom"/>
            <w:tcBorders>
              <w:right w:val="single" w:sz="8" w:color="007CBA"/>
            </w:tcBorders>
            <w:shd w:val="clear" w:color="auto" w:fill="E5F1F8"/>
          </w:tcPr>
          <w:p>
            <w:pPr>
              <w:jc w:val="right"/>
              <w:ind w:right="951"/>
              <w:spacing w:after="0"/>
              <w:rPr>
                <w:sz w:val="20"/>
                <w:szCs w:val="20"/>
                <w:color w:val="auto"/>
              </w:rPr>
            </w:pPr>
            <w:r>
              <w:rPr>
                <w:rFonts w:ascii="Arial" w:cs="Arial" w:eastAsia="Arial" w:hAnsi="Arial"/>
                <w:sz w:val="16"/>
                <w:szCs w:val="16"/>
                <w:color w:val="auto"/>
              </w:rPr>
              <w:t>—</w:t>
            </w:r>
          </w:p>
        </w:tc>
        <w:tc>
          <w:tcPr>
            <w:tcW w:w="1480" w:type="dxa"/>
            <w:vAlign w:val="bottom"/>
            <w:tcBorders>
              <w:right w:val="single" w:sz="8" w:color="007CBA"/>
            </w:tcBorders>
            <w:shd w:val="clear" w:color="auto" w:fill="E5F1F8"/>
          </w:tcPr>
          <w:p>
            <w:pPr>
              <w:jc w:val="right"/>
              <w:ind w:right="499"/>
              <w:spacing w:after="0"/>
              <w:rPr>
                <w:sz w:val="20"/>
                <w:szCs w:val="20"/>
                <w:color w:val="auto"/>
              </w:rPr>
            </w:pPr>
            <w:r>
              <w:rPr>
                <w:rFonts w:ascii="Arial" w:cs="Arial" w:eastAsia="Arial" w:hAnsi="Arial"/>
                <w:sz w:val="16"/>
                <w:szCs w:val="16"/>
                <w:color w:val="auto"/>
              </w:rPr>
              <w:t>8,317</w:t>
            </w:r>
          </w:p>
        </w:tc>
        <w:tc>
          <w:tcPr>
            <w:tcW w:w="1300" w:type="dxa"/>
            <w:vAlign w:val="bottom"/>
            <w:shd w:val="clear" w:color="auto" w:fill="E5F1F8"/>
          </w:tcPr>
          <w:p>
            <w:pPr>
              <w:jc w:val="right"/>
              <w:ind w:right="279"/>
              <w:spacing w:after="0"/>
              <w:rPr>
                <w:sz w:val="20"/>
                <w:szCs w:val="20"/>
                <w:color w:val="auto"/>
              </w:rPr>
            </w:pPr>
            <w:r>
              <w:rPr>
                <w:rFonts w:ascii="Arial" w:cs="Arial" w:eastAsia="Arial" w:hAnsi="Arial"/>
                <w:sz w:val="16"/>
                <w:szCs w:val="16"/>
                <w:color w:val="auto"/>
              </w:rPr>
              <w:t>8,317</w:t>
            </w:r>
          </w:p>
        </w:tc>
      </w:tr>
      <w:tr>
        <w:trPr>
          <w:trHeight w:val="189"/>
        </w:trPr>
        <w:tc>
          <w:tcPr>
            <w:tcW w:w="2720" w:type="dxa"/>
            <w:vAlign w:val="bottom"/>
            <w:tcBorders>
              <w:right w:val="single" w:sz="8" w:color="007CBA"/>
            </w:tcBorders>
          </w:tcPr>
          <w:p>
            <w:pPr>
              <w:ind w:left="60"/>
              <w:spacing w:after="0"/>
              <w:rPr>
                <w:sz w:val="20"/>
                <w:szCs w:val="20"/>
                <w:color w:val="auto"/>
              </w:rPr>
            </w:pPr>
            <w:r>
              <w:rPr>
                <w:rFonts w:ascii="Arial" w:cs="Arial" w:eastAsia="Arial" w:hAnsi="Arial"/>
                <w:sz w:val="16"/>
                <w:szCs w:val="16"/>
                <w:color w:val="auto"/>
              </w:rPr>
              <w:t>C. Howard Nye</w:t>
            </w:r>
          </w:p>
        </w:tc>
        <w:tc>
          <w:tcPr>
            <w:tcW w:w="2200" w:type="dxa"/>
            <w:vAlign w:val="bottom"/>
            <w:tcBorders>
              <w:right w:val="single" w:sz="8" w:color="007CBA"/>
            </w:tcBorders>
          </w:tcPr>
          <w:p>
            <w:pPr>
              <w:jc w:val="right"/>
              <w:ind w:right="771"/>
              <w:spacing w:after="0" w:line="189" w:lineRule="exact"/>
              <w:rPr>
                <w:sz w:val="20"/>
                <w:szCs w:val="20"/>
                <w:color w:val="auto"/>
              </w:rPr>
            </w:pPr>
            <w:r>
              <w:rPr>
                <w:rFonts w:ascii="Arial" w:cs="Arial" w:eastAsia="Arial" w:hAnsi="Arial"/>
                <w:sz w:val="13"/>
                <w:szCs w:val="13"/>
                <w:color w:val="auto"/>
              </w:rPr>
              <w:t>131,597</w:t>
            </w:r>
            <w:r>
              <w:rPr>
                <w:rFonts w:ascii="Arial" w:cs="Arial" w:eastAsia="Arial" w:hAnsi="Arial"/>
                <w:sz w:val="21"/>
                <w:szCs w:val="21"/>
                <w:color w:val="auto"/>
                <w:vertAlign w:val="superscript"/>
              </w:rPr>
              <w:t>2</w:t>
            </w:r>
          </w:p>
        </w:tc>
        <w:tc>
          <w:tcPr>
            <w:tcW w:w="1480" w:type="dxa"/>
            <w:vAlign w:val="bottom"/>
            <w:tcBorders>
              <w:right w:val="single" w:sz="8" w:color="007CBA"/>
            </w:tcBorders>
          </w:tcPr>
          <w:p>
            <w:pPr>
              <w:jc w:val="right"/>
              <w:ind w:right="499"/>
              <w:spacing w:after="0"/>
              <w:rPr>
                <w:sz w:val="20"/>
                <w:szCs w:val="20"/>
                <w:color w:val="auto"/>
              </w:rPr>
            </w:pPr>
            <w:r>
              <w:rPr>
                <w:rFonts w:ascii="Arial" w:cs="Arial" w:eastAsia="Arial" w:hAnsi="Arial"/>
                <w:sz w:val="16"/>
                <w:szCs w:val="16"/>
                <w:color w:val="auto"/>
              </w:rPr>
              <w:t>66,810</w:t>
            </w:r>
          </w:p>
        </w:tc>
        <w:tc>
          <w:tcPr>
            <w:tcW w:w="1300" w:type="dxa"/>
            <w:vAlign w:val="bottom"/>
          </w:tcPr>
          <w:p>
            <w:pPr>
              <w:jc w:val="right"/>
              <w:ind w:right="279"/>
              <w:spacing w:after="0"/>
              <w:rPr>
                <w:sz w:val="20"/>
                <w:szCs w:val="20"/>
                <w:color w:val="auto"/>
              </w:rPr>
            </w:pPr>
            <w:r>
              <w:rPr>
                <w:rFonts w:ascii="Arial" w:cs="Arial" w:eastAsia="Arial" w:hAnsi="Arial"/>
                <w:sz w:val="16"/>
                <w:szCs w:val="16"/>
                <w:color w:val="auto"/>
              </w:rPr>
              <w:t>198,407</w:t>
            </w:r>
          </w:p>
        </w:tc>
      </w:tr>
      <w:tr>
        <w:trPr>
          <w:trHeight w:val="189"/>
        </w:trPr>
        <w:tc>
          <w:tcPr>
            <w:tcW w:w="272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6"/>
                <w:szCs w:val="16"/>
                <w:color w:val="auto"/>
              </w:rPr>
              <w:t>Laree E. Perez</w:t>
            </w:r>
          </w:p>
        </w:tc>
        <w:tc>
          <w:tcPr>
            <w:tcW w:w="2200" w:type="dxa"/>
            <w:vAlign w:val="bottom"/>
            <w:tcBorders>
              <w:right w:val="single" w:sz="8" w:color="007CBA"/>
            </w:tcBorders>
            <w:shd w:val="clear" w:color="auto" w:fill="E5F1F8"/>
          </w:tcPr>
          <w:p>
            <w:pPr>
              <w:jc w:val="right"/>
              <w:ind w:right="771"/>
              <w:spacing w:after="0" w:line="189" w:lineRule="exact"/>
              <w:rPr>
                <w:sz w:val="20"/>
                <w:szCs w:val="20"/>
                <w:color w:val="auto"/>
              </w:rPr>
            </w:pPr>
            <w:r>
              <w:rPr>
                <w:rFonts w:ascii="Arial" w:cs="Arial" w:eastAsia="Arial" w:hAnsi="Arial"/>
                <w:sz w:val="13"/>
                <w:szCs w:val="13"/>
                <w:color w:val="auto"/>
              </w:rPr>
              <w:t>14,202</w:t>
            </w:r>
            <w:r>
              <w:rPr>
                <w:rFonts w:ascii="Arial" w:cs="Arial" w:eastAsia="Arial" w:hAnsi="Arial"/>
                <w:sz w:val="21"/>
                <w:szCs w:val="21"/>
                <w:color w:val="auto"/>
                <w:vertAlign w:val="superscript"/>
              </w:rPr>
              <w:t>3</w:t>
            </w:r>
          </w:p>
        </w:tc>
        <w:tc>
          <w:tcPr>
            <w:tcW w:w="1480" w:type="dxa"/>
            <w:vAlign w:val="bottom"/>
            <w:tcBorders>
              <w:right w:val="single" w:sz="8" w:color="007CBA"/>
            </w:tcBorders>
            <w:shd w:val="clear" w:color="auto" w:fill="E5F1F8"/>
          </w:tcPr>
          <w:p>
            <w:pPr>
              <w:jc w:val="right"/>
              <w:ind w:right="679"/>
              <w:spacing w:after="0"/>
              <w:rPr>
                <w:sz w:val="20"/>
                <w:szCs w:val="20"/>
                <w:color w:val="auto"/>
              </w:rPr>
            </w:pPr>
            <w:r>
              <w:rPr>
                <w:rFonts w:ascii="Arial" w:cs="Arial" w:eastAsia="Arial" w:hAnsi="Arial"/>
                <w:sz w:val="16"/>
                <w:szCs w:val="16"/>
                <w:color w:val="auto"/>
              </w:rPr>
              <w:t>—</w:t>
            </w:r>
          </w:p>
        </w:tc>
        <w:tc>
          <w:tcPr>
            <w:tcW w:w="1300" w:type="dxa"/>
            <w:vAlign w:val="bottom"/>
            <w:shd w:val="clear" w:color="auto" w:fill="E5F1F8"/>
          </w:tcPr>
          <w:p>
            <w:pPr>
              <w:jc w:val="right"/>
              <w:ind w:right="279"/>
              <w:spacing w:after="0"/>
              <w:rPr>
                <w:sz w:val="20"/>
                <w:szCs w:val="20"/>
                <w:color w:val="auto"/>
              </w:rPr>
            </w:pPr>
            <w:r>
              <w:rPr>
                <w:rFonts w:ascii="Arial" w:cs="Arial" w:eastAsia="Arial" w:hAnsi="Arial"/>
                <w:sz w:val="16"/>
                <w:szCs w:val="16"/>
                <w:color w:val="auto"/>
              </w:rPr>
              <w:t>14,202</w:t>
            </w:r>
          </w:p>
        </w:tc>
      </w:tr>
      <w:tr>
        <w:trPr>
          <w:trHeight w:val="189"/>
        </w:trPr>
        <w:tc>
          <w:tcPr>
            <w:tcW w:w="2720" w:type="dxa"/>
            <w:vAlign w:val="bottom"/>
            <w:tcBorders>
              <w:right w:val="single" w:sz="8" w:color="007CBA"/>
            </w:tcBorders>
          </w:tcPr>
          <w:p>
            <w:pPr>
              <w:ind w:left="60"/>
              <w:spacing w:after="0"/>
              <w:rPr>
                <w:sz w:val="20"/>
                <w:szCs w:val="20"/>
                <w:color w:val="auto"/>
              </w:rPr>
            </w:pPr>
            <w:r>
              <w:rPr>
                <w:rFonts w:ascii="Arial" w:cs="Arial" w:eastAsia="Arial" w:hAnsi="Arial"/>
                <w:sz w:val="16"/>
                <w:szCs w:val="16"/>
                <w:color w:val="auto"/>
              </w:rPr>
              <w:t>Michael J. Quillen</w:t>
            </w:r>
          </w:p>
        </w:tc>
        <w:tc>
          <w:tcPr>
            <w:tcW w:w="2200" w:type="dxa"/>
            <w:vAlign w:val="bottom"/>
            <w:tcBorders>
              <w:right w:val="single" w:sz="8" w:color="007CBA"/>
            </w:tcBorders>
          </w:tcPr>
          <w:p>
            <w:pPr>
              <w:jc w:val="right"/>
              <w:ind w:right="771"/>
              <w:spacing w:after="0" w:line="189" w:lineRule="exact"/>
              <w:rPr>
                <w:sz w:val="20"/>
                <w:szCs w:val="20"/>
                <w:color w:val="auto"/>
              </w:rPr>
            </w:pPr>
            <w:r>
              <w:rPr>
                <w:rFonts w:ascii="Arial" w:cs="Arial" w:eastAsia="Arial" w:hAnsi="Arial"/>
                <w:sz w:val="13"/>
                <w:szCs w:val="13"/>
                <w:color w:val="auto"/>
              </w:rPr>
              <w:t>20,283</w:t>
            </w:r>
            <w:r>
              <w:rPr>
                <w:rFonts w:ascii="Arial" w:cs="Arial" w:eastAsia="Arial" w:hAnsi="Arial"/>
                <w:sz w:val="21"/>
                <w:szCs w:val="21"/>
                <w:color w:val="auto"/>
                <w:vertAlign w:val="superscript"/>
              </w:rPr>
              <w:t>3</w:t>
            </w:r>
          </w:p>
        </w:tc>
        <w:tc>
          <w:tcPr>
            <w:tcW w:w="1480" w:type="dxa"/>
            <w:vAlign w:val="bottom"/>
            <w:tcBorders>
              <w:right w:val="single" w:sz="8" w:color="007CBA"/>
            </w:tcBorders>
          </w:tcPr>
          <w:p>
            <w:pPr>
              <w:jc w:val="right"/>
              <w:ind w:right="67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79"/>
              <w:spacing w:after="0"/>
              <w:rPr>
                <w:sz w:val="20"/>
                <w:szCs w:val="20"/>
                <w:color w:val="auto"/>
              </w:rPr>
            </w:pPr>
            <w:r>
              <w:rPr>
                <w:rFonts w:ascii="Arial" w:cs="Arial" w:eastAsia="Arial" w:hAnsi="Arial"/>
                <w:sz w:val="16"/>
                <w:szCs w:val="16"/>
                <w:color w:val="auto"/>
              </w:rPr>
              <w:t>20,283</w:t>
            </w:r>
          </w:p>
        </w:tc>
      </w:tr>
      <w:tr>
        <w:trPr>
          <w:trHeight w:val="189"/>
        </w:trPr>
        <w:tc>
          <w:tcPr>
            <w:tcW w:w="272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6"/>
                <w:szCs w:val="16"/>
                <w:color w:val="auto"/>
              </w:rPr>
              <w:t>Dennis L. Rediker</w:t>
            </w:r>
          </w:p>
        </w:tc>
        <w:tc>
          <w:tcPr>
            <w:tcW w:w="2200" w:type="dxa"/>
            <w:vAlign w:val="bottom"/>
            <w:tcBorders>
              <w:right w:val="single" w:sz="8" w:color="007CBA"/>
            </w:tcBorders>
            <w:shd w:val="clear" w:color="auto" w:fill="E5F1F8"/>
          </w:tcPr>
          <w:p>
            <w:pPr>
              <w:jc w:val="right"/>
              <w:ind w:right="771"/>
              <w:spacing w:after="0" w:line="189" w:lineRule="exact"/>
              <w:rPr>
                <w:sz w:val="20"/>
                <w:szCs w:val="20"/>
                <w:color w:val="auto"/>
              </w:rPr>
            </w:pPr>
            <w:r>
              <w:rPr>
                <w:rFonts w:ascii="Arial" w:cs="Arial" w:eastAsia="Arial" w:hAnsi="Arial"/>
                <w:sz w:val="13"/>
                <w:szCs w:val="13"/>
                <w:color w:val="auto"/>
              </w:rPr>
              <w:t>18,810</w:t>
            </w:r>
            <w:r>
              <w:rPr>
                <w:rFonts w:ascii="Arial" w:cs="Arial" w:eastAsia="Arial" w:hAnsi="Arial"/>
                <w:sz w:val="21"/>
                <w:szCs w:val="21"/>
                <w:color w:val="auto"/>
                <w:vertAlign w:val="superscript"/>
              </w:rPr>
              <w:t>3</w:t>
            </w:r>
          </w:p>
        </w:tc>
        <w:tc>
          <w:tcPr>
            <w:tcW w:w="1480" w:type="dxa"/>
            <w:vAlign w:val="bottom"/>
            <w:tcBorders>
              <w:right w:val="single" w:sz="8" w:color="007CBA"/>
            </w:tcBorders>
            <w:shd w:val="clear" w:color="auto" w:fill="E5F1F8"/>
          </w:tcPr>
          <w:p>
            <w:pPr>
              <w:jc w:val="right"/>
              <w:ind w:right="679"/>
              <w:spacing w:after="0"/>
              <w:rPr>
                <w:sz w:val="20"/>
                <w:szCs w:val="20"/>
                <w:color w:val="auto"/>
              </w:rPr>
            </w:pPr>
            <w:r>
              <w:rPr>
                <w:rFonts w:ascii="Arial" w:cs="Arial" w:eastAsia="Arial" w:hAnsi="Arial"/>
                <w:sz w:val="16"/>
                <w:szCs w:val="16"/>
                <w:color w:val="auto"/>
              </w:rPr>
              <w:t>—</w:t>
            </w:r>
          </w:p>
        </w:tc>
        <w:tc>
          <w:tcPr>
            <w:tcW w:w="1300" w:type="dxa"/>
            <w:vAlign w:val="bottom"/>
            <w:shd w:val="clear" w:color="auto" w:fill="E5F1F8"/>
          </w:tcPr>
          <w:p>
            <w:pPr>
              <w:jc w:val="right"/>
              <w:ind w:right="279"/>
              <w:spacing w:after="0"/>
              <w:rPr>
                <w:sz w:val="20"/>
                <w:szCs w:val="20"/>
                <w:color w:val="auto"/>
              </w:rPr>
            </w:pPr>
            <w:r>
              <w:rPr>
                <w:rFonts w:ascii="Arial" w:cs="Arial" w:eastAsia="Arial" w:hAnsi="Arial"/>
                <w:sz w:val="16"/>
                <w:szCs w:val="16"/>
                <w:color w:val="auto"/>
              </w:rPr>
              <w:t>18,810</w:t>
            </w:r>
          </w:p>
        </w:tc>
      </w:tr>
      <w:tr>
        <w:trPr>
          <w:trHeight w:val="189"/>
        </w:trPr>
        <w:tc>
          <w:tcPr>
            <w:tcW w:w="2720" w:type="dxa"/>
            <w:vAlign w:val="bottom"/>
            <w:tcBorders>
              <w:right w:val="single" w:sz="8" w:color="007CBA"/>
            </w:tcBorders>
          </w:tcPr>
          <w:p>
            <w:pPr>
              <w:ind w:left="60"/>
              <w:spacing w:after="0"/>
              <w:rPr>
                <w:sz w:val="20"/>
                <w:szCs w:val="20"/>
                <w:color w:val="auto"/>
              </w:rPr>
            </w:pPr>
            <w:r>
              <w:rPr>
                <w:rFonts w:ascii="Arial" w:cs="Arial" w:eastAsia="Arial" w:hAnsi="Arial"/>
                <w:sz w:val="16"/>
                <w:szCs w:val="16"/>
                <w:color w:val="auto"/>
              </w:rPr>
              <w:t>Donald W. Slager</w:t>
            </w:r>
          </w:p>
        </w:tc>
        <w:tc>
          <w:tcPr>
            <w:tcW w:w="2200" w:type="dxa"/>
            <w:vAlign w:val="bottom"/>
            <w:tcBorders>
              <w:right w:val="single" w:sz="8" w:color="007CBA"/>
            </w:tcBorders>
          </w:tcPr>
          <w:p>
            <w:pPr>
              <w:jc w:val="right"/>
              <w:ind w:right="771"/>
              <w:spacing w:after="0" w:line="189" w:lineRule="exact"/>
              <w:rPr>
                <w:sz w:val="20"/>
                <w:szCs w:val="20"/>
                <w:color w:val="auto"/>
              </w:rPr>
            </w:pPr>
            <w:r>
              <w:rPr>
                <w:rFonts w:ascii="Arial" w:cs="Arial" w:eastAsia="Arial" w:hAnsi="Arial"/>
                <w:sz w:val="13"/>
                <w:szCs w:val="13"/>
                <w:color w:val="auto"/>
              </w:rPr>
              <w:t>978</w:t>
            </w:r>
            <w:r>
              <w:rPr>
                <w:rFonts w:ascii="Arial" w:cs="Arial" w:eastAsia="Arial" w:hAnsi="Arial"/>
                <w:sz w:val="21"/>
                <w:szCs w:val="21"/>
                <w:color w:val="auto"/>
                <w:vertAlign w:val="superscript"/>
              </w:rPr>
              <w:t>3</w:t>
            </w:r>
          </w:p>
        </w:tc>
        <w:tc>
          <w:tcPr>
            <w:tcW w:w="1480" w:type="dxa"/>
            <w:vAlign w:val="bottom"/>
            <w:tcBorders>
              <w:right w:val="single" w:sz="8" w:color="007CBA"/>
            </w:tcBorders>
          </w:tcPr>
          <w:p>
            <w:pPr>
              <w:jc w:val="right"/>
              <w:ind w:right="67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79"/>
              <w:spacing w:after="0"/>
              <w:rPr>
                <w:sz w:val="20"/>
                <w:szCs w:val="20"/>
                <w:color w:val="auto"/>
              </w:rPr>
            </w:pPr>
            <w:r>
              <w:rPr>
                <w:rFonts w:ascii="Arial" w:cs="Arial" w:eastAsia="Arial" w:hAnsi="Arial"/>
                <w:sz w:val="16"/>
                <w:szCs w:val="16"/>
                <w:color w:val="auto"/>
              </w:rPr>
              <w:t>978</w:t>
            </w:r>
          </w:p>
        </w:tc>
      </w:tr>
      <w:tr>
        <w:trPr>
          <w:trHeight w:val="189"/>
        </w:trPr>
        <w:tc>
          <w:tcPr>
            <w:tcW w:w="272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6"/>
                <w:szCs w:val="16"/>
                <w:color w:val="auto"/>
              </w:rPr>
              <w:t>Stephen P. Zelnak, Jr.</w:t>
            </w:r>
          </w:p>
        </w:tc>
        <w:tc>
          <w:tcPr>
            <w:tcW w:w="2200" w:type="dxa"/>
            <w:vAlign w:val="bottom"/>
            <w:tcBorders>
              <w:right w:val="single" w:sz="8" w:color="007CBA"/>
            </w:tcBorders>
            <w:shd w:val="clear" w:color="auto" w:fill="E5F1F8"/>
          </w:tcPr>
          <w:p>
            <w:pPr>
              <w:jc w:val="right"/>
              <w:ind w:right="771"/>
              <w:spacing w:after="0" w:line="189" w:lineRule="exact"/>
              <w:rPr>
                <w:sz w:val="20"/>
                <w:szCs w:val="20"/>
                <w:color w:val="auto"/>
              </w:rPr>
            </w:pPr>
            <w:r>
              <w:rPr>
                <w:rFonts w:ascii="Arial" w:cs="Arial" w:eastAsia="Arial" w:hAnsi="Arial"/>
                <w:sz w:val="13"/>
                <w:szCs w:val="13"/>
                <w:color w:val="auto"/>
              </w:rPr>
              <w:t>13,845</w:t>
            </w:r>
            <w:r>
              <w:rPr>
                <w:rFonts w:ascii="Arial" w:cs="Arial" w:eastAsia="Arial" w:hAnsi="Arial"/>
                <w:sz w:val="21"/>
                <w:szCs w:val="21"/>
                <w:color w:val="auto"/>
                <w:vertAlign w:val="superscript"/>
              </w:rPr>
              <w:t>3</w:t>
            </w:r>
          </w:p>
        </w:tc>
        <w:tc>
          <w:tcPr>
            <w:tcW w:w="1480" w:type="dxa"/>
            <w:vAlign w:val="bottom"/>
            <w:tcBorders>
              <w:right w:val="single" w:sz="8" w:color="007CBA"/>
            </w:tcBorders>
            <w:shd w:val="clear" w:color="auto" w:fill="E5F1F8"/>
          </w:tcPr>
          <w:p>
            <w:pPr>
              <w:jc w:val="right"/>
              <w:ind w:right="679"/>
              <w:spacing w:after="0"/>
              <w:rPr>
                <w:sz w:val="20"/>
                <w:szCs w:val="20"/>
                <w:color w:val="auto"/>
              </w:rPr>
            </w:pPr>
            <w:r>
              <w:rPr>
                <w:rFonts w:ascii="Arial" w:cs="Arial" w:eastAsia="Arial" w:hAnsi="Arial"/>
                <w:sz w:val="16"/>
                <w:szCs w:val="16"/>
                <w:color w:val="auto"/>
              </w:rPr>
              <w:t>—</w:t>
            </w:r>
          </w:p>
        </w:tc>
        <w:tc>
          <w:tcPr>
            <w:tcW w:w="1300" w:type="dxa"/>
            <w:vAlign w:val="bottom"/>
            <w:shd w:val="clear" w:color="auto" w:fill="E5F1F8"/>
          </w:tcPr>
          <w:p>
            <w:pPr>
              <w:jc w:val="right"/>
              <w:ind w:right="279"/>
              <w:spacing w:after="0"/>
              <w:rPr>
                <w:sz w:val="20"/>
                <w:szCs w:val="20"/>
                <w:color w:val="auto"/>
              </w:rPr>
            </w:pPr>
            <w:r>
              <w:rPr>
                <w:rFonts w:ascii="Arial" w:cs="Arial" w:eastAsia="Arial" w:hAnsi="Arial"/>
                <w:sz w:val="16"/>
                <w:szCs w:val="16"/>
                <w:color w:val="auto"/>
              </w:rPr>
              <w:t>13,845</w:t>
            </w:r>
          </w:p>
        </w:tc>
      </w:tr>
      <w:tr>
        <w:trPr>
          <w:trHeight w:val="171"/>
        </w:trPr>
        <w:tc>
          <w:tcPr>
            <w:tcW w:w="2720" w:type="dxa"/>
            <w:vAlign w:val="bottom"/>
            <w:tcBorders>
              <w:right w:val="single" w:sz="8" w:color="007CBA"/>
            </w:tcBorders>
          </w:tcPr>
          <w:p>
            <w:pPr>
              <w:ind w:left="60"/>
              <w:spacing w:after="0" w:line="171" w:lineRule="exact"/>
              <w:rPr>
                <w:sz w:val="20"/>
                <w:szCs w:val="20"/>
                <w:color w:val="auto"/>
              </w:rPr>
            </w:pPr>
            <w:r>
              <w:rPr>
                <w:rFonts w:ascii="Arial" w:cs="Arial" w:eastAsia="Arial" w:hAnsi="Arial"/>
                <w:sz w:val="16"/>
                <w:szCs w:val="16"/>
                <w:color w:val="auto"/>
              </w:rPr>
              <w:t>All Directors and executive officers</w:t>
            </w:r>
          </w:p>
        </w:tc>
        <w:tc>
          <w:tcPr>
            <w:tcW w:w="2200" w:type="dxa"/>
            <w:vAlign w:val="bottom"/>
            <w:tcBorders>
              <w:right w:val="single" w:sz="8" w:color="007CBA"/>
            </w:tcBorders>
          </w:tcPr>
          <w:p>
            <w:pPr>
              <w:spacing w:after="0"/>
              <w:rPr>
                <w:sz w:val="14"/>
                <w:szCs w:val="14"/>
                <w:color w:val="auto"/>
              </w:rPr>
            </w:pPr>
          </w:p>
        </w:tc>
        <w:tc>
          <w:tcPr>
            <w:tcW w:w="1480" w:type="dxa"/>
            <w:vAlign w:val="bottom"/>
            <w:tcBorders>
              <w:right w:val="single" w:sz="8" w:color="007CBA"/>
            </w:tcBorders>
          </w:tcPr>
          <w:p>
            <w:pPr>
              <w:spacing w:after="0"/>
              <w:rPr>
                <w:sz w:val="14"/>
                <w:szCs w:val="14"/>
                <w:color w:val="auto"/>
              </w:rPr>
            </w:pPr>
          </w:p>
        </w:tc>
        <w:tc>
          <w:tcPr>
            <w:tcW w:w="1300" w:type="dxa"/>
            <w:vAlign w:val="bottom"/>
          </w:tcPr>
          <w:p>
            <w:pPr>
              <w:spacing w:after="0"/>
              <w:rPr>
                <w:sz w:val="14"/>
                <w:szCs w:val="14"/>
                <w:color w:val="auto"/>
              </w:rPr>
            </w:pPr>
          </w:p>
        </w:tc>
      </w:tr>
      <w:tr>
        <w:trPr>
          <w:trHeight w:val="189"/>
        </w:trPr>
        <w:tc>
          <w:tcPr>
            <w:tcW w:w="2720" w:type="dxa"/>
            <w:vAlign w:val="bottom"/>
            <w:tcBorders>
              <w:right w:val="single" w:sz="8" w:color="007CBA"/>
            </w:tcBorders>
          </w:tcPr>
          <w:p>
            <w:pPr>
              <w:ind w:left="60"/>
              <w:spacing w:after="0"/>
              <w:rPr>
                <w:sz w:val="20"/>
                <w:szCs w:val="20"/>
                <w:color w:val="auto"/>
              </w:rPr>
            </w:pPr>
            <w:r>
              <w:rPr>
                <w:rFonts w:ascii="Arial" w:cs="Arial" w:eastAsia="Arial" w:hAnsi="Arial"/>
                <w:sz w:val="16"/>
                <w:szCs w:val="16"/>
                <w:color w:val="auto"/>
              </w:rPr>
              <w:t>as a group</w:t>
            </w:r>
          </w:p>
        </w:tc>
        <w:tc>
          <w:tcPr>
            <w:tcW w:w="2200" w:type="dxa"/>
            <w:vAlign w:val="bottom"/>
            <w:tcBorders>
              <w:right w:val="single" w:sz="8" w:color="007CBA"/>
            </w:tcBorders>
          </w:tcPr>
          <w:p>
            <w:pPr>
              <w:spacing w:after="0"/>
              <w:rPr>
                <w:sz w:val="16"/>
                <w:szCs w:val="16"/>
                <w:color w:val="auto"/>
              </w:rPr>
            </w:pPr>
          </w:p>
        </w:tc>
        <w:tc>
          <w:tcPr>
            <w:tcW w:w="1480" w:type="dxa"/>
            <w:vAlign w:val="bottom"/>
            <w:tcBorders>
              <w:right w:val="single" w:sz="8" w:color="007CBA"/>
            </w:tcBorders>
          </w:tcPr>
          <w:p>
            <w:pPr>
              <w:spacing w:after="0"/>
              <w:rPr>
                <w:sz w:val="16"/>
                <w:szCs w:val="16"/>
                <w:color w:val="auto"/>
              </w:rPr>
            </w:pPr>
          </w:p>
        </w:tc>
        <w:tc>
          <w:tcPr>
            <w:tcW w:w="1300" w:type="dxa"/>
            <w:vAlign w:val="bottom"/>
          </w:tcPr>
          <w:p>
            <w:pPr>
              <w:spacing w:after="0"/>
              <w:rPr>
                <w:sz w:val="16"/>
                <w:szCs w:val="16"/>
                <w:color w:val="auto"/>
              </w:rPr>
            </w:pPr>
          </w:p>
        </w:tc>
      </w:tr>
      <w:tr>
        <w:trPr>
          <w:trHeight w:val="189"/>
        </w:trPr>
        <w:tc>
          <w:tcPr>
            <w:tcW w:w="2720" w:type="dxa"/>
            <w:vAlign w:val="bottom"/>
            <w:tcBorders>
              <w:right w:val="single" w:sz="8" w:color="007CBA"/>
            </w:tcBorders>
          </w:tcPr>
          <w:p>
            <w:pPr>
              <w:ind w:left="60"/>
              <w:spacing w:after="0"/>
              <w:rPr>
                <w:sz w:val="20"/>
                <w:szCs w:val="20"/>
                <w:color w:val="auto"/>
              </w:rPr>
            </w:pPr>
            <w:r>
              <w:rPr>
                <w:rFonts w:ascii="Arial" w:cs="Arial" w:eastAsia="Arial" w:hAnsi="Arial"/>
                <w:sz w:val="16"/>
                <w:szCs w:val="16"/>
                <w:color w:val="auto"/>
              </w:rPr>
              <w:t>(15 individuals including those</w:t>
            </w:r>
          </w:p>
        </w:tc>
        <w:tc>
          <w:tcPr>
            <w:tcW w:w="2200" w:type="dxa"/>
            <w:vAlign w:val="bottom"/>
            <w:tcBorders>
              <w:right w:val="single" w:sz="8" w:color="007CBA"/>
            </w:tcBorders>
          </w:tcPr>
          <w:p>
            <w:pPr>
              <w:spacing w:after="0"/>
              <w:rPr>
                <w:sz w:val="16"/>
                <w:szCs w:val="16"/>
                <w:color w:val="auto"/>
              </w:rPr>
            </w:pPr>
          </w:p>
        </w:tc>
        <w:tc>
          <w:tcPr>
            <w:tcW w:w="1480" w:type="dxa"/>
            <w:vAlign w:val="bottom"/>
            <w:tcBorders>
              <w:right w:val="single" w:sz="8" w:color="007CBA"/>
            </w:tcBorders>
          </w:tcPr>
          <w:p>
            <w:pPr>
              <w:spacing w:after="0"/>
              <w:rPr>
                <w:sz w:val="16"/>
                <w:szCs w:val="16"/>
                <w:color w:val="auto"/>
              </w:rPr>
            </w:pPr>
          </w:p>
        </w:tc>
        <w:tc>
          <w:tcPr>
            <w:tcW w:w="1300" w:type="dxa"/>
            <w:vAlign w:val="bottom"/>
          </w:tcPr>
          <w:p>
            <w:pPr>
              <w:spacing w:after="0"/>
              <w:rPr>
                <w:sz w:val="16"/>
                <w:szCs w:val="16"/>
                <w:color w:val="auto"/>
              </w:rPr>
            </w:pPr>
          </w:p>
        </w:tc>
      </w:tr>
      <w:tr>
        <w:trPr>
          <w:trHeight w:val="221"/>
        </w:trPr>
        <w:tc>
          <w:tcPr>
            <w:tcW w:w="2720" w:type="dxa"/>
            <w:vAlign w:val="bottom"/>
            <w:tcBorders>
              <w:bottom w:val="single" w:sz="8" w:color="007CBA"/>
              <w:right w:val="single" w:sz="8" w:color="007CBA"/>
            </w:tcBorders>
          </w:tcPr>
          <w:p>
            <w:pPr>
              <w:ind w:left="60"/>
              <w:spacing w:after="0"/>
              <w:rPr>
                <w:sz w:val="20"/>
                <w:szCs w:val="20"/>
                <w:color w:val="auto"/>
              </w:rPr>
            </w:pPr>
            <w:r>
              <w:rPr>
                <w:rFonts w:ascii="Arial" w:cs="Arial" w:eastAsia="Arial" w:hAnsi="Arial"/>
                <w:sz w:val="16"/>
                <w:szCs w:val="16"/>
                <w:color w:val="auto"/>
              </w:rPr>
              <w:t>named above)</w:t>
            </w:r>
          </w:p>
        </w:tc>
        <w:tc>
          <w:tcPr>
            <w:tcW w:w="2200" w:type="dxa"/>
            <w:vAlign w:val="bottom"/>
            <w:tcBorders>
              <w:bottom w:val="single" w:sz="8" w:color="007CBA"/>
              <w:right w:val="single" w:sz="8" w:color="007CBA"/>
            </w:tcBorders>
          </w:tcPr>
          <w:p>
            <w:pPr>
              <w:jc w:val="right"/>
              <w:ind w:right="671"/>
              <w:spacing w:after="0" w:line="221" w:lineRule="exact"/>
              <w:rPr>
                <w:sz w:val="20"/>
                <w:szCs w:val="20"/>
                <w:color w:val="auto"/>
              </w:rPr>
            </w:pPr>
            <w:r>
              <w:rPr>
                <w:rFonts w:ascii="Arial" w:cs="Arial" w:eastAsia="Arial" w:hAnsi="Arial"/>
                <w:sz w:val="15"/>
                <w:szCs w:val="15"/>
                <w:color w:val="auto"/>
              </w:rPr>
              <w:t>392,341</w:t>
            </w:r>
            <w:r>
              <w:rPr>
                <w:rFonts w:ascii="Arial" w:cs="Arial" w:eastAsia="Arial" w:hAnsi="Arial"/>
                <w:sz w:val="25"/>
                <w:szCs w:val="25"/>
                <w:color w:val="auto"/>
                <w:vertAlign w:val="superscript"/>
              </w:rPr>
              <w:t>3,4</w:t>
            </w:r>
          </w:p>
        </w:tc>
        <w:tc>
          <w:tcPr>
            <w:tcW w:w="1480" w:type="dxa"/>
            <w:vAlign w:val="bottom"/>
            <w:tcBorders>
              <w:bottom w:val="single" w:sz="8" w:color="007CBA"/>
              <w:right w:val="single" w:sz="8" w:color="007CBA"/>
            </w:tcBorders>
          </w:tcPr>
          <w:p>
            <w:pPr>
              <w:jc w:val="right"/>
              <w:ind w:right="499"/>
              <w:spacing w:after="0"/>
              <w:rPr>
                <w:sz w:val="20"/>
                <w:szCs w:val="20"/>
                <w:color w:val="auto"/>
              </w:rPr>
            </w:pPr>
            <w:r>
              <w:rPr>
                <w:rFonts w:ascii="Arial" w:cs="Arial" w:eastAsia="Arial" w:hAnsi="Arial"/>
                <w:sz w:val="16"/>
                <w:szCs w:val="16"/>
                <w:color w:val="auto"/>
              </w:rPr>
              <w:t>158,785</w:t>
            </w:r>
          </w:p>
        </w:tc>
        <w:tc>
          <w:tcPr>
            <w:tcW w:w="1300" w:type="dxa"/>
            <w:vAlign w:val="bottom"/>
            <w:tcBorders>
              <w:bottom w:val="single" w:sz="8" w:color="007CBA"/>
            </w:tcBorders>
          </w:tcPr>
          <w:p>
            <w:pPr>
              <w:jc w:val="right"/>
              <w:ind w:right="279"/>
              <w:spacing w:after="0"/>
              <w:rPr>
                <w:sz w:val="20"/>
                <w:szCs w:val="20"/>
                <w:color w:val="auto"/>
              </w:rPr>
            </w:pPr>
            <w:r>
              <w:rPr>
                <w:rFonts w:ascii="Arial" w:cs="Arial" w:eastAsia="Arial" w:hAnsi="Arial"/>
                <w:sz w:val="16"/>
                <w:szCs w:val="16"/>
                <w:color w:val="auto"/>
              </w:rPr>
              <w:t>551,126</w:t>
            </w:r>
          </w:p>
        </w:tc>
      </w:tr>
    </w:tbl>
    <w:p>
      <w:pPr>
        <w:spacing w:after="0" w:line="54" w:lineRule="exact"/>
        <w:rPr>
          <w:sz w:val="20"/>
          <w:szCs w:val="20"/>
          <w:color w:val="auto"/>
        </w:rPr>
      </w:pPr>
    </w:p>
    <w:p>
      <w:pPr>
        <w:jc w:val="both"/>
        <w:ind w:left="320" w:hanging="116"/>
        <w:spacing w:after="0" w:line="208" w:lineRule="auto"/>
        <w:tabs>
          <w:tab w:leader="none" w:pos="320" w:val="left"/>
        </w:tabs>
        <w:numPr>
          <w:ilvl w:val="0"/>
          <w:numId w:val="35"/>
        </w:numPr>
        <w:rPr>
          <w:rFonts w:ascii="Arial" w:cs="Arial" w:eastAsia="Arial" w:hAnsi="Arial"/>
          <w:sz w:val="24"/>
          <w:szCs w:val="24"/>
          <w:color w:val="auto"/>
          <w:vertAlign w:val="superscript"/>
        </w:rPr>
      </w:pPr>
      <w:r>
        <w:rPr>
          <w:rFonts w:ascii="Arial" w:cs="Arial" w:eastAsia="Arial" w:hAnsi="Arial"/>
          <w:sz w:val="14"/>
          <w:szCs w:val="14"/>
          <w:color w:val="auto"/>
        </w:rPr>
        <w:t>As to the shares reported, unless indicated otherwise, (i) beneficial ownership is direct, and (ii) the person indicated has sole voting and investment power. None of the Directors or named executive officers individually own in excess of one percent of the shares of common stock outstanding. All Directors and executive officers as a group own 0.75% of the shares of common stock outstanding as of March 9, 2018. None of the shares reported are pledged as security.</w:t>
      </w:r>
    </w:p>
    <w:p>
      <w:pPr>
        <w:spacing w:after="0" w:line="35" w:lineRule="exact"/>
        <w:rPr>
          <w:sz w:val="20"/>
          <w:szCs w:val="20"/>
          <w:color w:val="auto"/>
        </w:rPr>
      </w:pPr>
    </w:p>
    <w:p>
      <w:pPr>
        <w:jc w:val="both"/>
        <w:ind w:left="320" w:hanging="116"/>
        <w:spacing w:after="0" w:line="208" w:lineRule="auto"/>
        <w:tabs>
          <w:tab w:leader="none" w:pos="320" w:val="left"/>
        </w:tabs>
        <w:numPr>
          <w:ilvl w:val="0"/>
          <w:numId w:val="36"/>
        </w:numPr>
        <w:rPr>
          <w:rFonts w:ascii="Arial" w:cs="Arial" w:eastAsia="Arial" w:hAnsi="Arial"/>
          <w:sz w:val="24"/>
          <w:szCs w:val="24"/>
          <w:color w:val="auto"/>
          <w:vertAlign w:val="superscript"/>
        </w:rPr>
      </w:pPr>
      <w:r>
        <w:rPr>
          <w:rFonts w:ascii="Arial" w:cs="Arial" w:eastAsia="Arial" w:hAnsi="Arial"/>
          <w:sz w:val="14"/>
          <w:szCs w:val="14"/>
          <w:color w:val="auto"/>
        </w:rPr>
        <w:t>The number of shares owned for each of Mr. Nye, Ms. Bar, Mr. McCunniff, Mr. Grant, Ms. Lloyd and all Directors and executive officers as a group assumes that options held by each of them covering shares of common stock in the amounts indicated, which are currently exercisable within 60 days of March 9, 2018, have been exercised: Mr. Nye, 61,163; Ms. Bar, 16,865; Mr. McCunniff, 8,647; Mr. Grant, 767; Ms. Lloyd, 20,667 and all Directors and executive officers as a group, 97,112.</w:t>
      </w:r>
    </w:p>
    <w:p>
      <w:pPr>
        <w:spacing w:after="0" w:line="35" w:lineRule="exact"/>
        <w:rPr>
          <w:sz w:val="20"/>
          <w:szCs w:val="20"/>
          <w:color w:val="auto"/>
        </w:rPr>
      </w:pPr>
    </w:p>
    <w:p>
      <w:pPr>
        <w:jc w:val="both"/>
        <w:ind w:left="320" w:hanging="116"/>
        <w:spacing w:after="0" w:line="219" w:lineRule="auto"/>
        <w:tabs>
          <w:tab w:leader="none" w:pos="320" w:val="left"/>
        </w:tabs>
        <w:numPr>
          <w:ilvl w:val="0"/>
          <w:numId w:val="37"/>
        </w:numPr>
        <w:rPr>
          <w:rFonts w:ascii="Arial" w:cs="Arial" w:eastAsia="Arial" w:hAnsi="Arial"/>
          <w:sz w:val="24"/>
          <w:szCs w:val="24"/>
          <w:color w:val="auto"/>
          <w:vertAlign w:val="superscript"/>
        </w:rPr>
      </w:pPr>
      <w:r>
        <w:rPr>
          <w:rFonts w:ascii="Arial" w:cs="Arial" w:eastAsia="Arial" w:hAnsi="Arial"/>
          <w:sz w:val="14"/>
          <w:szCs w:val="14"/>
          <w:color w:val="auto"/>
        </w:rPr>
        <w:t>Amounts reported include (1) compensation paid on an annual basis that Directors have received in common stock units that are deferred pursuant to the Amended and Restated Martin Marietta Materials, Inc. Common Stock Purchase Plan for Directors and (2) RSUs that each Director received in 2017 as part of their compensation. The Directors do not have voting or investment power for their respective common stock units and RSUs. The number of common stock units credited to each of the Directors pursuant to the Common Stock Purchase Plan as of March 9, 2018 is as follows: Ms. Cole, 15,418; Mr. Koraleski, 161; Mr. Maffucci, 9,073; Ms. Perez, 5,258; Mr. Quillen, 7,457; Mr. Rediker, 9,866; Mr. Slager, 0; and Mr. Zelnak, 6,280. Amounts reported also include 3,000 options for common stock held by each of Ms. Cole and Mr. Quillen.</w:t>
      </w:r>
    </w:p>
    <w:p>
      <w:pPr>
        <w:ind w:left="320" w:hanging="116"/>
        <w:spacing w:after="0" w:line="202" w:lineRule="auto"/>
        <w:tabs>
          <w:tab w:leader="none" w:pos="320" w:val="left"/>
        </w:tabs>
        <w:numPr>
          <w:ilvl w:val="0"/>
          <w:numId w:val="38"/>
        </w:numPr>
        <w:rPr>
          <w:rFonts w:ascii="Arial" w:cs="Arial" w:eastAsia="Arial" w:hAnsi="Arial"/>
          <w:sz w:val="24"/>
          <w:szCs w:val="24"/>
          <w:color w:val="auto"/>
          <w:vertAlign w:val="superscript"/>
        </w:rPr>
      </w:pPr>
      <w:r>
        <w:rPr>
          <w:rFonts w:ascii="Arial" w:cs="Arial" w:eastAsia="Arial" w:hAnsi="Arial"/>
          <w:sz w:val="14"/>
          <w:szCs w:val="14"/>
          <w:color w:val="auto"/>
        </w:rPr>
        <w:t>Includes an approximation of the number of shares in IRA account.</w:t>
      </w:r>
    </w:p>
    <w:p>
      <w:pPr>
        <w:spacing w:after="0" w:line="46" w:lineRule="exact"/>
        <w:rPr>
          <w:sz w:val="20"/>
          <w:szCs w:val="20"/>
          <w:color w:val="auto"/>
        </w:rPr>
      </w:pPr>
    </w:p>
    <w:p>
      <w:pPr>
        <w:jc w:val="both"/>
        <w:ind w:left="320" w:hanging="116"/>
        <w:spacing w:after="0" w:line="217" w:lineRule="auto"/>
        <w:tabs>
          <w:tab w:leader="none" w:pos="320" w:val="left"/>
        </w:tabs>
        <w:numPr>
          <w:ilvl w:val="0"/>
          <w:numId w:val="39"/>
        </w:numPr>
        <w:rPr>
          <w:rFonts w:ascii="Arial" w:cs="Arial" w:eastAsia="Arial" w:hAnsi="Arial"/>
          <w:sz w:val="24"/>
          <w:szCs w:val="24"/>
          <w:color w:val="auto"/>
          <w:vertAlign w:val="superscript"/>
        </w:rPr>
      </w:pPr>
      <w:r>
        <w:rPr>
          <w:rFonts w:ascii="Arial" w:cs="Arial" w:eastAsia="Arial" w:hAnsi="Arial"/>
          <w:sz w:val="14"/>
          <w:szCs w:val="14"/>
          <w:color w:val="auto"/>
        </w:rPr>
        <w:t>The amounts reported include common stock units credited to each of the NEOs in connection with (i) their deferral of a portion of their cash bonus under the Martin Marietta Materials, Inc. Incentive Stock Plan, and (ii) RSUs (not including any performance-based share units (PSUs) granted under the Stock Plan that are subject to forfeiture in accordance with the terms of the plan, each in the following amounts: Mr. Nye, 16,550 and 50,260, respectively; Ms. Bar, 2,813 and 16,995, respectively; Mr. Nickolas, 0 and 8,317, respectively; Mr. McCunniff, 1,440 and 13,249, respectively; Mr. Grant, 1,750 and 11,558, respectively; Ms. Lloyd, 3,119 and 18,554, respectively; and all Directors and executive officers as a group, 23,875 and 113,237 respectively. There are no voting rights associated with the stock units.</w:t>
      </w:r>
    </w:p>
    <w:p>
      <w:pPr>
        <w:spacing w:after="0" w:line="36" w:lineRule="exact"/>
        <w:rPr>
          <w:sz w:val="20"/>
          <w:szCs w:val="20"/>
          <w:color w:val="auto"/>
        </w:rPr>
      </w:pPr>
    </w:p>
    <w:p>
      <w:pPr>
        <w:ind w:left="320" w:hanging="116"/>
        <w:spacing w:after="0" w:line="195" w:lineRule="auto"/>
        <w:tabs>
          <w:tab w:leader="none" w:pos="320" w:val="left"/>
        </w:tabs>
        <w:numPr>
          <w:ilvl w:val="0"/>
          <w:numId w:val="40"/>
        </w:numPr>
        <w:rPr>
          <w:rFonts w:ascii="Arial" w:cs="Arial" w:eastAsia="Arial" w:hAnsi="Arial"/>
          <w:sz w:val="24"/>
          <w:szCs w:val="24"/>
          <w:color w:val="auto"/>
          <w:vertAlign w:val="superscript"/>
        </w:rPr>
      </w:pPr>
      <w:r>
        <w:rPr>
          <w:rFonts w:ascii="Arial" w:cs="Arial" w:eastAsia="Arial" w:hAnsi="Arial"/>
          <w:sz w:val="14"/>
          <w:szCs w:val="14"/>
          <w:color w:val="auto"/>
        </w:rPr>
        <w:t>Ms. Lloyd retired as Executive Vice President – Chief Financial Officer as of December 31, 2017. The amounts reported reflect ownership as of May 24, 2017 and includes restricted stock awards that vested and were distributed before March 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83185</wp:posOffset>
            </wp:positionV>
            <wp:extent cx="411480" cy="2489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127" w:lineRule="exact"/>
        <w:rPr>
          <w:sz w:val="20"/>
          <w:szCs w:val="20"/>
          <w:color w:val="auto"/>
        </w:rPr>
      </w:pPr>
    </w:p>
    <w:tbl>
      <w:tblPr>
        <w:tblLayout w:type="fixed"/>
        <w:tblInd w:w="9260" w:type="dxa"/>
        <w:tblCellMar>
          <w:top w:w="0" w:type="dxa"/>
          <w:left w:w="0" w:type="dxa"/>
          <w:bottom w:w="0" w:type="dxa"/>
          <w:right w:w="0" w:type="dxa"/>
        </w:tblCellMar>
      </w:tblPr>
      <w:tr>
        <w:trPr>
          <w:trHeight w:val="178"/>
        </w:trPr>
        <w:tc>
          <w:tcPr>
            <w:tcW w:w="1680" w:type="dxa"/>
            <w:vAlign w:val="bottom"/>
          </w:tcPr>
          <w:p>
            <w:pPr>
              <w:spacing w:after="0"/>
              <w:rPr>
                <w:sz w:val="20"/>
                <w:szCs w:val="20"/>
                <w:color w:val="auto"/>
              </w:rPr>
            </w:pPr>
            <w:r>
              <w:rPr>
                <w:rFonts w:ascii="Arial" w:cs="Arial" w:eastAsia="Arial" w:hAnsi="Arial"/>
                <w:sz w:val="13"/>
                <w:szCs w:val="13"/>
                <w:color w:val="007CBA"/>
              </w:rPr>
              <w:t>2018 PROXY STATEMENT</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rPr>
              <w:t>15</w:t>
            </w:r>
          </w:p>
        </w:tc>
      </w:tr>
    </w:tbl>
    <w:p>
      <w:pPr>
        <w:sectPr>
          <w:pgSz w:w="11900" w:h="16838" w:orient="portrait"/>
          <w:cols w:equalWidth="0" w:num="1">
            <w:col w:w="11220"/>
          </w:cols>
          <w:pgMar w:left="240" w:top="455" w:right="4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64" w:lineRule="exact"/>
        <w:rPr>
          <w:sz w:val="20"/>
          <w:szCs w:val="20"/>
          <w:color w:val="auto"/>
        </w:rPr>
      </w:pPr>
    </w:p>
    <w:p>
      <w:pPr>
        <w:ind w:left="200"/>
        <w:spacing w:after="0" w:line="288" w:lineRule="exact"/>
        <w:rPr>
          <w:sz w:val="20"/>
          <w:szCs w:val="20"/>
          <w:color w:val="auto"/>
        </w:rPr>
      </w:pPr>
      <w:r>
        <w:rPr>
          <w:rFonts w:ascii="Arial" w:cs="Arial" w:eastAsia="Arial" w:hAnsi="Arial"/>
          <w:sz w:val="14"/>
          <w:szCs w:val="14"/>
          <w:color w:val="007CBA"/>
        </w:rPr>
        <w:t xml:space="preserve">Security Ownership of Certain Beneficial Ownership and Management </w:t>
      </w:r>
      <w:r>
        <w:rPr>
          <w:rFonts w:ascii="MS PGothic" w:cs="MS PGothic" w:eastAsia="MS PGothic" w:hAnsi="MS PGothic"/>
          <w:sz w:val="25"/>
          <w:szCs w:val="25"/>
          <w:color w:val="007CBA"/>
        </w:rPr>
        <w:t>◆</w:t>
      </w:r>
      <w:r>
        <w:rPr>
          <w:rFonts w:ascii="Arial" w:cs="Arial" w:eastAsia="Arial" w:hAnsi="Arial"/>
          <w:sz w:val="14"/>
          <w:szCs w:val="14"/>
          <w:color w:val="007CBA"/>
        </w:rPr>
        <w:t xml:space="preserve"> </w:t>
      </w:r>
      <w:r>
        <w:rPr>
          <w:rFonts w:ascii="Arial" w:cs="Arial" w:eastAsia="Arial" w:hAnsi="Arial"/>
          <w:sz w:val="14"/>
          <w:szCs w:val="14"/>
          <w:color w:val="000000"/>
        </w:rPr>
        <w:t>Section 16(a) Beneficial Ownership Reporting Compliance</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007CBA"/>
        </w:rPr>
        <w:t>Section 16(a) Beneficial Ownership Reporting Compliance</w:t>
      </w:r>
    </w:p>
    <w:p>
      <w:pPr>
        <w:spacing w:after="0" w:line="215" w:lineRule="exact"/>
        <w:rPr>
          <w:sz w:val="20"/>
          <w:szCs w:val="20"/>
          <w:color w:val="auto"/>
        </w:rPr>
      </w:pPr>
    </w:p>
    <w:p>
      <w:pPr>
        <w:jc w:val="both"/>
        <w:ind w:left="200"/>
        <w:spacing w:after="0" w:line="257" w:lineRule="auto"/>
        <w:rPr>
          <w:sz w:val="20"/>
          <w:szCs w:val="20"/>
          <w:color w:val="auto"/>
        </w:rPr>
      </w:pPr>
      <w:r>
        <w:rPr>
          <w:rFonts w:ascii="Arial" w:cs="Arial" w:eastAsia="Arial" w:hAnsi="Arial"/>
          <w:sz w:val="16"/>
          <w:szCs w:val="16"/>
          <w:color w:val="auto"/>
        </w:rPr>
        <w:t>Section 16(a) of the Exchange Act requires Directors and officers of Martin Marietta and persons who own more than 10% of the common stock to file with the Securities and Exchange Commission initial reports of ownership and reports in changes in ownership of the common stock. Directors, officers and more than 10% shareholders are required by Securities and Exchange Commission regulations to furnish to Martin Marietta copies of all Section 16(a) reports filed. Based solely on its review of copies of reports furnished to Martin Marietta and written representations of Directors and officers, the company believes that during fiscal year 2017, such filing requirements were satisfied.</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7CBA"/>
        </w:rPr>
        <w:t>Who are the largest owners of Martin Marietta’s stock?</w:t>
      </w:r>
    </w:p>
    <w:p>
      <w:pPr>
        <w:spacing w:after="0" w:line="25"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The following table sets forth information with respect to the shares of common stock which are held by persons known to Martin Marietta to be the beneficial owners of more than 5% of such stock as of March 9, 2018. To the best of Martin Marietta’s knowledge, based on filings with the Securities and Exchange Commission as noted below, no person beneficially owned more than 5% of any class of Martin Marietta’s outstanding voting securities at the close of business on March 9, 2018, except for those shown below.</w:t>
      </w:r>
    </w:p>
    <w:p>
      <w:pPr>
        <w:spacing w:after="0" w:line="180" w:lineRule="exact"/>
        <w:rPr>
          <w:sz w:val="20"/>
          <w:szCs w:val="20"/>
          <w:color w:val="auto"/>
        </w:rPr>
      </w:pPr>
    </w:p>
    <w:tbl>
      <w:tblPr>
        <w:tblLayout w:type="fixed"/>
        <w:tblInd w:w="2960" w:type="dxa"/>
        <w:tblCellMar>
          <w:top w:w="0" w:type="dxa"/>
          <w:left w:w="0" w:type="dxa"/>
          <w:bottom w:w="0" w:type="dxa"/>
          <w:right w:w="0" w:type="dxa"/>
        </w:tblCellMar>
      </w:tblPr>
      <w:tr>
        <w:trPr>
          <w:trHeight w:val="184"/>
        </w:trPr>
        <w:tc>
          <w:tcPr>
            <w:tcW w:w="236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6"/>
                <w:szCs w:val="16"/>
                <w:b w:val="1"/>
                <w:bCs w:val="1"/>
                <w:color w:val="FFFFFF"/>
              </w:rPr>
              <w:t>Name and Address</w:t>
            </w:r>
          </w:p>
        </w:tc>
        <w:tc>
          <w:tcPr>
            <w:tcW w:w="19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6"/>
                <w:szCs w:val="16"/>
                <w:b w:val="1"/>
                <w:bCs w:val="1"/>
                <w:color w:val="FFFFFF"/>
              </w:rPr>
              <w:t>Amount and Nature</w:t>
            </w:r>
          </w:p>
        </w:tc>
        <w:tc>
          <w:tcPr>
            <w:tcW w:w="1200" w:type="dxa"/>
            <w:vAlign w:val="bottom"/>
            <w:shd w:val="clear" w:color="auto" w:fill="007CBA"/>
          </w:tcPr>
          <w:p>
            <w:pPr>
              <w:ind w:left="400"/>
              <w:spacing w:after="0"/>
              <w:rPr>
                <w:sz w:val="20"/>
                <w:szCs w:val="20"/>
                <w:color w:val="auto"/>
              </w:rPr>
            </w:pPr>
            <w:r>
              <w:rPr>
                <w:rFonts w:ascii="Arial" w:cs="Arial" w:eastAsia="Arial" w:hAnsi="Arial"/>
                <w:sz w:val="16"/>
                <w:szCs w:val="16"/>
                <w:b w:val="1"/>
                <w:bCs w:val="1"/>
                <w:color w:val="FFFFFF"/>
              </w:rPr>
              <w:t>Percent</w:t>
            </w:r>
          </w:p>
        </w:tc>
      </w:tr>
      <w:tr>
        <w:trPr>
          <w:trHeight w:val="223"/>
        </w:trPr>
        <w:tc>
          <w:tcPr>
            <w:tcW w:w="236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6"/>
                <w:szCs w:val="16"/>
                <w:b w:val="1"/>
                <w:bCs w:val="1"/>
                <w:color w:val="FFFFFF"/>
              </w:rPr>
              <w:t>of Beneficial Owner</w:t>
            </w:r>
          </w:p>
        </w:tc>
        <w:tc>
          <w:tcPr>
            <w:tcW w:w="19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6"/>
                <w:szCs w:val="16"/>
                <w:b w:val="1"/>
                <w:bCs w:val="1"/>
                <w:color w:val="FFFFFF"/>
              </w:rPr>
              <w:t>of Beneficial Ownership</w:t>
            </w:r>
          </w:p>
        </w:tc>
        <w:tc>
          <w:tcPr>
            <w:tcW w:w="1200" w:type="dxa"/>
            <w:vAlign w:val="bottom"/>
            <w:shd w:val="clear" w:color="auto" w:fill="007CBA"/>
          </w:tcPr>
          <w:p>
            <w:pPr>
              <w:ind w:left="380"/>
              <w:spacing w:after="0"/>
              <w:rPr>
                <w:sz w:val="20"/>
                <w:szCs w:val="20"/>
                <w:color w:val="auto"/>
              </w:rPr>
            </w:pPr>
            <w:r>
              <w:rPr>
                <w:rFonts w:ascii="Arial" w:cs="Arial" w:eastAsia="Arial" w:hAnsi="Arial"/>
                <w:sz w:val="16"/>
                <w:szCs w:val="16"/>
                <w:b w:val="1"/>
                <w:bCs w:val="1"/>
                <w:color w:val="FFFFFF"/>
              </w:rPr>
              <w:t>of Class</w:t>
            </w:r>
          </w:p>
        </w:tc>
      </w:tr>
      <w:tr>
        <w:trPr>
          <w:trHeight w:val="171"/>
        </w:trPr>
        <w:tc>
          <w:tcPr>
            <w:tcW w:w="2360" w:type="dxa"/>
            <w:vAlign w:val="bottom"/>
            <w:tcBorders>
              <w:right w:val="single" w:sz="8" w:color="007CBA"/>
            </w:tcBorders>
          </w:tcPr>
          <w:p>
            <w:pPr>
              <w:ind w:left="80"/>
              <w:spacing w:after="0" w:line="171" w:lineRule="exact"/>
              <w:rPr>
                <w:sz w:val="20"/>
                <w:szCs w:val="20"/>
                <w:color w:val="auto"/>
              </w:rPr>
            </w:pPr>
            <w:r>
              <w:rPr>
                <w:rFonts w:ascii="Arial" w:cs="Arial" w:eastAsia="Arial" w:hAnsi="Arial"/>
                <w:sz w:val="12"/>
                <w:szCs w:val="12"/>
                <w:color w:val="auto"/>
              </w:rPr>
              <w:t>The Vanguard Group</w:t>
            </w:r>
            <w:r>
              <w:rPr>
                <w:rFonts w:ascii="Arial" w:cs="Arial" w:eastAsia="Arial" w:hAnsi="Arial"/>
                <w:sz w:val="19"/>
                <w:szCs w:val="19"/>
                <w:color w:val="auto"/>
                <w:vertAlign w:val="superscript"/>
              </w:rPr>
              <w:t>1</w:t>
            </w:r>
          </w:p>
        </w:tc>
        <w:tc>
          <w:tcPr>
            <w:tcW w:w="1960" w:type="dxa"/>
            <w:vAlign w:val="bottom"/>
            <w:tcBorders>
              <w:right w:val="single" w:sz="8" w:color="007CBA"/>
            </w:tcBorders>
          </w:tcPr>
          <w:p>
            <w:pPr>
              <w:spacing w:after="0"/>
              <w:rPr>
                <w:sz w:val="14"/>
                <w:szCs w:val="14"/>
                <w:color w:val="auto"/>
              </w:rPr>
            </w:pPr>
          </w:p>
        </w:tc>
        <w:tc>
          <w:tcPr>
            <w:tcW w:w="1200" w:type="dxa"/>
            <w:vAlign w:val="bottom"/>
          </w:tcPr>
          <w:p>
            <w:pPr>
              <w:spacing w:after="0"/>
              <w:rPr>
                <w:sz w:val="14"/>
                <w:szCs w:val="14"/>
                <w:color w:val="auto"/>
              </w:rPr>
            </w:pPr>
          </w:p>
        </w:tc>
      </w:tr>
      <w:tr>
        <w:trPr>
          <w:trHeight w:val="189"/>
        </w:trPr>
        <w:tc>
          <w:tcPr>
            <w:tcW w:w="2360" w:type="dxa"/>
            <w:vAlign w:val="bottom"/>
            <w:tcBorders>
              <w:right w:val="single" w:sz="8" w:color="007CBA"/>
            </w:tcBorders>
          </w:tcPr>
          <w:p>
            <w:pPr>
              <w:ind w:left="80"/>
              <w:spacing w:after="0"/>
              <w:rPr>
                <w:sz w:val="20"/>
                <w:szCs w:val="20"/>
                <w:color w:val="auto"/>
              </w:rPr>
            </w:pPr>
            <w:r>
              <w:rPr>
                <w:rFonts w:ascii="Arial" w:cs="Arial" w:eastAsia="Arial" w:hAnsi="Arial"/>
                <w:sz w:val="16"/>
                <w:szCs w:val="16"/>
                <w:color w:val="auto"/>
              </w:rPr>
              <w:t>100 Vanguard Boulevard V26</w:t>
            </w:r>
          </w:p>
        </w:tc>
        <w:tc>
          <w:tcPr>
            <w:tcW w:w="1960" w:type="dxa"/>
            <w:vAlign w:val="bottom"/>
            <w:tcBorders>
              <w:right w:val="single" w:sz="8" w:color="007CBA"/>
            </w:tcBorders>
          </w:tcPr>
          <w:p>
            <w:pPr>
              <w:spacing w:after="0"/>
              <w:rPr>
                <w:sz w:val="16"/>
                <w:szCs w:val="16"/>
                <w:color w:val="auto"/>
              </w:rPr>
            </w:pPr>
          </w:p>
        </w:tc>
        <w:tc>
          <w:tcPr>
            <w:tcW w:w="1200" w:type="dxa"/>
            <w:vAlign w:val="bottom"/>
          </w:tcPr>
          <w:p>
            <w:pPr>
              <w:spacing w:after="0"/>
              <w:rPr>
                <w:sz w:val="16"/>
                <w:szCs w:val="16"/>
                <w:color w:val="auto"/>
              </w:rPr>
            </w:pPr>
          </w:p>
        </w:tc>
      </w:tr>
      <w:tr>
        <w:trPr>
          <w:trHeight w:val="221"/>
        </w:trPr>
        <w:tc>
          <w:tcPr>
            <w:tcW w:w="2360" w:type="dxa"/>
            <w:vAlign w:val="bottom"/>
            <w:tcBorders>
              <w:right w:val="single" w:sz="8" w:color="007CBA"/>
            </w:tcBorders>
          </w:tcPr>
          <w:p>
            <w:pPr>
              <w:ind w:left="80"/>
              <w:spacing w:after="0"/>
              <w:rPr>
                <w:sz w:val="20"/>
                <w:szCs w:val="20"/>
                <w:color w:val="auto"/>
              </w:rPr>
            </w:pPr>
            <w:r>
              <w:rPr>
                <w:rFonts w:ascii="Arial" w:cs="Arial" w:eastAsia="Arial" w:hAnsi="Arial"/>
                <w:sz w:val="16"/>
                <w:szCs w:val="16"/>
                <w:color w:val="auto"/>
              </w:rPr>
              <w:t>Malvern, PA 19355</w:t>
            </w:r>
          </w:p>
        </w:tc>
        <w:tc>
          <w:tcPr>
            <w:tcW w:w="1960" w:type="dxa"/>
            <w:vAlign w:val="bottom"/>
            <w:tcBorders>
              <w:right w:val="single" w:sz="8" w:color="007CBA"/>
            </w:tcBorders>
          </w:tcPr>
          <w:p>
            <w:pPr>
              <w:jc w:val="center"/>
              <w:spacing w:after="0"/>
              <w:rPr>
                <w:sz w:val="20"/>
                <w:szCs w:val="20"/>
                <w:color w:val="auto"/>
              </w:rPr>
            </w:pPr>
            <w:r>
              <w:rPr>
                <w:rFonts w:ascii="Arial" w:cs="Arial" w:eastAsia="Arial" w:hAnsi="Arial"/>
                <w:sz w:val="16"/>
                <w:szCs w:val="16"/>
                <w:color w:val="auto"/>
              </w:rPr>
              <w:t>6,510,846</w:t>
            </w:r>
          </w:p>
        </w:tc>
        <w:tc>
          <w:tcPr>
            <w:tcW w:w="1200" w:type="dxa"/>
            <w:vAlign w:val="bottom"/>
          </w:tcPr>
          <w:p>
            <w:pPr>
              <w:jc w:val="right"/>
              <w:ind w:right="159"/>
              <w:spacing w:after="0"/>
              <w:rPr>
                <w:sz w:val="20"/>
                <w:szCs w:val="20"/>
                <w:color w:val="auto"/>
              </w:rPr>
            </w:pPr>
            <w:r>
              <w:rPr>
                <w:rFonts w:ascii="Arial" w:cs="Arial" w:eastAsia="Arial" w:hAnsi="Arial"/>
                <w:sz w:val="16"/>
                <w:szCs w:val="16"/>
                <w:color w:val="auto"/>
              </w:rPr>
              <w:t>10.35%</w:t>
            </w:r>
          </w:p>
        </w:tc>
      </w:tr>
      <w:tr>
        <w:trPr>
          <w:trHeight w:val="171"/>
        </w:trPr>
        <w:tc>
          <w:tcPr>
            <w:tcW w:w="2360" w:type="dxa"/>
            <w:vAlign w:val="bottom"/>
            <w:tcBorders>
              <w:right w:val="single" w:sz="8" w:color="007CBA"/>
            </w:tcBorders>
            <w:shd w:val="clear" w:color="auto" w:fill="E5F1F8"/>
          </w:tcPr>
          <w:p>
            <w:pPr>
              <w:ind w:left="80"/>
              <w:spacing w:after="0" w:line="171" w:lineRule="exact"/>
              <w:rPr>
                <w:sz w:val="20"/>
                <w:szCs w:val="20"/>
                <w:color w:val="auto"/>
              </w:rPr>
            </w:pPr>
            <w:r>
              <w:rPr>
                <w:rFonts w:ascii="Arial" w:cs="Arial" w:eastAsia="Arial" w:hAnsi="Arial"/>
                <w:sz w:val="12"/>
                <w:szCs w:val="12"/>
                <w:color w:val="auto"/>
              </w:rPr>
              <w:t>BlackRock, Inc.</w:t>
            </w:r>
            <w:r>
              <w:rPr>
                <w:rFonts w:ascii="Arial" w:cs="Arial" w:eastAsia="Arial" w:hAnsi="Arial"/>
                <w:sz w:val="19"/>
                <w:szCs w:val="19"/>
                <w:color w:val="auto"/>
                <w:vertAlign w:val="superscript"/>
              </w:rPr>
              <w:t>2</w:t>
            </w:r>
          </w:p>
        </w:tc>
        <w:tc>
          <w:tcPr>
            <w:tcW w:w="1960" w:type="dxa"/>
            <w:vAlign w:val="bottom"/>
            <w:tcBorders>
              <w:right w:val="single" w:sz="8" w:color="007CBA"/>
            </w:tcBorders>
            <w:shd w:val="clear" w:color="auto" w:fill="E5F1F8"/>
          </w:tcPr>
          <w:p>
            <w:pPr>
              <w:spacing w:after="0"/>
              <w:rPr>
                <w:sz w:val="14"/>
                <w:szCs w:val="14"/>
                <w:color w:val="auto"/>
              </w:rPr>
            </w:pPr>
          </w:p>
        </w:tc>
        <w:tc>
          <w:tcPr>
            <w:tcW w:w="1200" w:type="dxa"/>
            <w:vAlign w:val="bottom"/>
            <w:shd w:val="clear" w:color="auto" w:fill="E5F1F8"/>
          </w:tcPr>
          <w:p>
            <w:pPr>
              <w:spacing w:after="0"/>
              <w:rPr>
                <w:sz w:val="14"/>
                <w:szCs w:val="14"/>
                <w:color w:val="auto"/>
              </w:rPr>
            </w:pPr>
          </w:p>
        </w:tc>
      </w:tr>
      <w:tr>
        <w:trPr>
          <w:trHeight w:val="189"/>
        </w:trPr>
        <w:tc>
          <w:tcPr>
            <w:tcW w:w="236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6"/>
                <w:szCs w:val="16"/>
                <w:color w:val="auto"/>
              </w:rPr>
              <w:t>55 East 52nd Street</w:t>
            </w:r>
          </w:p>
        </w:tc>
        <w:tc>
          <w:tcPr>
            <w:tcW w:w="1960" w:type="dxa"/>
            <w:vAlign w:val="bottom"/>
            <w:tcBorders>
              <w:right w:val="single" w:sz="8" w:color="007CBA"/>
            </w:tcBorders>
            <w:shd w:val="clear" w:color="auto" w:fill="E5F1F8"/>
          </w:tcPr>
          <w:p>
            <w:pPr>
              <w:spacing w:after="0"/>
              <w:rPr>
                <w:sz w:val="16"/>
                <w:szCs w:val="16"/>
                <w:color w:val="auto"/>
              </w:rPr>
            </w:pPr>
          </w:p>
        </w:tc>
        <w:tc>
          <w:tcPr>
            <w:tcW w:w="1200" w:type="dxa"/>
            <w:vAlign w:val="bottom"/>
            <w:shd w:val="clear" w:color="auto" w:fill="E5F1F8"/>
          </w:tcPr>
          <w:p>
            <w:pPr>
              <w:spacing w:after="0"/>
              <w:rPr>
                <w:sz w:val="16"/>
                <w:szCs w:val="16"/>
                <w:color w:val="auto"/>
              </w:rPr>
            </w:pPr>
          </w:p>
        </w:tc>
      </w:tr>
      <w:tr>
        <w:trPr>
          <w:trHeight w:val="221"/>
        </w:trPr>
        <w:tc>
          <w:tcPr>
            <w:tcW w:w="2360" w:type="dxa"/>
            <w:vAlign w:val="bottom"/>
            <w:tcBorders>
              <w:bottom w:val="single" w:sz="8" w:color="007CBA"/>
              <w:right w:val="single" w:sz="8" w:color="007CBA"/>
            </w:tcBorders>
            <w:shd w:val="clear" w:color="auto" w:fill="E5F1F8"/>
          </w:tcPr>
          <w:p>
            <w:pPr>
              <w:ind w:left="80"/>
              <w:spacing w:after="0"/>
              <w:rPr>
                <w:sz w:val="20"/>
                <w:szCs w:val="20"/>
                <w:color w:val="auto"/>
              </w:rPr>
            </w:pPr>
            <w:r>
              <w:rPr>
                <w:rFonts w:ascii="Arial" w:cs="Arial" w:eastAsia="Arial" w:hAnsi="Arial"/>
                <w:sz w:val="16"/>
                <w:szCs w:val="16"/>
                <w:color w:val="auto"/>
              </w:rPr>
              <w:t>New York, NY 10055</w:t>
            </w:r>
          </w:p>
        </w:tc>
        <w:tc>
          <w:tcPr>
            <w:tcW w:w="1960" w:type="dxa"/>
            <w:vAlign w:val="bottom"/>
            <w:tcBorders>
              <w:bottom w:val="single" w:sz="8" w:color="007CBA"/>
              <w:right w:val="single" w:sz="8" w:color="007CBA"/>
            </w:tcBorders>
            <w:shd w:val="clear" w:color="auto" w:fill="E5F1F8"/>
          </w:tcPr>
          <w:p>
            <w:pPr>
              <w:jc w:val="center"/>
              <w:spacing w:after="0"/>
              <w:rPr>
                <w:sz w:val="20"/>
                <w:szCs w:val="20"/>
                <w:color w:val="auto"/>
              </w:rPr>
            </w:pPr>
            <w:r>
              <w:rPr>
                <w:rFonts w:ascii="Arial" w:cs="Arial" w:eastAsia="Arial" w:hAnsi="Arial"/>
                <w:sz w:val="16"/>
                <w:szCs w:val="16"/>
                <w:color w:val="auto"/>
              </w:rPr>
              <w:t>3,861,669</w:t>
            </w:r>
          </w:p>
        </w:tc>
        <w:tc>
          <w:tcPr>
            <w:tcW w:w="1200" w:type="dxa"/>
            <w:vAlign w:val="bottom"/>
            <w:tcBorders>
              <w:bottom w:val="single" w:sz="8" w:color="007CBA"/>
            </w:tcBorders>
            <w:shd w:val="clear" w:color="auto" w:fill="E5F1F8"/>
          </w:tcPr>
          <w:p>
            <w:pPr>
              <w:jc w:val="right"/>
              <w:ind w:right="239"/>
              <w:spacing w:after="0"/>
              <w:rPr>
                <w:sz w:val="20"/>
                <w:szCs w:val="20"/>
                <w:color w:val="auto"/>
              </w:rPr>
            </w:pPr>
            <w:r>
              <w:rPr>
                <w:rFonts w:ascii="Arial" w:cs="Arial" w:eastAsia="Arial" w:hAnsi="Arial"/>
                <w:sz w:val="16"/>
                <w:szCs w:val="16"/>
                <w:color w:val="auto"/>
              </w:rPr>
              <w:t>6.1%</w:t>
            </w:r>
          </w:p>
        </w:tc>
      </w:tr>
    </w:tbl>
    <w:p>
      <w:pPr>
        <w:spacing w:after="0" w:line="54" w:lineRule="exact"/>
        <w:rPr>
          <w:sz w:val="20"/>
          <w:szCs w:val="20"/>
          <w:color w:val="auto"/>
        </w:rPr>
      </w:pPr>
    </w:p>
    <w:p>
      <w:pPr>
        <w:jc w:val="both"/>
        <w:ind w:left="320" w:hanging="116"/>
        <w:spacing w:after="0"/>
        <w:tabs>
          <w:tab w:leader="none" w:pos="320" w:val="left"/>
        </w:tabs>
        <w:numPr>
          <w:ilvl w:val="0"/>
          <w:numId w:val="41"/>
        </w:numPr>
        <w:rPr>
          <w:rFonts w:ascii="Arial" w:cs="Arial" w:eastAsia="Arial" w:hAnsi="Arial"/>
          <w:sz w:val="24"/>
          <w:szCs w:val="24"/>
          <w:color w:val="auto"/>
          <w:vertAlign w:val="superscript"/>
        </w:rPr>
      </w:pPr>
      <w:r>
        <w:rPr>
          <w:rFonts w:ascii="Arial" w:cs="Arial" w:eastAsia="Arial" w:hAnsi="Arial"/>
          <w:sz w:val="14"/>
          <w:szCs w:val="14"/>
          <w:color w:val="auto"/>
        </w:rPr>
        <w:t>As reported in Schedule 13G/A reporting beneficial ownership as of December 31, 2017 filed with the Securities and Exchange Commission on February 9, 2018, indicating sole power to vote 88,098 shares, shared power to vote 12,310 shares, sole power to dispose of 6,410,973 shares, and shared power to dispose of 99,873 shares.</w:t>
      </w:r>
    </w:p>
    <w:p>
      <w:pPr>
        <w:spacing w:after="0" w:line="117" w:lineRule="exact"/>
        <w:rPr>
          <w:sz w:val="20"/>
          <w:szCs w:val="20"/>
          <w:color w:val="auto"/>
        </w:rPr>
      </w:pPr>
    </w:p>
    <w:p>
      <w:pPr>
        <w:ind w:left="320" w:hanging="116"/>
        <w:spacing w:after="0" w:line="195" w:lineRule="auto"/>
        <w:tabs>
          <w:tab w:leader="none" w:pos="320" w:val="left"/>
        </w:tabs>
        <w:numPr>
          <w:ilvl w:val="0"/>
          <w:numId w:val="42"/>
        </w:numPr>
        <w:rPr>
          <w:rFonts w:ascii="Arial" w:cs="Arial" w:eastAsia="Arial" w:hAnsi="Arial"/>
          <w:sz w:val="24"/>
          <w:szCs w:val="24"/>
          <w:color w:val="auto"/>
          <w:vertAlign w:val="superscript"/>
        </w:rPr>
      </w:pPr>
      <w:r>
        <w:rPr>
          <w:rFonts w:ascii="Arial" w:cs="Arial" w:eastAsia="Arial" w:hAnsi="Arial"/>
          <w:sz w:val="14"/>
          <w:szCs w:val="14"/>
          <w:color w:val="auto"/>
        </w:rPr>
        <w:t>As reported in Schedule 13G/A reporting beneficial ownership as of December 31, 2017 filed with the Securities and Exchange Commission on January 25, 2018, indicating sole power to vote 3,337,349 shares and sole power to dispose of 3,861,669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3512820</wp:posOffset>
            </wp:positionH>
            <wp:positionV relativeFrom="paragraph">
              <wp:posOffset>83185</wp:posOffset>
            </wp:positionV>
            <wp:extent cx="411480" cy="2489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129" w:lineRule="exact"/>
        <w:rPr>
          <w:sz w:val="20"/>
          <w:szCs w:val="20"/>
          <w:color w:val="auto"/>
        </w:rPr>
      </w:pPr>
    </w:p>
    <w:p>
      <w:pPr>
        <w:ind w:left="640" w:hanging="436"/>
        <w:spacing w:after="0"/>
        <w:tabs>
          <w:tab w:leader="none" w:pos="640" w:val="left"/>
        </w:tabs>
        <w:numPr>
          <w:ilvl w:val="0"/>
          <w:numId w:val="43"/>
        </w:numPr>
        <w:rPr>
          <w:rFonts w:ascii="Arial" w:cs="Arial" w:eastAsia="Arial" w:hAnsi="Arial"/>
          <w:sz w:val="13"/>
          <w:szCs w:val="13"/>
          <w:b w:val="1"/>
          <w:bCs w:val="1"/>
          <w:color w:val="auto"/>
        </w:rPr>
      </w:pPr>
      <w:r>
        <w:rPr>
          <w:rFonts w:ascii="Arial" w:cs="Arial" w:eastAsia="Arial" w:hAnsi="Arial"/>
          <w:sz w:val="13"/>
          <w:szCs w:val="13"/>
          <w:color w:val="007CBA"/>
        </w:rPr>
        <w:t>2018 PROXY STATEMENT</w:t>
      </w:r>
    </w:p>
    <w:p>
      <w:pPr>
        <w:sectPr>
          <w:pgSz w:w="11900" w:h="16838" w:orient="portrait"/>
          <w:cols w:equalWidth="0" w:num="1">
            <w:col w:w="11220"/>
          </w:cols>
          <w:pgMar w:left="240" w:top="455" w:right="4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72" w:lineRule="exact"/>
        <w:rPr>
          <w:sz w:val="20"/>
          <w:szCs w:val="20"/>
          <w:color w:val="auto"/>
        </w:rPr>
      </w:pPr>
    </w:p>
    <w:p>
      <w:pPr>
        <w:jc w:val="center"/>
        <w:ind w:right="-219"/>
        <w:spacing w:after="0"/>
        <w:rPr>
          <w:sz w:val="20"/>
          <w:szCs w:val="20"/>
          <w:color w:val="auto"/>
        </w:rPr>
      </w:pPr>
      <w:r>
        <w:rPr>
          <w:rFonts w:ascii="Arial" w:cs="Arial" w:eastAsia="Arial" w:hAnsi="Arial"/>
          <w:sz w:val="43"/>
          <w:szCs w:val="43"/>
          <w:color w:val="auto"/>
        </w:rPr>
        <w:t>Corporate Governance Matters</w:t>
      </w:r>
    </w:p>
    <w:p>
      <w:pPr>
        <w:sectPr>
          <w:pgSz w:w="11900" w:h="16838" w:orient="portrait"/>
          <w:cols w:equalWidth="0" w:num="1">
            <w:col w:w="11220"/>
          </w:cols>
          <w:pgMar w:left="240" w:top="455" w:right="43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007CBA"/>
        </w:rPr>
        <w:t>Corporate Governance Philosophy</w:t>
      </w:r>
    </w:p>
    <w:p>
      <w:pPr>
        <w:spacing w:after="0" w:line="323" w:lineRule="exact"/>
        <w:rPr>
          <w:sz w:val="20"/>
          <w:szCs w:val="20"/>
          <w:color w:val="auto"/>
        </w:rPr>
      </w:pPr>
    </w:p>
    <w:p>
      <w:pPr>
        <w:jc w:val="both"/>
        <w:ind w:left="220"/>
        <w:spacing w:after="0" w:line="251" w:lineRule="auto"/>
        <w:rPr>
          <w:sz w:val="20"/>
          <w:szCs w:val="20"/>
          <w:color w:val="auto"/>
        </w:rPr>
      </w:pPr>
      <w:r>
        <w:rPr>
          <w:rFonts w:ascii="Arial" w:cs="Arial" w:eastAsia="Arial" w:hAnsi="Arial"/>
          <w:sz w:val="16"/>
          <w:szCs w:val="16"/>
          <w:color w:val="auto"/>
        </w:rPr>
        <w:t xml:space="preserve">Martin Marietta has a culture dedicated to ethical business behavior and responsible corporate activity, which we believe promotes the long-term interests of shareholders. This commitment is reflected in our </w:t>
      </w:r>
      <w:r>
        <w:rPr>
          <w:rFonts w:ascii="Arial" w:cs="Arial" w:eastAsia="Arial" w:hAnsi="Arial"/>
          <w:sz w:val="16"/>
          <w:szCs w:val="16"/>
          <w:i w:val="1"/>
          <w:iCs w:val="1"/>
          <w:color w:val="auto"/>
        </w:rPr>
        <w:t>Corporate</w:t>
      </w:r>
      <w:r>
        <w:rPr>
          <w:rFonts w:ascii="Arial" w:cs="Arial" w:eastAsia="Arial" w:hAnsi="Arial"/>
          <w:sz w:val="16"/>
          <w:szCs w:val="16"/>
          <w:color w:val="auto"/>
        </w:rPr>
        <w:t xml:space="preserve"> </w:t>
      </w:r>
      <w:r>
        <w:rPr>
          <w:rFonts w:ascii="Arial" w:cs="Arial" w:eastAsia="Arial" w:hAnsi="Arial"/>
          <w:sz w:val="16"/>
          <w:szCs w:val="16"/>
          <w:i w:val="1"/>
          <w:iCs w:val="1"/>
          <w:color w:val="auto"/>
        </w:rPr>
        <w:t>Governance Guidelines</w:t>
      </w:r>
      <w:r>
        <w:rPr>
          <w:rFonts w:ascii="Arial" w:cs="Arial" w:eastAsia="Arial" w:hAnsi="Arial"/>
          <w:sz w:val="16"/>
          <w:szCs w:val="16"/>
          <w:color w:val="auto"/>
        </w:rPr>
        <w:t>, posted and available for public viewing on Martin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Marietta’s website at </w:t>
      </w:r>
      <w:r>
        <w:rPr>
          <w:rFonts w:ascii="Arial" w:cs="Arial" w:eastAsia="Arial" w:hAnsi="Arial"/>
          <w:sz w:val="16"/>
          <w:szCs w:val="16"/>
          <w:i w:val="1"/>
          <w:iCs w:val="1"/>
          <w:color w:val="auto"/>
        </w:rPr>
        <w:t>www.martinmarietta.com</w:t>
      </w:r>
      <w:r>
        <w:rPr>
          <w:rFonts w:ascii="Arial" w:cs="Arial" w:eastAsia="Arial" w:hAnsi="Arial"/>
          <w:sz w:val="16"/>
          <w:szCs w:val="16"/>
          <w:color w:val="auto"/>
        </w:rPr>
        <w:t xml:space="preserve">, which set forth a flexible framework within which the Board, assisted by its Committees, directs the affairs of Martin Marietta. The </w:t>
      </w:r>
      <w:r>
        <w:rPr>
          <w:rFonts w:ascii="Arial" w:cs="Arial" w:eastAsia="Arial" w:hAnsi="Arial"/>
          <w:sz w:val="16"/>
          <w:szCs w:val="16"/>
          <w:i w:val="1"/>
          <w:iCs w:val="1"/>
          <w:color w:val="auto"/>
        </w:rPr>
        <w:t>Guidelines</w:t>
      </w:r>
      <w:r>
        <w:rPr>
          <w:rFonts w:ascii="Arial" w:cs="Arial" w:eastAsia="Arial" w:hAnsi="Arial"/>
          <w:sz w:val="16"/>
          <w:szCs w:val="16"/>
          <w:color w:val="auto"/>
        </w:rPr>
        <w:t xml:space="preserve"> address, among other things, the composition and functions of the Board of Directors, director qualifications and independence, Chief Executive Officer performance evaluation and management succession, Board Committees and the selection of new Directors.</w:t>
      </w:r>
    </w:p>
    <w:p>
      <w:pPr>
        <w:spacing w:after="0" w:line="152" w:lineRule="exact"/>
        <w:rPr>
          <w:sz w:val="20"/>
          <w:szCs w:val="20"/>
          <w:color w:val="auto"/>
        </w:rPr>
      </w:pPr>
    </w:p>
    <w:p>
      <w:pPr>
        <w:jc w:val="both"/>
        <w:ind w:left="220"/>
        <w:spacing w:after="0" w:line="257" w:lineRule="auto"/>
        <w:rPr>
          <w:sz w:val="20"/>
          <w:szCs w:val="20"/>
          <w:color w:val="auto"/>
        </w:rPr>
      </w:pPr>
      <w:r>
        <w:rPr>
          <w:rFonts w:ascii="Arial" w:cs="Arial" w:eastAsia="Arial" w:hAnsi="Arial"/>
          <w:sz w:val="16"/>
          <w:szCs w:val="16"/>
          <w:color w:val="auto"/>
        </w:rPr>
        <w:t xml:space="preserve">Martin Marietta’s </w:t>
      </w:r>
      <w:r>
        <w:rPr>
          <w:rFonts w:ascii="Arial" w:cs="Arial" w:eastAsia="Arial" w:hAnsi="Arial"/>
          <w:sz w:val="16"/>
          <w:szCs w:val="16"/>
          <w:i w:val="1"/>
          <w:iCs w:val="1"/>
          <w:color w:val="auto"/>
        </w:rPr>
        <w:t>Code of Ethical Business Conduct</w:t>
      </w:r>
      <w:r>
        <w:rPr>
          <w:rFonts w:ascii="Arial" w:cs="Arial" w:eastAsia="Arial" w:hAnsi="Arial"/>
          <w:sz w:val="16"/>
          <w:szCs w:val="16"/>
          <w:color w:val="auto"/>
        </w:rPr>
        <w:t xml:space="preserve"> has been in place since the 1980s and is regularly updated. It and applies to all Board members, officers, and employees, providing our policies and expectations on a number of topics, including our commitment to good citizenship, promoting a positive and safe work environment,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 xml:space="preserve">avoiding conflicts of interest, honoring the confidentiality of sensitive information, preservation and use of Company assets, compliance with all laws, and operating with integrity in all that we do. To implement the </w:t>
      </w:r>
      <w:r>
        <w:rPr>
          <w:rFonts w:ascii="Arial" w:cs="Arial" w:eastAsia="Arial" w:hAnsi="Arial"/>
          <w:sz w:val="16"/>
          <w:szCs w:val="16"/>
          <w:i w:val="1"/>
          <w:iCs w:val="1"/>
          <w:color w:val="auto"/>
        </w:rPr>
        <w:t>Code</w:t>
      </w:r>
      <w:r>
        <w:rPr>
          <w:rFonts w:ascii="Arial" w:cs="Arial" w:eastAsia="Arial" w:hAnsi="Arial"/>
          <w:sz w:val="16"/>
          <w:szCs w:val="16"/>
          <w:color w:val="auto"/>
        </w:rPr>
        <w:t xml:space="preserve"> </w:t>
      </w:r>
      <w:r>
        <w:rPr>
          <w:rFonts w:ascii="Arial" w:cs="Arial" w:eastAsia="Arial" w:hAnsi="Arial"/>
          <w:sz w:val="16"/>
          <w:szCs w:val="16"/>
          <w:i w:val="1"/>
          <w:iCs w:val="1"/>
          <w:color w:val="auto"/>
        </w:rPr>
        <w:t>of Ethical Business Conduct</w:t>
      </w:r>
      <w:r>
        <w:rPr>
          <w:rFonts w:ascii="Arial" w:cs="Arial" w:eastAsia="Arial" w:hAnsi="Arial"/>
          <w:sz w:val="16"/>
          <w:szCs w:val="16"/>
          <w:color w:val="auto"/>
        </w:rPr>
        <w:t>, Board members, officers, and employees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participate regularly in ethics training. There have been no waivers from any provisions of our </w:t>
      </w:r>
      <w:r>
        <w:rPr>
          <w:rFonts w:ascii="Arial" w:cs="Arial" w:eastAsia="Arial" w:hAnsi="Arial"/>
          <w:sz w:val="16"/>
          <w:szCs w:val="16"/>
          <w:i w:val="1"/>
          <w:iCs w:val="1"/>
          <w:color w:val="auto"/>
        </w:rPr>
        <w:t>Code of Ethical Business Conduct</w:t>
      </w:r>
      <w:r>
        <w:rPr>
          <w:rFonts w:ascii="Arial" w:cs="Arial" w:eastAsia="Arial" w:hAnsi="Arial"/>
          <w:sz w:val="16"/>
          <w:szCs w:val="16"/>
          <w:color w:val="auto"/>
        </w:rPr>
        <w:t xml:space="preserve"> to any Board member or executive officer.</w:t>
      </w:r>
    </w:p>
    <w:p>
      <w:pPr>
        <w:spacing w:after="0" w:line="150"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In addition, the Board believes that accountability to shareholders is a mark of good governance and critical to Martin Marietta’s success. To that end, management regularly engages with shareholders on a variety of topics throughout the year, including sustainability and governance, to ensure we are addressing their questions and concerns, to seek input and to provide perspective on Company policies and practices. Feedback received during these discussions is shared with the Board and directly impacts deliberations on material topics. See discussion of our shareholder outreach on page 34.</w:t>
      </w:r>
    </w:p>
    <w:p>
      <w:pPr>
        <w:spacing w:after="0" w:line="202" w:lineRule="exact"/>
        <w:rPr>
          <w:sz w:val="20"/>
          <w:szCs w:val="20"/>
          <w:color w:val="auto"/>
        </w:rPr>
      </w:pPr>
    </w:p>
    <w:p>
      <w:pPr>
        <w:sectPr>
          <w:pgSz w:w="11900" w:h="16838" w:orient="portrait"/>
          <w:cols w:equalWidth="0" w:num="2">
            <w:col w:w="5500" w:space="320"/>
            <w:col w:w="5400"/>
          </w:cols>
          <w:pgMar w:left="240" w:top="455" w:right="439" w:bottom="1440" w:gutter="0" w:footer="0" w:header="0"/>
          <w:type w:val="continuous"/>
        </w:sectPr>
      </w:pPr>
    </w:p>
    <w:p>
      <w:pPr>
        <w:spacing w:after="0" w:line="13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chart below provides a snapshot of Martin Marietta’s 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168910</wp:posOffset>
            </wp:positionV>
            <wp:extent cx="4056380" cy="45535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056380" cy="4553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9260" w:type="dxa"/>
        <w:tblCellMar>
          <w:top w:w="0" w:type="dxa"/>
          <w:left w:w="0" w:type="dxa"/>
          <w:bottom w:w="0" w:type="dxa"/>
          <w:right w:w="0" w:type="dxa"/>
        </w:tblCellMar>
      </w:tblPr>
      <w:tr>
        <w:trPr>
          <w:trHeight w:val="178"/>
        </w:trPr>
        <w:tc>
          <w:tcPr>
            <w:tcW w:w="1680" w:type="dxa"/>
            <w:vAlign w:val="bottom"/>
          </w:tcPr>
          <w:p>
            <w:pPr>
              <w:spacing w:after="0"/>
              <w:rPr>
                <w:sz w:val="20"/>
                <w:szCs w:val="20"/>
                <w:color w:val="auto"/>
              </w:rPr>
            </w:pPr>
            <w:r>
              <w:rPr>
                <w:rFonts w:ascii="Arial" w:cs="Arial" w:eastAsia="Arial" w:hAnsi="Arial"/>
                <w:sz w:val="13"/>
                <w:szCs w:val="13"/>
                <w:color w:val="007CBA"/>
              </w:rPr>
              <w:t>2018 PROXY STATEMENT</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rPr>
              <w:t>17</w:t>
            </w:r>
          </w:p>
        </w:tc>
      </w:tr>
    </w:tbl>
    <w:p>
      <w:pPr>
        <w:sectPr>
          <w:pgSz w:w="11900" w:h="16838" w:orient="portrait"/>
          <w:cols w:equalWidth="0" w:num="1">
            <w:col w:w="11220"/>
          </w:cols>
          <w:pgMar w:left="240" w:top="455" w:right="439" w:bottom="1440" w:gutter="0" w:footer="0" w:header="0"/>
          <w:type w:val="continuous"/>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64" w:lineRule="exact"/>
        <w:rPr>
          <w:sz w:val="20"/>
          <w:szCs w:val="20"/>
          <w:color w:val="auto"/>
        </w:rPr>
      </w:pPr>
    </w:p>
    <w:p>
      <w:pPr>
        <w:ind w:left="200"/>
        <w:spacing w:after="0" w:line="288" w:lineRule="exact"/>
        <w:rPr>
          <w:sz w:val="20"/>
          <w:szCs w:val="20"/>
          <w:color w:val="auto"/>
        </w:rPr>
      </w:pPr>
      <w:r>
        <w:rPr>
          <w:rFonts w:ascii="Arial" w:cs="Arial" w:eastAsia="Arial" w:hAnsi="Arial"/>
          <w:sz w:val="14"/>
          <w:szCs w:val="14"/>
          <w:color w:val="007CBA"/>
        </w:rPr>
        <w:t xml:space="preserve">Corporate Governance Matters </w:t>
      </w:r>
      <w:r>
        <w:rPr>
          <w:rFonts w:ascii="MS PGothic" w:cs="MS PGothic" w:eastAsia="MS PGothic" w:hAnsi="MS PGothic"/>
          <w:sz w:val="25"/>
          <w:szCs w:val="25"/>
          <w:color w:val="007CBA"/>
        </w:rPr>
        <w:t>◆</w:t>
      </w:r>
      <w:r>
        <w:rPr>
          <w:rFonts w:ascii="Arial" w:cs="Arial" w:eastAsia="Arial" w:hAnsi="Arial"/>
          <w:sz w:val="14"/>
          <w:szCs w:val="14"/>
          <w:color w:val="007CBA"/>
        </w:rPr>
        <w:t xml:space="preserve"> </w:t>
      </w:r>
      <w:r>
        <w:rPr>
          <w:rFonts w:ascii="Arial" w:cs="Arial" w:eastAsia="Arial" w:hAnsi="Arial"/>
          <w:sz w:val="14"/>
          <w:szCs w:val="14"/>
          <w:color w:val="000000"/>
        </w:rPr>
        <w:t>Corporate Governance Philosophy</w:t>
      </w:r>
    </w:p>
    <w:p>
      <w:pPr>
        <w:spacing w:after="0" w:line="258"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007CBA"/>
        </w:rPr>
        <w:t>Who are Martin Marietta’s Independent Directors?</w:t>
      </w:r>
    </w:p>
    <w:p>
      <w:pPr>
        <w:spacing w:after="0" w:line="25" w:lineRule="exact"/>
        <w:rPr>
          <w:sz w:val="20"/>
          <w:szCs w:val="20"/>
          <w:color w:val="auto"/>
        </w:rPr>
      </w:pPr>
    </w:p>
    <w:p>
      <w:pPr>
        <w:jc w:val="both"/>
        <w:ind w:left="220"/>
        <w:spacing w:after="0" w:line="251" w:lineRule="auto"/>
        <w:rPr>
          <w:sz w:val="20"/>
          <w:szCs w:val="20"/>
          <w:color w:val="auto"/>
        </w:rPr>
      </w:pPr>
      <w:r>
        <w:rPr>
          <w:rFonts w:ascii="Arial" w:cs="Arial" w:eastAsia="Arial" w:hAnsi="Arial"/>
          <w:sz w:val="16"/>
          <w:szCs w:val="16"/>
          <w:color w:val="auto"/>
        </w:rPr>
        <w:t>All of Martin Marietta’s Directors and nominee are non-employee Directors except Mr. Nye. Mr. Nye does not sit in the executive sessions of the independent Directors unless invited to attend for a specific discussion nor does he participate in any action of the Board relating to any executive compensation which he may receive.</w:t>
      </w:r>
    </w:p>
    <w:p>
      <w:pPr>
        <w:spacing w:after="0" w:line="152"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 xml:space="preserve">In assessing the independence of its members and nominee, the Board has adopted for Martin Marietta a set of </w:t>
      </w:r>
      <w:r>
        <w:rPr>
          <w:rFonts w:ascii="Arial" w:cs="Arial" w:eastAsia="Arial" w:hAnsi="Arial"/>
          <w:sz w:val="16"/>
          <w:szCs w:val="16"/>
          <w:i w:val="1"/>
          <w:iCs w:val="1"/>
          <w:color w:val="auto"/>
        </w:rPr>
        <w:t>Guidelines for Director’s</w:t>
      </w:r>
      <w:r>
        <w:rPr>
          <w:rFonts w:ascii="Arial" w:cs="Arial" w:eastAsia="Arial" w:hAnsi="Arial"/>
          <w:sz w:val="16"/>
          <w:szCs w:val="16"/>
          <w:color w:val="auto"/>
        </w:rPr>
        <w:t xml:space="preserve"> </w:t>
      </w:r>
      <w:r>
        <w:rPr>
          <w:rFonts w:ascii="Arial" w:cs="Arial" w:eastAsia="Arial" w:hAnsi="Arial"/>
          <w:sz w:val="16"/>
          <w:szCs w:val="16"/>
          <w:i w:val="1"/>
          <w:iCs w:val="1"/>
          <w:color w:val="auto"/>
        </w:rPr>
        <w:t>Independence</w:t>
      </w:r>
      <w:r>
        <w:rPr>
          <w:rFonts w:ascii="Arial" w:cs="Arial" w:eastAsia="Arial" w:hAnsi="Arial"/>
          <w:sz w:val="16"/>
          <w:szCs w:val="16"/>
          <w:color w:val="auto"/>
        </w:rPr>
        <w:t>. The Guidelines are posted and available for public</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viewing on Martin Marietta’s website at </w:t>
      </w:r>
      <w:r>
        <w:rPr>
          <w:rFonts w:ascii="Arial" w:cs="Arial" w:eastAsia="Arial" w:hAnsi="Arial"/>
          <w:sz w:val="16"/>
          <w:szCs w:val="16"/>
          <w:i w:val="1"/>
          <w:iCs w:val="1"/>
          <w:color w:val="auto"/>
        </w:rPr>
        <w:t>www.martinmarietta.com</w:t>
      </w:r>
      <w:r>
        <w:rPr>
          <w:rFonts w:ascii="Arial" w:cs="Arial" w:eastAsia="Arial" w:hAnsi="Arial"/>
          <w:sz w:val="16"/>
          <w:szCs w:val="16"/>
          <w:color w:val="auto"/>
        </w:rPr>
        <w:t>. These Guidelines reflect the rules of the New York Stock Exchange, applicable requirements of the SEC, and other standards determined by the Board to be important in assessing the independence of Board members. The Board has determined that, other than Mr. Nye, all members of the Board and Mr. Davis are “independent” under these Guidelines, resulting in more than two-thirds of the Board being independent. The Board of Directors has determined that no Director or nominee (except Mr. Nye), or any person or organization with which the Director or nominee has any affiliation, has a relationship with Martin Marietta that may interfere with his or her independence from Martin Marietta and its management. In making this “independence” determination, the Board considered other entities with which the Directors and Mr. Davis were affiliated and any business Martin Marietta had done with such entities.</w:t>
      </w:r>
    </w:p>
    <w:p>
      <w:pPr>
        <w:spacing w:after="0" w:line="145" w:lineRule="exact"/>
        <w:rPr>
          <w:sz w:val="20"/>
          <w:szCs w:val="20"/>
          <w:color w:val="auto"/>
        </w:rPr>
      </w:pPr>
    </w:p>
    <w:p>
      <w:pPr>
        <w:ind w:left="220"/>
        <w:spacing w:after="0" w:line="251" w:lineRule="auto"/>
        <w:rPr>
          <w:sz w:val="20"/>
          <w:szCs w:val="20"/>
          <w:color w:val="auto"/>
        </w:rPr>
      </w:pPr>
      <w:r>
        <w:rPr>
          <w:rFonts w:ascii="Arial" w:cs="Arial" w:eastAsia="Arial" w:hAnsi="Arial"/>
          <w:sz w:val="16"/>
          <w:szCs w:val="16"/>
          <w:b w:val="1"/>
          <w:bCs w:val="1"/>
          <w:i w:val="1"/>
          <w:iCs w:val="1"/>
          <w:color w:val="007CBA"/>
        </w:rPr>
        <w:t xml:space="preserve">Do the independent Directors ever meet without management? </w:t>
      </w:r>
      <w:r>
        <w:rPr>
          <w:rFonts w:ascii="Arial" w:cs="Arial" w:eastAsia="Arial" w:hAnsi="Arial"/>
          <w:sz w:val="16"/>
          <w:szCs w:val="16"/>
          <w:color w:val="000000"/>
        </w:rPr>
        <w:t xml:space="preserve">Martin Marietta’s </w:t>
      </w:r>
      <w:r>
        <w:rPr>
          <w:rFonts w:ascii="Arial" w:cs="Arial" w:eastAsia="Arial" w:hAnsi="Arial"/>
          <w:sz w:val="16"/>
          <w:szCs w:val="16"/>
          <w:i w:val="1"/>
          <w:iCs w:val="1"/>
          <w:color w:val="000000"/>
        </w:rPr>
        <w:t>Corporate Governance Guidelines</w:t>
      </w:r>
      <w:r>
        <w:rPr>
          <w:rFonts w:ascii="Arial" w:cs="Arial" w:eastAsia="Arial" w:hAnsi="Arial"/>
          <w:sz w:val="16"/>
          <w:szCs w:val="16"/>
          <w:color w:val="000000"/>
        </w:rPr>
        <w:t xml:space="preserve"> adopted by the Board provide that at least two Board meetings each year will include an executive session of the non-employee Directors to discuss such topics as they may choose, including a discussion of the performance of Martin Marietta’s Chairman and Chief Executive Officer. In 2017, Martin Marietta’s non-employee Directors met at each regularly scheduled Board meeting, consisting of four times in executive session without management, in addition to executive sessions held by committees of the Board. In addition, at least once a year the independent Directors meet in executive session.</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007CBA"/>
        </w:rPr>
        <w:t>What is the Board’s leadership structure?</w:t>
      </w:r>
    </w:p>
    <w:p>
      <w:pPr>
        <w:spacing w:after="0" w:line="25" w:lineRule="exact"/>
        <w:rPr>
          <w:sz w:val="20"/>
          <w:szCs w:val="20"/>
          <w:color w:val="auto"/>
        </w:rPr>
      </w:pPr>
    </w:p>
    <w:p>
      <w:pPr>
        <w:jc w:val="both"/>
        <w:ind w:left="220"/>
        <w:spacing w:after="0" w:line="250" w:lineRule="auto"/>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i w:val="1"/>
          <w:iCs w:val="1"/>
          <w:color w:val="auto"/>
        </w:rPr>
        <w:t>Corporate Governance Guidelines</w:t>
      </w:r>
      <w:r>
        <w:rPr>
          <w:rFonts w:ascii="Arial" w:cs="Arial" w:eastAsia="Arial" w:hAnsi="Arial"/>
          <w:sz w:val="16"/>
          <w:szCs w:val="16"/>
          <w:color w:val="auto"/>
        </w:rPr>
        <w:t xml:space="preserve"> provide that the Board’s policy as to whether the Chairman and CEO positions should be separate is to adopt the practice that best serves the Company’s needs at any particular time. The Nominating and Corporate Governance Committee and the Board discussed board leadership alternatives in connection with combining the Chairman and CEO roles.</w:t>
      </w:r>
    </w:p>
    <w:p>
      <w:pPr>
        <w:spacing w:after="0" w:line="154" w:lineRule="exact"/>
        <w:rPr>
          <w:sz w:val="20"/>
          <w:szCs w:val="20"/>
          <w:color w:val="auto"/>
        </w:rPr>
      </w:pPr>
    </w:p>
    <w:p>
      <w:pPr>
        <w:jc w:val="both"/>
        <w:ind w:left="220" w:right="20"/>
        <w:spacing w:after="0" w:line="269" w:lineRule="auto"/>
        <w:rPr>
          <w:sz w:val="20"/>
          <w:szCs w:val="20"/>
          <w:color w:val="auto"/>
        </w:rPr>
      </w:pPr>
      <w:r>
        <w:rPr>
          <w:rFonts w:ascii="Arial" w:cs="Arial" w:eastAsia="Arial" w:hAnsi="Arial"/>
          <w:sz w:val="16"/>
          <w:szCs w:val="16"/>
          <w:color w:val="auto"/>
        </w:rPr>
        <w:t>The Board believes that, at the present time, the Company is best served by allocating governance responsibilities between a combined Chairman and CEO and a Lead Independent Director</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40" w:hanging="436"/>
        <w:spacing w:after="0"/>
        <w:tabs>
          <w:tab w:leader="none" w:pos="640" w:val="left"/>
        </w:tabs>
        <w:numPr>
          <w:ilvl w:val="0"/>
          <w:numId w:val="44"/>
        </w:numPr>
        <w:rPr>
          <w:rFonts w:ascii="Arial" w:cs="Arial" w:eastAsia="Arial" w:hAnsi="Arial"/>
          <w:sz w:val="13"/>
          <w:szCs w:val="13"/>
          <w:b w:val="1"/>
          <w:bCs w:val="1"/>
          <w:color w:val="auto"/>
        </w:rPr>
      </w:pPr>
      <w:r>
        <w:rPr>
          <w:rFonts w:ascii="Arial" w:cs="Arial" w:eastAsia="Arial" w:hAnsi="Arial"/>
          <w:sz w:val="13"/>
          <w:szCs w:val="13"/>
          <w:color w:val="007CBA"/>
        </w:rPr>
        <w:t>2018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with robust responsibilities. This structure allows the Company to present a single face to our constituencies through the combined Chairman and CEO position while at the same time providing an active role and voice for the independent directors through the 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-1353820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53"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FFFFFF"/>
        </w:rPr>
        <w:t>REASONS FOR COMBINED CHAIR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-113030</wp:posOffset>
            </wp:positionV>
            <wp:extent cx="3422015" cy="30956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2015" cy="3095625"/>
                    </a:xfrm>
                    <a:prstGeom prst="rect">
                      <a:avLst/>
                    </a:prstGeom>
                    <a:noFill/>
                  </pic:spPr>
                </pic:pic>
              </a:graphicData>
            </a:graphic>
          </wp:anchor>
        </w:drawing>
      </w:r>
    </w:p>
    <w:p>
      <w:pPr>
        <w:spacing w:after="0" w:line="6"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007CBA"/>
        </w:rPr>
        <w:t>Key highlights:</w:t>
      </w:r>
    </w:p>
    <w:p>
      <w:pPr>
        <w:spacing w:after="0" w:line="66" w:lineRule="exact"/>
        <w:rPr>
          <w:sz w:val="20"/>
          <w:szCs w:val="20"/>
          <w:color w:val="auto"/>
        </w:rPr>
      </w:pPr>
    </w:p>
    <w:p>
      <w:pPr>
        <w:ind w:left="500" w:right="460" w:hanging="252"/>
        <w:spacing w:after="0" w:line="269" w:lineRule="auto"/>
        <w:tabs>
          <w:tab w:leader="none" w:pos="491" w:val="left"/>
        </w:tabs>
        <w:numPr>
          <w:ilvl w:val="0"/>
          <w:numId w:val="45"/>
        </w:numPr>
        <w:rPr>
          <w:rFonts w:ascii="Arial" w:cs="Arial" w:eastAsia="Arial" w:hAnsi="Arial"/>
          <w:sz w:val="16"/>
          <w:szCs w:val="16"/>
          <w:color w:val="007CBA"/>
        </w:rPr>
      </w:pPr>
      <w:r>
        <w:rPr>
          <w:rFonts w:ascii="Arial" w:cs="Arial" w:eastAsia="Arial" w:hAnsi="Arial"/>
          <w:sz w:val="16"/>
          <w:szCs w:val="16"/>
          <w:color w:val="auto"/>
        </w:rPr>
        <w:t>The independent Board members believe that Mr. Nye has extensive experience in all facets of the construction materials industry, in both the U.S. and with global competitors.</w:t>
      </w:r>
    </w:p>
    <w:p>
      <w:pPr>
        <w:spacing w:after="0" w:line="16" w:lineRule="exact"/>
        <w:rPr>
          <w:rFonts w:ascii="Arial" w:cs="Arial" w:eastAsia="Arial" w:hAnsi="Arial"/>
          <w:sz w:val="16"/>
          <w:szCs w:val="16"/>
          <w:color w:val="007CBA"/>
        </w:rPr>
      </w:pPr>
    </w:p>
    <w:p>
      <w:pPr>
        <w:ind w:left="500" w:right="280" w:hanging="252"/>
        <w:spacing w:after="0" w:line="269" w:lineRule="auto"/>
        <w:tabs>
          <w:tab w:leader="none" w:pos="494" w:val="left"/>
        </w:tabs>
        <w:numPr>
          <w:ilvl w:val="0"/>
          <w:numId w:val="45"/>
        </w:numPr>
        <w:rPr>
          <w:rFonts w:ascii="Arial" w:cs="Arial" w:eastAsia="Arial" w:hAnsi="Arial"/>
          <w:sz w:val="16"/>
          <w:szCs w:val="16"/>
          <w:color w:val="007CBA"/>
        </w:rPr>
      </w:pPr>
      <w:r>
        <w:rPr>
          <w:rFonts w:ascii="Arial" w:cs="Arial" w:eastAsia="Arial" w:hAnsi="Arial"/>
          <w:sz w:val="16"/>
          <w:szCs w:val="16"/>
          <w:color w:val="auto"/>
        </w:rPr>
        <w:t>Mr. Nye has been effective in creating shareholder value through strategic acquisitions and divestitures, with achievement of expected synergies.</w:t>
      </w:r>
    </w:p>
    <w:p>
      <w:pPr>
        <w:spacing w:after="0" w:line="16" w:lineRule="exact"/>
        <w:rPr>
          <w:rFonts w:ascii="Arial" w:cs="Arial" w:eastAsia="Arial" w:hAnsi="Arial"/>
          <w:sz w:val="16"/>
          <w:szCs w:val="16"/>
          <w:color w:val="007CBA"/>
        </w:rPr>
      </w:pPr>
    </w:p>
    <w:p>
      <w:pPr>
        <w:ind w:left="500" w:right="100" w:hanging="252"/>
        <w:spacing w:after="0" w:line="269" w:lineRule="auto"/>
        <w:tabs>
          <w:tab w:leader="none" w:pos="494" w:val="left"/>
        </w:tabs>
        <w:numPr>
          <w:ilvl w:val="0"/>
          <w:numId w:val="45"/>
        </w:numPr>
        <w:rPr>
          <w:rFonts w:ascii="Arial" w:cs="Arial" w:eastAsia="Arial" w:hAnsi="Arial"/>
          <w:sz w:val="16"/>
          <w:szCs w:val="16"/>
          <w:color w:val="007CBA"/>
        </w:rPr>
      </w:pPr>
      <w:r>
        <w:rPr>
          <w:rFonts w:ascii="Arial" w:cs="Arial" w:eastAsia="Arial" w:hAnsi="Arial"/>
          <w:sz w:val="16"/>
          <w:szCs w:val="16"/>
          <w:color w:val="auto"/>
        </w:rPr>
        <w:t>Mr. Nye has in-depth knowledge of safety, environmental, and regulatory considerations that impact the business and oversight of management.</w:t>
      </w:r>
    </w:p>
    <w:p>
      <w:pPr>
        <w:spacing w:after="0" w:line="16" w:lineRule="exact"/>
        <w:rPr>
          <w:rFonts w:ascii="Arial" w:cs="Arial" w:eastAsia="Arial" w:hAnsi="Arial"/>
          <w:sz w:val="16"/>
          <w:szCs w:val="16"/>
          <w:color w:val="007CBA"/>
        </w:rPr>
      </w:pPr>
    </w:p>
    <w:p>
      <w:pPr>
        <w:ind w:left="500" w:right="40" w:hanging="252"/>
        <w:spacing w:after="0" w:line="257" w:lineRule="auto"/>
        <w:tabs>
          <w:tab w:leader="none" w:pos="494" w:val="left"/>
        </w:tabs>
        <w:numPr>
          <w:ilvl w:val="0"/>
          <w:numId w:val="45"/>
        </w:numPr>
        <w:rPr>
          <w:rFonts w:ascii="Arial" w:cs="Arial" w:eastAsia="Arial" w:hAnsi="Arial"/>
          <w:sz w:val="16"/>
          <w:szCs w:val="16"/>
          <w:color w:val="007CBA"/>
        </w:rPr>
      </w:pPr>
      <w:r>
        <w:rPr>
          <w:rFonts w:ascii="Arial" w:cs="Arial" w:eastAsia="Arial" w:hAnsi="Arial"/>
          <w:sz w:val="16"/>
          <w:szCs w:val="16"/>
          <w:color w:val="auto"/>
        </w:rPr>
        <w:t>Mr. Nye has demonstrated his leadership and vision to guide the Board in its oversight of management with the development of two five-year strategic plans, with the current Strategic Operating Analysis and Review (SOAR 2020) discussed with and approved by the Board in August 2015.</w:t>
      </w:r>
    </w:p>
    <w:p>
      <w:pPr>
        <w:spacing w:after="0" w:line="27" w:lineRule="exact"/>
        <w:rPr>
          <w:rFonts w:ascii="Arial" w:cs="Arial" w:eastAsia="Arial" w:hAnsi="Arial"/>
          <w:sz w:val="16"/>
          <w:szCs w:val="16"/>
          <w:color w:val="007CBA"/>
        </w:rPr>
      </w:pPr>
    </w:p>
    <w:p>
      <w:pPr>
        <w:ind w:left="500" w:right="120" w:hanging="252"/>
        <w:spacing w:after="0" w:line="261" w:lineRule="auto"/>
        <w:tabs>
          <w:tab w:leader="none" w:pos="494" w:val="left"/>
        </w:tabs>
        <w:numPr>
          <w:ilvl w:val="0"/>
          <w:numId w:val="45"/>
        </w:numPr>
        <w:rPr>
          <w:rFonts w:ascii="Arial" w:cs="Arial" w:eastAsia="Arial" w:hAnsi="Arial"/>
          <w:sz w:val="16"/>
          <w:szCs w:val="16"/>
          <w:color w:val="007CBA"/>
        </w:rPr>
      </w:pPr>
      <w:r>
        <w:rPr>
          <w:rFonts w:ascii="Arial" w:cs="Arial" w:eastAsia="Arial" w:hAnsi="Arial"/>
          <w:sz w:val="16"/>
          <w:szCs w:val="16"/>
          <w:color w:val="auto"/>
        </w:rPr>
        <w:t>Mr. Nye has engaged in an active investor relations program, including the Company’s Investor Day presentations, and leads the Board in understanding the perspective of the Company’s shareholders.</w:t>
      </w:r>
    </w:p>
    <w:p>
      <w:pPr>
        <w:spacing w:after="0" w:line="23" w:lineRule="exact"/>
        <w:rPr>
          <w:rFonts w:ascii="Arial" w:cs="Arial" w:eastAsia="Arial" w:hAnsi="Arial"/>
          <w:sz w:val="16"/>
          <w:szCs w:val="16"/>
          <w:color w:val="007CBA"/>
        </w:rPr>
      </w:pPr>
    </w:p>
    <w:p>
      <w:pPr>
        <w:ind w:left="500" w:right="260" w:hanging="252"/>
        <w:spacing w:after="0" w:line="269" w:lineRule="auto"/>
        <w:tabs>
          <w:tab w:leader="none" w:pos="494" w:val="left"/>
        </w:tabs>
        <w:numPr>
          <w:ilvl w:val="0"/>
          <w:numId w:val="45"/>
        </w:numPr>
        <w:rPr>
          <w:rFonts w:ascii="Arial" w:cs="Arial" w:eastAsia="Arial" w:hAnsi="Arial"/>
          <w:sz w:val="16"/>
          <w:szCs w:val="16"/>
          <w:color w:val="007CBA"/>
        </w:rPr>
      </w:pPr>
      <w:r>
        <w:rPr>
          <w:rFonts w:ascii="Arial" w:cs="Arial" w:eastAsia="Arial" w:hAnsi="Arial"/>
          <w:sz w:val="16"/>
          <w:szCs w:val="16"/>
          <w:color w:val="auto"/>
        </w:rPr>
        <w:t>Strong independent directors and nominee comprise 90% of the Board, and open communications exist between Mr. Nye and the independent directors.</w:t>
      </w:r>
    </w:p>
    <w:p>
      <w:pPr>
        <w:spacing w:after="0" w:line="23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As a result of Mr. Nye’s tenure at Martin Marietta and strong performance as a leader since his election as CEO, the Board believes he is uniquely qualified through his experience, education and expertise to be the person who promotes strong and visionary leadership for our Board as well as important recognition as the leader of Martin Marietta by our customers, employees and other constituencies. The Board also believes that Mr. Nye’s serving as both Chairman and CEO is appropriate taking into consideration the size and nature of our business, Mr. Nye’s effective and careful formulation and execution of our strategic plan, his established working relationship and open communication with our other Directors, both during meetings and in the intervals between meetings, the significant board-level experience of our independent Directors as a whole, the strong independent leadership and accountability to shareholders provided by 90% of our Directors (including the Board’s nominee for Director, Mr. Davis) being independent, the independent leadership provided by our Committee chairs, and our Board culture in which Mr. Nye and the other Directors are able to thoughtfully debate different points of view and reach consensus in an efficient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170815</wp:posOffset>
            </wp:positionV>
            <wp:extent cx="411480" cy="2489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ectPr>
          <w:pgSz w:w="11900" w:h="16838" w:orient="portrait"/>
          <w:cols w:equalWidth="0" w:num="2">
            <w:col w:w="5500" w:space="320"/>
            <w:col w:w="5400"/>
          </w:cols>
          <w:pgMar w:left="240" w:top="455" w:right="4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64" w:lineRule="exact"/>
        <w:rPr>
          <w:sz w:val="20"/>
          <w:szCs w:val="20"/>
          <w:color w:val="auto"/>
        </w:rPr>
      </w:pPr>
    </w:p>
    <w:p>
      <w:pPr>
        <w:jc w:val="right"/>
        <w:spacing w:after="0" w:line="288" w:lineRule="exact"/>
        <w:rPr>
          <w:sz w:val="20"/>
          <w:szCs w:val="20"/>
          <w:color w:val="auto"/>
        </w:rPr>
      </w:pPr>
      <w:r>
        <w:rPr>
          <w:rFonts w:ascii="Arial" w:cs="Arial" w:eastAsia="Arial" w:hAnsi="Arial"/>
          <w:sz w:val="14"/>
          <w:szCs w:val="14"/>
          <w:color w:val="auto"/>
        </w:rPr>
        <w:t xml:space="preserve">Corporate Governance Philosophy </w:t>
      </w:r>
      <w:r>
        <w:rPr>
          <w:rFonts w:ascii="MS PGothic" w:cs="MS PGothic" w:eastAsia="MS PGothic" w:hAnsi="MS PGothic"/>
          <w:sz w:val="25"/>
          <w:szCs w:val="25"/>
          <w:color w:val="007CBA"/>
        </w:rPr>
        <w:t>◆</w:t>
      </w:r>
      <w:r>
        <w:rPr>
          <w:rFonts w:ascii="Arial" w:cs="Arial" w:eastAsia="Arial" w:hAnsi="Arial"/>
          <w:sz w:val="14"/>
          <w:szCs w:val="14"/>
          <w:color w:val="auto"/>
        </w:rPr>
        <w:t xml:space="preserve"> </w:t>
      </w:r>
      <w:r>
        <w:rPr>
          <w:rFonts w:ascii="Arial" w:cs="Arial" w:eastAsia="Arial" w:hAnsi="Arial"/>
          <w:sz w:val="14"/>
          <w:szCs w:val="14"/>
          <w:color w:val="007CBA"/>
        </w:rPr>
        <w:t>Corporate Governance Matters</w:t>
      </w:r>
    </w:p>
    <w:p>
      <w:pPr>
        <w:sectPr>
          <w:pgSz w:w="11900" w:h="16838" w:orient="portrait"/>
          <w:cols w:equalWidth="0" w:num="1">
            <w:col w:w="11220"/>
          </w:cols>
          <w:pgMar w:left="240" w:top="455" w:right="439" w:bottom="1440" w:gutter="0" w:footer="0" w:header="0"/>
        </w:sectPr>
      </w:pPr>
    </w:p>
    <w:p>
      <w:pPr>
        <w:spacing w:after="0" w:line="258"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007CBA"/>
        </w:rPr>
        <w:t>Does the Board have a Lead Independent Director?</w:t>
      </w:r>
    </w:p>
    <w:p>
      <w:pPr>
        <w:spacing w:after="0" w:line="25" w:lineRule="exact"/>
        <w:rPr>
          <w:sz w:val="20"/>
          <w:szCs w:val="20"/>
          <w:color w:val="auto"/>
        </w:rPr>
      </w:pPr>
    </w:p>
    <w:p>
      <w:pPr>
        <w:jc w:val="both"/>
        <w:ind w:left="220"/>
        <w:spacing w:after="0" w:line="248" w:lineRule="auto"/>
        <w:rPr>
          <w:sz w:val="20"/>
          <w:szCs w:val="20"/>
          <w:color w:val="auto"/>
        </w:rPr>
      </w:pPr>
      <w:r>
        <w:rPr>
          <w:rFonts w:ascii="Arial" w:cs="Arial" w:eastAsia="Arial" w:hAnsi="Arial"/>
          <w:sz w:val="16"/>
          <w:szCs w:val="16"/>
          <w:color w:val="auto"/>
        </w:rPr>
        <w:t xml:space="preserve">In deciding that a combined Chairman and Chief Executive Officer position is the appropriate leadership structure for the Company at this time, the Nominating and Corporate Governance Committee and Board also recognized the benefit of independent leadership to enhance the effectiveness of the Board’s oversight role and communications between the Board and Mr. Nye. Accordingly, in November 2014, our </w:t>
      </w:r>
      <w:r>
        <w:rPr>
          <w:rFonts w:ascii="Arial" w:cs="Arial" w:eastAsia="Arial" w:hAnsi="Arial"/>
          <w:sz w:val="16"/>
          <w:szCs w:val="16"/>
          <w:i w:val="1"/>
          <w:iCs w:val="1"/>
          <w:color w:val="auto"/>
        </w:rPr>
        <w:t>Corporate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Governance Guidelines </w:t>
      </w:r>
      <w:r>
        <w:rPr>
          <w:rFonts w:ascii="Arial" w:cs="Arial" w:eastAsia="Arial" w:hAnsi="Arial"/>
          <w:sz w:val="16"/>
          <w:szCs w:val="16"/>
          <w:color w:val="auto"/>
        </w:rPr>
        <w:t>were revised to provide that in the event the</w:t>
      </w:r>
      <w:r>
        <w:rPr>
          <w:rFonts w:ascii="Arial" w:cs="Arial" w:eastAsia="Arial" w:hAnsi="Arial"/>
          <w:sz w:val="16"/>
          <w:szCs w:val="16"/>
          <w:i w:val="1"/>
          <w:iCs w:val="1"/>
          <w:color w:val="auto"/>
        </w:rPr>
        <w:t xml:space="preserve"> </w:t>
      </w:r>
      <w:r>
        <w:rPr>
          <w:rFonts w:ascii="Arial" w:cs="Arial" w:eastAsia="Arial" w:hAnsi="Arial"/>
          <w:sz w:val="16"/>
          <w:szCs w:val="16"/>
          <w:color w:val="auto"/>
        </w:rPr>
        <w:t>Chairman and Chief Executive Officer positions are held by one person, our independent Directors may designate a Lead Independent Director from among the independent Directors. The designation of the Lead Independent Director is to be made annually, although with the expectation of the Board that the Lead Independent Director will be re-appointed for multiple, consecutive one-year terms. Michael J. Quillen currently serves as the Lead Independent Director.</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responsibilities of the Lead Independent Director include:</w:t>
      </w:r>
    </w:p>
    <w:p>
      <w:pPr>
        <w:spacing w:after="0" w:line="127" w:lineRule="exact"/>
        <w:rPr>
          <w:sz w:val="20"/>
          <w:szCs w:val="20"/>
          <w:color w:val="auto"/>
        </w:rPr>
      </w:pPr>
    </w:p>
    <w:p>
      <w:pPr>
        <w:ind w:left="560" w:hanging="275"/>
        <w:spacing w:after="0"/>
        <w:tabs>
          <w:tab w:leader="none" w:pos="560" w:val="left"/>
        </w:tabs>
        <w:numPr>
          <w:ilvl w:val="0"/>
          <w:numId w:val="46"/>
        </w:numPr>
        <w:rPr>
          <w:rFonts w:ascii="Arial" w:cs="Arial" w:eastAsia="Arial" w:hAnsi="Arial"/>
          <w:sz w:val="16"/>
          <w:szCs w:val="16"/>
          <w:color w:val="007CBA"/>
        </w:rPr>
      </w:pPr>
      <w:r>
        <w:rPr>
          <w:rFonts w:ascii="Arial" w:cs="Arial" w:eastAsia="Arial" w:hAnsi="Arial"/>
          <w:sz w:val="16"/>
          <w:szCs w:val="16"/>
          <w:color w:val="auto"/>
        </w:rPr>
        <w:t>Presiding at Board meetings when the Chairman is not present.</w:t>
      </w:r>
    </w:p>
    <w:p>
      <w:pPr>
        <w:spacing w:after="0" w:line="126" w:lineRule="exact"/>
        <w:rPr>
          <w:rFonts w:ascii="Arial" w:cs="Arial" w:eastAsia="Arial" w:hAnsi="Arial"/>
          <w:sz w:val="16"/>
          <w:szCs w:val="16"/>
          <w:color w:val="007CBA"/>
        </w:rPr>
      </w:pPr>
    </w:p>
    <w:p>
      <w:pPr>
        <w:jc w:val="both"/>
        <w:ind w:left="560" w:right="20" w:hanging="275"/>
        <w:spacing w:after="0" w:line="257" w:lineRule="auto"/>
        <w:tabs>
          <w:tab w:leader="none" w:pos="560" w:val="left"/>
        </w:tabs>
        <w:numPr>
          <w:ilvl w:val="0"/>
          <w:numId w:val="46"/>
        </w:numPr>
        <w:rPr>
          <w:rFonts w:ascii="Arial" w:cs="Arial" w:eastAsia="Arial" w:hAnsi="Arial"/>
          <w:sz w:val="16"/>
          <w:szCs w:val="16"/>
          <w:color w:val="007CBA"/>
        </w:rPr>
      </w:pPr>
      <w:r>
        <w:rPr>
          <w:rFonts w:ascii="Arial" w:cs="Arial" w:eastAsia="Arial" w:hAnsi="Arial"/>
          <w:sz w:val="16"/>
          <w:szCs w:val="16"/>
          <w:color w:val="auto"/>
        </w:rPr>
        <w:t>Presiding at executive sessions of the non-management Directors and the independent Directors, with or without the attendance of the Chairman, and meeting separately with the Chairman after executive sessions to review the matters discussed during the executive sessions.</w:t>
      </w:r>
    </w:p>
    <w:p>
      <w:pPr>
        <w:spacing w:after="0" w:line="81" w:lineRule="exact"/>
        <w:rPr>
          <w:rFonts w:ascii="Arial" w:cs="Arial" w:eastAsia="Arial" w:hAnsi="Arial"/>
          <w:sz w:val="16"/>
          <w:szCs w:val="16"/>
          <w:color w:val="007CBA"/>
        </w:rPr>
      </w:pPr>
    </w:p>
    <w:p>
      <w:pPr>
        <w:ind w:left="560" w:right="20" w:hanging="275"/>
        <w:spacing w:after="0" w:line="291" w:lineRule="auto"/>
        <w:tabs>
          <w:tab w:leader="none" w:pos="560" w:val="left"/>
        </w:tabs>
        <w:numPr>
          <w:ilvl w:val="0"/>
          <w:numId w:val="46"/>
        </w:numPr>
        <w:rPr>
          <w:rFonts w:ascii="Arial" w:cs="Arial" w:eastAsia="Arial" w:hAnsi="Arial"/>
          <w:sz w:val="16"/>
          <w:szCs w:val="16"/>
          <w:color w:val="007CBA"/>
        </w:rPr>
      </w:pPr>
      <w:r>
        <w:rPr>
          <w:rFonts w:ascii="Arial" w:cs="Arial" w:eastAsia="Arial" w:hAnsi="Arial"/>
          <w:sz w:val="16"/>
          <w:szCs w:val="16"/>
          <w:color w:val="auto"/>
        </w:rPr>
        <w:t>Acting as a liaison between the Chairman and the independent Directors.</w:t>
      </w:r>
    </w:p>
    <w:p>
      <w:pPr>
        <w:spacing w:after="0" w:line="53" w:lineRule="exact"/>
        <w:rPr>
          <w:rFonts w:ascii="Arial" w:cs="Arial" w:eastAsia="Arial" w:hAnsi="Arial"/>
          <w:sz w:val="16"/>
          <w:szCs w:val="16"/>
          <w:color w:val="007CBA"/>
        </w:rPr>
      </w:pPr>
    </w:p>
    <w:p>
      <w:pPr>
        <w:ind w:left="560" w:right="20" w:hanging="275"/>
        <w:spacing w:after="0" w:line="291" w:lineRule="auto"/>
        <w:tabs>
          <w:tab w:leader="none" w:pos="560" w:val="left"/>
        </w:tabs>
        <w:numPr>
          <w:ilvl w:val="0"/>
          <w:numId w:val="46"/>
        </w:numPr>
        <w:rPr>
          <w:rFonts w:ascii="Arial" w:cs="Arial" w:eastAsia="Arial" w:hAnsi="Arial"/>
          <w:sz w:val="16"/>
          <w:szCs w:val="16"/>
          <w:color w:val="007CBA"/>
        </w:rPr>
      </w:pPr>
      <w:r>
        <w:rPr>
          <w:rFonts w:ascii="Arial" w:cs="Arial" w:eastAsia="Arial" w:hAnsi="Arial"/>
          <w:sz w:val="16"/>
          <w:szCs w:val="16"/>
          <w:color w:val="auto"/>
        </w:rPr>
        <w:t>Suggesting to the Chairman agenda items for Board meetings and consulting with the Chairman regarding Board meeting schedules.</w:t>
      </w:r>
    </w:p>
    <w:p>
      <w:pPr>
        <w:spacing w:after="0" w:line="53" w:lineRule="exact"/>
        <w:rPr>
          <w:rFonts w:ascii="Arial" w:cs="Arial" w:eastAsia="Arial" w:hAnsi="Arial"/>
          <w:sz w:val="16"/>
          <w:szCs w:val="16"/>
          <w:color w:val="007CBA"/>
        </w:rPr>
      </w:pPr>
    </w:p>
    <w:p>
      <w:pPr>
        <w:ind w:left="560" w:right="20" w:hanging="275"/>
        <w:spacing w:after="0" w:line="291" w:lineRule="auto"/>
        <w:tabs>
          <w:tab w:leader="none" w:pos="560" w:val="left"/>
        </w:tabs>
        <w:numPr>
          <w:ilvl w:val="0"/>
          <w:numId w:val="46"/>
        </w:numPr>
        <w:rPr>
          <w:rFonts w:ascii="Arial" w:cs="Arial" w:eastAsia="Arial" w:hAnsi="Arial"/>
          <w:sz w:val="16"/>
          <w:szCs w:val="16"/>
          <w:color w:val="007CBA"/>
        </w:rPr>
      </w:pPr>
      <w:r>
        <w:rPr>
          <w:rFonts w:ascii="Arial" w:cs="Arial" w:eastAsia="Arial" w:hAnsi="Arial"/>
          <w:sz w:val="16"/>
          <w:szCs w:val="16"/>
          <w:color w:val="auto"/>
        </w:rPr>
        <w:t>Calling, where necessary, meetings of independent Directors and executive sessions.</w:t>
      </w:r>
    </w:p>
    <w:p>
      <w:pPr>
        <w:spacing w:after="0" w:line="53" w:lineRule="exact"/>
        <w:rPr>
          <w:rFonts w:ascii="Arial" w:cs="Arial" w:eastAsia="Arial" w:hAnsi="Arial"/>
          <w:sz w:val="16"/>
          <w:szCs w:val="16"/>
          <w:color w:val="007CBA"/>
        </w:rPr>
      </w:pPr>
    </w:p>
    <w:p>
      <w:pPr>
        <w:ind w:left="560" w:right="20" w:hanging="275"/>
        <w:spacing w:after="0" w:line="265" w:lineRule="auto"/>
        <w:tabs>
          <w:tab w:leader="none" w:pos="560" w:val="left"/>
        </w:tabs>
        <w:numPr>
          <w:ilvl w:val="0"/>
          <w:numId w:val="46"/>
        </w:numPr>
        <w:rPr>
          <w:rFonts w:ascii="Arial" w:cs="Arial" w:eastAsia="Arial" w:hAnsi="Arial"/>
          <w:sz w:val="16"/>
          <w:szCs w:val="16"/>
          <w:color w:val="007CBA"/>
        </w:rPr>
      </w:pPr>
      <w:r>
        <w:rPr>
          <w:rFonts w:ascii="Arial" w:cs="Arial" w:eastAsia="Arial" w:hAnsi="Arial"/>
          <w:sz w:val="16"/>
          <w:szCs w:val="16"/>
          <w:color w:val="auto"/>
        </w:rPr>
        <w:t>Being available to meet with shareholders and other key constituents.</w:t>
      </w:r>
    </w:p>
    <w:p>
      <w:pPr>
        <w:spacing w:after="0" w:line="296" w:lineRule="exact"/>
        <w:rPr>
          <w:rFonts w:ascii="Arial" w:cs="Arial" w:eastAsia="Arial" w:hAnsi="Arial"/>
          <w:sz w:val="16"/>
          <w:szCs w:val="16"/>
          <w:color w:val="007CBA"/>
        </w:rPr>
      </w:pPr>
    </w:p>
    <w:p>
      <w:pPr>
        <w:ind w:left="560" w:hanging="275"/>
        <w:spacing w:after="0"/>
        <w:tabs>
          <w:tab w:leader="none" w:pos="560" w:val="left"/>
        </w:tabs>
        <w:numPr>
          <w:ilvl w:val="0"/>
          <w:numId w:val="46"/>
        </w:numPr>
        <w:rPr>
          <w:rFonts w:ascii="Arial" w:cs="Arial" w:eastAsia="Arial" w:hAnsi="Arial"/>
          <w:sz w:val="16"/>
          <w:szCs w:val="16"/>
          <w:color w:val="007CBA"/>
        </w:rPr>
      </w:pPr>
      <w:r>
        <w:rPr>
          <w:rFonts w:ascii="Arial" w:cs="Arial" w:eastAsia="Arial" w:hAnsi="Arial"/>
          <w:sz w:val="16"/>
          <w:szCs w:val="16"/>
          <w:color w:val="auto"/>
        </w:rPr>
        <w:t>Acting as a resource for, and counsel to, the Chairman.</w:t>
      </w:r>
    </w:p>
    <w:p>
      <w:pPr>
        <w:spacing w:after="0" w:line="113" w:lineRule="exact"/>
        <w:rPr>
          <w:sz w:val="20"/>
          <w:szCs w:val="20"/>
          <w:color w:val="auto"/>
        </w:rPr>
      </w:pPr>
    </w:p>
    <w:p>
      <w:pPr>
        <w:jc w:val="both"/>
        <w:ind w:left="220"/>
        <w:spacing w:after="0" w:line="291" w:lineRule="auto"/>
        <w:rPr>
          <w:sz w:val="20"/>
          <w:szCs w:val="20"/>
          <w:color w:val="auto"/>
        </w:rPr>
      </w:pPr>
      <w:r>
        <w:rPr>
          <w:rFonts w:ascii="Arial" w:cs="Arial" w:eastAsia="Arial" w:hAnsi="Arial"/>
          <w:sz w:val="16"/>
          <w:szCs w:val="16"/>
          <w:color w:val="auto"/>
        </w:rPr>
        <w:t>In addition, the Lead Independent Director attended and met with shareholders at the Company-sponsored Investor Days.</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007CBA"/>
        </w:rPr>
        <w:t>What is the Board’s role in risk oversight?</w:t>
      </w:r>
    </w:p>
    <w:p>
      <w:pPr>
        <w:spacing w:after="0" w:line="25" w:lineRule="exact"/>
        <w:rPr>
          <w:sz w:val="20"/>
          <w:szCs w:val="20"/>
          <w:color w:val="auto"/>
        </w:rPr>
      </w:pPr>
    </w:p>
    <w:p>
      <w:pPr>
        <w:jc w:val="both"/>
        <w:ind w:left="220"/>
        <w:spacing w:after="0" w:line="248" w:lineRule="auto"/>
        <w:rPr>
          <w:sz w:val="20"/>
          <w:szCs w:val="20"/>
          <w:color w:val="auto"/>
        </w:rPr>
      </w:pPr>
      <w:r>
        <w:rPr>
          <w:rFonts w:ascii="Arial" w:cs="Arial" w:eastAsia="Arial" w:hAnsi="Arial"/>
          <w:sz w:val="16"/>
          <w:szCs w:val="16"/>
          <w:color w:val="auto"/>
        </w:rPr>
        <w:t>Our Board currently has eight independent members and only one non-independent member, Mr. Nye. In addition, Mr. Davis, who is nominated for election, is independent. A number of our independent Board members are serving or have served as members of senior management of other public companies, have served as directors of other public companies, and otherwise have experience and/or educational backgrounds that we believe qualify them to effectively assess risk. Each of our Board Committees, including our key committees of Audit, Management Development and Compensation, and Nominating and Corporate Governance Committees, are comprised solely of independent Directors, each with a different independent</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Director serving as Chair of the Committee (other than the Executive Committee, which does not meet on a regular basis).</w:t>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Board has overall responsibility for oversight of risk management. The Board believes that an effective risk management system will (1) timely identify the material risks that Martin Marietta faces, (2) communicate necessary information with respect to material risks to senior executives and, as appropriate, to the Board or relevant Board Committee,</w:t>
      </w:r>
    </w:p>
    <w:p>
      <w:pPr>
        <w:spacing w:after="0" w:line="3" w:lineRule="exact"/>
        <w:rPr>
          <w:sz w:val="20"/>
          <w:szCs w:val="20"/>
          <w:color w:val="auto"/>
        </w:rPr>
      </w:pPr>
    </w:p>
    <w:p>
      <w:pPr>
        <w:jc w:val="both"/>
        <w:ind w:firstLine="9"/>
        <w:spacing w:after="0" w:line="246" w:lineRule="auto"/>
        <w:tabs>
          <w:tab w:leader="none" w:pos="292" w:val="left"/>
        </w:tabs>
        <w:numPr>
          <w:ilvl w:val="0"/>
          <w:numId w:val="47"/>
        </w:numPr>
        <w:rPr>
          <w:rFonts w:ascii="Arial" w:cs="Arial" w:eastAsia="Arial" w:hAnsi="Arial"/>
          <w:sz w:val="16"/>
          <w:szCs w:val="16"/>
          <w:color w:val="auto"/>
        </w:rPr>
      </w:pPr>
      <w:r>
        <w:rPr>
          <w:rFonts w:ascii="Arial" w:cs="Arial" w:eastAsia="Arial" w:hAnsi="Arial"/>
          <w:sz w:val="16"/>
          <w:szCs w:val="16"/>
          <w:color w:val="auto"/>
        </w:rPr>
        <w:t>determine whether the risk is excessive or appropriate under the circumstances and designed to achieve a legitimate corporate goal,</w:t>
      </w:r>
    </w:p>
    <w:p>
      <w:pPr>
        <w:jc w:val="both"/>
        <w:ind w:firstLine="9"/>
        <w:spacing w:after="0" w:line="256" w:lineRule="auto"/>
        <w:tabs>
          <w:tab w:leader="none" w:pos="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implement risk management responses consistent with Martin Marietta’s risk profile, and (5) integrate risk management into Martin Marietta’s decision-making.</w:t>
      </w:r>
    </w:p>
    <w:p>
      <w:pPr>
        <w:spacing w:after="0" w:line="134"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Board delegates certain responsibilities to Board Committees to assist in fulfilling its risk oversight responsibilities. Each of the Committees reports regularly to the full Board of Directors as to actions taken and topics discussed. In addition, the Board regularly reviews with management the most significant risks facing Martin Marietta, the probabilities of those risks occurring, the steps taken to mitigate any impact of risks, and management’s general risk management strategy. In addition, the Board encourages management to promote a corporate culture that incorporates risk management into Martin Marietta’s day-to-day operations.</w:t>
      </w:r>
    </w:p>
    <w:p>
      <w:pPr>
        <w:spacing w:after="0" w:line="13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The Board has designated the Audit Committee to take the lead in overseeing risks related to financial reporting, financial statements, internal control environment, internal audit, independent audit, cybersecurity, and accounting processes. The Finance Committee evaluates risks associated with Martin Marietta’s capital structure, including credit and liquidity risks. The Management Development and Compensation Committee oversees aspects of risk related to the annual performance evaluation of our Chief Executive Officer, succession planning and ensuring that executive compensation is appropriate to meet Martin Marietta’s objectives. That Committee’s assessment of the design features of our executive compensation program that reduce the risk of excessive risk-taking are discussed in the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xml:space="preserve"> on page 31. The Nominating and Corporate Governance Committee oversees aspects of risk related to the composition of the Board and its Committees, Board performance and best practices in corporate governance. The Ethics, Environment, Safety and Health Committee monitors risks in key areas of Martin Marietta’s sustainability program, including health, safety, and the environment as well as the Company’s ethics program.</w:t>
      </w:r>
    </w:p>
    <w:p>
      <w:pPr>
        <w:spacing w:after="0" w:line="156"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While the Board oversees Martin Marietta’s risk management, the executive officers are responsible for the day-to-day risk management processes. We believe this division of responsibilities is the most effective approach for addressing the risks facing our Company and is appropriate whether the positions of Chairman and Chief Executive Officer are separate or held by the same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-259715</wp:posOffset>
            </wp:positionH>
            <wp:positionV relativeFrom="paragraph">
              <wp:posOffset>553085</wp:posOffset>
            </wp:positionV>
            <wp:extent cx="411480" cy="2489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3440" w:type="dxa"/>
        <w:tblCellMar>
          <w:top w:w="0" w:type="dxa"/>
          <w:left w:w="0" w:type="dxa"/>
          <w:bottom w:w="0" w:type="dxa"/>
          <w:right w:w="0" w:type="dxa"/>
        </w:tblCellMar>
      </w:tblPr>
      <w:tr>
        <w:trPr>
          <w:trHeight w:val="178"/>
        </w:trPr>
        <w:tc>
          <w:tcPr>
            <w:tcW w:w="1680" w:type="dxa"/>
            <w:vAlign w:val="bottom"/>
          </w:tcPr>
          <w:p>
            <w:pPr>
              <w:spacing w:after="0"/>
              <w:rPr>
                <w:sz w:val="20"/>
                <w:szCs w:val="20"/>
                <w:color w:val="auto"/>
              </w:rPr>
            </w:pPr>
            <w:r>
              <w:rPr>
                <w:rFonts w:ascii="Arial" w:cs="Arial" w:eastAsia="Arial" w:hAnsi="Arial"/>
                <w:sz w:val="13"/>
                <w:szCs w:val="13"/>
                <w:color w:val="007CBA"/>
              </w:rPr>
              <w:t>2018 PROXY STATEMENT</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rPr>
              <w:t>19</w:t>
            </w:r>
          </w:p>
        </w:tc>
      </w:tr>
    </w:tbl>
    <w:p>
      <w:pPr>
        <w:sectPr>
          <w:pgSz w:w="11900" w:h="16838" w:orient="portrait"/>
          <w:cols w:equalWidth="0" w:num="2">
            <w:col w:w="5500" w:space="320"/>
            <w:col w:w="5400"/>
          </w:cols>
          <w:pgMar w:left="240" w:top="455" w:right="439" w:bottom="1440" w:gutter="0" w:footer="0" w:header="0"/>
          <w:type w:val="continuous"/>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64" w:lineRule="exact"/>
        <w:rPr>
          <w:sz w:val="20"/>
          <w:szCs w:val="20"/>
          <w:color w:val="auto"/>
        </w:rPr>
      </w:pPr>
    </w:p>
    <w:p>
      <w:pPr>
        <w:ind w:left="200"/>
        <w:spacing w:after="0" w:line="288" w:lineRule="exact"/>
        <w:rPr>
          <w:sz w:val="20"/>
          <w:szCs w:val="20"/>
          <w:color w:val="auto"/>
        </w:rPr>
      </w:pPr>
      <w:r>
        <w:rPr>
          <w:rFonts w:ascii="Arial" w:cs="Arial" w:eastAsia="Arial" w:hAnsi="Arial"/>
          <w:sz w:val="14"/>
          <w:szCs w:val="14"/>
          <w:color w:val="007CBA"/>
        </w:rPr>
        <w:t xml:space="preserve">Corporate Governance Matters </w:t>
      </w:r>
      <w:r>
        <w:rPr>
          <w:rFonts w:ascii="MS PGothic" w:cs="MS PGothic" w:eastAsia="MS PGothic" w:hAnsi="MS PGothic"/>
          <w:sz w:val="25"/>
          <w:szCs w:val="25"/>
          <w:color w:val="007CBA"/>
        </w:rPr>
        <w:t>◆</w:t>
      </w:r>
      <w:r>
        <w:rPr>
          <w:rFonts w:ascii="Arial" w:cs="Arial" w:eastAsia="Arial" w:hAnsi="Arial"/>
          <w:sz w:val="14"/>
          <w:szCs w:val="14"/>
          <w:color w:val="007CBA"/>
        </w:rPr>
        <w:t xml:space="preserve"> </w:t>
      </w:r>
      <w:r>
        <w:rPr>
          <w:rFonts w:ascii="Arial" w:cs="Arial" w:eastAsia="Arial" w:hAnsi="Arial"/>
          <w:sz w:val="14"/>
          <w:szCs w:val="14"/>
          <w:color w:val="000000"/>
        </w:rPr>
        <w:t>Corporate Governance Philosophy</w:t>
      </w:r>
    </w:p>
    <w:p>
      <w:pPr>
        <w:spacing w:after="0" w:line="258" w:lineRule="exact"/>
        <w:rPr>
          <w:sz w:val="20"/>
          <w:szCs w:val="20"/>
          <w:color w:val="auto"/>
        </w:rPr>
      </w:pPr>
    </w:p>
    <w:p>
      <w:pPr>
        <w:ind w:left="220" w:right="380"/>
        <w:spacing w:after="0" w:line="259" w:lineRule="auto"/>
        <w:rPr>
          <w:sz w:val="20"/>
          <w:szCs w:val="20"/>
          <w:color w:val="auto"/>
        </w:rPr>
      </w:pPr>
      <w:r>
        <w:rPr>
          <w:rFonts w:ascii="Arial" w:cs="Arial" w:eastAsia="Arial" w:hAnsi="Arial"/>
          <w:sz w:val="16"/>
          <w:szCs w:val="16"/>
          <w:b w:val="1"/>
          <w:bCs w:val="1"/>
          <w:i w:val="1"/>
          <w:iCs w:val="1"/>
          <w:color w:val="007CBA"/>
        </w:rPr>
        <w:t>How would interested parties make their concerns known to the independent Directors?</w:t>
      </w:r>
    </w:p>
    <w:p>
      <w:pPr>
        <w:spacing w:after="0" w:line="1" w:lineRule="exact"/>
        <w:rPr>
          <w:sz w:val="20"/>
          <w:szCs w:val="20"/>
          <w:color w:val="auto"/>
        </w:rPr>
      </w:pPr>
    </w:p>
    <w:p>
      <w:pPr>
        <w:jc w:val="both"/>
        <w:ind w:left="220"/>
        <w:spacing w:after="0" w:line="248" w:lineRule="auto"/>
        <w:rPr>
          <w:sz w:val="20"/>
          <w:szCs w:val="20"/>
          <w:color w:val="auto"/>
        </w:rPr>
      </w:pPr>
      <w:r>
        <w:rPr>
          <w:rFonts w:ascii="Arial" w:cs="Arial" w:eastAsia="Arial" w:hAnsi="Arial"/>
          <w:sz w:val="16"/>
          <w:szCs w:val="16"/>
          <w:color w:val="auto"/>
        </w:rPr>
        <w:t>The Board of Directors provides a process for shareholders and other interested parties to send communications to the Board. Shareholders and other interested parties may communicate anonymously and confidentially with the Board through Martin Marietta’s Ethics Hotline at 1-800-209-4508. The Board has also designated the Corporate Secretary to facilitate communications to the Board. Shareholders and other interested parties may communicate directly with the Board of Directors, or directly with non-management Directors, or an individual Director, including the Lead Independent Director, by writing to Martin Marietta, Attn: Corporate Secretary, 2710 Wycliff Road, Raleigh, North Carolina 27607-3033.</w:t>
      </w:r>
    </w:p>
    <w:p>
      <w:pPr>
        <w:spacing w:after="0" w:line="348" w:lineRule="exact"/>
        <w:rPr>
          <w:sz w:val="20"/>
          <w:szCs w:val="20"/>
          <w:color w:val="auto"/>
        </w:rPr>
      </w:pPr>
    </w:p>
    <w:p>
      <w:pPr>
        <w:jc w:val="both"/>
        <w:ind w:left="220"/>
        <w:spacing w:after="0" w:line="253" w:lineRule="auto"/>
        <w:rPr>
          <w:sz w:val="20"/>
          <w:szCs w:val="20"/>
          <w:color w:val="auto"/>
        </w:rPr>
      </w:pPr>
      <w:r>
        <w:rPr>
          <w:rFonts w:ascii="Arial" w:cs="Arial" w:eastAsia="Arial" w:hAnsi="Arial"/>
          <w:sz w:val="16"/>
          <w:szCs w:val="16"/>
          <w:color w:val="auto"/>
        </w:rPr>
        <w:t>All communications by shareholders or other interested parties addressed to the Board will be sent directly to Board members. While Martin Marietta’s Ethics Office and the Corporate Secretary may review, sort, and summarize these communications, all direct communications will be presented to the non-management Directors unless there is instruction from them to filter such communications (and in such event, any communication that has been filtered out will be made available to any non-employee Director who wishes to review it).</w:t>
      </w:r>
    </w:p>
    <w:p>
      <w:pPr>
        <w:spacing w:after="0" w:line="137" w:lineRule="exact"/>
        <w:rPr>
          <w:sz w:val="20"/>
          <w:szCs w:val="20"/>
          <w:color w:val="auto"/>
        </w:rPr>
      </w:pPr>
    </w:p>
    <w:p>
      <w:pPr>
        <w:jc w:val="both"/>
        <w:ind w:left="220" w:right="20"/>
        <w:spacing w:after="0" w:line="291" w:lineRule="auto"/>
        <w:rPr>
          <w:sz w:val="20"/>
          <w:szCs w:val="20"/>
          <w:color w:val="auto"/>
        </w:rPr>
      </w:pPr>
      <w:r>
        <w:rPr>
          <w:rFonts w:ascii="Arial" w:cs="Arial" w:eastAsia="Arial" w:hAnsi="Arial"/>
          <w:sz w:val="16"/>
          <w:szCs w:val="16"/>
          <w:color w:val="auto"/>
        </w:rPr>
        <w:t>Martin Marietta and its Board of Directors will continue to review and evaluate the process by which shareholders or other</w:t>
      </w:r>
    </w:p>
    <w:p>
      <w:pPr>
        <w:spacing w:after="0" w:line="266" w:lineRule="exact"/>
        <w:rPr>
          <w:sz w:val="20"/>
          <w:szCs w:val="20"/>
          <w:color w:val="auto"/>
        </w:rPr>
      </w:pPr>
    </w:p>
    <w:p>
      <w:pPr>
        <w:ind w:left="640" w:hanging="436"/>
        <w:spacing w:after="0"/>
        <w:tabs>
          <w:tab w:leader="none" w:pos="640" w:val="left"/>
        </w:tabs>
        <w:numPr>
          <w:ilvl w:val="0"/>
          <w:numId w:val="48"/>
        </w:numPr>
        <w:rPr>
          <w:rFonts w:ascii="Arial" w:cs="Arial" w:eastAsia="Arial" w:hAnsi="Arial"/>
          <w:sz w:val="13"/>
          <w:szCs w:val="13"/>
          <w:b w:val="1"/>
          <w:bCs w:val="1"/>
          <w:color w:val="auto"/>
        </w:rPr>
      </w:pPr>
      <w:r>
        <w:rPr>
          <w:rFonts w:ascii="Arial" w:cs="Arial" w:eastAsia="Arial" w:hAnsi="Arial"/>
          <w:sz w:val="13"/>
          <w:szCs w:val="13"/>
          <w:color w:val="007CBA"/>
        </w:rPr>
        <w:t>2018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 xml:space="preserve">interested persons communicate with Martin Marietta and the Board and may adopt other or further processes and procedures in this regard. If so, Martin Marietta will identify those policies and procedures on our website at </w:t>
      </w:r>
      <w:r>
        <w:rPr>
          <w:rFonts w:ascii="Arial" w:cs="Arial" w:eastAsia="Arial" w:hAnsi="Arial"/>
          <w:sz w:val="16"/>
          <w:szCs w:val="16"/>
          <w:i w:val="1"/>
          <w:iCs w:val="1"/>
          <w:color w:val="auto"/>
        </w:rPr>
        <w:t>www.martinmarietta.com</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-1353820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7CBA"/>
        </w:rPr>
        <w:t>How often did the Board meet during 2017?</w:t>
      </w:r>
    </w:p>
    <w:p>
      <w:pPr>
        <w:spacing w:after="0" w:line="2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Martin Marietta’s Board of Directors held five meetings during 2017, four of which were regularly scheduled meetings and one of which was a special meeting. There were also a total of 24 committee meetings in 2017. In addition, management confers frequently with its Directors on an informal basis to discuss Company affairs.</w:t>
      </w:r>
    </w:p>
    <w:p>
      <w:pPr>
        <w:spacing w:after="0" w:line="139"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b w:val="1"/>
          <w:bCs w:val="1"/>
          <w:i w:val="1"/>
          <w:iCs w:val="1"/>
          <w:color w:val="007CBA"/>
        </w:rPr>
        <w:t>How many times did Directors attend meetings of the Board and its Committees?</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 2017, all Directors attended 100% of the meetings of the Board of Directors. All Directors attended 100% of the meetings of the committees of the Board on which they served (during the periods that they served).</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7CBA"/>
        </w:rPr>
        <w:t>Will the Directors attend the Annual Meeting?</w:t>
      </w:r>
    </w:p>
    <w:p>
      <w:pPr>
        <w:spacing w:after="0" w:line="2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Martin Marietta’s Directors are expected to attend Martin Marietta’s Annual Meeting of Shareholders. In 2017, all Directors attended the Annual Meeting in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542290</wp:posOffset>
            </wp:positionV>
            <wp:extent cx="411480" cy="2489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ectPr>
          <w:pgSz w:w="11900" w:h="16838" w:orient="portrait"/>
          <w:cols w:equalWidth="0" w:num="2">
            <w:col w:w="5500" w:space="320"/>
            <w:col w:w="5400"/>
          </w:cols>
          <w:pgMar w:left="240" w:top="455" w:right="4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64" w:lineRule="exact"/>
        <w:rPr>
          <w:sz w:val="20"/>
          <w:szCs w:val="20"/>
          <w:color w:val="auto"/>
        </w:rPr>
      </w:pPr>
    </w:p>
    <w:p>
      <w:pPr>
        <w:jc w:val="right"/>
        <w:spacing w:after="0" w:line="288" w:lineRule="exact"/>
        <w:rPr>
          <w:sz w:val="20"/>
          <w:szCs w:val="20"/>
          <w:color w:val="auto"/>
        </w:rPr>
      </w:pPr>
      <w:r>
        <w:rPr>
          <w:rFonts w:ascii="Arial" w:cs="Arial" w:eastAsia="Arial" w:hAnsi="Arial"/>
          <w:sz w:val="14"/>
          <w:szCs w:val="14"/>
          <w:color w:val="auto"/>
        </w:rPr>
        <w:t xml:space="preserve">Board Committees </w:t>
      </w:r>
      <w:r>
        <w:rPr>
          <w:rFonts w:ascii="MS PGothic" w:cs="MS PGothic" w:eastAsia="MS PGothic" w:hAnsi="MS PGothic"/>
          <w:sz w:val="25"/>
          <w:szCs w:val="25"/>
          <w:color w:val="007CBA"/>
        </w:rPr>
        <w:t>◆</w:t>
      </w:r>
      <w:r>
        <w:rPr>
          <w:rFonts w:ascii="Arial" w:cs="Arial" w:eastAsia="Arial" w:hAnsi="Arial"/>
          <w:sz w:val="14"/>
          <w:szCs w:val="14"/>
          <w:color w:val="auto"/>
        </w:rPr>
        <w:t xml:space="preserve"> </w:t>
      </w:r>
      <w:r>
        <w:rPr>
          <w:rFonts w:ascii="Arial" w:cs="Arial" w:eastAsia="Arial" w:hAnsi="Arial"/>
          <w:sz w:val="14"/>
          <w:szCs w:val="14"/>
          <w:color w:val="007CBA"/>
        </w:rPr>
        <w:t>Corporate Governance Matters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007CBA"/>
        </w:rPr>
        <w:t>Board Committees</w:t>
      </w:r>
    </w:p>
    <w:p>
      <w:pPr>
        <w:sectPr>
          <w:pgSz w:w="11900" w:h="16838" w:orient="portrait"/>
          <w:cols w:equalWidth="0" w:num="1">
            <w:col w:w="11220"/>
          </w:cols>
          <w:pgMar w:left="240" w:top="455" w:right="439" w:bottom="1440" w:gutter="0" w:footer="0" w:header="0"/>
        </w:sectPr>
      </w:pPr>
    </w:p>
    <w:p>
      <w:pPr>
        <w:spacing w:after="0" w:line="323" w:lineRule="exact"/>
        <w:rPr>
          <w:sz w:val="20"/>
          <w:szCs w:val="20"/>
          <w:color w:val="auto"/>
        </w:rPr>
      </w:pPr>
    </w:p>
    <w:p>
      <w:pPr>
        <w:jc w:val="both"/>
        <w:ind w:left="220"/>
        <w:spacing w:after="0" w:line="257" w:lineRule="auto"/>
        <w:rPr>
          <w:sz w:val="20"/>
          <w:szCs w:val="20"/>
          <w:color w:val="auto"/>
        </w:rPr>
      </w:pPr>
      <w:r>
        <w:rPr>
          <w:rFonts w:ascii="Arial" w:cs="Arial" w:eastAsia="Arial" w:hAnsi="Arial"/>
          <w:sz w:val="16"/>
          <w:szCs w:val="16"/>
          <w:color w:val="auto"/>
        </w:rPr>
        <w:t>Martin Marietta’s Board of Directors has six standing committees: the Audit Committee, the Ethics, Environment, Safety and Health Committee, the Executive Committee, the Finance Committee, the Management Development and Compensation Committee, and the Nominating and Corporate Governance Committee. Each committee has a written charter</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that describes its purposes, membership, meeting structure, authority and responsibilities. These charters are reviewed by the respective committee on an annual basis with any recommended changes adopted upon approval by our Board. The charters of our six standing committees are posted on our website.</w:t>
      </w:r>
    </w:p>
    <w:p>
      <w:pPr>
        <w:spacing w:after="0" w:line="200" w:lineRule="exact"/>
        <w:rPr>
          <w:sz w:val="20"/>
          <w:szCs w:val="20"/>
          <w:color w:val="auto"/>
        </w:rPr>
      </w:pPr>
    </w:p>
    <w:p>
      <w:pPr>
        <w:sectPr>
          <w:pgSz w:w="11900" w:h="16838" w:orient="portrait"/>
          <w:cols w:equalWidth="0" w:num="2">
            <w:col w:w="5480" w:space="340"/>
            <w:col w:w="5400"/>
          </w:cols>
          <w:pgMar w:left="240" w:top="455" w:right="439" w:bottom="1440" w:gutter="0" w:footer="0" w:header="0"/>
          <w:type w:val="continuous"/>
        </w:sectPr>
      </w:pPr>
    </w:p>
    <w:p>
      <w:pPr>
        <w:spacing w:after="0" w:line="12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Below is a summary of our current committee structure and membership information.</w:t>
      </w:r>
    </w:p>
    <w:p>
      <w:pPr>
        <w:spacing w:after="0" w:line="224" w:lineRule="exact"/>
        <w:rPr>
          <w:sz w:val="20"/>
          <w:szCs w:val="20"/>
          <w:color w:val="auto"/>
        </w:rPr>
      </w:pPr>
    </w:p>
    <w:tbl>
      <w:tblPr>
        <w:tblLayout w:type="fixed"/>
        <w:tblInd w:w="280" w:type="dxa"/>
        <w:tblCellMar>
          <w:top w:w="0" w:type="dxa"/>
          <w:left w:w="0" w:type="dxa"/>
          <w:bottom w:w="0" w:type="dxa"/>
          <w:right w:w="0" w:type="dxa"/>
        </w:tblCellMar>
      </w:tblPr>
      <w:tr>
        <w:trPr>
          <w:trHeight w:val="162"/>
        </w:trPr>
        <w:tc>
          <w:tcPr>
            <w:tcW w:w="3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jc w:val="center"/>
              <w:ind w:left="65"/>
              <w:spacing w:after="0"/>
              <w:rPr>
                <w:sz w:val="20"/>
                <w:szCs w:val="20"/>
                <w:color w:val="auto"/>
              </w:rPr>
            </w:pPr>
            <w:r>
              <w:rPr>
                <w:rFonts w:ascii="Arial" w:cs="Arial" w:eastAsia="Arial" w:hAnsi="Arial"/>
                <w:sz w:val="14"/>
                <w:szCs w:val="14"/>
                <w:b w:val="1"/>
                <w:bCs w:val="1"/>
                <w:color w:val="FFFFFF"/>
              </w:rPr>
              <w:t>Ethics,</w:t>
            </w:r>
          </w:p>
        </w:tc>
        <w:tc>
          <w:tcPr>
            <w:tcW w:w="0" w:type="dxa"/>
            <w:vAlign w:val="bottom"/>
          </w:tcPr>
          <w:p>
            <w:pPr>
              <w:spacing w:after="0"/>
              <w:rPr>
                <w:sz w:val="1"/>
                <w:szCs w:val="1"/>
                <w:color w:val="auto"/>
              </w:rPr>
            </w:pPr>
          </w:p>
        </w:tc>
      </w:tr>
      <w:tr>
        <w:trPr>
          <w:trHeight w:val="162"/>
        </w:trPr>
        <w:tc>
          <w:tcPr>
            <w:tcW w:w="3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jc w:val="center"/>
              <w:ind w:left="45"/>
              <w:spacing w:after="0"/>
              <w:rPr>
                <w:sz w:val="20"/>
                <w:szCs w:val="20"/>
                <w:color w:val="auto"/>
              </w:rPr>
            </w:pPr>
            <w:r>
              <w:rPr>
                <w:rFonts w:ascii="Arial" w:cs="Arial" w:eastAsia="Arial" w:hAnsi="Arial"/>
                <w:sz w:val="14"/>
                <w:szCs w:val="14"/>
                <w:b w:val="1"/>
                <w:bCs w:val="1"/>
                <w:color w:val="FFFFFF"/>
              </w:rPr>
              <w:t>Environment,</w:t>
            </w:r>
          </w:p>
        </w:tc>
        <w:tc>
          <w:tcPr>
            <w:tcW w:w="0" w:type="dxa"/>
            <w:vAlign w:val="bottom"/>
          </w:tcPr>
          <w:p>
            <w:pPr>
              <w:spacing w:after="0"/>
              <w:rPr>
                <w:sz w:val="1"/>
                <w:szCs w:val="1"/>
                <w:color w:val="auto"/>
              </w:rPr>
            </w:pPr>
          </w:p>
        </w:tc>
      </w:tr>
      <w:tr>
        <w:trPr>
          <w:trHeight w:val="162"/>
        </w:trPr>
        <w:tc>
          <w:tcPr>
            <w:tcW w:w="3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jc w:val="center"/>
              <w:ind w:left="65"/>
              <w:spacing w:after="0"/>
              <w:rPr>
                <w:sz w:val="20"/>
                <w:szCs w:val="20"/>
                <w:color w:val="auto"/>
              </w:rPr>
            </w:pPr>
            <w:r>
              <w:rPr>
                <w:rFonts w:ascii="Arial" w:cs="Arial" w:eastAsia="Arial" w:hAnsi="Arial"/>
                <w:sz w:val="14"/>
                <w:szCs w:val="14"/>
                <w:b w:val="1"/>
                <w:bCs w:val="1"/>
                <w:color w:val="FFFFFF"/>
              </w:rPr>
              <w:t>Safety and</w:t>
            </w:r>
          </w:p>
        </w:tc>
        <w:tc>
          <w:tcPr>
            <w:tcW w:w="0" w:type="dxa"/>
            <w:vAlign w:val="bottom"/>
          </w:tcPr>
          <w:p>
            <w:pPr>
              <w:spacing w:after="0"/>
              <w:rPr>
                <w:sz w:val="1"/>
                <w:szCs w:val="1"/>
                <w:color w:val="auto"/>
              </w:rPr>
            </w:pPr>
          </w:p>
        </w:tc>
      </w:tr>
      <w:tr>
        <w:trPr>
          <w:trHeight w:val="164"/>
        </w:trPr>
        <w:tc>
          <w:tcPr>
            <w:tcW w:w="36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FFFFFF"/>
              </w:rPr>
              <w:t>Audit</w:t>
            </w:r>
          </w:p>
        </w:tc>
        <w:tc>
          <w:tcPr>
            <w:tcW w:w="1040" w:type="dxa"/>
            <w:vAlign w:val="bottom"/>
          </w:tcPr>
          <w:p>
            <w:pPr>
              <w:jc w:val="center"/>
              <w:ind w:left="45"/>
              <w:spacing w:after="0"/>
              <w:rPr>
                <w:sz w:val="20"/>
                <w:szCs w:val="20"/>
                <w:color w:val="auto"/>
              </w:rPr>
            </w:pPr>
            <w:r>
              <w:rPr>
                <w:rFonts w:ascii="Arial" w:cs="Arial" w:eastAsia="Arial" w:hAnsi="Arial"/>
                <w:sz w:val="14"/>
                <w:szCs w:val="14"/>
                <w:b w:val="1"/>
                <w:bCs w:val="1"/>
                <w:color w:val="FFFFFF"/>
              </w:rPr>
              <w:t>Health</w:t>
            </w:r>
          </w:p>
        </w:tc>
        <w:tc>
          <w:tcPr>
            <w:tcW w:w="0" w:type="dxa"/>
            <w:vAlign w:val="bottom"/>
          </w:tcPr>
          <w:p>
            <w:pPr>
              <w:spacing w:after="0"/>
              <w:rPr>
                <w:sz w:val="1"/>
                <w:szCs w:val="1"/>
                <w:color w:val="auto"/>
              </w:rPr>
            </w:pPr>
          </w:p>
        </w:tc>
      </w:tr>
      <w:tr>
        <w:trPr>
          <w:trHeight w:val="189"/>
        </w:trPr>
        <w:tc>
          <w:tcPr>
            <w:tcW w:w="3640" w:type="dxa"/>
            <w:vAlign w:val="bottom"/>
          </w:tcPr>
          <w:p>
            <w:pPr>
              <w:ind w:left="1500"/>
              <w:spacing w:after="0"/>
              <w:rPr>
                <w:sz w:val="20"/>
                <w:szCs w:val="20"/>
                <w:color w:val="auto"/>
              </w:rPr>
            </w:pPr>
            <w:r>
              <w:rPr>
                <w:rFonts w:ascii="Arial" w:cs="Arial" w:eastAsia="Arial" w:hAnsi="Arial"/>
                <w:sz w:val="14"/>
                <w:szCs w:val="14"/>
                <w:b w:val="1"/>
                <w:bCs w:val="1"/>
                <w:color w:val="FFFFFF"/>
              </w:rPr>
              <w:t>Director</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FFFFFF"/>
              </w:rPr>
              <w:t>Committee</w:t>
            </w:r>
          </w:p>
        </w:tc>
        <w:tc>
          <w:tcPr>
            <w:tcW w:w="1040" w:type="dxa"/>
            <w:vAlign w:val="bottom"/>
          </w:tcPr>
          <w:p>
            <w:pPr>
              <w:jc w:val="center"/>
              <w:ind w:left="65"/>
              <w:spacing w:after="0"/>
              <w:rPr>
                <w:sz w:val="20"/>
                <w:szCs w:val="20"/>
                <w:color w:val="auto"/>
              </w:rPr>
            </w:pPr>
            <w:r>
              <w:rPr>
                <w:rFonts w:ascii="Arial" w:cs="Arial" w:eastAsia="Arial" w:hAnsi="Arial"/>
                <w:sz w:val="14"/>
                <w:szCs w:val="14"/>
                <w:b w:val="1"/>
                <w:bCs w:val="1"/>
                <w:color w:val="FFFFFF"/>
              </w:rPr>
              <w:t>Committee</w:t>
            </w:r>
          </w:p>
        </w:tc>
        <w:tc>
          <w:tcPr>
            <w:tcW w:w="0" w:type="dxa"/>
            <w:vAlign w:val="bottom"/>
          </w:tcPr>
          <w:p>
            <w:pPr>
              <w:spacing w:after="0"/>
              <w:rPr>
                <w:sz w:val="1"/>
                <w:szCs w:val="1"/>
                <w:color w:val="auto"/>
              </w:rPr>
            </w:pPr>
          </w:p>
        </w:tc>
      </w:tr>
      <w:tr>
        <w:trPr>
          <w:trHeight w:val="171"/>
        </w:trPr>
        <w:tc>
          <w:tcPr>
            <w:tcW w:w="3640" w:type="dxa"/>
            <w:vAlign w:val="bottom"/>
            <w:tcBorders>
              <w:right w:val="single" w:sz="8" w:color="007CBA"/>
            </w:tcBorders>
          </w:tcPr>
          <w:p>
            <w:pPr>
              <w:spacing w:after="0" w:line="171" w:lineRule="exact"/>
              <w:rPr>
                <w:sz w:val="20"/>
                <w:szCs w:val="20"/>
                <w:color w:val="auto"/>
              </w:rPr>
            </w:pPr>
            <w:r>
              <w:rPr>
                <w:rFonts w:ascii="Arial" w:cs="Arial" w:eastAsia="Arial" w:hAnsi="Arial"/>
                <w:sz w:val="16"/>
                <w:szCs w:val="16"/>
                <w:color w:val="auto"/>
              </w:rPr>
              <w:t>Sue W. Cole</w:t>
            </w:r>
          </w:p>
        </w:tc>
        <w:tc>
          <w:tcPr>
            <w:tcW w:w="1140" w:type="dxa"/>
            <w:vAlign w:val="bottom"/>
            <w:tcBorders>
              <w:right w:val="single" w:sz="8" w:color="007CBA"/>
            </w:tcBorders>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640" w:type="dxa"/>
            <w:vAlign w:val="bottom"/>
            <w:tcBorders>
              <w:right w:val="single" w:sz="8" w:color="007CBA"/>
            </w:tcBorders>
          </w:tcPr>
          <w:p>
            <w:pPr>
              <w:spacing w:after="0"/>
              <w:rPr>
                <w:sz w:val="20"/>
                <w:szCs w:val="20"/>
                <w:color w:val="auto"/>
              </w:rPr>
            </w:pPr>
            <w:r>
              <w:rPr>
                <w:rFonts w:ascii="Arial" w:cs="Arial" w:eastAsia="Arial" w:hAnsi="Arial"/>
                <w:sz w:val="16"/>
                <w:szCs w:val="16"/>
                <w:color w:val="auto"/>
              </w:rPr>
              <w:t>John J. Koraleski</w:t>
            </w:r>
          </w:p>
        </w:tc>
        <w:tc>
          <w:tcPr>
            <w:tcW w:w="1140" w:type="dxa"/>
            <w:vAlign w:val="bottom"/>
            <w:tcBorders>
              <w:right w:val="single" w:sz="8" w:color="007CBA"/>
            </w:tcBorders>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3640" w:type="dxa"/>
            <w:vAlign w:val="bottom"/>
            <w:tcBorders>
              <w:right w:val="single" w:sz="8" w:color="007CBA"/>
            </w:tcBorders>
          </w:tcPr>
          <w:p>
            <w:pPr>
              <w:spacing w:after="0"/>
              <w:rPr>
                <w:sz w:val="20"/>
                <w:szCs w:val="20"/>
                <w:color w:val="auto"/>
              </w:rPr>
            </w:pPr>
            <w:r>
              <w:rPr>
                <w:rFonts w:ascii="Arial" w:cs="Arial" w:eastAsia="Arial" w:hAnsi="Arial"/>
                <w:sz w:val="13"/>
                <w:szCs w:val="13"/>
                <w:i w:val="1"/>
                <w:iCs w:val="1"/>
                <w:color w:val="007CBA"/>
              </w:rPr>
              <w:t>Financial Expert</w:t>
            </w:r>
          </w:p>
        </w:tc>
        <w:tc>
          <w:tcPr>
            <w:tcW w:w="1140" w:type="dxa"/>
            <w:vAlign w:val="bottom"/>
            <w:tcBorders>
              <w:right w:val="single" w:sz="8" w:color="007CBA"/>
            </w:tcBorders>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640" w:type="dxa"/>
            <w:vAlign w:val="bottom"/>
            <w:tcBorders>
              <w:right w:val="single" w:sz="8" w:color="007CBA"/>
            </w:tcBorders>
          </w:tcPr>
          <w:p>
            <w:pPr>
              <w:spacing w:after="0"/>
              <w:rPr>
                <w:sz w:val="20"/>
                <w:szCs w:val="20"/>
                <w:color w:val="auto"/>
              </w:rPr>
            </w:pPr>
            <w:r>
              <w:rPr>
                <w:rFonts w:ascii="Arial" w:cs="Arial" w:eastAsia="Arial" w:hAnsi="Arial"/>
                <w:sz w:val="16"/>
                <w:szCs w:val="16"/>
                <w:color w:val="auto"/>
              </w:rPr>
              <w:t>David G. Maffucci</w:t>
            </w:r>
          </w:p>
        </w:tc>
        <w:tc>
          <w:tcPr>
            <w:tcW w:w="1140" w:type="dxa"/>
            <w:vAlign w:val="bottom"/>
            <w:tcBorders>
              <w:right w:val="single" w:sz="8" w:color="007CBA"/>
            </w:tcBorders>
            <w:vMerge w:val="restart"/>
          </w:tcPr>
          <w:p>
            <w:pPr>
              <w:jc w:val="center"/>
              <w:spacing w:after="0"/>
              <w:rPr>
                <w:sz w:val="20"/>
                <w:szCs w:val="20"/>
                <w:color w:val="auto"/>
              </w:rPr>
            </w:pPr>
            <w:r>
              <w:rPr>
                <w:rFonts w:ascii="Arial" w:cs="Arial" w:eastAsia="Arial" w:hAnsi="Arial"/>
                <w:sz w:val="16"/>
                <w:szCs w:val="16"/>
                <w:b w:val="1"/>
                <w:bCs w:val="1"/>
                <w:color w:val="auto"/>
              </w:rPr>
              <w:t>Chair</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3640" w:type="dxa"/>
            <w:vAlign w:val="bottom"/>
            <w:tcBorders>
              <w:right w:val="single" w:sz="8" w:color="007CBA"/>
            </w:tcBorders>
          </w:tcPr>
          <w:p>
            <w:pPr>
              <w:spacing w:after="0"/>
              <w:rPr>
                <w:sz w:val="20"/>
                <w:szCs w:val="20"/>
                <w:color w:val="auto"/>
              </w:rPr>
            </w:pPr>
            <w:r>
              <w:rPr>
                <w:rFonts w:ascii="Arial" w:cs="Arial" w:eastAsia="Arial" w:hAnsi="Arial"/>
                <w:sz w:val="13"/>
                <w:szCs w:val="13"/>
                <w:i w:val="1"/>
                <w:iCs w:val="1"/>
                <w:color w:val="007CBA"/>
              </w:rPr>
              <w:t>Financial Expert</w:t>
            </w:r>
          </w:p>
        </w:tc>
        <w:tc>
          <w:tcPr>
            <w:tcW w:w="1140" w:type="dxa"/>
            <w:vAlign w:val="bottom"/>
            <w:tcBorders>
              <w:right w:val="single" w:sz="8" w:color="007CBA"/>
            </w:tcBorders>
            <w:vMerge w:val="continue"/>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640" w:type="dxa"/>
            <w:vAlign w:val="bottom"/>
            <w:tcBorders>
              <w:right w:val="single" w:sz="8" w:color="007CBA"/>
            </w:tcBorders>
          </w:tcPr>
          <w:p>
            <w:pPr>
              <w:spacing w:after="0"/>
              <w:rPr>
                <w:sz w:val="20"/>
                <w:szCs w:val="20"/>
                <w:color w:val="auto"/>
              </w:rPr>
            </w:pPr>
            <w:r>
              <w:rPr>
                <w:rFonts w:ascii="Arial" w:cs="Arial" w:eastAsia="Arial" w:hAnsi="Arial"/>
                <w:sz w:val="16"/>
                <w:szCs w:val="16"/>
                <w:color w:val="auto"/>
              </w:rPr>
              <w:t>C. Howard Nye</w:t>
            </w:r>
          </w:p>
        </w:tc>
        <w:tc>
          <w:tcPr>
            <w:tcW w:w="1140" w:type="dxa"/>
            <w:vAlign w:val="bottom"/>
            <w:tcBorders>
              <w:right w:val="single" w:sz="8" w:color="007CBA"/>
            </w:tcBorders>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640" w:type="dxa"/>
            <w:vAlign w:val="bottom"/>
            <w:tcBorders>
              <w:right w:val="single" w:sz="8" w:color="007CBA"/>
            </w:tcBorders>
          </w:tcPr>
          <w:p>
            <w:pPr>
              <w:spacing w:after="0"/>
              <w:rPr>
                <w:sz w:val="20"/>
                <w:szCs w:val="20"/>
                <w:color w:val="auto"/>
              </w:rPr>
            </w:pPr>
            <w:r>
              <w:rPr>
                <w:rFonts w:ascii="Arial" w:cs="Arial" w:eastAsia="Arial" w:hAnsi="Arial"/>
                <w:sz w:val="16"/>
                <w:szCs w:val="16"/>
                <w:color w:val="auto"/>
              </w:rPr>
              <w:t>Laree E. Perez</w:t>
            </w:r>
          </w:p>
        </w:tc>
        <w:tc>
          <w:tcPr>
            <w:tcW w:w="1140" w:type="dxa"/>
            <w:vAlign w:val="bottom"/>
            <w:tcBorders>
              <w:right w:val="single" w:sz="8" w:color="007CBA"/>
            </w:tcBorders>
          </w:tcPr>
          <w:p>
            <w:pPr>
              <w:spacing w:after="0"/>
              <w:rPr>
                <w:sz w:val="16"/>
                <w:szCs w:val="16"/>
                <w:color w:val="auto"/>
              </w:rPr>
            </w:pPr>
          </w:p>
        </w:tc>
        <w:tc>
          <w:tcPr>
            <w:tcW w:w="1040" w:type="dxa"/>
            <w:vAlign w:val="bottom"/>
            <w:vMerge w:val="restart"/>
          </w:tcPr>
          <w:p>
            <w:pPr>
              <w:jc w:val="center"/>
              <w:ind w:left="65"/>
              <w:spacing w:after="0"/>
              <w:rPr>
                <w:sz w:val="20"/>
                <w:szCs w:val="20"/>
                <w:color w:val="auto"/>
              </w:rPr>
            </w:pPr>
            <w:r>
              <w:rPr>
                <w:rFonts w:ascii="Arial" w:cs="Arial" w:eastAsia="Arial" w:hAnsi="Arial"/>
                <w:sz w:val="16"/>
                <w:szCs w:val="16"/>
                <w:b w:val="1"/>
                <w:bCs w:val="1"/>
                <w:color w:val="auto"/>
              </w:rPr>
              <w:t>Chair</w:t>
            </w:r>
          </w:p>
        </w:tc>
        <w:tc>
          <w:tcPr>
            <w:tcW w:w="0" w:type="dxa"/>
            <w:vAlign w:val="bottom"/>
          </w:tcPr>
          <w:p>
            <w:pPr>
              <w:spacing w:after="0"/>
              <w:rPr>
                <w:sz w:val="1"/>
                <w:szCs w:val="1"/>
                <w:color w:val="auto"/>
              </w:rPr>
            </w:pPr>
          </w:p>
        </w:tc>
      </w:tr>
      <w:tr>
        <w:trPr>
          <w:trHeight w:val="107"/>
        </w:trPr>
        <w:tc>
          <w:tcPr>
            <w:tcW w:w="3640" w:type="dxa"/>
            <w:vAlign w:val="bottom"/>
            <w:tcBorders>
              <w:right w:val="single" w:sz="8" w:color="007CBA"/>
            </w:tcBorders>
            <w:vMerge w:val="restart"/>
          </w:tcPr>
          <w:p>
            <w:pPr>
              <w:spacing w:after="0"/>
              <w:rPr>
                <w:sz w:val="20"/>
                <w:szCs w:val="20"/>
                <w:color w:val="auto"/>
              </w:rPr>
            </w:pPr>
            <w:r>
              <w:rPr>
                <w:rFonts w:ascii="Arial" w:cs="Arial" w:eastAsia="Arial" w:hAnsi="Arial"/>
                <w:sz w:val="13"/>
                <w:szCs w:val="13"/>
                <w:i w:val="1"/>
                <w:iCs w:val="1"/>
                <w:color w:val="007CBA"/>
              </w:rPr>
              <w:t>Financial Expert</w:t>
            </w:r>
          </w:p>
        </w:tc>
        <w:tc>
          <w:tcPr>
            <w:tcW w:w="1140" w:type="dxa"/>
            <w:vAlign w:val="bottom"/>
            <w:tcBorders>
              <w:right w:val="single" w:sz="8" w:color="007CBA"/>
            </w:tcBorders>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3640" w:type="dxa"/>
            <w:vAlign w:val="bottom"/>
            <w:tcBorders>
              <w:right w:val="single" w:sz="8" w:color="007CBA"/>
            </w:tcBorders>
            <w:vMerge w:val="continue"/>
          </w:tcPr>
          <w:p>
            <w:pPr>
              <w:spacing w:after="0"/>
              <w:rPr>
                <w:sz w:val="3"/>
                <w:szCs w:val="3"/>
                <w:color w:val="auto"/>
              </w:rPr>
            </w:pPr>
          </w:p>
        </w:tc>
        <w:tc>
          <w:tcPr>
            <w:tcW w:w="1140" w:type="dxa"/>
            <w:vAlign w:val="bottom"/>
            <w:tcBorders>
              <w:right w:val="single" w:sz="8" w:color="007CBA"/>
            </w:tcBorders>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3640" w:type="dxa"/>
            <w:vAlign w:val="bottom"/>
            <w:tcBorders>
              <w:right w:val="single" w:sz="8" w:color="007CBA"/>
            </w:tcBorders>
          </w:tcPr>
          <w:p>
            <w:pPr>
              <w:spacing w:after="0"/>
              <w:rPr>
                <w:sz w:val="20"/>
                <w:szCs w:val="20"/>
                <w:color w:val="auto"/>
              </w:rPr>
            </w:pPr>
            <w:r>
              <w:rPr>
                <w:rFonts w:ascii="Arial" w:cs="Arial" w:eastAsia="Arial" w:hAnsi="Arial"/>
                <w:sz w:val="16"/>
                <w:szCs w:val="16"/>
                <w:color w:val="auto"/>
              </w:rPr>
              <w:t>Michael J. Quillen</w:t>
            </w:r>
          </w:p>
        </w:tc>
        <w:tc>
          <w:tcPr>
            <w:tcW w:w="1140" w:type="dxa"/>
            <w:vAlign w:val="bottom"/>
            <w:tcBorders>
              <w:right w:val="single" w:sz="8" w:color="007CBA"/>
            </w:tcBorders>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3640" w:type="dxa"/>
            <w:vAlign w:val="bottom"/>
            <w:tcBorders>
              <w:right w:val="single" w:sz="8" w:color="007CBA"/>
            </w:tcBorders>
          </w:tcPr>
          <w:p>
            <w:pPr>
              <w:spacing w:after="0"/>
              <w:rPr>
                <w:sz w:val="20"/>
                <w:szCs w:val="20"/>
                <w:color w:val="auto"/>
              </w:rPr>
            </w:pPr>
            <w:r>
              <w:rPr>
                <w:rFonts w:ascii="Arial" w:cs="Arial" w:eastAsia="Arial" w:hAnsi="Arial"/>
                <w:sz w:val="13"/>
                <w:szCs w:val="13"/>
                <w:i w:val="1"/>
                <w:iCs w:val="1"/>
                <w:color w:val="007CBA"/>
              </w:rPr>
              <w:t>Lead Independent Director</w:t>
            </w:r>
          </w:p>
        </w:tc>
        <w:tc>
          <w:tcPr>
            <w:tcW w:w="1140" w:type="dxa"/>
            <w:vAlign w:val="bottom"/>
            <w:tcBorders>
              <w:right w:val="single" w:sz="8" w:color="007CBA"/>
            </w:tcBorders>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640" w:type="dxa"/>
            <w:vAlign w:val="bottom"/>
            <w:tcBorders>
              <w:right w:val="single" w:sz="8" w:color="007CBA"/>
            </w:tcBorders>
          </w:tcPr>
          <w:p>
            <w:pPr>
              <w:spacing w:after="0"/>
              <w:rPr>
                <w:sz w:val="20"/>
                <w:szCs w:val="20"/>
                <w:color w:val="auto"/>
              </w:rPr>
            </w:pPr>
            <w:r>
              <w:rPr>
                <w:rFonts w:ascii="Arial" w:cs="Arial" w:eastAsia="Arial" w:hAnsi="Arial"/>
                <w:sz w:val="16"/>
                <w:szCs w:val="16"/>
                <w:color w:val="auto"/>
              </w:rPr>
              <w:t>Dennis L. Rediker</w:t>
            </w:r>
          </w:p>
        </w:tc>
        <w:tc>
          <w:tcPr>
            <w:tcW w:w="1140" w:type="dxa"/>
            <w:vAlign w:val="bottom"/>
            <w:tcBorders>
              <w:right w:val="single" w:sz="8" w:color="007CBA"/>
            </w:tcBorders>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3640" w:type="dxa"/>
            <w:vAlign w:val="bottom"/>
            <w:tcBorders>
              <w:right w:val="single" w:sz="8" w:color="007CBA"/>
            </w:tcBorders>
          </w:tcPr>
          <w:p>
            <w:pPr>
              <w:spacing w:after="0"/>
              <w:rPr>
                <w:sz w:val="20"/>
                <w:szCs w:val="20"/>
                <w:color w:val="auto"/>
              </w:rPr>
            </w:pPr>
            <w:r>
              <w:rPr>
                <w:rFonts w:ascii="Arial" w:cs="Arial" w:eastAsia="Arial" w:hAnsi="Arial"/>
                <w:sz w:val="13"/>
                <w:szCs w:val="13"/>
                <w:i w:val="1"/>
                <w:iCs w:val="1"/>
                <w:color w:val="007CBA"/>
              </w:rPr>
              <w:t>Financial Expert</w:t>
            </w:r>
          </w:p>
        </w:tc>
        <w:tc>
          <w:tcPr>
            <w:tcW w:w="1140" w:type="dxa"/>
            <w:vAlign w:val="bottom"/>
            <w:tcBorders>
              <w:right w:val="single" w:sz="8" w:color="007CBA"/>
            </w:tcBorders>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3"/>
        </w:trPr>
        <w:tc>
          <w:tcPr>
            <w:tcW w:w="3640" w:type="dxa"/>
            <w:vAlign w:val="bottom"/>
            <w:tcBorders>
              <w:right w:val="single" w:sz="8" w:color="007CBA"/>
            </w:tcBorders>
          </w:tcPr>
          <w:p>
            <w:pPr>
              <w:spacing w:after="0"/>
              <w:rPr>
                <w:sz w:val="20"/>
                <w:szCs w:val="20"/>
                <w:color w:val="auto"/>
              </w:rPr>
            </w:pPr>
            <w:r>
              <w:rPr>
                <w:rFonts w:ascii="Arial" w:cs="Arial" w:eastAsia="Arial" w:hAnsi="Arial"/>
                <w:sz w:val="16"/>
                <w:szCs w:val="16"/>
                <w:color w:val="auto"/>
              </w:rPr>
              <w:t>Donald W. Slager</w:t>
            </w:r>
          </w:p>
        </w:tc>
        <w:tc>
          <w:tcPr>
            <w:tcW w:w="1140" w:type="dxa"/>
            <w:vAlign w:val="bottom"/>
            <w:tcBorders>
              <w:right w:val="single" w:sz="8" w:color="007CBA"/>
            </w:tcBorders>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3640" w:type="dxa"/>
            <w:vAlign w:val="bottom"/>
            <w:tcBorders>
              <w:right w:val="single" w:sz="8" w:color="007CBA"/>
            </w:tcBorders>
          </w:tcPr>
          <w:p>
            <w:pPr>
              <w:spacing w:after="0"/>
              <w:rPr>
                <w:sz w:val="20"/>
                <w:szCs w:val="20"/>
                <w:color w:val="auto"/>
              </w:rPr>
            </w:pPr>
            <w:r>
              <w:rPr>
                <w:rFonts w:ascii="Arial" w:cs="Arial" w:eastAsia="Arial" w:hAnsi="Arial"/>
                <w:sz w:val="16"/>
                <w:szCs w:val="16"/>
                <w:color w:val="auto"/>
              </w:rPr>
              <w:t>Stephen P. Zelnak, Jr.</w:t>
            </w:r>
          </w:p>
        </w:tc>
        <w:tc>
          <w:tcPr>
            <w:tcW w:w="1140" w:type="dxa"/>
            <w:vAlign w:val="bottom"/>
            <w:tcBorders>
              <w:right w:val="single" w:sz="8" w:color="007CBA"/>
            </w:tcBorders>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40" w:type="dxa"/>
            <w:vAlign w:val="bottom"/>
          </w:tcPr>
          <w:p>
            <w:pPr>
              <w:spacing w:after="0" w:line="169" w:lineRule="exact"/>
              <w:rPr>
                <w:sz w:val="20"/>
                <w:szCs w:val="20"/>
                <w:color w:val="auto"/>
              </w:rPr>
            </w:pPr>
            <w:r>
              <w:rPr>
                <w:rFonts w:ascii="Arial" w:cs="Arial" w:eastAsia="Arial" w:hAnsi="Arial"/>
                <w:sz w:val="16"/>
                <w:szCs w:val="16"/>
                <w:b w:val="1"/>
                <w:bCs w:val="1"/>
                <w:color w:val="FFFFFF"/>
              </w:rPr>
              <w:t>Number of Meetings</w:t>
            </w:r>
          </w:p>
        </w:tc>
        <w:tc>
          <w:tcPr>
            <w:tcW w:w="1140" w:type="dxa"/>
            <w:vAlign w:val="bottom"/>
            <w:vMerge w:val="restart"/>
          </w:tcPr>
          <w:p>
            <w:pPr>
              <w:jc w:val="center"/>
              <w:spacing w:after="0"/>
              <w:rPr>
                <w:sz w:val="20"/>
                <w:szCs w:val="20"/>
                <w:color w:val="auto"/>
              </w:rPr>
            </w:pPr>
            <w:r>
              <w:rPr>
                <w:rFonts w:ascii="Arial" w:cs="Arial" w:eastAsia="Arial" w:hAnsi="Arial"/>
                <w:sz w:val="16"/>
                <w:szCs w:val="16"/>
                <w:b w:val="1"/>
                <w:bCs w:val="1"/>
                <w:color w:val="FFFFFF"/>
              </w:rPr>
              <w:t>8</w:t>
            </w:r>
          </w:p>
        </w:tc>
        <w:tc>
          <w:tcPr>
            <w:tcW w:w="1040" w:type="dxa"/>
            <w:vAlign w:val="bottom"/>
            <w:vMerge w:val="restart"/>
          </w:tcPr>
          <w:p>
            <w:pPr>
              <w:jc w:val="center"/>
              <w:ind w:left="65"/>
              <w:spacing w:after="0"/>
              <w:rPr>
                <w:sz w:val="20"/>
                <w:szCs w:val="20"/>
                <w:color w:val="auto"/>
              </w:rPr>
            </w:pPr>
            <w:r>
              <w:rPr>
                <w:rFonts w:ascii="Arial" w:cs="Arial" w:eastAsia="Arial" w:hAnsi="Arial"/>
                <w:sz w:val="16"/>
                <w:szCs w:val="16"/>
                <w:b w:val="1"/>
                <w:bCs w:val="1"/>
                <w:color w:val="FFFFFF"/>
              </w:rPr>
              <w:t>2</w:t>
            </w:r>
          </w:p>
        </w:tc>
        <w:tc>
          <w:tcPr>
            <w:tcW w:w="0" w:type="dxa"/>
            <w:vAlign w:val="bottom"/>
          </w:tcPr>
          <w:p>
            <w:pPr>
              <w:spacing w:after="0"/>
              <w:rPr>
                <w:sz w:val="1"/>
                <w:szCs w:val="1"/>
                <w:color w:val="auto"/>
              </w:rPr>
            </w:pPr>
          </w:p>
        </w:tc>
      </w:tr>
      <w:tr>
        <w:trPr>
          <w:trHeight w:val="134"/>
        </w:trPr>
        <w:tc>
          <w:tcPr>
            <w:tcW w:w="3640" w:type="dxa"/>
            <w:vAlign w:val="bottom"/>
            <w:vMerge w:val="restart"/>
          </w:tcPr>
          <w:p>
            <w:pPr>
              <w:spacing w:after="0"/>
              <w:rPr>
                <w:sz w:val="20"/>
                <w:szCs w:val="20"/>
                <w:color w:val="auto"/>
              </w:rPr>
            </w:pPr>
            <w:r>
              <w:rPr>
                <w:rFonts w:ascii="Arial" w:cs="Arial" w:eastAsia="Arial" w:hAnsi="Arial"/>
                <w:sz w:val="16"/>
                <w:szCs w:val="16"/>
                <w:b w:val="1"/>
                <w:bCs w:val="1"/>
                <w:color w:val="FFFFFF"/>
              </w:rPr>
              <w:t>in 2017</w:t>
            </w:r>
          </w:p>
        </w:tc>
        <w:tc>
          <w:tcPr>
            <w:tcW w:w="114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364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-2507615</wp:posOffset>
            </wp:positionV>
            <wp:extent cx="6997700" cy="24955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7700" cy="24955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FFFFFF"/>
              </w:rPr>
              <w:t>Management</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FFFFFF"/>
              </w:rPr>
              <w:t>Development</w:t>
            </w:r>
          </w:p>
        </w:tc>
        <w:tc>
          <w:tcPr>
            <w:tcW w:w="1200" w:type="dxa"/>
            <w:vAlign w:val="bottom"/>
          </w:tcPr>
          <w:p>
            <w:pPr>
              <w:jc w:val="center"/>
              <w:ind w:left="145"/>
              <w:spacing w:after="0"/>
              <w:rPr>
                <w:sz w:val="20"/>
                <w:szCs w:val="20"/>
                <w:color w:val="auto"/>
              </w:rPr>
            </w:pPr>
            <w:r>
              <w:rPr>
                <w:rFonts w:ascii="Arial" w:cs="Arial" w:eastAsia="Arial" w:hAnsi="Arial"/>
                <w:sz w:val="14"/>
                <w:szCs w:val="14"/>
                <w:b w:val="1"/>
                <w:bCs w:val="1"/>
                <w:color w:val="FFFFFF"/>
              </w:rPr>
              <w:t>Nominating</w:t>
            </w: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FFFFFF"/>
              </w:rPr>
              <w:t>and</w:t>
            </w:r>
          </w:p>
        </w:tc>
        <w:tc>
          <w:tcPr>
            <w:tcW w:w="1200" w:type="dxa"/>
            <w:vAlign w:val="bottom"/>
          </w:tcPr>
          <w:p>
            <w:pPr>
              <w:jc w:val="center"/>
              <w:ind w:left="145"/>
              <w:spacing w:after="0"/>
              <w:rPr>
                <w:sz w:val="20"/>
                <w:szCs w:val="20"/>
                <w:color w:val="auto"/>
              </w:rPr>
            </w:pPr>
            <w:r>
              <w:rPr>
                <w:rFonts w:ascii="Arial" w:cs="Arial" w:eastAsia="Arial" w:hAnsi="Arial"/>
                <w:sz w:val="14"/>
                <w:szCs w:val="14"/>
                <w:b w:val="1"/>
                <w:bCs w:val="1"/>
                <w:color w:val="FFFFFF"/>
              </w:rPr>
              <w:t>and Corporate</w:t>
            </w:r>
          </w:p>
        </w:tc>
        <w:tc>
          <w:tcPr>
            <w:tcW w:w="0" w:type="dxa"/>
            <w:vAlign w:val="bottom"/>
          </w:tcPr>
          <w:p>
            <w:pPr>
              <w:spacing w:after="0"/>
              <w:rPr>
                <w:sz w:val="1"/>
                <w:szCs w:val="1"/>
                <w:color w:val="auto"/>
              </w:rPr>
            </w:pPr>
          </w:p>
        </w:tc>
      </w:tr>
      <w:tr>
        <w:trPr>
          <w:trHeight w:val="164"/>
        </w:trPr>
        <w:tc>
          <w:tcPr>
            <w:tcW w:w="920" w:type="dxa"/>
            <w:vAlign w:val="bottom"/>
          </w:tcPr>
          <w:p>
            <w:pPr>
              <w:jc w:val="center"/>
              <w:ind w:right="103"/>
              <w:spacing w:after="0"/>
              <w:rPr>
                <w:sz w:val="20"/>
                <w:szCs w:val="20"/>
                <w:color w:val="auto"/>
              </w:rPr>
            </w:pPr>
            <w:r>
              <w:rPr>
                <w:rFonts w:ascii="Arial" w:cs="Arial" w:eastAsia="Arial" w:hAnsi="Arial"/>
                <w:sz w:val="14"/>
                <w:szCs w:val="14"/>
                <w:b w:val="1"/>
                <w:bCs w:val="1"/>
                <w:color w:val="FFFFFF"/>
              </w:rPr>
              <w:t>Executive</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FFFFFF"/>
              </w:rPr>
              <w:t>Finance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FFFFFF"/>
              </w:rPr>
              <w:t>Compensation</w:t>
            </w:r>
          </w:p>
        </w:tc>
        <w:tc>
          <w:tcPr>
            <w:tcW w:w="1200" w:type="dxa"/>
            <w:vAlign w:val="bottom"/>
          </w:tcPr>
          <w:p>
            <w:pPr>
              <w:jc w:val="center"/>
              <w:ind w:left="145"/>
              <w:spacing w:after="0"/>
              <w:rPr>
                <w:sz w:val="20"/>
                <w:szCs w:val="20"/>
                <w:color w:val="auto"/>
              </w:rPr>
            </w:pPr>
            <w:r>
              <w:rPr>
                <w:rFonts w:ascii="Arial" w:cs="Arial" w:eastAsia="Arial" w:hAnsi="Arial"/>
                <w:sz w:val="14"/>
                <w:szCs w:val="14"/>
                <w:b w:val="1"/>
                <w:bCs w:val="1"/>
                <w:color w:val="FFFFFF"/>
              </w:rPr>
              <w:t>Governance</w:t>
            </w:r>
          </w:p>
        </w:tc>
        <w:tc>
          <w:tcPr>
            <w:tcW w:w="0" w:type="dxa"/>
            <w:vAlign w:val="bottom"/>
          </w:tcPr>
          <w:p>
            <w:pPr>
              <w:spacing w:after="0"/>
              <w:rPr>
                <w:sz w:val="1"/>
                <w:szCs w:val="1"/>
                <w:color w:val="auto"/>
              </w:rPr>
            </w:pPr>
          </w:p>
        </w:tc>
      </w:tr>
      <w:tr>
        <w:trPr>
          <w:trHeight w:val="189"/>
        </w:trPr>
        <w:tc>
          <w:tcPr>
            <w:tcW w:w="920" w:type="dxa"/>
            <w:vAlign w:val="bottom"/>
          </w:tcPr>
          <w:p>
            <w:pPr>
              <w:jc w:val="center"/>
              <w:ind w:right="103"/>
              <w:spacing w:after="0"/>
              <w:rPr>
                <w:sz w:val="20"/>
                <w:szCs w:val="20"/>
                <w:color w:val="auto"/>
              </w:rPr>
            </w:pPr>
            <w:r>
              <w:rPr>
                <w:rFonts w:ascii="Arial" w:cs="Arial" w:eastAsia="Arial" w:hAnsi="Arial"/>
                <w:sz w:val="14"/>
                <w:szCs w:val="14"/>
                <w:b w:val="1"/>
                <w:bCs w:val="1"/>
                <w:color w:val="FFFFFF"/>
              </w:rPr>
              <w:t>Committee</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FFFFFF"/>
              </w:rPr>
              <w:t>Committee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FFFFFF"/>
              </w:rPr>
              <w:t>Committee</w:t>
            </w:r>
          </w:p>
        </w:tc>
        <w:tc>
          <w:tcPr>
            <w:tcW w:w="1200" w:type="dxa"/>
            <w:vAlign w:val="bottom"/>
          </w:tcPr>
          <w:p>
            <w:pPr>
              <w:jc w:val="center"/>
              <w:ind w:left="145"/>
              <w:spacing w:after="0"/>
              <w:rPr>
                <w:sz w:val="20"/>
                <w:szCs w:val="20"/>
                <w:color w:val="auto"/>
              </w:rPr>
            </w:pPr>
            <w:r>
              <w:rPr>
                <w:rFonts w:ascii="Arial" w:cs="Arial" w:eastAsia="Arial" w:hAnsi="Arial"/>
                <w:sz w:val="14"/>
                <w:szCs w:val="14"/>
                <w:b w:val="1"/>
                <w:bCs w:val="1"/>
                <w:color w:val="FFFFFF"/>
              </w:rPr>
              <w:t>Committee</w:t>
            </w:r>
          </w:p>
        </w:tc>
        <w:tc>
          <w:tcPr>
            <w:tcW w:w="0" w:type="dxa"/>
            <w:vAlign w:val="bottom"/>
          </w:tcPr>
          <w:p>
            <w:pPr>
              <w:spacing w:after="0"/>
              <w:rPr>
                <w:sz w:val="1"/>
                <w:szCs w:val="1"/>
                <w:color w:val="auto"/>
              </w:rPr>
            </w:pPr>
          </w:p>
        </w:tc>
      </w:tr>
      <w:tr>
        <w:trPr>
          <w:trHeight w:val="229"/>
        </w:trPr>
        <w:tc>
          <w:tcPr>
            <w:tcW w:w="920" w:type="dxa"/>
            <w:vAlign w:val="bottom"/>
            <w:tcBorders>
              <w:right w:val="single" w:sz="8" w:color="007CBA"/>
            </w:tcBorders>
            <w:vMerge w:val="restart"/>
          </w:tcPr>
          <w:p>
            <w:pPr>
              <w:jc w:val="center"/>
              <w:ind w:right="103"/>
              <w:spacing w:after="0"/>
              <w:rPr>
                <w:sz w:val="20"/>
                <w:szCs w:val="20"/>
                <w:color w:val="auto"/>
              </w:rPr>
            </w:pPr>
            <w:r>
              <w:rPr>
                <w:rFonts w:ascii="Arial" w:cs="Arial" w:eastAsia="Arial" w:hAnsi="Arial"/>
                <w:sz w:val="16"/>
                <w:szCs w:val="16"/>
                <w:b w:val="1"/>
                <w:bCs w:val="1"/>
                <w:color w:val="auto"/>
              </w:rPr>
              <w:t>Chair</w:t>
            </w:r>
          </w:p>
        </w:tc>
        <w:tc>
          <w:tcPr>
            <w:tcW w:w="1160" w:type="dxa"/>
            <w:vAlign w:val="bottom"/>
            <w:tcBorders>
              <w:right w:val="single" w:sz="8" w:color="007CBA"/>
            </w:tcBorders>
          </w:tcPr>
          <w:p>
            <w:pPr>
              <w:spacing w:after="0"/>
              <w:rPr>
                <w:sz w:val="19"/>
                <w:szCs w:val="19"/>
                <w:color w:val="auto"/>
              </w:rPr>
            </w:pPr>
          </w:p>
        </w:tc>
        <w:tc>
          <w:tcPr>
            <w:tcW w:w="1360" w:type="dxa"/>
            <w:vAlign w:val="bottom"/>
            <w:tcBorders>
              <w:right w:val="single" w:sz="8" w:color="007CBA"/>
            </w:tcBorders>
          </w:tcPr>
          <w:p>
            <w:pPr>
              <w:spacing w:after="0"/>
              <w:rPr>
                <w:sz w:val="19"/>
                <w:szCs w:val="19"/>
                <w:color w:val="auto"/>
              </w:rPr>
            </w:pPr>
          </w:p>
        </w:tc>
        <w:tc>
          <w:tcPr>
            <w:tcW w:w="1200" w:type="dxa"/>
            <w:vAlign w:val="bottom"/>
          </w:tcPr>
          <w:p>
            <w:pPr>
              <w:jc w:val="center"/>
              <w:ind w:left="145"/>
              <w:spacing w:after="0"/>
              <w:rPr>
                <w:sz w:val="20"/>
                <w:szCs w:val="20"/>
                <w:color w:val="auto"/>
              </w:rPr>
            </w:pPr>
            <w:r>
              <w:rPr>
                <w:rFonts w:ascii="Arial" w:cs="Arial" w:eastAsia="Arial" w:hAnsi="Arial"/>
                <w:sz w:val="16"/>
                <w:szCs w:val="16"/>
                <w:b w:val="1"/>
                <w:bCs w:val="1"/>
                <w:color w:val="auto"/>
              </w:rPr>
              <w:t>Chair</w:t>
            </w:r>
          </w:p>
        </w:tc>
        <w:tc>
          <w:tcPr>
            <w:tcW w:w="0" w:type="dxa"/>
            <w:vAlign w:val="bottom"/>
          </w:tcPr>
          <w:p>
            <w:pPr>
              <w:spacing w:after="0"/>
              <w:rPr>
                <w:sz w:val="1"/>
                <w:szCs w:val="1"/>
                <w:color w:val="auto"/>
              </w:rPr>
            </w:pPr>
          </w:p>
        </w:tc>
      </w:tr>
      <w:tr>
        <w:trPr>
          <w:trHeight w:val="844"/>
        </w:trPr>
        <w:tc>
          <w:tcPr>
            <w:tcW w:w="920" w:type="dxa"/>
            <w:vAlign w:val="bottom"/>
            <w:tcBorders>
              <w:right w:val="single" w:sz="8" w:color="007CBA"/>
            </w:tcBorders>
            <w:vMerge w:val="continue"/>
          </w:tcPr>
          <w:p>
            <w:pPr>
              <w:spacing w:after="0"/>
              <w:rPr>
                <w:sz w:val="24"/>
                <w:szCs w:val="24"/>
                <w:color w:val="auto"/>
              </w:rPr>
            </w:pPr>
          </w:p>
        </w:tc>
        <w:tc>
          <w:tcPr>
            <w:tcW w:w="1160" w:type="dxa"/>
            <w:vAlign w:val="bottom"/>
            <w:tcBorders>
              <w:right w:val="single" w:sz="8" w:color="007CBA"/>
            </w:tcBorders>
          </w:tcPr>
          <w:p>
            <w:pPr>
              <w:spacing w:after="0"/>
              <w:rPr>
                <w:sz w:val="24"/>
                <w:szCs w:val="24"/>
                <w:color w:val="auto"/>
              </w:rPr>
            </w:pPr>
          </w:p>
        </w:tc>
        <w:tc>
          <w:tcPr>
            <w:tcW w:w="1360" w:type="dxa"/>
            <w:vAlign w:val="bottom"/>
            <w:tcBorders>
              <w:right w:val="single" w:sz="8" w:color="007CBA"/>
            </w:tcBorders>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6"/>
        </w:trPr>
        <w:tc>
          <w:tcPr>
            <w:tcW w:w="920" w:type="dxa"/>
            <w:vAlign w:val="bottom"/>
            <w:tcBorders>
              <w:right w:val="single" w:sz="8" w:color="007CBA"/>
            </w:tcBorders>
          </w:tcPr>
          <w:p>
            <w:pPr>
              <w:spacing w:after="0"/>
              <w:rPr>
                <w:sz w:val="24"/>
                <w:szCs w:val="24"/>
                <w:color w:val="auto"/>
              </w:rPr>
            </w:pPr>
          </w:p>
        </w:tc>
        <w:tc>
          <w:tcPr>
            <w:tcW w:w="1160" w:type="dxa"/>
            <w:vAlign w:val="bottom"/>
            <w:tcBorders>
              <w:right w:val="single" w:sz="8" w:color="007CBA"/>
            </w:tcBorders>
          </w:tcPr>
          <w:p>
            <w:pPr>
              <w:spacing w:after="0"/>
              <w:rPr>
                <w:sz w:val="24"/>
                <w:szCs w:val="24"/>
                <w:color w:val="auto"/>
              </w:rPr>
            </w:pPr>
          </w:p>
        </w:tc>
        <w:tc>
          <w:tcPr>
            <w:tcW w:w="1360" w:type="dxa"/>
            <w:vAlign w:val="bottom"/>
            <w:tcBorders>
              <w:right w:val="single" w:sz="8" w:color="007CBA"/>
            </w:tcBorders>
          </w:tcPr>
          <w:p>
            <w:pPr>
              <w:jc w:val="right"/>
              <w:ind w:right="5"/>
              <w:spacing w:after="0"/>
              <w:rPr>
                <w:sz w:val="20"/>
                <w:szCs w:val="20"/>
                <w:color w:val="auto"/>
              </w:rPr>
            </w:pPr>
            <w:r>
              <w:rPr>
                <w:rFonts w:ascii="Arial" w:cs="Arial" w:eastAsia="Arial" w:hAnsi="Arial"/>
                <w:sz w:val="17"/>
                <w:szCs w:val="17"/>
                <w:b w:val="1"/>
                <w:bCs w:val="1"/>
                <w:color w:val="auto"/>
              </w:rPr>
              <w:t>Chair</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4"/>
        </w:trPr>
        <w:tc>
          <w:tcPr>
            <w:tcW w:w="920" w:type="dxa"/>
            <w:vAlign w:val="bottom"/>
            <w:tcBorders>
              <w:right w:val="single" w:sz="8" w:color="007CBA"/>
            </w:tcBorders>
          </w:tcPr>
          <w:p>
            <w:pPr>
              <w:spacing w:after="0"/>
              <w:rPr>
                <w:sz w:val="24"/>
                <w:szCs w:val="24"/>
                <w:color w:val="auto"/>
              </w:rPr>
            </w:pPr>
          </w:p>
        </w:tc>
        <w:tc>
          <w:tcPr>
            <w:tcW w:w="1160" w:type="dxa"/>
            <w:vAlign w:val="bottom"/>
            <w:tcBorders>
              <w:right w:val="single" w:sz="8" w:color="007CBA"/>
            </w:tcBorders>
          </w:tcPr>
          <w:p>
            <w:pPr>
              <w:jc w:val="center"/>
              <w:spacing w:after="0"/>
              <w:rPr>
                <w:sz w:val="20"/>
                <w:szCs w:val="20"/>
                <w:color w:val="auto"/>
              </w:rPr>
            </w:pPr>
            <w:r>
              <w:rPr>
                <w:rFonts w:ascii="Arial" w:cs="Arial" w:eastAsia="Arial" w:hAnsi="Arial"/>
                <w:sz w:val="16"/>
                <w:szCs w:val="16"/>
                <w:b w:val="1"/>
                <w:bCs w:val="1"/>
                <w:color w:val="auto"/>
              </w:rPr>
              <w:t>Chair</w:t>
            </w:r>
          </w:p>
        </w:tc>
        <w:tc>
          <w:tcPr>
            <w:tcW w:w="1360" w:type="dxa"/>
            <w:vAlign w:val="bottom"/>
            <w:tcBorders>
              <w:right w:val="single" w:sz="8" w:color="007CBA"/>
            </w:tcBorders>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920" w:type="dxa"/>
            <w:vAlign w:val="bottom"/>
            <w:tcBorders>
              <w:right w:val="single" w:sz="8" w:color="007CBA"/>
            </w:tcBorders>
          </w:tcPr>
          <w:p>
            <w:pPr>
              <w:spacing w:after="0"/>
              <w:rPr>
                <w:sz w:val="6"/>
                <w:szCs w:val="6"/>
                <w:color w:val="auto"/>
              </w:rPr>
            </w:pPr>
          </w:p>
        </w:tc>
        <w:tc>
          <w:tcPr>
            <w:tcW w:w="1160" w:type="dxa"/>
            <w:vAlign w:val="bottom"/>
            <w:tcBorders>
              <w:right w:val="single" w:sz="8" w:color="007CBA"/>
            </w:tcBorders>
          </w:tcPr>
          <w:p>
            <w:pPr>
              <w:spacing w:after="0"/>
              <w:rPr>
                <w:sz w:val="6"/>
                <w:szCs w:val="6"/>
                <w:color w:val="auto"/>
              </w:rPr>
            </w:pPr>
          </w:p>
        </w:tc>
        <w:tc>
          <w:tcPr>
            <w:tcW w:w="1360" w:type="dxa"/>
            <w:vAlign w:val="bottom"/>
            <w:tcBorders>
              <w:right w:val="single" w:sz="8" w:color="007CBA"/>
            </w:tcBorders>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3"/>
        </w:trPr>
        <w:tc>
          <w:tcPr>
            <w:tcW w:w="920" w:type="dxa"/>
            <w:vAlign w:val="bottom"/>
          </w:tcPr>
          <w:p>
            <w:pPr>
              <w:jc w:val="center"/>
              <w:ind w:right="103"/>
              <w:spacing w:after="0"/>
              <w:rPr>
                <w:sz w:val="20"/>
                <w:szCs w:val="20"/>
                <w:color w:val="auto"/>
              </w:rPr>
            </w:pPr>
            <w:r>
              <w:rPr>
                <w:rFonts w:ascii="Arial" w:cs="Arial" w:eastAsia="Arial" w:hAnsi="Arial"/>
                <w:sz w:val="16"/>
                <w:szCs w:val="16"/>
                <w:b w:val="1"/>
                <w:bCs w:val="1"/>
                <w:color w:val="FFFFFF"/>
              </w:rPr>
              <w:t>0</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FFFFFF"/>
                <w:w w:val="89"/>
              </w:rPr>
              <w:t>5</w:t>
            </w:r>
          </w:p>
        </w:tc>
        <w:tc>
          <w:tcPr>
            <w:tcW w:w="1360" w:type="dxa"/>
            <w:vAlign w:val="bottom"/>
          </w:tcPr>
          <w:p>
            <w:pPr>
              <w:jc w:val="right"/>
              <w:ind w:right="505"/>
              <w:spacing w:after="0"/>
              <w:rPr>
                <w:sz w:val="20"/>
                <w:szCs w:val="20"/>
                <w:color w:val="auto"/>
              </w:rPr>
            </w:pPr>
            <w:r>
              <w:rPr>
                <w:rFonts w:ascii="Arial" w:cs="Arial" w:eastAsia="Arial" w:hAnsi="Arial"/>
                <w:sz w:val="16"/>
                <w:szCs w:val="16"/>
                <w:b w:val="1"/>
                <w:bCs w:val="1"/>
                <w:color w:val="FFFFFF"/>
              </w:rPr>
              <w:t>6</w:t>
            </w:r>
          </w:p>
        </w:tc>
        <w:tc>
          <w:tcPr>
            <w:tcW w:w="1200" w:type="dxa"/>
            <w:vAlign w:val="bottom"/>
          </w:tcPr>
          <w:p>
            <w:pPr>
              <w:jc w:val="center"/>
              <w:ind w:left="145"/>
              <w:spacing w:after="0"/>
              <w:rPr>
                <w:sz w:val="20"/>
                <w:szCs w:val="20"/>
                <w:color w:val="auto"/>
              </w:rPr>
            </w:pPr>
            <w:r>
              <w:rPr>
                <w:rFonts w:ascii="Arial" w:cs="Arial" w:eastAsia="Arial" w:hAnsi="Arial"/>
                <w:sz w:val="16"/>
                <w:szCs w:val="16"/>
                <w:b w:val="1"/>
                <w:bCs w:val="1"/>
                <w:color w:val="FFFFFF"/>
              </w:rPr>
              <w:t>3</w:t>
            </w:r>
          </w:p>
        </w:tc>
        <w:tc>
          <w:tcPr>
            <w:tcW w:w="0" w:type="dxa"/>
            <w:vAlign w:val="bottom"/>
          </w:tcPr>
          <w:p>
            <w:pPr>
              <w:spacing w:after="0"/>
              <w:rPr>
                <w:sz w:val="1"/>
                <w:szCs w:val="1"/>
                <w:color w:val="auto"/>
              </w:rPr>
            </w:pPr>
          </w:p>
        </w:tc>
      </w:tr>
    </w:tbl>
    <w:p>
      <w:pPr>
        <w:spacing w:after="0" w:line="294" w:lineRule="exact"/>
        <w:rPr>
          <w:sz w:val="20"/>
          <w:szCs w:val="20"/>
          <w:color w:val="auto"/>
        </w:rPr>
      </w:pPr>
    </w:p>
    <w:p>
      <w:pPr>
        <w:sectPr>
          <w:pgSz w:w="11900" w:h="16838" w:orient="portrait"/>
          <w:cols w:equalWidth="0" w:num="2">
            <w:col w:w="6280" w:space="140"/>
            <w:col w:w="4800"/>
          </w:cols>
          <w:pgMar w:left="240" w:top="455" w:right="439" w:bottom="1440" w:gutter="0" w:footer="0" w:header="0"/>
          <w:type w:val="continuous"/>
        </w:sectPr>
      </w:pPr>
    </w:p>
    <w:p>
      <w:pPr>
        <w:spacing w:after="0" w:line="31" w:lineRule="exact"/>
        <w:rPr>
          <w:sz w:val="20"/>
          <w:szCs w:val="20"/>
          <w:color w:val="auto"/>
        </w:rPr>
      </w:pPr>
    </w:p>
    <w:p>
      <w:pPr>
        <w:jc w:val="both"/>
        <w:ind w:left="220"/>
        <w:spacing w:after="0" w:line="258"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Executive Committee</w:t>
      </w:r>
      <w:r>
        <w:rPr>
          <w:rFonts w:ascii="Arial" w:cs="Arial" w:eastAsia="Arial" w:hAnsi="Arial"/>
          <w:sz w:val="16"/>
          <w:szCs w:val="16"/>
          <w:color w:val="auto"/>
        </w:rPr>
        <w:t xml:space="preserve"> held no meetings during 2017. It has the authority to act during the intervals between the meetings of the Board of Directors and may exercise the powers of the Board in the management of the business and affairs of Martin Marietta as may be authorized by the Board of Directors,</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except to the extent such powers are by statute, the Articles of Incorporation or Bylaws reserved to the full Board. The Committee’s current members are Directors Nye (Chair), Koraleski, and Quillen.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-259715</wp:posOffset>
            </wp:positionH>
            <wp:positionV relativeFrom="paragraph">
              <wp:posOffset>407670</wp:posOffset>
            </wp:positionV>
            <wp:extent cx="411480" cy="2489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568" w:lineRule="exact"/>
        <w:rPr>
          <w:sz w:val="20"/>
          <w:szCs w:val="20"/>
          <w:color w:val="auto"/>
        </w:rPr>
      </w:pPr>
    </w:p>
    <w:p>
      <w:pPr>
        <w:sectPr>
          <w:pgSz w:w="11900" w:h="16838" w:orient="portrait"/>
          <w:cols w:equalWidth="0" w:num="2">
            <w:col w:w="5500" w:space="320"/>
            <w:col w:w="5400"/>
          </w:cols>
          <w:pgMar w:left="240" w:top="455" w:right="439" w:bottom="1440" w:gutter="0" w:footer="0" w:header="0"/>
          <w:type w:val="continuous"/>
        </w:sectPr>
      </w:pPr>
    </w:p>
    <w:p>
      <w:pPr>
        <w:spacing w:after="0" w:line="90" w:lineRule="exact"/>
        <w:rPr>
          <w:sz w:val="20"/>
          <w:szCs w:val="20"/>
          <w:color w:val="auto"/>
        </w:rPr>
      </w:pPr>
    </w:p>
    <w:tbl>
      <w:tblPr>
        <w:tblLayout w:type="fixed"/>
        <w:tblInd w:w="9260" w:type="dxa"/>
        <w:tblCellMar>
          <w:top w:w="0" w:type="dxa"/>
          <w:left w:w="0" w:type="dxa"/>
          <w:bottom w:w="0" w:type="dxa"/>
          <w:right w:w="0" w:type="dxa"/>
        </w:tblCellMar>
      </w:tblPr>
      <w:tr>
        <w:trPr>
          <w:trHeight w:val="178"/>
        </w:trPr>
        <w:tc>
          <w:tcPr>
            <w:tcW w:w="1680" w:type="dxa"/>
            <w:vAlign w:val="bottom"/>
          </w:tcPr>
          <w:p>
            <w:pPr>
              <w:spacing w:after="0"/>
              <w:rPr>
                <w:sz w:val="20"/>
                <w:szCs w:val="20"/>
                <w:color w:val="auto"/>
              </w:rPr>
            </w:pPr>
            <w:r>
              <w:rPr>
                <w:rFonts w:ascii="Arial" w:cs="Arial" w:eastAsia="Arial" w:hAnsi="Arial"/>
                <w:sz w:val="13"/>
                <w:szCs w:val="13"/>
                <w:color w:val="007CBA"/>
              </w:rPr>
              <w:t>2018 PROXY STATEMENT</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rPr>
              <w:t>21</w:t>
            </w:r>
          </w:p>
        </w:tc>
      </w:tr>
    </w:tbl>
    <w:p>
      <w:pPr>
        <w:sectPr>
          <w:pgSz w:w="11900" w:h="16838" w:orient="portrait"/>
          <w:cols w:equalWidth="0" w:num="1">
            <w:col w:w="11220"/>
          </w:cols>
          <w:pgMar w:left="240" w:top="455" w:right="439" w:bottom="1440" w:gutter="0" w:footer="0" w:header="0"/>
          <w:type w:val="continuous"/>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64" w:lineRule="exact"/>
        <w:rPr>
          <w:sz w:val="20"/>
          <w:szCs w:val="20"/>
          <w:color w:val="auto"/>
        </w:rPr>
      </w:pPr>
    </w:p>
    <w:p>
      <w:pPr>
        <w:ind w:left="200"/>
        <w:spacing w:after="0" w:line="288" w:lineRule="exact"/>
        <w:rPr>
          <w:sz w:val="20"/>
          <w:szCs w:val="20"/>
          <w:color w:val="auto"/>
        </w:rPr>
      </w:pPr>
      <w:r>
        <w:rPr>
          <w:rFonts w:ascii="Arial" w:cs="Arial" w:eastAsia="Arial" w:hAnsi="Arial"/>
          <w:sz w:val="14"/>
          <w:szCs w:val="14"/>
          <w:color w:val="007CBA"/>
        </w:rPr>
        <w:t xml:space="preserve">Corporate Governance Matters </w:t>
      </w:r>
      <w:r>
        <w:rPr>
          <w:rFonts w:ascii="MS PGothic" w:cs="MS PGothic" w:eastAsia="MS PGothic" w:hAnsi="MS PGothic"/>
          <w:sz w:val="25"/>
          <w:szCs w:val="25"/>
          <w:color w:val="007CBA"/>
        </w:rPr>
        <w:t>◆</w:t>
      </w:r>
      <w:r>
        <w:rPr>
          <w:rFonts w:ascii="Arial" w:cs="Arial" w:eastAsia="Arial" w:hAnsi="Arial"/>
          <w:sz w:val="14"/>
          <w:szCs w:val="14"/>
          <w:color w:val="007CBA"/>
        </w:rPr>
        <w:t xml:space="preserve"> </w:t>
      </w:r>
      <w:r>
        <w:rPr>
          <w:rFonts w:ascii="Arial" w:cs="Arial" w:eastAsia="Arial" w:hAnsi="Arial"/>
          <w:sz w:val="14"/>
          <w:szCs w:val="14"/>
          <w:color w:val="000000"/>
        </w:rPr>
        <w:t>Board Committees</w:t>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primary responsibilities, membership and meeting information for our other standing committees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328930</wp:posOffset>
            </wp:positionV>
            <wp:extent cx="5977255" cy="51625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977255" cy="5162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1020" w:type="dxa"/>
        <w:tblCellMar>
          <w:top w:w="0" w:type="dxa"/>
          <w:left w:w="0" w:type="dxa"/>
          <w:bottom w:w="0" w:type="dxa"/>
          <w:right w:w="0" w:type="dxa"/>
        </w:tblCellMar>
      </w:tblPr>
      <w:tr>
        <w:trPr>
          <w:trHeight w:val="184"/>
        </w:trPr>
        <w:tc>
          <w:tcPr>
            <w:tcW w:w="3300" w:type="dxa"/>
            <w:vAlign w:val="bottom"/>
            <w:tcBorders>
              <w:right w:val="single" w:sz="8" w:color="007CBA"/>
            </w:tcBorders>
          </w:tcPr>
          <w:p>
            <w:pPr>
              <w:ind w:left="220"/>
              <w:spacing w:after="0"/>
              <w:rPr>
                <w:sz w:val="20"/>
                <w:szCs w:val="20"/>
                <w:color w:val="auto"/>
              </w:rPr>
            </w:pPr>
            <w:r>
              <w:rPr>
                <w:rFonts w:ascii="Arial" w:cs="Arial" w:eastAsia="Arial" w:hAnsi="Arial"/>
                <w:sz w:val="16"/>
                <w:szCs w:val="16"/>
                <w:b w:val="1"/>
                <w:bCs w:val="1"/>
                <w:i w:val="1"/>
                <w:iCs w:val="1"/>
                <w:color w:val="007CBA"/>
              </w:rPr>
              <w:t>Current Members:</w:t>
            </w:r>
          </w:p>
        </w:tc>
        <w:tc>
          <w:tcPr>
            <w:tcW w:w="3100" w:type="dxa"/>
            <w:vAlign w:val="bottom"/>
            <w:tcBorders>
              <w:right w:val="single" w:sz="8" w:color="007CBA"/>
            </w:tcBorders>
          </w:tcPr>
          <w:p>
            <w:pPr>
              <w:spacing w:after="0"/>
              <w:rPr>
                <w:sz w:val="16"/>
                <w:szCs w:val="16"/>
                <w:color w:val="auto"/>
              </w:rPr>
            </w:pPr>
          </w:p>
        </w:tc>
        <w:tc>
          <w:tcPr>
            <w:tcW w:w="3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00" w:type="dxa"/>
            <w:vAlign w:val="bottom"/>
            <w:tcBorders>
              <w:right w:val="single" w:sz="8" w:color="007CBA"/>
            </w:tcBorders>
          </w:tcPr>
          <w:p>
            <w:pPr>
              <w:ind w:left="220"/>
              <w:spacing w:after="0"/>
              <w:rPr>
                <w:sz w:val="20"/>
                <w:szCs w:val="20"/>
                <w:color w:val="auto"/>
              </w:rPr>
            </w:pPr>
            <w:r>
              <w:rPr>
                <w:rFonts w:ascii="Arial" w:cs="Arial" w:eastAsia="Arial" w:hAnsi="Arial"/>
                <w:sz w:val="16"/>
                <w:szCs w:val="16"/>
                <w:color w:val="auto"/>
              </w:rPr>
              <w:t>David G. Maffucci (Chair)</w:t>
            </w:r>
          </w:p>
        </w:tc>
        <w:tc>
          <w:tcPr>
            <w:tcW w:w="3100" w:type="dxa"/>
            <w:vAlign w:val="bottom"/>
            <w:tcBorders>
              <w:right w:val="single" w:sz="8" w:color="007CBA"/>
            </w:tcBorders>
            <w:vMerge w:val="restart"/>
          </w:tcPr>
          <w:p>
            <w:pPr>
              <w:jc w:val="center"/>
              <w:spacing w:after="0"/>
              <w:rPr>
                <w:sz w:val="20"/>
                <w:szCs w:val="20"/>
                <w:color w:val="auto"/>
              </w:rPr>
            </w:pPr>
            <w:r>
              <w:rPr>
                <w:rFonts w:ascii="Arial" w:cs="Arial" w:eastAsia="Arial" w:hAnsi="Arial"/>
                <w:sz w:val="16"/>
                <w:szCs w:val="16"/>
                <w:b w:val="1"/>
                <w:bCs w:val="1"/>
                <w:i w:val="1"/>
                <w:iCs w:val="1"/>
                <w:color w:val="007CBA"/>
              </w:rPr>
              <w:t>Meetings in 2017:</w:t>
            </w:r>
          </w:p>
        </w:tc>
        <w:tc>
          <w:tcPr>
            <w:tcW w:w="3020" w:type="dxa"/>
            <w:vAlign w:val="bottom"/>
            <w:vMerge w:val="restart"/>
          </w:tcPr>
          <w:p>
            <w:pPr>
              <w:jc w:val="center"/>
              <w:spacing w:after="0"/>
              <w:rPr>
                <w:sz w:val="20"/>
                <w:szCs w:val="20"/>
                <w:color w:val="auto"/>
              </w:rPr>
            </w:pPr>
            <w:r>
              <w:rPr>
                <w:rFonts w:ascii="Arial" w:cs="Arial" w:eastAsia="Arial" w:hAnsi="Arial"/>
                <w:sz w:val="16"/>
                <w:szCs w:val="16"/>
                <w:b w:val="1"/>
                <w:bCs w:val="1"/>
                <w:i w:val="1"/>
                <w:iCs w:val="1"/>
                <w:color w:val="007CBA"/>
              </w:rPr>
              <w:t>Average Attendance in 2017:</w:t>
            </w:r>
          </w:p>
        </w:tc>
        <w:tc>
          <w:tcPr>
            <w:tcW w:w="0" w:type="dxa"/>
            <w:vAlign w:val="bottom"/>
          </w:tcPr>
          <w:p>
            <w:pPr>
              <w:spacing w:after="0"/>
              <w:rPr>
                <w:sz w:val="1"/>
                <w:szCs w:val="1"/>
                <w:color w:val="auto"/>
              </w:rPr>
            </w:pPr>
          </w:p>
        </w:tc>
      </w:tr>
      <w:tr>
        <w:trPr>
          <w:trHeight w:val="95"/>
        </w:trPr>
        <w:tc>
          <w:tcPr>
            <w:tcW w:w="3300" w:type="dxa"/>
            <w:vAlign w:val="bottom"/>
            <w:tcBorders>
              <w:right w:val="single" w:sz="8" w:color="007CBA"/>
            </w:tcBorders>
            <w:vMerge w:val="restart"/>
          </w:tcPr>
          <w:p>
            <w:pPr>
              <w:ind w:left="220"/>
              <w:spacing w:after="0"/>
              <w:rPr>
                <w:sz w:val="20"/>
                <w:szCs w:val="20"/>
                <w:color w:val="auto"/>
              </w:rPr>
            </w:pPr>
            <w:r>
              <w:rPr>
                <w:rFonts w:ascii="Arial" w:cs="Arial" w:eastAsia="Arial" w:hAnsi="Arial"/>
                <w:sz w:val="16"/>
                <w:szCs w:val="16"/>
                <w:color w:val="auto"/>
              </w:rPr>
              <w:t>John J. Koraleski</w:t>
            </w:r>
          </w:p>
        </w:tc>
        <w:tc>
          <w:tcPr>
            <w:tcW w:w="3100" w:type="dxa"/>
            <w:vAlign w:val="bottom"/>
            <w:tcBorders>
              <w:right w:val="single" w:sz="8" w:color="007CBA"/>
            </w:tcBorders>
            <w:vMerge w:val="continue"/>
          </w:tcPr>
          <w:p>
            <w:pPr>
              <w:spacing w:after="0"/>
              <w:rPr>
                <w:sz w:val="8"/>
                <w:szCs w:val="8"/>
                <w:color w:val="auto"/>
              </w:rPr>
            </w:pPr>
          </w:p>
        </w:tc>
        <w:tc>
          <w:tcPr>
            <w:tcW w:w="3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300" w:type="dxa"/>
            <w:vAlign w:val="bottom"/>
            <w:tcBorders>
              <w:right w:val="single" w:sz="8" w:color="007CBA"/>
            </w:tcBorders>
            <w:vMerge w:val="continue"/>
          </w:tcPr>
          <w:p>
            <w:pPr>
              <w:spacing w:after="0"/>
              <w:rPr>
                <w:sz w:val="8"/>
                <w:szCs w:val="8"/>
                <w:color w:val="auto"/>
              </w:rPr>
            </w:pPr>
          </w:p>
        </w:tc>
        <w:tc>
          <w:tcPr>
            <w:tcW w:w="3100" w:type="dxa"/>
            <w:vAlign w:val="bottom"/>
            <w:tcBorders>
              <w:right w:val="single" w:sz="8" w:color="007CBA"/>
            </w:tcBorders>
            <w:vMerge w:val="restart"/>
          </w:tcPr>
          <w:p>
            <w:pPr>
              <w:jc w:val="right"/>
              <w:ind w:right="1399"/>
              <w:spacing w:after="0"/>
              <w:rPr>
                <w:sz w:val="20"/>
                <w:szCs w:val="20"/>
                <w:color w:val="auto"/>
              </w:rPr>
            </w:pPr>
            <w:r>
              <w:rPr>
                <w:rFonts w:ascii="Arial" w:cs="Arial" w:eastAsia="Arial" w:hAnsi="Arial"/>
                <w:sz w:val="16"/>
                <w:szCs w:val="16"/>
                <w:color w:val="auto"/>
              </w:rPr>
              <w:t>8</w:t>
            </w:r>
          </w:p>
        </w:tc>
        <w:tc>
          <w:tcPr>
            <w:tcW w:w="3020" w:type="dxa"/>
            <w:vAlign w:val="bottom"/>
            <w:vMerge w:val="restart"/>
          </w:tcPr>
          <w:p>
            <w:pPr>
              <w:jc w:val="right"/>
              <w:ind w:right="1199"/>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24"/>
        </w:trPr>
        <w:tc>
          <w:tcPr>
            <w:tcW w:w="3300" w:type="dxa"/>
            <w:vAlign w:val="bottom"/>
            <w:tcBorders>
              <w:right w:val="single" w:sz="8" w:color="007CBA"/>
            </w:tcBorders>
            <w:vMerge w:val="restart"/>
          </w:tcPr>
          <w:p>
            <w:pPr>
              <w:ind w:left="220"/>
              <w:spacing w:after="0"/>
              <w:rPr>
                <w:sz w:val="20"/>
                <w:szCs w:val="20"/>
                <w:color w:val="auto"/>
              </w:rPr>
            </w:pPr>
            <w:r>
              <w:rPr>
                <w:rFonts w:ascii="Arial" w:cs="Arial" w:eastAsia="Arial" w:hAnsi="Arial"/>
                <w:sz w:val="16"/>
                <w:szCs w:val="16"/>
                <w:color w:val="auto"/>
              </w:rPr>
              <w:t>Laree E. Perez</w:t>
            </w:r>
          </w:p>
        </w:tc>
        <w:tc>
          <w:tcPr>
            <w:tcW w:w="3100" w:type="dxa"/>
            <w:vAlign w:val="bottom"/>
            <w:tcBorders>
              <w:right w:val="single" w:sz="8" w:color="007CBA"/>
            </w:tcBorders>
            <w:vMerge w:val="continue"/>
          </w:tcPr>
          <w:p>
            <w:pPr>
              <w:spacing w:after="0"/>
              <w:rPr>
                <w:sz w:val="10"/>
                <w:szCs w:val="10"/>
                <w:color w:val="auto"/>
              </w:rPr>
            </w:pPr>
          </w:p>
        </w:tc>
        <w:tc>
          <w:tcPr>
            <w:tcW w:w="3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3300" w:type="dxa"/>
            <w:vAlign w:val="bottom"/>
            <w:tcBorders>
              <w:right w:val="single" w:sz="8" w:color="007CBA"/>
            </w:tcBorders>
            <w:vMerge w:val="continue"/>
          </w:tcPr>
          <w:p>
            <w:pPr>
              <w:spacing w:after="0"/>
              <w:rPr>
                <w:sz w:val="5"/>
                <w:szCs w:val="5"/>
                <w:color w:val="auto"/>
              </w:rPr>
            </w:pPr>
          </w:p>
        </w:tc>
        <w:tc>
          <w:tcPr>
            <w:tcW w:w="3100" w:type="dxa"/>
            <w:vAlign w:val="bottom"/>
            <w:tcBorders>
              <w:right w:val="single" w:sz="8" w:color="007CBA"/>
            </w:tcBorders>
          </w:tcPr>
          <w:p>
            <w:pPr>
              <w:spacing w:after="0"/>
              <w:rPr>
                <w:sz w:val="5"/>
                <w:szCs w:val="5"/>
                <w:color w:val="auto"/>
              </w:rPr>
            </w:pPr>
          </w:p>
        </w:tc>
        <w:tc>
          <w:tcPr>
            <w:tcW w:w="3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3300" w:type="dxa"/>
            <w:vAlign w:val="bottom"/>
            <w:tcBorders>
              <w:bottom w:val="single" w:sz="8" w:color="007CBA"/>
              <w:right w:val="single" w:sz="8" w:color="007CBA"/>
            </w:tcBorders>
          </w:tcPr>
          <w:p>
            <w:pPr>
              <w:ind w:left="220"/>
              <w:spacing w:after="0"/>
              <w:rPr>
                <w:sz w:val="20"/>
                <w:szCs w:val="20"/>
                <w:color w:val="auto"/>
              </w:rPr>
            </w:pPr>
            <w:r>
              <w:rPr>
                <w:rFonts w:ascii="Arial" w:cs="Arial" w:eastAsia="Arial" w:hAnsi="Arial"/>
                <w:sz w:val="16"/>
                <w:szCs w:val="16"/>
                <w:color w:val="auto"/>
              </w:rPr>
              <w:t>Dennis L. Rediker</w:t>
            </w:r>
          </w:p>
        </w:tc>
        <w:tc>
          <w:tcPr>
            <w:tcW w:w="3100" w:type="dxa"/>
            <w:vAlign w:val="bottom"/>
            <w:tcBorders>
              <w:bottom w:val="single" w:sz="8" w:color="007CBA"/>
              <w:right w:val="single" w:sz="8" w:color="007CBA"/>
            </w:tcBorders>
          </w:tcPr>
          <w:p>
            <w:pPr>
              <w:spacing w:after="0"/>
              <w:rPr>
                <w:sz w:val="19"/>
                <w:szCs w:val="19"/>
                <w:color w:val="auto"/>
              </w:rPr>
            </w:pPr>
          </w:p>
        </w:tc>
        <w:tc>
          <w:tcPr>
            <w:tcW w:w="3020" w:type="dxa"/>
            <w:vAlign w:val="bottom"/>
            <w:tcBorders>
              <w:bottom w:val="single" w:sz="8" w:color="007CBA"/>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300" w:type="dxa"/>
            <w:vAlign w:val="bottom"/>
          </w:tcPr>
          <w:p>
            <w:pPr>
              <w:ind w:left="220"/>
              <w:spacing w:after="0"/>
              <w:rPr>
                <w:sz w:val="20"/>
                <w:szCs w:val="20"/>
                <w:color w:val="auto"/>
              </w:rPr>
            </w:pPr>
            <w:r>
              <w:rPr>
                <w:rFonts w:ascii="Arial" w:cs="Arial" w:eastAsia="Arial" w:hAnsi="Arial"/>
                <w:sz w:val="16"/>
                <w:szCs w:val="16"/>
                <w:b w:val="1"/>
                <w:bCs w:val="1"/>
                <w:i w:val="1"/>
                <w:iCs w:val="1"/>
                <w:color w:val="007CBA"/>
              </w:rPr>
              <w:t>Primary Responsibilities:</w:t>
            </w:r>
          </w:p>
        </w:tc>
        <w:tc>
          <w:tcPr>
            <w:tcW w:w="31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1500" w:right="740" w:hanging="247"/>
        <w:spacing w:after="0" w:line="291" w:lineRule="auto"/>
        <w:tabs>
          <w:tab w:leader="none" w:pos="1459" w:val="left"/>
        </w:tabs>
        <w:numPr>
          <w:ilvl w:val="0"/>
          <w:numId w:val="49"/>
        </w:numPr>
        <w:rPr>
          <w:rFonts w:ascii="Arial" w:cs="Arial" w:eastAsia="Arial" w:hAnsi="Arial"/>
          <w:sz w:val="16"/>
          <w:szCs w:val="16"/>
          <w:color w:val="007CBA"/>
        </w:rPr>
      </w:pPr>
      <w:r>
        <w:rPr>
          <w:rFonts w:ascii="Arial" w:cs="Arial" w:eastAsia="Arial" w:hAnsi="Arial"/>
          <w:sz w:val="16"/>
          <w:szCs w:val="16"/>
          <w:color w:val="auto"/>
        </w:rPr>
        <w:t>reviews our significant accounting principles, policies and practices in reporting our financial results under generally accepted accounting principles;</w:t>
      </w:r>
    </w:p>
    <w:p>
      <w:pPr>
        <w:spacing w:after="0" w:line="13" w:lineRule="exact"/>
        <w:rPr>
          <w:rFonts w:ascii="Arial" w:cs="Arial" w:eastAsia="Arial" w:hAnsi="Arial"/>
          <w:sz w:val="16"/>
          <w:szCs w:val="16"/>
          <w:color w:val="007CBA"/>
        </w:rPr>
      </w:pPr>
    </w:p>
    <w:p>
      <w:pPr>
        <w:ind w:left="1460" w:hanging="207"/>
        <w:spacing w:after="0"/>
        <w:tabs>
          <w:tab w:leader="none" w:pos="1460" w:val="left"/>
        </w:tabs>
        <w:numPr>
          <w:ilvl w:val="0"/>
          <w:numId w:val="49"/>
        </w:numPr>
        <w:rPr>
          <w:rFonts w:ascii="Arial" w:cs="Arial" w:eastAsia="Arial" w:hAnsi="Arial"/>
          <w:sz w:val="16"/>
          <w:szCs w:val="16"/>
          <w:color w:val="007CBA"/>
        </w:rPr>
      </w:pPr>
      <w:r>
        <w:rPr>
          <w:rFonts w:ascii="Arial" w:cs="Arial" w:eastAsia="Arial" w:hAnsi="Arial"/>
          <w:sz w:val="16"/>
          <w:szCs w:val="16"/>
          <w:color w:val="auto"/>
        </w:rPr>
        <w:t>reviews our annual audited financial statements and related disclosures;</w:t>
      </w:r>
    </w:p>
    <w:p>
      <w:pPr>
        <w:spacing w:after="0" w:line="86" w:lineRule="exact"/>
        <w:rPr>
          <w:rFonts w:ascii="Arial" w:cs="Arial" w:eastAsia="Arial" w:hAnsi="Arial"/>
          <w:sz w:val="16"/>
          <w:szCs w:val="16"/>
          <w:color w:val="007CBA"/>
        </w:rPr>
      </w:pPr>
    </w:p>
    <w:p>
      <w:pPr>
        <w:ind w:left="1460" w:hanging="207"/>
        <w:spacing w:after="0"/>
        <w:tabs>
          <w:tab w:leader="none" w:pos="1460" w:val="left"/>
        </w:tabs>
        <w:numPr>
          <w:ilvl w:val="0"/>
          <w:numId w:val="49"/>
        </w:numPr>
        <w:rPr>
          <w:rFonts w:ascii="Arial" w:cs="Arial" w:eastAsia="Arial" w:hAnsi="Arial"/>
          <w:sz w:val="16"/>
          <w:szCs w:val="16"/>
          <w:color w:val="007CBA"/>
        </w:rPr>
      </w:pPr>
      <w:r>
        <w:rPr>
          <w:rFonts w:ascii="Arial" w:cs="Arial" w:eastAsia="Arial" w:hAnsi="Arial"/>
          <w:sz w:val="16"/>
          <w:szCs w:val="16"/>
          <w:color w:val="auto"/>
        </w:rPr>
        <w:t>reviews management letters or internal control reports, and reviews our system of internal control over financial reporting;</w:t>
      </w:r>
    </w:p>
    <w:p>
      <w:pPr>
        <w:spacing w:after="0" w:line="86" w:lineRule="exact"/>
        <w:rPr>
          <w:rFonts w:ascii="Arial" w:cs="Arial" w:eastAsia="Arial" w:hAnsi="Arial"/>
          <w:sz w:val="16"/>
          <w:szCs w:val="16"/>
          <w:color w:val="007CBA"/>
        </w:rPr>
      </w:pPr>
    </w:p>
    <w:p>
      <w:pPr>
        <w:ind w:left="1460" w:hanging="207"/>
        <w:spacing w:after="0"/>
        <w:tabs>
          <w:tab w:leader="none" w:pos="1460" w:val="left"/>
        </w:tabs>
        <w:numPr>
          <w:ilvl w:val="0"/>
          <w:numId w:val="49"/>
        </w:numPr>
        <w:rPr>
          <w:rFonts w:ascii="Arial" w:cs="Arial" w:eastAsia="Arial" w:hAnsi="Arial"/>
          <w:sz w:val="16"/>
          <w:szCs w:val="16"/>
          <w:color w:val="007CBA"/>
        </w:rPr>
      </w:pPr>
      <w:r>
        <w:rPr>
          <w:rFonts w:ascii="Arial" w:cs="Arial" w:eastAsia="Arial" w:hAnsi="Arial"/>
          <w:sz w:val="16"/>
          <w:szCs w:val="16"/>
          <w:color w:val="auto"/>
        </w:rPr>
        <w:t>appoints, retains and oversees the work of the independent accountants;</w:t>
      </w:r>
    </w:p>
    <w:p>
      <w:pPr>
        <w:spacing w:after="0" w:line="86" w:lineRule="exact"/>
        <w:rPr>
          <w:rFonts w:ascii="Arial" w:cs="Arial" w:eastAsia="Arial" w:hAnsi="Arial"/>
          <w:sz w:val="16"/>
          <w:szCs w:val="16"/>
          <w:color w:val="007CBA"/>
        </w:rPr>
      </w:pPr>
    </w:p>
    <w:p>
      <w:pPr>
        <w:ind w:left="1460" w:hanging="207"/>
        <w:spacing w:after="0"/>
        <w:tabs>
          <w:tab w:leader="none" w:pos="1460" w:val="left"/>
        </w:tabs>
        <w:numPr>
          <w:ilvl w:val="0"/>
          <w:numId w:val="49"/>
        </w:numPr>
        <w:rPr>
          <w:rFonts w:ascii="Arial" w:cs="Arial" w:eastAsia="Arial" w:hAnsi="Arial"/>
          <w:sz w:val="16"/>
          <w:szCs w:val="16"/>
          <w:color w:val="007CBA"/>
        </w:rPr>
      </w:pPr>
      <w:r>
        <w:rPr>
          <w:rFonts w:ascii="Arial" w:cs="Arial" w:eastAsia="Arial" w:hAnsi="Arial"/>
          <w:sz w:val="16"/>
          <w:szCs w:val="16"/>
          <w:color w:val="auto"/>
        </w:rPr>
        <w:t>reviews the effectiveness of the independent audit effort;</w:t>
      </w:r>
    </w:p>
    <w:p>
      <w:pPr>
        <w:spacing w:after="0" w:line="86" w:lineRule="exact"/>
        <w:rPr>
          <w:rFonts w:ascii="Arial" w:cs="Arial" w:eastAsia="Arial" w:hAnsi="Arial"/>
          <w:sz w:val="16"/>
          <w:szCs w:val="16"/>
          <w:color w:val="007CBA"/>
        </w:rPr>
      </w:pPr>
    </w:p>
    <w:p>
      <w:pPr>
        <w:ind w:left="1460" w:hanging="207"/>
        <w:spacing w:after="0"/>
        <w:tabs>
          <w:tab w:leader="none" w:pos="1460" w:val="left"/>
        </w:tabs>
        <w:numPr>
          <w:ilvl w:val="0"/>
          <w:numId w:val="49"/>
        </w:numPr>
        <w:rPr>
          <w:rFonts w:ascii="Arial" w:cs="Arial" w:eastAsia="Arial" w:hAnsi="Arial"/>
          <w:sz w:val="16"/>
          <w:szCs w:val="16"/>
          <w:color w:val="007CBA"/>
        </w:rPr>
      </w:pPr>
      <w:r>
        <w:rPr>
          <w:rFonts w:ascii="Arial" w:cs="Arial" w:eastAsia="Arial" w:hAnsi="Arial"/>
          <w:sz w:val="16"/>
          <w:szCs w:val="16"/>
          <w:color w:val="auto"/>
        </w:rPr>
        <w:t>pre-approves audit and permissible non-audit services provided by the independent registered public accounting firm;</w:t>
      </w:r>
    </w:p>
    <w:p>
      <w:pPr>
        <w:spacing w:after="0" w:line="86" w:lineRule="exact"/>
        <w:rPr>
          <w:rFonts w:ascii="Arial" w:cs="Arial" w:eastAsia="Arial" w:hAnsi="Arial"/>
          <w:sz w:val="16"/>
          <w:szCs w:val="16"/>
          <w:color w:val="007CBA"/>
        </w:rPr>
      </w:pPr>
    </w:p>
    <w:p>
      <w:pPr>
        <w:ind w:left="1460" w:hanging="207"/>
        <w:spacing w:after="0"/>
        <w:tabs>
          <w:tab w:leader="none" w:pos="1460" w:val="left"/>
        </w:tabs>
        <w:numPr>
          <w:ilvl w:val="0"/>
          <w:numId w:val="49"/>
        </w:numPr>
        <w:rPr>
          <w:rFonts w:ascii="Arial" w:cs="Arial" w:eastAsia="Arial" w:hAnsi="Arial"/>
          <w:sz w:val="16"/>
          <w:szCs w:val="16"/>
          <w:color w:val="007CBA"/>
        </w:rPr>
      </w:pPr>
      <w:r>
        <w:rPr>
          <w:rFonts w:ascii="Arial" w:cs="Arial" w:eastAsia="Arial" w:hAnsi="Arial"/>
          <w:sz w:val="16"/>
          <w:szCs w:val="16"/>
          <w:color w:val="auto"/>
        </w:rPr>
        <w:t>reviews our interim financial results for each fiscal quarters;</w:t>
      </w:r>
    </w:p>
    <w:p>
      <w:pPr>
        <w:spacing w:after="0" w:line="86" w:lineRule="exact"/>
        <w:rPr>
          <w:rFonts w:ascii="Arial" w:cs="Arial" w:eastAsia="Arial" w:hAnsi="Arial"/>
          <w:sz w:val="16"/>
          <w:szCs w:val="16"/>
          <w:color w:val="007CBA"/>
        </w:rPr>
      </w:pPr>
    </w:p>
    <w:p>
      <w:pPr>
        <w:ind w:left="1460" w:hanging="207"/>
        <w:spacing w:after="0"/>
        <w:tabs>
          <w:tab w:leader="none" w:pos="1460" w:val="left"/>
        </w:tabs>
        <w:numPr>
          <w:ilvl w:val="0"/>
          <w:numId w:val="49"/>
        </w:numPr>
        <w:rPr>
          <w:rFonts w:ascii="Arial" w:cs="Arial" w:eastAsia="Arial" w:hAnsi="Arial"/>
          <w:sz w:val="16"/>
          <w:szCs w:val="16"/>
          <w:color w:val="007CBA"/>
        </w:rPr>
      </w:pPr>
      <w:r>
        <w:rPr>
          <w:rFonts w:ascii="Arial" w:cs="Arial" w:eastAsia="Arial" w:hAnsi="Arial"/>
          <w:sz w:val="16"/>
          <w:szCs w:val="16"/>
          <w:color w:val="auto"/>
        </w:rPr>
        <w:t>reviews the qualifications and the plan and scope of work of the corporate internal audit function;</w:t>
      </w:r>
    </w:p>
    <w:p>
      <w:pPr>
        <w:spacing w:after="0" w:line="86" w:lineRule="exact"/>
        <w:rPr>
          <w:rFonts w:ascii="Arial" w:cs="Arial" w:eastAsia="Arial" w:hAnsi="Arial"/>
          <w:sz w:val="16"/>
          <w:szCs w:val="16"/>
          <w:color w:val="007CBA"/>
        </w:rPr>
      </w:pPr>
    </w:p>
    <w:p>
      <w:pPr>
        <w:ind w:left="1460" w:hanging="207"/>
        <w:spacing w:after="0"/>
        <w:tabs>
          <w:tab w:leader="none" w:pos="1460" w:val="left"/>
        </w:tabs>
        <w:numPr>
          <w:ilvl w:val="0"/>
          <w:numId w:val="49"/>
        </w:numPr>
        <w:rPr>
          <w:rFonts w:ascii="Arial" w:cs="Arial" w:eastAsia="Arial" w:hAnsi="Arial"/>
          <w:sz w:val="16"/>
          <w:szCs w:val="16"/>
          <w:color w:val="007CBA"/>
        </w:rPr>
      </w:pPr>
      <w:r>
        <w:rPr>
          <w:rFonts w:ascii="Arial" w:cs="Arial" w:eastAsia="Arial" w:hAnsi="Arial"/>
          <w:sz w:val="16"/>
          <w:szCs w:val="16"/>
          <w:color w:val="auto"/>
        </w:rPr>
        <w:t>reviews and discusses the reports of our internal audit group;</w:t>
      </w:r>
    </w:p>
    <w:p>
      <w:pPr>
        <w:spacing w:after="0" w:line="86" w:lineRule="exact"/>
        <w:rPr>
          <w:rFonts w:ascii="Arial" w:cs="Arial" w:eastAsia="Arial" w:hAnsi="Arial"/>
          <w:sz w:val="16"/>
          <w:szCs w:val="16"/>
          <w:color w:val="007CBA"/>
        </w:rPr>
      </w:pPr>
    </w:p>
    <w:p>
      <w:pPr>
        <w:ind w:left="1500" w:right="280" w:hanging="247"/>
        <w:spacing w:after="0" w:line="291" w:lineRule="auto"/>
        <w:tabs>
          <w:tab w:leader="none" w:pos="1459" w:val="left"/>
        </w:tabs>
        <w:numPr>
          <w:ilvl w:val="0"/>
          <w:numId w:val="49"/>
        </w:numPr>
        <w:rPr>
          <w:rFonts w:ascii="Arial" w:cs="Arial" w:eastAsia="Arial" w:hAnsi="Arial"/>
          <w:sz w:val="16"/>
          <w:szCs w:val="16"/>
          <w:color w:val="007CBA"/>
        </w:rPr>
      </w:pPr>
      <w:r>
        <w:rPr>
          <w:rFonts w:ascii="Arial" w:cs="Arial" w:eastAsia="Arial" w:hAnsi="Arial"/>
          <w:sz w:val="16"/>
          <w:szCs w:val="16"/>
          <w:color w:val="auto"/>
        </w:rPr>
        <w:t>reviews and discusses management’s assessment of the effectiveness of Martin Marietta’s system of internal control over financial reporting;</w:t>
      </w:r>
    </w:p>
    <w:p>
      <w:pPr>
        <w:spacing w:after="0" w:line="13" w:lineRule="exact"/>
        <w:rPr>
          <w:rFonts w:ascii="Arial" w:cs="Arial" w:eastAsia="Arial" w:hAnsi="Arial"/>
          <w:sz w:val="16"/>
          <w:szCs w:val="16"/>
          <w:color w:val="007CBA"/>
        </w:rPr>
      </w:pPr>
    </w:p>
    <w:p>
      <w:pPr>
        <w:ind w:left="1500" w:right="440" w:hanging="247"/>
        <w:spacing w:after="0" w:line="291" w:lineRule="auto"/>
        <w:tabs>
          <w:tab w:leader="none" w:pos="1459" w:val="left"/>
        </w:tabs>
        <w:numPr>
          <w:ilvl w:val="0"/>
          <w:numId w:val="49"/>
        </w:numPr>
        <w:rPr>
          <w:rFonts w:ascii="Arial" w:cs="Arial" w:eastAsia="Arial" w:hAnsi="Arial"/>
          <w:sz w:val="16"/>
          <w:szCs w:val="16"/>
          <w:color w:val="007CBA"/>
        </w:rPr>
      </w:pPr>
      <w:r>
        <w:rPr>
          <w:rFonts w:ascii="Arial" w:cs="Arial" w:eastAsia="Arial" w:hAnsi="Arial"/>
          <w:sz w:val="16"/>
          <w:szCs w:val="16"/>
          <w:color w:val="auto"/>
        </w:rPr>
        <w:t>discusses Martin Marietta’s earnings press releases, as well as financial information and earnings guidance provided to analysts, investors and rating agencies;</w:t>
      </w:r>
    </w:p>
    <w:p>
      <w:pPr>
        <w:spacing w:after="0" w:line="13" w:lineRule="exact"/>
        <w:rPr>
          <w:rFonts w:ascii="Arial" w:cs="Arial" w:eastAsia="Arial" w:hAnsi="Arial"/>
          <w:sz w:val="16"/>
          <w:szCs w:val="16"/>
          <w:color w:val="007CBA"/>
        </w:rPr>
      </w:pPr>
    </w:p>
    <w:p>
      <w:pPr>
        <w:ind w:left="1460" w:hanging="207"/>
        <w:spacing w:after="0"/>
        <w:tabs>
          <w:tab w:leader="none" w:pos="1460" w:val="left"/>
        </w:tabs>
        <w:numPr>
          <w:ilvl w:val="0"/>
          <w:numId w:val="49"/>
        </w:numPr>
        <w:rPr>
          <w:rFonts w:ascii="Arial" w:cs="Arial" w:eastAsia="Arial" w:hAnsi="Arial"/>
          <w:sz w:val="16"/>
          <w:szCs w:val="16"/>
          <w:color w:val="007CBA"/>
        </w:rPr>
      </w:pPr>
      <w:r>
        <w:rPr>
          <w:rFonts w:ascii="Arial" w:cs="Arial" w:eastAsia="Arial" w:hAnsi="Arial"/>
          <w:sz w:val="16"/>
          <w:szCs w:val="16"/>
          <w:color w:val="auto"/>
        </w:rPr>
        <w:t>discusses matters related to risk assessment and risk management and how the process is handled by management;</w:t>
      </w:r>
    </w:p>
    <w:p>
      <w:pPr>
        <w:spacing w:after="0" w:line="86" w:lineRule="exact"/>
        <w:rPr>
          <w:rFonts w:ascii="Arial" w:cs="Arial" w:eastAsia="Arial" w:hAnsi="Arial"/>
          <w:sz w:val="16"/>
          <w:szCs w:val="16"/>
          <w:color w:val="007CBA"/>
        </w:rPr>
      </w:pPr>
    </w:p>
    <w:p>
      <w:pPr>
        <w:ind w:left="1460" w:hanging="207"/>
        <w:spacing w:after="0"/>
        <w:tabs>
          <w:tab w:leader="none" w:pos="1460" w:val="left"/>
        </w:tabs>
        <w:numPr>
          <w:ilvl w:val="0"/>
          <w:numId w:val="49"/>
        </w:numPr>
        <w:rPr>
          <w:rFonts w:ascii="Arial" w:cs="Arial" w:eastAsia="Arial" w:hAnsi="Arial"/>
          <w:sz w:val="16"/>
          <w:szCs w:val="16"/>
          <w:color w:val="007CBA"/>
        </w:rPr>
      </w:pPr>
      <w:r>
        <w:rPr>
          <w:rFonts w:ascii="Arial" w:cs="Arial" w:eastAsia="Arial" w:hAnsi="Arial"/>
          <w:sz w:val="16"/>
          <w:szCs w:val="16"/>
          <w:color w:val="auto"/>
        </w:rPr>
        <w:t>reviews and oversees related party transactions;</w:t>
      </w:r>
    </w:p>
    <w:p>
      <w:pPr>
        <w:spacing w:after="0" w:line="86" w:lineRule="exact"/>
        <w:rPr>
          <w:rFonts w:ascii="Arial" w:cs="Arial" w:eastAsia="Arial" w:hAnsi="Arial"/>
          <w:sz w:val="16"/>
          <w:szCs w:val="16"/>
          <w:color w:val="007CBA"/>
        </w:rPr>
      </w:pPr>
    </w:p>
    <w:p>
      <w:pPr>
        <w:ind w:left="1460" w:hanging="207"/>
        <w:spacing w:after="0"/>
        <w:tabs>
          <w:tab w:leader="none" w:pos="1460" w:val="left"/>
        </w:tabs>
        <w:numPr>
          <w:ilvl w:val="0"/>
          <w:numId w:val="49"/>
        </w:numPr>
        <w:rPr>
          <w:rFonts w:ascii="Arial" w:cs="Arial" w:eastAsia="Arial" w:hAnsi="Arial"/>
          <w:sz w:val="16"/>
          <w:szCs w:val="16"/>
          <w:color w:val="007CBA"/>
        </w:rPr>
      </w:pPr>
      <w:r>
        <w:rPr>
          <w:rFonts w:ascii="Arial" w:cs="Arial" w:eastAsia="Arial" w:hAnsi="Arial"/>
          <w:sz w:val="16"/>
          <w:szCs w:val="16"/>
          <w:color w:val="auto"/>
        </w:rPr>
        <w:t>reviews complaints regarding accounting, internal controls or auditing matters;</w:t>
      </w:r>
    </w:p>
    <w:p>
      <w:pPr>
        <w:spacing w:after="0" w:line="86" w:lineRule="exact"/>
        <w:rPr>
          <w:rFonts w:ascii="Arial" w:cs="Arial" w:eastAsia="Arial" w:hAnsi="Arial"/>
          <w:sz w:val="16"/>
          <w:szCs w:val="16"/>
          <w:color w:val="007CBA"/>
        </w:rPr>
      </w:pPr>
    </w:p>
    <w:p>
      <w:pPr>
        <w:ind w:left="1460" w:hanging="207"/>
        <w:spacing w:after="0"/>
        <w:tabs>
          <w:tab w:leader="none" w:pos="1460" w:val="left"/>
        </w:tabs>
        <w:numPr>
          <w:ilvl w:val="0"/>
          <w:numId w:val="49"/>
        </w:numPr>
        <w:rPr>
          <w:rFonts w:ascii="Arial" w:cs="Arial" w:eastAsia="Arial" w:hAnsi="Arial"/>
          <w:sz w:val="16"/>
          <w:szCs w:val="16"/>
          <w:color w:val="007CBA"/>
        </w:rPr>
      </w:pPr>
      <w:r>
        <w:rPr>
          <w:rFonts w:ascii="Arial" w:cs="Arial" w:eastAsia="Arial" w:hAnsi="Arial"/>
          <w:sz w:val="16"/>
          <w:szCs w:val="16"/>
          <w:color w:val="auto"/>
        </w:rPr>
        <w:t>considers allegations of possible financial fraud or other financial improprieties;</w:t>
      </w:r>
    </w:p>
    <w:p>
      <w:pPr>
        <w:spacing w:after="0" w:line="86" w:lineRule="exact"/>
        <w:rPr>
          <w:rFonts w:ascii="Arial" w:cs="Arial" w:eastAsia="Arial" w:hAnsi="Arial"/>
          <w:sz w:val="16"/>
          <w:szCs w:val="16"/>
          <w:color w:val="007CBA"/>
        </w:rPr>
      </w:pPr>
    </w:p>
    <w:p>
      <w:pPr>
        <w:ind w:left="1460" w:hanging="207"/>
        <w:spacing w:after="0"/>
        <w:tabs>
          <w:tab w:leader="none" w:pos="1460" w:val="left"/>
        </w:tabs>
        <w:numPr>
          <w:ilvl w:val="0"/>
          <w:numId w:val="49"/>
        </w:numPr>
        <w:rPr>
          <w:rFonts w:ascii="Arial" w:cs="Arial" w:eastAsia="Arial" w:hAnsi="Arial"/>
          <w:sz w:val="16"/>
          <w:szCs w:val="16"/>
          <w:color w:val="007CBA"/>
        </w:rPr>
      </w:pPr>
      <w:r>
        <w:rPr>
          <w:rFonts w:ascii="Arial" w:cs="Arial" w:eastAsia="Arial" w:hAnsi="Arial"/>
          <w:sz w:val="16"/>
          <w:szCs w:val="16"/>
          <w:color w:val="auto"/>
        </w:rPr>
        <w:t>reviews annually the adequacy of the committee charter and recommends proposed changes to the Board; and</w:t>
      </w:r>
    </w:p>
    <w:p>
      <w:pPr>
        <w:spacing w:after="0" w:line="86" w:lineRule="exact"/>
        <w:rPr>
          <w:rFonts w:ascii="Arial" w:cs="Arial" w:eastAsia="Arial" w:hAnsi="Arial"/>
          <w:sz w:val="16"/>
          <w:szCs w:val="16"/>
          <w:color w:val="007CBA"/>
        </w:rPr>
      </w:pPr>
    </w:p>
    <w:p>
      <w:pPr>
        <w:ind w:left="1460" w:hanging="207"/>
        <w:spacing w:after="0"/>
        <w:tabs>
          <w:tab w:leader="none" w:pos="1460" w:val="left"/>
        </w:tabs>
        <w:numPr>
          <w:ilvl w:val="0"/>
          <w:numId w:val="49"/>
        </w:numPr>
        <w:rPr>
          <w:rFonts w:ascii="Arial" w:cs="Arial" w:eastAsia="Arial" w:hAnsi="Arial"/>
          <w:sz w:val="16"/>
          <w:szCs w:val="16"/>
          <w:color w:val="007CBA"/>
        </w:rPr>
      </w:pPr>
      <w:r>
        <w:rPr>
          <w:rFonts w:ascii="Arial" w:cs="Arial" w:eastAsia="Arial" w:hAnsi="Arial"/>
          <w:sz w:val="16"/>
          <w:szCs w:val="16"/>
          <w:color w:val="auto"/>
        </w:rPr>
        <w:t>prepares the annual Audit Committee Report to be included in the proxy statement.</w:t>
      </w:r>
    </w:p>
    <w:p>
      <w:pPr>
        <w:spacing w:after="0" w:line="100" w:lineRule="exact"/>
        <w:rPr>
          <w:sz w:val="20"/>
          <w:szCs w:val="20"/>
          <w:color w:val="auto"/>
        </w:rPr>
      </w:pPr>
    </w:p>
    <w:p>
      <w:pPr>
        <w:ind w:left="1240"/>
        <w:spacing w:after="0"/>
        <w:rPr>
          <w:sz w:val="20"/>
          <w:szCs w:val="20"/>
          <w:color w:val="auto"/>
        </w:rPr>
      </w:pPr>
      <w:r>
        <w:rPr>
          <w:rFonts w:ascii="Arial" w:cs="Arial" w:eastAsia="Arial" w:hAnsi="Arial"/>
          <w:sz w:val="16"/>
          <w:szCs w:val="16"/>
          <w:b w:val="1"/>
          <w:bCs w:val="1"/>
          <w:i w:val="1"/>
          <w:iCs w:val="1"/>
          <w:color w:val="007CBA"/>
        </w:rPr>
        <w:t>Other Governance Matters:</w:t>
      </w:r>
    </w:p>
    <w:p>
      <w:pPr>
        <w:spacing w:after="0" w:line="25" w:lineRule="exact"/>
        <w:rPr>
          <w:sz w:val="20"/>
          <w:szCs w:val="20"/>
          <w:color w:val="auto"/>
        </w:rPr>
      </w:pPr>
    </w:p>
    <w:p>
      <w:pPr>
        <w:ind w:left="1240" w:right="860"/>
        <w:spacing w:after="0" w:line="265" w:lineRule="auto"/>
        <w:rPr>
          <w:sz w:val="20"/>
          <w:szCs w:val="20"/>
          <w:color w:val="auto"/>
        </w:rPr>
      </w:pPr>
      <w:r>
        <w:rPr>
          <w:rFonts w:ascii="Arial" w:cs="Arial" w:eastAsia="Arial" w:hAnsi="Arial"/>
          <w:sz w:val="16"/>
          <w:szCs w:val="16"/>
          <w:color w:val="auto"/>
        </w:rPr>
        <w:t>All members satisfy the audit committee experience and independence standards required by NYSE, and have been determined to be financially literate.</w:t>
      </w:r>
    </w:p>
    <w:p>
      <w:pPr>
        <w:spacing w:after="0" w:line="33" w:lineRule="exact"/>
        <w:rPr>
          <w:sz w:val="20"/>
          <w:szCs w:val="20"/>
          <w:color w:val="auto"/>
        </w:rPr>
      </w:pPr>
    </w:p>
    <w:p>
      <w:pPr>
        <w:ind w:left="1240" w:right="220"/>
        <w:spacing w:after="0" w:line="291" w:lineRule="auto"/>
        <w:rPr>
          <w:sz w:val="20"/>
          <w:szCs w:val="20"/>
          <w:color w:val="auto"/>
        </w:rPr>
      </w:pPr>
      <w:r>
        <w:rPr>
          <w:rFonts w:ascii="Arial" w:cs="Arial" w:eastAsia="Arial" w:hAnsi="Arial"/>
          <w:sz w:val="16"/>
          <w:szCs w:val="16"/>
          <w:color w:val="auto"/>
        </w:rPr>
        <w:t>Each member of the Audit Committee has been determined to be an ‘‘audit committee financial expert’’ under applicable SEC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3512820</wp:posOffset>
            </wp:positionH>
            <wp:positionV relativeFrom="paragraph">
              <wp:posOffset>80010</wp:posOffset>
            </wp:positionV>
            <wp:extent cx="411480" cy="2489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124" w:lineRule="exact"/>
        <w:rPr>
          <w:sz w:val="20"/>
          <w:szCs w:val="20"/>
          <w:color w:val="auto"/>
        </w:rPr>
      </w:pPr>
    </w:p>
    <w:p>
      <w:pPr>
        <w:ind w:left="640" w:hanging="436"/>
        <w:spacing w:after="0"/>
        <w:tabs>
          <w:tab w:leader="none" w:pos="640" w:val="left"/>
        </w:tabs>
        <w:numPr>
          <w:ilvl w:val="0"/>
          <w:numId w:val="50"/>
        </w:numPr>
        <w:rPr>
          <w:rFonts w:ascii="Arial" w:cs="Arial" w:eastAsia="Arial" w:hAnsi="Arial"/>
          <w:sz w:val="13"/>
          <w:szCs w:val="13"/>
          <w:b w:val="1"/>
          <w:bCs w:val="1"/>
          <w:color w:val="auto"/>
        </w:rPr>
      </w:pPr>
      <w:r>
        <w:rPr>
          <w:rFonts w:ascii="Arial" w:cs="Arial" w:eastAsia="Arial" w:hAnsi="Arial"/>
          <w:sz w:val="13"/>
          <w:szCs w:val="13"/>
          <w:color w:val="007CBA"/>
        </w:rPr>
        <w:t>2018 PROXY STATEMENT</w:t>
      </w:r>
    </w:p>
    <w:p>
      <w:pPr>
        <w:sectPr>
          <w:pgSz w:w="11900" w:h="16838" w:orient="portrait"/>
          <w:cols w:equalWidth="0" w:num="1">
            <w:col w:w="10440"/>
          </w:cols>
          <w:pgMar w:left="240" w:top="455" w:right="121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64" w:lineRule="exact"/>
        <w:rPr>
          <w:sz w:val="20"/>
          <w:szCs w:val="20"/>
          <w:color w:val="auto"/>
        </w:rPr>
      </w:pPr>
    </w:p>
    <w:p>
      <w:pPr>
        <w:jc w:val="right"/>
        <w:spacing w:after="0" w:line="288" w:lineRule="exact"/>
        <w:rPr>
          <w:sz w:val="20"/>
          <w:szCs w:val="20"/>
          <w:color w:val="auto"/>
        </w:rPr>
      </w:pPr>
      <w:r>
        <w:rPr>
          <w:rFonts w:ascii="Arial" w:cs="Arial" w:eastAsia="Arial" w:hAnsi="Arial"/>
          <w:sz w:val="14"/>
          <w:szCs w:val="14"/>
          <w:color w:val="auto"/>
        </w:rPr>
        <w:t xml:space="preserve">Board Committees </w:t>
      </w:r>
      <w:r>
        <w:rPr>
          <w:rFonts w:ascii="MS PGothic" w:cs="MS PGothic" w:eastAsia="MS PGothic" w:hAnsi="MS PGothic"/>
          <w:sz w:val="25"/>
          <w:szCs w:val="25"/>
          <w:color w:val="007CBA"/>
        </w:rPr>
        <w:t>◆</w:t>
      </w:r>
      <w:r>
        <w:rPr>
          <w:rFonts w:ascii="Arial" w:cs="Arial" w:eastAsia="Arial" w:hAnsi="Arial"/>
          <w:sz w:val="14"/>
          <w:szCs w:val="14"/>
          <w:color w:val="auto"/>
        </w:rPr>
        <w:t xml:space="preserve"> </w:t>
      </w:r>
      <w:r>
        <w:rPr>
          <w:rFonts w:ascii="Arial" w:cs="Arial" w:eastAsia="Arial" w:hAnsi="Arial"/>
          <w:sz w:val="14"/>
          <w:szCs w:val="14"/>
          <w:color w:val="007CBA"/>
        </w:rPr>
        <w:t>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140970</wp:posOffset>
            </wp:positionV>
            <wp:extent cx="5977255" cy="22040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977255" cy="2204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1020" w:type="dxa"/>
        <w:tblCellMar>
          <w:top w:w="0" w:type="dxa"/>
          <w:left w:w="0" w:type="dxa"/>
          <w:bottom w:w="0" w:type="dxa"/>
          <w:right w:w="0" w:type="dxa"/>
        </w:tblCellMar>
      </w:tblPr>
      <w:tr>
        <w:trPr>
          <w:trHeight w:val="184"/>
        </w:trPr>
        <w:tc>
          <w:tcPr>
            <w:tcW w:w="3300" w:type="dxa"/>
            <w:vAlign w:val="bottom"/>
            <w:tcBorders>
              <w:right w:val="single" w:sz="8" w:color="007CBA"/>
            </w:tcBorders>
          </w:tcPr>
          <w:p>
            <w:pPr>
              <w:ind w:left="220"/>
              <w:spacing w:after="0"/>
              <w:rPr>
                <w:sz w:val="20"/>
                <w:szCs w:val="20"/>
                <w:color w:val="auto"/>
              </w:rPr>
            </w:pPr>
            <w:r>
              <w:rPr>
                <w:rFonts w:ascii="Arial" w:cs="Arial" w:eastAsia="Arial" w:hAnsi="Arial"/>
                <w:sz w:val="16"/>
                <w:szCs w:val="16"/>
                <w:b w:val="1"/>
                <w:bCs w:val="1"/>
                <w:i w:val="1"/>
                <w:iCs w:val="1"/>
                <w:color w:val="007CBA"/>
              </w:rPr>
              <w:t>Current Members:</w:t>
            </w:r>
          </w:p>
        </w:tc>
        <w:tc>
          <w:tcPr>
            <w:tcW w:w="3100" w:type="dxa"/>
            <w:vAlign w:val="bottom"/>
            <w:tcBorders>
              <w:right w:val="single" w:sz="8" w:color="007CBA"/>
            </w:tcBorders>
          </w:tcPr>
          <w:p>
            <w:pPr>
              <w:spacing w:after="0"/>
              <w:rPr>
                <w:sz w:val="16"/>
                <w:szCs w:val="16"/>
                <w:color w:val="auto"/>
              </w:rPr>
            </w:pPr>
          </w:p>
        </w:tc>
        <w:tc>
          <w:tcPr>
            <w:tcW w:w="3020" w:type="dxa"/>
            <w:vAlign w:val="bottom"/>
          </w:tcPr>
          <w:p>
            <w:pPr>
              <w:spacing w:after="0"/>
              <w:rPr>
                <w:sz w:val="16"/>
                <w:szCs w:val="16"/>
                <w:color w:val="auto"/>
              </w:rPr>
            </w:pPr>
          </w:p>
        </w:tc>
      </w:tr>
      <w:tr>
        <w:trPr>
          <w:trHeight w:val="189"/>
        </w:trPr>
        <w:tc>
          <w:tcPr>
            <w:tcW w:w="3300" w:type="dxa"/>
            <w:vAlign w:val="bottom"/>
            <w:tcBorders>
              <w:right w:val="single" w:sz="8" w:color="007CBA"/>
            </w:tcBorders>
          </w:tcPr>
          <w:p>
            <w:pPr>
              <w:ind w:left="220"/>
              <w:spacing w:after="0"/>
              <w:rPr>
                <w:sz w:val="20"/>
                <w:szCs w:val="20"/>
                <w:color w:val="auto"/>
              </w:rPr>
            </w:pPr>
            <w:r>
              <w:rPr>
                <w:rFonts w:ascii="Arial" w:cs="Arial" w:eastAsia="Arial" w:hAnsi="Arial"/>
                <w:sz w:val="16"/>
                <w:szCs w:val="16"/>
                <w:color w:val="auto"/>
              </w:rPr>
              <w:t>Laree E. Perez (Chair)</w:t>
            </w:r>
          </w:p>
        </w:tc>
        <w:tc>
          <w:tcPr>
            <w:tcW w:w="3100" w:type="dxa"/>
            <w:vAlign w:val="bottom"/>
            <w:tcBorders>
              <w:right w:val="single" w:sz="8" w:color="007CBA"/>
            </w:tcBorders>
          </w:tcPr>
          <w:p>
            <w:pPr>
              <w:jc w:val="center"/>
              <w:spacing w:after="0"/>
              <w:rPr>
                <w:sz w:val="20"/>
                <w:szCs w:val="20"/>
                <w:color w:val="auto"/>
              </w:rPr>
            </w:pPr>
            <w:r>
              <w:rPr>
                <w:rFonts w:ascii="Arial" w:cs="Arial" w:eastAsia="Arial" w:hAnsi="Arial"/>
                <w:sz w:val="16"/>
                <w:szCs w:val="16"/>
                <w:b w:val="1"/>
                <w:bCs w:val="1"/>
                <w:i w:val="1"/>
                <w:iCs w:val="1"/>
                <w:color w:val="007CBA"/>
              </w:rPr>
              <w:t>Meetings in 2017:</w:t>
            </w:r>
          </w:p>
        </w:tc>
        <w:tc>
          <w:tcPr>
            <w:tcW w:w="3020" w:type="dxa"/>
            <w:vAlign w:val="bottom"/>
          </w:tcPr>
          <w:p>
            <w:pPr>
              <w:jc w:val="center"/>
              <w:spacing w:after="0"/>
              <w:rPr>
                <w:sz w:val="20"/>
                <w:szCs w:val="20"/>
                <w:color w:val="auto"/>
              </w:rPr>
            </w:pPr>
            <w:r>
              <w:rPr>
                <w:rFonts w:ascii="Arial" w:cs="Arial" w:eastAsia="Arial" w:hAnsi="Arial"/>
                <w:sz w:val="16"/>
                <w:szCs w:val="16"/>
                <w:b w:val="1"/>
                <w:bCs w:val="1"/>
                <w:i w:val="1"/>
                <w:iCs w:val="1"/>
                <w:color w:val="007CBA"/>
              </w:rPr>
              <w:t>Average Attendance in 2017:</w:t>
            </w:r>
          </w:p>
        </w:tc>
      </w:tr>
      <w:tr>
        <w:trPr>
          <w:trHeight w:val="189"/>
        </w:trPr>
        <w:tc>
          <w:tcPr>
            <w:tcW w:w="3300" w:type="dxa"/>
            <w:vAlign w:val="bottom"/>
            <w:tcBorders>
              <w:right w:val="single" w:sz="8" w:color="007CBA"/>
            </w:tcBorders>
          </w:tcPr>
          <w:p>
            <w:pPr>
              <w:ind w:left="220"/>
              <w:spacing w:after="0"/>
              <w:rPr>
                <w:sz w:val="20"/>
                <w:szCs w:val="20"/>
                <w:color w:val="auto"/>
              </w:rPr>
            </w:pPr>
            <w:r>
              <w:rPr>
                <w:rFonts w:ascii="Arial" w:cs="Arial" w:eastAsia="Arial" w:hAnsi="Arial"/>
                <w:sz w:val="16"/>
                <w:szCs w:val="16"/>
                <w:color w:val="auto"/>
              </w:rPr>
              <w:t>David G. Maffucci</w:t>
            </w:r>
          </w:p>
        </w:tc>
        <w:tc>
          <w:tcPr>
            <w:tcW w:w="3100" w:type="dxa"/>
            <w:vAlign w:val="bottom"/>
            <w:tcBorders>
              <w:right w:val="single" w:sz="8" w:color="007CBA"/>
            </w:tcBorders>
          </w:tcPr>
          <w:p>
            <w:pPr>
              <w:jc w:val="right"/>
              <w:ind w:right="1399"/>
              <w:spacing w:after="0"/>
              <w:rPr>
                <w:sz w:val="20"/>
                <w:szCs w:val="20"/>
                <w:color w:val="auto"/>
              </w:rPr>
            </w:pPr>
            <w:r>
              <w:rPr>
                <w:rFonts w:ascii="Arial" w:cs="Arial" w:eastAsia="Arial" w:hAnsi="Arial"/>
                <w:sz w:val="16"/>
                <w:szCs w:val="16"/>
                <w:color w:val="auto"/>
              </w:rPr>
              <w:t>2</w:t>
            </w:r>
          </w:p>
        </w:tc>
        <w:tc>
          <w:tcPr>
            <w:tcW w:w="3020" w:type="dxa"/>
            <w:vAlign w:val="bottom"/>
          </w:tcPr>
          <w:p>
            <w:pPr>
              <w:jc w:val="right"/>
              <w:ind w:right="1199"/>
              <w:spacing w:after="0"/>
              <w:rPr>
                <w:sz w:val="20"/>
                <w:szCs w:val="20"/>
                <w:color w:val="auto"/>
              </w:rPr>
            </w:pPr>
            <w:r>
              <w:rPr>
                <w:rFonts w:ascii="Arial" w:cs="Arial" w:eastAsia="Arial" w:hAnsi="Arial"/>
                <w:sz w:val="16"/>
                <w:szCs w:val="16"/>
                <w:color w:val="auto"/>
              </w:rPr>
              <w:t>100%</w:t>
            </w:r>
          </w:p>
        </w:tc>
      </w:tr>
      <w:tr>
        <w:trPr>
          <w:trHeight w:val="220"/>
        </w:trPr>
        <w:tc>
          <w:tcPr>
            <w:tcW w:w="3300" w:type="dxa"/>
            <w:vAlign w:val="bottom"/>
            <w:tcBorders>
              <w:bottom w:val="single" w:sz="8" w:color="007CBA"/>
              <w:right w:val="single" w:sz="8" w:color="007CBA"/>
            </w:tcBorders>
          </w:tcPr>
          <w:p>
            <w:pPr>
              <w:ind w:left="220"/>
              <w:spacing w:after="0"/>
              <w:rPr>
                <w:sz w:val="20"/>
                <w:szCs w:val="20"/>
                <w:color w:val="auto"/>
              </w:rPr>
            </w:pPr>
            <w:r>
              <w:rPr>
                <w:rFonts w:ascii="Arial" w:cs="Arial" w:eastAsia="Arial" w:hAnsi="Arial"/>
                <w:sz w:val="16"/>
                <w:szCs w:val="16"/>
                <w:color w:val="auto"/>
              </w:rPr>
              <w:t>Stephen P. Zelnak, Jr.</w:t>
            </w:r>
          </w:p>
        </w:tc>
        <w:tc>
          <w:tcPr>
            <w:tcW w:w="3100" w:type="dxa"/>
            <w:vAlign w:val="bottom"/>
            <w:tcBorders>
              <w:bottom w:val="single" w:sz="8" w:color="007CBA"/>
              <w:right w:val="single" w:sz="8" w:color="007CBA"/>
            </w:tcBorders>
          </w:tcPr>
          <w:p>
            <w:pPr>
              <w:spacing w:after="0"/>
              <w:rPr>
                <w:sz w:val="19"/>
                <w:szCs w:val="19"/>
                <w:color w:val="auto"/>
              </w:rPr>
            </w:pPr>
          </w:p>
        </w:tc>
        <w:tc>
          <w:tcPr>
            <w:tcW w:w="3020" w:type="dxa"/>
            <w:vAlign w:val="bottom"/>
            <w:tcBorders>
              <w:bottom w:val="single" w:sz="8" w:color="007CBA"/>
            </w:tcBorders>
          </w:tcPr>
          <w:p>
            <w:pPr>
              <w:spacing w:after="0"/>
              <w:rPr>
                <w:sz w:val="19"/>
                <w:szCs w:val="19"/>
                <w:color w:val="auto"/>
              </w:rPr>
            </w:pPr>
          </w:p>
        </w:tc>
      </w:tr>
      <w:tr>
        <w:trPr>
          <w:trHeight w:val="221"/>
        </w:trPr>
        <w:tc>
          <w:tcPr>
            <w:tcW w:w="3300" w:type="dxa"/>
            <w:vAlign w:val="bottom"/>
          </w:tcPr>
          <w:p>
            <w:pPr>
              <w:ind w:left="220"/>
              <w:spacing w:after="0"/>
              <w:rPr>
                <w:sz w:val="20"/>
                <w:szCs w:val="20"/>
                <w:color w:val="auto"/>
              </w:rPr>
            </w:pPr>
            <w:r>
              <w:rPr>
                <w:rFonts w:ascii="Arial" w:cs="Arial" w:eastAsia="Arial" w:hAnsi="Arial"/>
                <w:sz w:val="16"/>
                <w:szCs w:val="16"/>
                <w:b w:val="1"/>
                <w:bCs w:val="1"/>
                <w:i w:val="1"/>
                <w:iCs w:val="1"/>
                <w:color w:val="007CBA"/>
              </w:rPr>
              <w:t>Primary Responsibilities:</w:t>
            </w:r>
          </w:p>
        </w:tc>
        <w:tc>
          <w:tcPr>
            <w:tcW w:w="3100" w:type="dxa"/>
            <w:vAlign w:val="bottom"/>
          </w:tcPr>
          <w:p>
            <w:pPr>
              <w:spacing w:after="0"/>
              <w:rPr>
                <w:sz w:val="19"/>
                <w:szCs w:val="19"/>
                <w:color w:val="auto"/>
              </w:rPr>
            </w:pPr>
          </w:p>
        </w:tc>
        <w:tc>
          <w:tcPr>
            <w:tcW w:w="3020" w:type="dxa"/>
            <w:vAlign w:val="bottom"/>
          </w:tcPr>
          <w:p>
            <w:pPr>
              <w:spacing w:after="0"/>
              <w:rPr>
                <w:sz w:val="19"/>
                <w:szCs w:val="19"/>
                <w:color w:val="auto"/>
              </w:rPr>
            </w:pPr>
          </w:p>
        </w:tc>
      </w:tr>
    </w:tbl>
    <w:p>
      <w:pPr>
        <w:spacing w:after="0" w:line="12" w:lineRule="exact"/>
        <w:rPr>
          <w:sz w:val="20"/>
          <w:szCs w:val="20"/>
          <w:color w:val="auto"/>
        </w:rPr>
      </w:pPr>
    </w:p>
    <w:p>
      <w:pPr>
        <w:jc w:val="both"/>
        <w:ind w:left="1500" w:right="840" w:hanging="247"/>
        <w:spacing w:after="0" w:line="269" w:lineRule="auto"/>
        <w:tabs>
          <w:tab w:leader="none" w:pos="1459" w:val="left"/>
        </w:tabs>
        <w:numPr>
          <w:ilvl w:val="0"/>
          <w:numId w:val="51"/>
        </w:numPr>
        <w:rPr>
          <w:rFonts w:ascii="Arial" w:cs="Arial" w:eastAsia="Arial" w:hAnsi="Arial"/>
          <w:sz w:val="16"/>
          <w:szCs w:val="16"/>
          <w:color w:val="007CBA"/>
        </w:rPr>
      </w:pPr>
      <w:r>
        <w:rPr>
          <w:rFonts w:ascii="Arial" w:cs="Arial" w:eastAsia="Arial" w:hAnsi="Arial"/>
          <w:sz w:val="16"/>
          <w:szCs w:val="16"/>
          <w:color w:val="auto"/>
        </w:rPr>
        <w:t xml:space="preserve">monitors compliance with our </w:t>
      </w:r>
      <w:r>
        <w:rPr>
          <w:rFonts w:ascii="Arial" w:cs="Arial" w:eastAsia="Arial" w:hAnsi="Arial"/>
          <w:sz w:val="16"/>
          <w:szCs w:val="16"/>
          <w:i w:val="1"/>
          <w:iCs w:val="1"/>
          <w:color w:val="auto"/>
        </w:rPr>
        <w:t>Code of Ethical Business Conduct</w:t>
      </w:r>
      <w:r>
        <w:rPr>
          <w:rFonts w:ascii="Arial" w:cs="Arial" w:eastAsia="Arial" w:hAnsi="Arial"/>
          <w:sz w:val="16"/>
          <w:szCs w:val="16"/>
          <w:color w:val="auto"/>
        </w:rPr>
        <w:t xml:space="preserve"> and reviews all matters presented to it by the Corporate Ethics Officer concerning the ethical practices of Martin Marietta and its Directors, officers, and employees, including conflicts or potential conflicts of interest between Martin Marietta and any of its Directors, officers, and employees;</w:t>
      </w:r>
    </w:p>
    <w:p>
      <w:pPr>
        <w:spacing w:after="0" w:line="29" w:lineRule="exact"/>
        <w:rPr>
          <w:rFonts w:ascii="Arial" w:cs="Arial" w:eastAsia="Arial" w:hAnsi="Arial"/>
          <w:sz w:val="16"/>
          <w:szCs w:val="16"/>
          <w:color w:val="007CBA"/>
        </w:rPr>
      </w:pPr>
    </w:p>
    <w:p>
      <w:pPr>
        <w:ind w:left="1500" w:right="840" w:hanging="247"/>
        <w:spacing w:after="0" w:line="291" w:lineRule="auto"/>
        <w:tabs>
          <w:tab w:leader="none" w:pos="1459" w:val="left"/>
        </w:tabs>
        <w:numPr>
          <w:ilvl w:val="0"/>
          <w:numId w:val="51"/>
        </w:numPr>
        <w:rPr>
          <w:rFonts w:ascii="Arial" w:cs="Arial" w:eastAsia="Arial" w:hAnsi="Arial"/>
          <w:sz w:val="16"/>
          <w:szCs w:val="16"/>
          <w:color w:val="007CBA"/>
        </w:rPr>
      </w:pPr>
      <w:r>
        <w:rPr>
          <w:rFonts w:ascii="Arial" w:cs="Arial" w:eastAsia="Arial" w:hAnsi="Arial"/>
          <w:sz w:val="16"/>
          <w:szCs w:val="16"/>
          <w:color w:val="auto"/>
        </w:rPr>
        <w:t>reviews and monitors the adequacy of our policies and procedures and organizational structure for ensuring compliance with environmental laws and regulations;</w:t>
      </w:r>
    </w:p>
    <w:p>
      <w:pPr>
        <w:spacing w:after="0" w:line="13" w:lineRule="exact"/>
        <w:rPr>
          <w:rFonts w:ascii="Arial" w:cs="Arial" w:eastAsia="Arial" w:hAnsi="Arial"/>
          <w:sz w:val="16"/>
          <w:szCs w:val="16"/>
          <w:color w:val="007CBA"/>
        </w:rPr>
      </w:pPr>
    </w:p>
    <w:p>
      <w:pPr>
        <w:ind w:left="1460" w:hanging="207"/>
        <w:spacing w:after="0"/>
        <w:tabs>
          <w:tab w:leader="none" w:pos="1460" w:val="left"/>
        </w:tabs>
        <w:numPr>
          <w:ilvl w:val="0"/>
          <w:numId w:val="51"/>
        </w:numPr>
        <w:rPr>
          <w:rFonts w:ascii="Arial" w:cs="Arial" w:eastAsia="Arial" w:hAnsi="Arial"/>
          <w:sz w:val="16"/>
          <w:szCs w:val="16"/>
          <w:color w:val="007CBA"/>
        </w:rPr>
      </w:pPr>
      <w:r>
        <w:rPr>
          <w:rFonts w:ascii="Arial" w:cs="Arial" w:eastAsia="Arial" w:hAnsi="Arial"/>
          <w:sz w:val="16"/>
          <w:szCs w:val="16"/>
          <w:color w:val="auto"/>
        </w:rPr>
        <w:t>reviews matters relating to our health and safety programs and performance; and</w:t>
      </w:r>
    </w:p>
    <w:p>
      <w:pPr>
        <w:spacing w:after="0" w:line="86" w:lineRule="exact"/>
        <w:rPr>
          <w:rFonts w:ascii="Arial" w:cs="Arial" w:eastAsia="Arial" w:hAnsi="Arial"/>
          <w:sz w:val="16"/>
          <w:szCs w:val="16"/>
          <w:color w:val="007CBA"/>
        </w:rPr>
      </w:pPr>
    </w:p>
    <w:p>
      <w:pPr>
        <w:ind w:left="1460" w:hanging="207"/>
        <w:spacing w:after="0"/>
        <w:tabs>
          <w:tab w:leader="none" w:pos="1460" w:val="left"/>
        </w:tabs>
        <w:numPr>
          <w:ilvl w:val="0"/>
          <w:numId w:val="51"/>
        </w:numPr>
        <w:rPr>
          <w:rFonts w:ascii="Arial" w:cs="Arial" w:eastAsia="Arial" w:hAnsi="Arial"/>
          <w:sz w:val="16"/>
          <w:szCs w:val="16"/>
          <w:color w:val="007CBA"/>
        </w:rPr>
      </w:pPr>
      <w:r>
        <w:rPr>
          <w:rFonts w:ascii="Arial" w:cs="Arial" w:eastAsia="Arial" w:hAnsi="Arial"/>
          <w:sz w:val="16"/>
          <w:szCs w:val="16"/>
          <w:color w:val="auto"/>
        </w:rPr>
        <w:t>reviews annually the adequacy of the committee charter and recommends proposed changes to the Board.</w:t>
      </w:r>
    </w:p>
    <w:p>
      <w:pPr>
        <w:spacing w:after="0" w:line="200" w:lineRule="exact"/>
        <w:rPr>
          <w:sz w:val="20"/>
          <w:szCs w:val="20"/>
          <w:color w:val="auto"/>
        </w:rPr>
      </w:pPr>
    </w:p>
    <w:p>
      <w:pPr>
        <w:spacing w:after="0" w:line="336" w:lineRule="exact"/>
        <w:rPr>
          <w:sz w:val="20"/>
          <w:szCs w:val="20"/>
          <w:color w:val="auto"/>
        </w:rPr>
      </w:pPr>
    </w:p>
    <w:tbl>
      <w:tblPr>
        <w:tblLayout w:type="fixed"/>
        <w:tblInd w:w="1020" w:type="dxa"/>
        <w:tblCellMar>
          <w:top w:w="0" w:type="dxa"/>
          <w:left w:w="0" w:type="dxa"/>
          <w:bottom w:w="0" w:type="dxa"/>
          <w:right w:w="0" w:type="dxa"/>
        </w:tblCellMar>
      </w:tblPr>
      <w:tr>
        <w:trPr>
          <w:trHeight w:val="999"/>
        </w:trPr>
        <w:tc>
          <w:tcPr>
            <w:tcW w:w="3300" w:type="dxa"/>
            <w:vAlign w:val="bottom"/>
            <w:tcBorders>
              <w:right w:val="single" w:sz="8" w:color="007CBA"/>
            </w:tcBorders>
            <w:shd w:val="clear" w:color="auto" w:fill="007CBA"/>
          </w:tcPr>
          <w:p>
            <w:pPr>
              <w:spacing w:after="0"/>
              <w:rPr>
                <w:sz w:val="24"/>
                <w:szCs w:val="24"/>
                <w:color w:val="auto"/>
              </w:rPr>
            </w:pPr>
          </w:p>
        </w:tc>
        <w:tc>
          <w:tcPr>
            <w:tcW w:w="3100" w:type="dxa"/>
            <w:vAlign w:val="bottom"/>
            <w:tcBorders>
              <w:right w:val="single" w:sz="8" w:color="007CBA"/>
            </w:tcBorders>
            <w:shd w:val="clear" w:color="auto" w:fill="007CBA"/>
          </w:tcPr>
          <w:p>
            <w:pPr>
              <w:spacing w:after="0"/>
              <w:rPr>
                <w:sz w:val="24"/>
                <w:szCs w:val="24"/>
                <w:color w:val="auto"/>
              </w:rPr>
            </w:pPr>
          </w:p>
        </w:tc>
        <w:tc>
          <w:tcPr>
            <w:tcW w:w="3000" w:type="dxa"/>
            <w:vAlign w:val="bottom"/>
            <w:shd w:val="clear" w:color="auto" w:fill="007CBA"/>
          </w:tcPr>
          <w:p>
            <w:pPr>
              <w:spacing w:after="0"/>
              <w:rPr>
                <w:sz w:val="24"/>
                <w:szCs w:val="24"/>
                <w:color w:val="auto"/>
              </w:rPr>
            </w:pPr>
          </w:p>
        </w:tc>
        <w:tc>
          <w:tcPr>
            <w:tcW w:w="20" w:type="dxa"/>
            <w:vAlign w:val="bottom"/>
          </w:tcPr>
          <w:p>
            <w:pPr>
              <w:spacing w:after="0"/>
              <w:rPr>
                <w:sz w:val="24"/>
                <w:szCs w:val="24"/>
                <w:color w:val="auto"/>
              </w:rPr>
            </w:pPr>
          </w:p>
        </w:tc>
      </w:tr>
      <w:tr>
        <w:trPr>
          <w:trHeight w:val="171"/>
        </w:trPr>
        <w:tc>
          <w:tcPr>
            <w:tcW w:w="3300" w:type="dxa"/>
            <w:vAlign w:val="bottom"/>
            <w:tcBorders>
              <w:right w:val="single" w:sz="8" w:color="007CBA"/>
            </w:tcBorders>
          </w:tcPr>
          <w:p>
            <w:pPr>
              <w:ind w:left="220"/>
              <w:spacing w:after="0" w:line="171" w:lineRule="exact"/>
              <w:rPr>
                <w:sz w:val="20"/>
                <w:szCs w:val="20"/>
                <w:color w:val="auto"/>
              </w:rPr>
            </w:pPr>
            <w:r>
              <w:rPr>
                <w:rFonts w:ascii="Arial" w:cs="Arial" w:eastAsia="Arial" w:hAnsi="Arial"/>
                <w:sz w:val="16"/>
                <w:szCs w:val="16"/>
                <w:b w:val="1"/>
                <w:bCs w:val="1"/>
                <w:i w:val="1"/>
                <w:iCs w:val="1"/>
                <w:color w:val="007CBA"/>
              </w:rPr>
              <w:t>Current Members:</w:t>
            </w:r>
          </w:p>
        </w:tc>
        <w:tc>
          <w:tcPr>
            <w:tcW w:w="3100" w:type="dxa"/>
            <w:vAlign w:val="bottom"/>
            <w:tcBorders>
              <w:right w:val="single" w:sz="8" w:color="007CBA"/>
            </w:tcBorders>
          </w:tcPr>
          <w:p>
            <w:pPr>
              <w:spacing w:after="0"/>
              <w:rPr>
                <w:sz w:val="14"/>
                <w:szCs w:val="14"/>
                <w:color w:val="auto"/>
              </w:rPr>
            </w:pPr>
          </w:p>
        </w:tc>
        <w:tc>
          <w:tcPr>
            <w:tcW w:w="30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9"/>
        </w:trPr>
        <w:tc>
          <w:tcPr>
            <w:tcW w:w="3300" w:type="dxa"/>
            <w:vAlign w:val="bottom"/>
            <w:tcBorders>
              <w:right w:val="single" w:sz="8" w:color="007CBA"/>
            </w:tcBorders>
          </w:tcPr>
          <w:p>
            <w:pPr>
              <w:ind w:left="220"/>
              <w:spacing w:after="0"/>
              <w:rPr>
                <w:sz w:val="20"/>
                <w:szCs w:val="20"/>
                <w:color w:val="auto"/>
              </w:rPr>
            </w:pPr>
            <w:r>
              <w:rPr>
                <w:rFonts w:ascii="Arial" w:cs="Arial" w:eastAsia="Arial" w:hAnsi="Arial"/>
                <w:sz w:val="16"/>
                <w:szCs w:val="16"/>
                <w:color w:val="auto"/>
              </w:rPr>
              <w:t>Stephen P. Zelnak, Jr. (Chair)</w:t>
            </w:r>
          </w:p>
        </w:tc>
        <w:tc>
          <w:tcPr>
            <w:tcW w:w="3100" w:type="dxa"/>
            <w:vAlign w:val="bottom"/>
            <w:tcBorders>
              <w:right w:val="single" w:sz="8" w:color="007CBA"/>
            </w:tcBorders>
          </w:tcPr>
          <w:p>
            <w:pPr>
              <w:jc w:val="center"/>
              <w:spacing w:after="0"/>
              <w:rPr>
                <w:sz w:val="20"/>
                <w:szCs w:val="20"/>
                <w:color w:val="auto"/>
              </w:rPr>
            </w:pPr>
            <w:r>
              <w:rPr>
                <w:rFonts w:ascii="Arial" w:cs="Arial" w:eastAsia="Arial" w:hAnsi="Arial"/>
                <w:sz w:val="16"/>
                <w:szCs w:val="16"/>
                <w:b w:val="1"/>
                <w:bCs w:val="1"/>
                <w:i w:val="1"/>
                <w:iCs w:val="1"/>
                <w:color w:val="007CBA"/>
              </w:rPr>
              <w:t>Meetings in 2017:</w:t>
            </w:r>
          </w:p>
        </w:tc>
        <w:tc>
          <w:tcPr>
            <w:tcW w:w="3000" w:type="dxa"/>
            <w:vAlign w:val="bottom"/>
          </w:tcPr>
          <w:p>
            <w:pPr>
              <w:jc w:val="center"/>
              <w:spacing w:after="0"/>
              <w:rPr>
                <w:sz w:val="20"/>
                <w:szCs w:val="20"/>
                <w:color w:val="auto"/>
              </w:rPr>
            </w:pPr>
            <w:r>
              <w:rPr>
                <w:rFonts w:ascii="Arial" w:cs="Arial" w:eastAsia="Arial" w:hAnsi="Arial"/>
                <w:sz w:val="16"/>
                <w:szCs w:val="16"/>
                <w:b w:val="1"/>
                <w:bCs w:val="1"/>
                <w:i w:val="1"/>
                <w:iCs w:val="1"/>
                <w:color w:val="007CBA"/>
              </w:rPr>
              <w:t>Average Attendance in 2017:</w:t>
            </w:r>
          </w:p>
        </w:tc>
        <w:tc>
          <w:tcPr>
            <w:tcW w:w="20" w:type="dxa"/>
            <w:vAlign w:val="bottom"/>
          </w:tcPr>
          <w:p>
            <w:pPr>
              <w:spacing w:after="0"/>
              <w:rPr>
                <w:sz w:val="16"/>
                <w:szCs w:val="16"/>
                <w:color w:val="auto"/>
              </w:rPr>
            </w:pPr>
          </w:p>
        </w:tc>
      </w:tr>
      <w:tr>
        <w:trPr>
          <w:trHeight w:val="189"/>
        </w:trPr>
        <w:tc>
          <w:tcPr>
            <w:tcW w:w="3300" w:type="dxa"/>
            <w:vAlign w:val="bottom"/>
            <w:tcBorders>
              <w:right w:val="single" w:sz="8" w:color="007CBA"/>
            </w:tcBorders>
          </w:tcPr>
          <w:p>
            <w:pPr>
              <w:ind w:left="220"/>
              <w:spacing w:after="0"/>
              <w:rPr>
                <w:sz w:val="20"/>
                <w:szCs w:val="20"/>
                <w:color w:val="auto"/>
              </w:rPr>
            </w:pPr>
            <w:r>
              <w:rPr>
                <w:rFonts w:ascii="Arial" w:cs="Arial" w:eastAsia="Arial" w:hAnsi="Arial"/>
                <w:sz w:val="16"/>
                <w:szCs w:val="16"/>
                <w:color w:val="auto"/>
              </w:rPr>
              <w:t>Dennis L. Rediker</w:t>
            </w:r>
          </w:p>
        </w:tc>
        <w:tc>
          <w:tcPr>
            <w:tcW w:w="3100" w:type="dxa"/>
            <w:vAlign w:val="bottom"/>
            <w:tcBorders>
              <w:right w:val="single" w:sz="8" w:color="007CBA"/>
            </w:tcBorders>
          </w:tcPr>
          <w:p>
            <w:pPr>
              <w:jc w:val="right"/>
              <w:ind w:right="1399"/>
              <w:spacing w:after="0"/>
              <w:rPr>
                <w:sz w:val="20"/>
                <w:szCs w:val="20"/>
                <w:color w:val="auto"/>
              </w:rPr>
            </w:pPr>
            <w:r>
              <w:rPr>
                <w:rFonts w:ascii="Arial" w:cs="Arial" w:eastAsia="Arial" w:hAnsi="Arial"/>
                <w:sz w:val="16"/>
                <w:szCs w:val="16"/>
                <w:color w:val="auto"/>
              </w:rPr>
              <w:t>5</w:t>
            </w:r>
          </w:p>
        </w:tc>
        <w:tc>
          <w:tcPr>
            <w:tcW w:w="3000" w:type="dxa"/>
            <w:vAlign w:val="bottom"/>
          </w:tcPr>
          <w:p>
            <w:pPr>
              <w:jc w:val="right"/>
              <w:ind w:right="11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6"/>
                <w:szCs w:val="16"/>
                <w:color w:val="auto"/>
              </w:rPr>
            </w:pPr>
          </w:p>
        </w:tc>
      </w:tr>
      <w:tr>
        <w:trPr>
          <w:trHeight w:val="220"/>
        </w:trPr>
        <w:tc>
          <w:tcPr>
            <w:tcW w:w="3300" w:type="dxa"/>
            <w:vAlign w:val="bottom"/>
            <w:tcBorders>
              <w:bottom w:val="single" w:sz="8" w:color="007CBA"/>
              <w:right w:val="single" w:sz="8" w:color="007CBA"/>
            </w:tcBorders>
          </w:tcPr>
          <w:p>
            <w:pPr>
              <w:ind w:left="220"/>
              <w:spacing w:after="0"/>
              <w:rPr>
                <w:sz w:val="20"/>
                <w:szCs w:val="20"/>
                <w:color w:val="auto"/>
              </w:rPr>
            </w:pPr>
            <w:r>
              <w:rPr>
                <w:rFonts w:ascii="Arial" w:cs="Arial" w:eastAsia="Arial" w:hAnsi="Arial"/>
                <w:sz w:val="16"/>
                <w:szCs w:val="16"/>
                <w:color w:val="auto"/>
              </w:rPr>
              <w:t>Donald W. Slager</w:t>
            </w:r>
          </w:p>
        </w:tc>
        <w:tc>
          <w:tcPr>
            <w:tcW w:w="3100" w:type="dxa"/>
            <w:vAlign w:val="bottom"/>
            <w:tcBorders>
              <w:bottom w:val="single" w:sz="8" w:color="007CBA"/>
              <w:right w:val="single" w:sz="8" w:color="007CBA"/>
            </w:tcBorders>
          </w:tcPr>
          <w:p>
            <w:pPr>
              <w:spacing w:after="0"/>
              <w:rPr>
                <w:sz w:val="19"/>
                <w:szCs w:val="19"/>
                <w:color w:val="auto"/>
              </w:rPr>
            </w:pPr>
          </w:p>
        </w:tc>
        <w:tc>
          <w:tcPr>
            <w:tcW w:w="3000" w:type="dxa"/>
            <w:vAlign w:val="bottom"/>
            <w:tcBorders>
              <w:bottom w:val="single" w:sz="8" w:color="007CBA"/>
            </w:tcBorders>
          </w:tcPr>
          <w:p>
            <w:pPr>
              <w:spacing w:after="0"/>
              <w:rPr>
                <w:sz w:val="19"/>
                <w:szCs w:val="19"/>
                <w:color w:val="auto"/>
              </w:rPr>
            </w:pPr>
          </w:p>
        </w:tc>
        <w:tc>
          <w:tcPr>
            <w:tcW w:w="20" w:type="dxa"/>
            <w:vAlign w:val="bottom"/>
            <w:tcBorders>
              <w:bottom w:val="single" w:sz="8" w:color="007CB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-1131570</wp:posOffset>
            </wp:positionV>
            <wp:extent cx="5977255" cy="23152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77255" cy="2315210"/>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6"/>
          <w:szCs w:val="16"/>
          <w:b w:val="1"/>
          <w:bCs w:val="1"/>
          <w:i w:val="1"/>
          <w:iCs w:val="1"/>
          <w:color w:val="007CBA"/>
        </w:rPr>
        <w:t>Primary Responsibilities:</w:t>
      </w:r>
    </w:p>
    <w:p>
      <w:pPr>
        <w:spacing w:after="0" w:line="7" w:lineRule="exact"/>
        <w:rPr>
          <w:sz w:val="20"/>
          <w:szCs w:val="20"/>
          <w:color w:val="auto"/>
        </w:rPr>
      </w:pPr>
    </w:p>
    <w:p>
      <w:pPr>
        <w:ind w:left="1460" w:hanging="207"/>
        <w:spacing w:after="0"/>
        <w:tabs>
          <w:tab w:leader="none" w:pos="1460" w:val="left"/>
        </w:tabs>
        <w:numPr>
          <w:ilvl w:val="0"/>
          <w:numId w:val="52"/>
        </w:numPr>
        <w:rPr>
          <w:rFonts w:ascii="Arial" w:cs="Arial" w:eastAsia="Arial" w:hAnsi="Arial"/>
          <w:sz w:val="16"/>
          <w:szCs w:val="16"/>
          <w:color w:val="007CBA"/>
        </w:rPr>
      </w:pPr>
      <w:r>
        <w:rPr>
          <w:rFonts w:ascii="Arial" w:cs="Arial" w:eastAsia="Arial" w:hAnsi="Arial"/>
          <w:sz w:val="16"/>
          <w:szCs w:val="16"/>
          <w:color w:val="auto"/>
        </w:rPr>
        <w:t>provides general oversight relating to the management of our financial affairs;</w:t>
      </w:r>
    </w:p>
    <w:p>
      <w:pPr>
        <w:spacing w:after="0" w:line="66" w:lineRule="exact"/>
        <w:rPr>
          <w:rFonts w:ascii="Arial" w:cs="Arial" w:eastAsia="Arial" w:hAnsi="Arial"/>
          <w:sz w:val="16"/>
          <w:szCs w:val="16"/>
          <w:color w:val="007CBA"/>
        </w:rPr>
      </w:pPr>
    </w:p>
    <w:p>
      <w:pPr>
        <w:ind w:left="1500" w:right="840" w:hanging="247"/>
        <w:spacing w:after="0" w:line="291" w:lineRule="auto"/>
        <w:tabs>
          <w:tab w:leader="none" w:pos="1459" w:val="left"/>
        </w:tabs>
        <w:numPr>
          <w:ilvl w:val="0"/>
          <w:numId w:val="52"/>
        </w:numPr>
        <w:rPr>
          <w:rFonts w:ascii="Arial" w:cs="Arial" w:eastAsia="Arial" w:hAnsi="Arial"/>
          <w:sz w:val="16"/>
          <w:szCs w:val="16"/>
          <w:color w:val="007CBA"/>
        </w:rPr>
      </w:pPr>
      <w:r>
        <w:rPr>
          <w:rFonts w:ascii="Arial" w:cs="Arial" w:eastAsia="Arial" w:hAnsi="Arial"/>
          <w:sz w:val="16"/>
          <w:szCs w:val="16"/>
          <w:color w:val="auto"/>
        </w:rPr>
        <w:t>reviews and approves establishment of lines of credit or other short-term borrowing arrangements and investing excess working capital funds on a short-term basis;</w:t>
      </w:r>
    </w:p>
    <w:p>
      <w:pPr>
        <w:spacing w:after="0" w:line="13" w:lineRule="exact"/>
        <w:rPr>
          <w:rFonts w:ascii="Arial" w:cs="Arial" w:eastAsia="Arial" w:hAnsi="Arial"/>
          <w:sz w:val="16"/>
          <w:szCs w:val="16"/>
          <w:color w:val="007CBA"/>
        </w:rPr>
      </w:pPr>
    </w:p>
    <w:p>
      <w:pPr>
        <w:ind w:left="1500" w:right="860" w:hanging="247"/>
        <w:spacing w:after="0" w:line="291" w:lineRule="auto"/>
        <w:tabs>
          <w:tab w:leader="none" w:pos="1459" w:val="left"/>
        </w:tabs>
        <w:numPr>
          <w:ilvl w:val="0"/>
          <w:numId w:val="52"/>
        </w:numPr>
        <w:rPr>
          <w:rFonts w:ascii="Arial" w:cs="Arial" w:eastAsia="Arial" w:hAnsi="Arial"/>
          <w:sz w:val="16"/>
          <w:szCs w:val="16"/>
          <w:color w:val="007CBA"/>
        </w:rPr>
      </w:pPr>
      <w:r>
        <w:rPr>
          <w:rFonts w:ascii="Arial" w:cs="Arial" w:eastAsia="Arial" w:hAnsi="Arial"/>
          <w:sz w:val="16"/>
          <w:szCs w:val="16"/>
          <w:color w:val="auto"/>
        </w:rPr>
        <w:t>reviews and makes recommendations to the Board concerning changes to capital structure, including the incurrence of long-term debt, issuance of equity securities, share repurchases, and the payment of dividends, as well as capital expenditures;</w:t>
      </w:r>
    </w:p>
    <w:p>
      <w:pPr>
        <w:spacing w:after="0" w:line="13" w:lineRule="exact"/>
        <w:rPr>
          <w:rFonts w:ascii="Arial" w:cs="Arial" w:eastAsia="Arial" w:hAnsi="Arial"/>
          <w:sz w:val="16"/>
          <w:szCs w:val="16"/>
          <w:color w:val="007CBA"/>
        </w:rPr>
      </w:pPr>
    </w:p>
    <w:p>
      <w:pPr>
        <w:ind w:left="1460" w:hanging="207"/>
        <w:spacing w:after="0"/>
        <w:tabs>
          <w:tab w:leader="none" w:pos="1460" w:val="left"/>
        </w:tabs>
        <w:numPr>
          <w:ilvl w:val="0"/>
          <w:numId w:val="52"/>
        </w:numPr>
        <w:rPr>
          <w:rFonts w:ascii="Arial" w:cs="Arial" w:eastAsia="Arial" w:hAnsi="Arial"/>
          <w:sz w:val="16"/>
          <w:szCs w:val="16"/>
          <w:color w:val="007CBA"/>
        </w:rPr>
      </w:pPr>
      <w:r>
        <w:rPr>
          <w:rFonts w:ascii="Arial" w:cs="Arial" w:eastAsia="Arial" w:hAnsi="Arial"/>
          <w:sz w:val="16"/>
          <w:szCs w:val="16"/>
          <w:color w:val="auto"/>
        </w:rPr>
        <w:t>approves our contributions budget; and</w:t>
      </w:r>
    </w:p>
    <w:p>
      <w:pPr>
        <w:spacing w:after="0" w:line="86" w:lineRule="exact"/>
        <w:rPr>
          <w:rFonts w:ascii="Arial" w:cs="Arial" w:eastAsia="Arial" w:hAnsi="Arial"/>
          <w:sz w:val="16"/>
          <w:szCs w:val="16"/>
          <w:color w:val="007CBA"/>
        </w:rPr>
      </w:pPr>
    </w:p>
    <w:p>
      <w:pPr>
        <w:ind w:left="1460" w:hanging="207"/>
        <w:spacing w:after="0"/>
        <w:tabs>
          <w:tab w:leader="none" w:pos="1460" w:val="left"/>
        </w:tabs>
        <w:numPr>
          <w:ilvl w:val="0"/>
          <w:numId w:val="52"/>
        </w:numPr>
        <w:rPr>
          <w:rFonts w:ascii="Arial" w:cs="Arial" w:eastAsia="Arial" w:hAnsi="Arial"/>
          <w:sz w:val="16"/>
          <w:szCs w:val="16"/>
          <w:color w:val="007CBA"/>
        </w:rPr>
      </w:pPr>
      <w:r>
        <w:rPr>
          <w:rFonts w:ascii="Arial" w:cs="Arial" w:eastAsia="Arial" w:hAnsi="Arial"/>
          <w:sz w:val="16"/>
          <w:szCs w:val="16"/>
          <w:color w:val="auto"/>
        </w:rPr>
        <w:t>reviews annually the adequacy of the committee charter and recommends proposed changes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126365</wp:posOffset>
            </wp:positionV>
            <wp:extent cx="411480" cy="2489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195" w:lineRule="exact"/>
        <w:rPr>
          <w:sz w:val="20"/>
          <w:szCs w:val="20"/>
          <w:color w:val="auto"/>
        </w:rPr>
      </w:pPr>
    </w:p>
    <w:tbl>
      <w:tblPr>
        <w:tblLayout w:type="fixed"/>
        <w:tblInd w:w="9260" w:type="dxa"/>
        <w:tblCellMar>
          <w:top w:w="0" w:type="dxa"/>
          <w:left w:w="0" w:type="dxa"/>
          <w:bottom w:w="0" w:type="dxa"/>
          <w:right w:w="0" w:type="dxa"/>
        </w:tblCellMar>
      </w:tblPr>
      <w:tr>
        <w:trPr>
          <w:trHeight w:val="178"/>
        </w:trPr>
        <w:tc>
          <w:tcPr>
            <w:tcW w:w="1680" w:type="dxa"/>
            <w:vAlign w:val="bottom"/>
          </w:tcPr>
          <w:p>
            <w:pPr>
              <w:spacing w:after="0"/>
              <w:rPr>
                <w:sz w:val="20"/>
                <w:szCs w:val="20"/>
                <w:color w:val="auto"/>
              </w:rPr>
            </w:pPr>
            <w:r>
              <w:rPr>
                <w:rFonts w:ascii="Arial" w:cs="Arial" w:eastAsia="Arial" w:hAnsi="Arial"/>
                <w:sz w:val="13"/>
                <w:szCs w:val="13"/>
                <w:color w:val="007CBA"/>
              </w:rPr>
              <w:t>2018 PROXY STATEMENT</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rPr>
              <w:t>23</w:t>
            </w:r>
          </w:p>
        </w:tc>
      </w:tr>
    </w:tbl>
    <w:p>
      <w:pPr>
        <w:sectPr>
          <w:pgSz w:w="11900" w:h="16838" w:orient="portrait"/>
          <w:cols w:equalWidth="0" w:num="1">
            <w:col w:w="11220"/>
          </w:cols>
          <w:pgMar w:left="240" w:top="455" w:right="4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64" w:lineRule="exact"/>
        <w:rPr>
          <w:sz w:val="20"/>
          <w:szCs w:val="20"/>
          <w:color w:val="auto"/>
        </w:rPr>
      </w:pPr>
    </w:p>
    <w:p>
      <w:pPr>
        <w:ind w:left="200"/>
        <w:spacing w:after="0" w:line="288" w:lineRule="exact"/>
        <w:rPr>
          <w:sz w:val="20"/>
          <w:szCs w:val="20"/>
          <w:color w:val="auto"/>
        </w:rPr>
      </w:pPr>
      <w:r>
        <w:rPr>
          <w:rFonts w:ascii="Arial" w:cs="Arial" w:eastAsia="Arial" w:hAnsi="Arial"/>
          <w:sz w:val="14"/>
          <w:szCs w:val="14"/>
          <w:color w:val="007CBA"/>
        </w:rPr>
        <w:t xml:space="preserve">Corporate Governance Matters </w:t>
      </w:r>
      <w:r>
        <w:rPr>
          <w:rFonts w:ascii="MS PGothic" w:cs="MS PGothic" w:eastAsia="MS PGothic" w:hAnsi="MS PGothic"/>
          <w:sz w:val="25"/>
          <w:szCs w:val="25"/>
          <w:color w:val="007CBA"/>
        </w:rPr>
        <w:t>◆</w:t>
      </w:r>
      <w:r>
        <w:rPr>
          <w:rFonts w:ascii="Arial" w:cs="Arial" w:eastAsia="Arial" w:hAnsi="Arial"/>
          <w:sz w:val="14"/>
          <w:szCs w:val="14"/>
          <w:color w:val="007CBA"/>
        </w:rPr>
        <w:t xml:space="preserve"> </w:t>
      </w:r>
      <w:r>
        <w:rPr>
          <w:rFonts w:ascii="Arial" w:cs="Arial" w:eastAsia="Arial" w:hAnsi="Arial"/>
          <w:sz w:val="14"/>
          <w:szCs w:val="14"/>
          <w:color w:val="000000"/>
        </w:rPr>
        <w:t>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140970</wp:posOffset>
            </wp:positionV>
            <wp:extent cx="7006590" cy="381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06590" cy="381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4780" w:type="dxa"/>
            <w:vAlign w:val="bottom"/>
            <w:tcBorders>
              <w:right w:val="single" w:sz="8" w:color="007CBA"/>
            </w:tcBorders>
          </w:tcPr>
          <w:p>
            <w:pPr>
              <w:ind w:left="220"/>
              <w:spacing w:after="0"/>
              <w:rPr>
                <w:sz w:val="20"/>
                <w:szCs w:val="20"/>
                <w:color w:val="auto"/>
              </w:rPr>
            </w:pPr>
            <w:r>
              <w:rPr>
                <w:rFonts w:ascii="Arial" w:cs="Arial" w:eastAsia="Arial" w:hAnsi="Arial"/>
                <w:sz w:val="16"/>
                <w:szCs w:val="16"/>
                <w:b w:val="1"/>
                <w:bCs w:val="1"/>
                <w:i w:val="1"/>
                <w:iCs w:val="1"/>
                <w:color w:val="007CBA"/>
              </w:rPr>
              <w:t>Current Members:</w:t>
            </w:r>
          </w:p>
        </w:tc>
        <w:tc>
          <w:tcPr>
            <w:tcW w:w="4620" w:type="dxa"/>
            <w:vAlign w:val="bottom"/>
            <w:tcBorders>
              <w:right w:val="single" w:sz="8" w:color="007CBA"/>
            </w:tcBorders>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6"/>
                <w:szCs w:val="16"/>
                <w:b w:val="1"/>
                <w:bCs w:val="1"/>
                <w:i w:val="1"/>
                <w:iCs w:val="1"/>
                <w:color w:val="007CBA"/>
              </w:rPr>
              <w:t>Average</w:t>
            </w:r>
          </w:p>
        </w:tc>
      </w:tr>
      <w:tr>
        <w:trPr>
          <w:trHeight w:val="189"/>
        </w:trPr>
        <w:tc>
          <w:tcPr>
            <w:tcW w:w="4780" w:type="dxa"/>
            <w:vAlign w:val="bottom"/>
            <w:tcBorders>
              <w:right w:val="single" w:sz="8" w:color="007CBA"/>
            </w:tcBorders>
          </w:tcPr>
          <w:p>
            <w:pPr>
              <w:ind w:left="220"/>
              <w:spacing w:after="0"/>
              <w:rPr>
                <w:sz w:val="20"/>
                <w:szCs w:val="20"/>
                <w:color w:val="auto"/>
              </w:rPr>
            </w:pPr>
            <w:r>
              <w:rPr>
                <w:rFonts w:ascii="Arial" w:cs="Arial" w:eastAsia="Arial" w:hAnsi="Arial"/>
                <w:sz w:val="16"/>
                <w:szCs w:val="16"/>
                <w:color w:val="auto"/>
              </w:rPr>
              <w:t>Michael J. Quillen (Chair)</w:t>
            </w:r>
          </w:p>
        </w:tc>
        <w:tc>
          <w:tcPr>
            <w:tcW w:w="4620" w:type="dxa"/>
            <w:vAlign w:val="bottom"/>
            <w:tcBorders>
              <w:right w:val="single" w:sz="8" w:color="007CBA"/>
            </w:tcBorders>
          </w:tcPr>
          <w:p>
            <w:pPr>
              <w:jc w:val="center"/>
              <w:ind w:left="139"/>
              <w:spacing w:after="0"/>
              <w:rPr>
                <w:sz w:val="20"/>
                <w:szCs w:val="20"/>
                <w:color w:val="auto"/>
              </w:rPr>
            </w:pPr>
            <w:r>
              <w:rPr>
                <w:rFonts w:ascii="Arial" w:cs="Arial" w:eastAsia="Arial" w:hAnsi="Arial"/>
                <w:sz w:val="16"/>
                <w:szCs w:val="16"/>
                <w:b w:val="1"/>
                <w:bCs w:val="1"/>
                <w:i w:val="1"/>
                <w:iCs w:val="1"/>
                <w:color w:val="007CBA"/>
              </w:rPr>
              <w:t>Meetings in 2017:</w:t>
            </w:r>
          </w:p>
        </w:tc>
        <w:tc>
          <w:tcPr>
            <w:tcW w:w="1620" w:type="dxa"/>
            <w:vAlign w:val="bottom"/>
          </w:tcPr>
          <w:p>
            <w:pPr>
              <w:jc w:val="center"/>
              <w:spacing w:after="0"/>
              <w:rPr>
                <w:sz w:val="20"/>
                <w:szCs w:val="20"/>
                <w:color w:val="auto"/>
              </w:rPr>
            </w:pPr>
            <w:r>
              <w:rPr>
                <w:rFonts w:ascii="Arial" w:cs="Arial" w:eastAsia="Arial" w:hAnsi="Arial"/>
                <w:sz w:val="16"/>
                <w:szCs w:val="16"/>
                <w:b w:val="1"/>
                <w:bCs w:val="1"/>
                <w:i w:val="1"/>
                <w:iCs w:val="1"/>
                <w:color w:val="007CBA"/>
              </w:rPr>
              <w:t>Attendance in</w:t>
            </w:r>
          </w:p>
        </w:tc>
      </w:tr>
      <w:tr>
        <w:trPr>
          <w:trHeight w:val="189"/>
        </w:trPr>
        <w:tc>
          <w:tcPr>
            <w:tcW w:w="4780" w:type="dxa"/>
            <w:vAlign w:val="bottom"/>
            <w:tcBorders>
              <w:right w:val="single" w:sz="8" w:color="007CBA"/>
            </w:tcBorders>
          </w:tcPr>
          <w:p>
            <w:pPr>
              <w:ind w:left="220"/>
              <w:spacing w:after="0"/>
              <w:rPr>
                <w:sz w:val="20"/>
                <w:szCs w:val="20"/>
                <w:color w:val="auto"/>
              </w:rPr>
            </w:pPr>
            <w:r>
              <w:rPr>
                <w:rFonts w:ascii="Arial" w:cs="Arial" w:eastAsia="Arial" w:hAnsi="Arial"/>
                <w:sz w:val="16"/>
                <w:szCs w:val="16"/>
                <w:color w:val="auto"/>
              </w:rPr>
              <w:t>Sue W. Cole</w:t>
            </w:r>
          </w:p>
        </w:tc>
        <w:tc>
          <w:tcPr>
            <w:tcW w:w="4620" w:type="dxa"/>
            <w:vAlign w:val="bottom"/>
            <w:tcBorders>
              <w:right w:val="single" w:sz="8" w:color="007CBA"/>
            </w:tcBorders>
          </w:tcPr>
          <w:p>
            <w:pPr>
              <w:jc w:val="right"/>
              <w:ind w:right="2079"/>
              <w:spacing w:after="0"/>
              <w:rPr>
                <w:sz w:val="20"/>
                <w:szCs w:val="20"/>
                <w:color w:val="auto"/>
              </w:rPr>
            </w:pPr>
            <w:r>
              <w:rPr>
                <w:rFonts w:ascii="Arial" w:cs="Arial" w:eastAsia="Arial" w:hAnsi="Arial"/>
                <w:sz w:val="16"/>
                <w:szCs w:val="16"/>
                <w:color w:val="auto"/>
              </w:rPr>
              <w:t>6</w:t>
            </w:r>
          </w:p>
        </w:tc>
        <w:tc>
          <w:tcPr>
            <w:tcW w:w="1620" w:type="dxa"/>
            <w:vAlign w:val="bottom"/>
          </w:tcPr>
          <w:p>
            <w:pPr>
              <w:jc w:val="center"/>
              <w:spacing w:after="0"/>
              <w:rPr>
                <w:sz w:val="20"/>
                <w:szCs w:val="20"/>
                <w:color w:val="auto"/>
              </w:rPr>
            </w:pPr>
            <w:r>
              <w:rPr>
                <w:rFonts w:ascii="Arial" w:cs="Arial" w:eastAsia="Arial" w:hAnsi="Arial"/>
                <w:sz w:val="16"/>
                <w:szCs w:val="16"/>
                <w:b w:val="1"/>
                <w:bCs w:val="1"/>
                <w:i w:val="1"/>
                <w:iCs w:val="1"/>
                <w:color w:val="007CBA"/>
              </w:rPr>
              <w:t>2017:</w:t>
            </w:r>
          </w:p>
        </w:tc>
      </w:tr>
      <w:tr>
        <w:trPr>
          <w:trHeight w:val="220"/>
        </w:trPr>
        <w:tc>
          <w:tcPr>
            <w:tcW w:w="4780" w:type="dxa"/>
            <w:vAlign w:val="bottom"/>
            <w:tcBorders>
              <w:bottom w:val="single" w:sz="8" w:color="007CBA"/>
              <w:right w:val="single" w:sz="8" w:color="007CBA"/>
            </w:tcBorders>
          </w:tcPr>
          <w:p>
            <w:pPr>
              <w:ind w:left="220"/>
              <w:spacing w:after="0"/>
              <w:rPr>
                <w:sz w:val="20"/>
                <w:szCs w:val="20"/>
                <w:color w:val="auto"/>
              </w:rPr>
            </w:pPr>
            <w:r>
              <w:rPr>
                <w:rFonts w:ascii="Arial" w:cs="Arial" w:eastAsia="Arial" w:hAnsi="Arial"/>
                <w:sz w:val="16"/>
                <w:szCs w:val="16"/>
                <w:color w:val="auto"/>
              </w:rPr>
              <w:t>John J. Koraleski</w:t>
            </w:r>
          </w:p>
        </w:tc>
        <w:tc>
          <w:tcPr>
            <w:tcW w:w="4620" w:type="dxa"/>
            <w:vAlign w:val="bottom"/>
            <w:tcBorders>
              <w:bottom w:val="single" w:sz="8" w:color="007CBA"/>
              <w:right w:val="single" w:sz="8" w:color="007CBA"/>
            </w:tcBorders>
          </w:tcPr>
          <w:p>
            <w:pPr>
              <w:spacing w:after="0"/>
              <w:rPr>
                <w:sz w:val="19"/>
                <w:szCs w:val="19"/>
                <w:color w:val="auto"/>
              </w:rPr>
            </w:pPr>
          </w:p>
        </w:tc>
        <w:tc>
          <w:tcPr>
            <w:tcW w:w="1620" w:type="dxa"/>
            <w:vAlign w:val="bottom"/>
            <w:tcBorders>
              <w:bottom w:val="single" w:sz="8" w:color="007CBA"/>
            </w:tcBorders>
          </w:tcPr>
          <w:p>
            <w:pPr>
              <w:jc w:val="center"/>
              <w:spacing w:after="0"/>
              <w:rPr>
                <w:sz w:val="20"/>
                <w:szCs w:val="20"/>
                <w:color w:val="auto"/>
              </w:rPr>
            </w:pPr>
            <w:r>
              <w:rPr>
                <w:rFonts w:ascii="Arial" w:cs="Arial" w:eastAsia="Arial" w:hAnsi="Arial"/>
                <w:sz w:val="16"/>
                <w:szCs w:val="16"/>
                <w:color w:val="auto"/>
              </w:rPr>
              <w:t>100%</w:t>
            </w:r>
          </w:p>
        </w:tc>
      </w:tr>
      <w:tr>
        <w:trPr>
          <w:trHeight w:val="221"/>
        </w:trPr>
        <w:tc>
          <w:tcPr>
            <w:tcW w:w="4780" w:type="dxa"/>
            <w:vAlign w:val="bottom"/>
          </w:tcPr>
          <w:p>
            <w:pPr>
              <w:ind w:left="220"/>
              <w:spacing w:after="0"/>
              <w:rPr>
                <w:sz w:val="20"/>
                <w:szCs w:val="20"/>
                <w:color w:val="auto"/>
              </w:rPr>
            </w:pPr>
            <w:r>
              <w:rPr>
                <w:rFonts w:ascii="Arial" w:cs="Arial" w:eastAsia="Arial" w:hAnsi="Arial"/>
                <w:sz w:val="16"/>
                <w:szCs w:val="16"/>
                <w:b w:val="1"/>
                <w:bCs w:val="1"/>
                <w:i w:val="1"/>
                <w:iCs w:val="1"/>
                <w:color w:val="007CBA"/>
              </w:rPr>
              <w:t>Primary Responsibilities:</w:t>
            </w:r>
          </w:p>
        </w:tc>
        <w:tc>
          <w:tcPr>
            <w:tcW w:w="4620" w:type="dxa"/>
            <w:vAlign w:val="bottom"/>
          </w:tcPr>
          <w:p>
            <w:pPr>
              <w:spacing w:after="0"/>
              <w:rPr>
                <w:sz w:val="19"/>
                <w:szCs w:val="19"/>
                <w:color w:val="auto"/>
              </w:rPr>
            </w:pPr>
          </w:p>
        </w:tc>
        <w:tc>
          <w:tcPr>
            <w:tcW w:w="1620" w:type="dxa"/>
            <w:vAlign w:val="bottom"/>
          </w:tcPr>
          <w:p>
            <w:pPr>
              <w:spacing w:after="0"/>
              <w:rPr>
                <w:sz w:val="19"/>
                <w:szCs w:val="19"/>
                <w:color w:val="auto"/>
              </w:rPr>
            </w:pPr>
          </w:p>
        </w:tc>
      </w:tr>
    </w:tbl>
    <w:p>
      <w:pPr>
        <w:spacing w:after="0" w:line="12" w:lineRule="exact"/>
        <w:rPr>
          <w:sz w:val="20"/>
          <w:szCs w:val="20"/>
          <w:color w:val="auto"/>
        </w:rPr>
      </w:pPr>
    </w:p>
    <w:p>
      <w:pPr>
        <w:ind w:left="680" w:right="60" w:hanging="238"/>
        <w:spacing w:after="0" w:line="291" w:lineRule="auto"/>
        <w:tabs>
          <w:tab w:leader="none" w:pos="639" w:val="left"/>
        </w:tabs>
        <w:numPr>
          <w:ilvl w:val="0"/>
          <w:numId w:val="53"/>
        </w:numPr>
        <w:rPr>
          <w:rFonts w:ascii="Arial" w:cs="Arial" w:eastAsia="Arial" w:hAnsi="Arial"/>
          <w:sz w:val="16"/>
          <w:szCs w:val="16"/>
          <w:color w:val="007CBA"/>
        </w:rPr>
      </w:pPr>
      <w:r>
        <w:rPr>
          <w:rFonts w:ascii="Arial" w:cs="Arial" w:eastAsia="Arial" w:hAnsi="Arial"/>
          <w:sz w:val="16"/>
          <w:szCs w:val="16"/>
          <w:color w:val="auto"/>
        </w:rPr>
        <w:t>establishes an overall strategy with respect to compensation for officers and management to enable Martin Marietta to attract and retain qualified employees;</w:t>
      </w:r>
    </w:p>
    <w:p>
      <w:pPr>
        <w:spacing w:after="0" w:line="13" w:lineRule="exact"/>
        <w:rPr>
          <w:rFonts w:ascii="Arial" w:cs="Arial" w:eastAsia="Arial" w:hAnsi="Arial"/>
          <w:sz w:val="16"/>
          <w:szCs w:val="16"/>
          <w:color w:val="007CBA"/>
        </w:rPr>
      </w:pPr>
    </w:p>
    <w:p>
      <w:pPr>
        <w:ind w:left="640" w:hanging="198"/>
        <w:spacing w:after="0"/>
        <w:tabs>
          <w:tab w:leader="none" w:pos="640" w:val="left"/>
        </w:tabs>
        <w:numPr>
          <w:ilvl w:val="0"/>
          <w:numId w:val="53"/>
        </w:numPr>
        <w:rPr>
          <w:rFonts w:ascii="Arial" w:cs="Arial" w:eastAsia="Arial" w:hAnsi="Arial"/>
          <w:sz w:val="16"/>
          <w:szCs w:val="16"/>
          <w:color w:val="007CBA"/>
        </w:rPr>
      </w:pPr>
      <w:r>
        <w:rPr>
          <w:rFonts w:ascii="Arial" w:cs="Arial" w:eastAsia="Arial" w:hAnsi="Arial"/>
          <w:sz w:val="16"/>
          <w:szCs w:val="16"/>
          <w:color w:val="auto"/>
        </w:rPr>
        <w:t>reviews and oversees executive succession and management development plans;</w:t>
      </w:r>
    </w:p>
    <w:p>
      <w:pPr>
        <w:spacing w:after="0" w:line="86" w:lineRule="exact"/>
        <w:rPr>
          <w:rFonts w:ascii="Arial" w:cs="Arial" w:eastAsia="Arial" w:hAnsi="Arial"/>
          <w:sz w:val="16"/>
          <w:szCs w:val="16"/>
          <w:color w:val="007CBA"/>
        </w:rPr>
      </w:pPr>
    </w:p>
    <w:p>
      <w:pPr>
        <w:ind w:left="680" w:right="60" w:hanging="238"/>
        <w:spacing w:after="0" w:line="291" w:lineRule="auto"/>
        <w:tabs>
          <w:tab w:leader="none" w:pos="639" w:val="left"/>
        </w:tabs>
        <w:numPr>
          <w:ilvl w:val="0"/>
          <w:numId w:val="53"/>
        </w:numPr>
        <w:rPr>
          <w:rFonts w:ascii="Arial" w:cs="Arial" w:eastAsia="Arial" w:hAnsi="Arial"/>
          <w:sz w:val="16"/>
          <w:szCs w:val="16"/>
          <w:color w:val="007CBA"/>
        </w:rPr>
      </w:pPr>
      <w:r>
        <w:rPr>
          <w:rFonts w:ascii="Arial" w:cs="Arial" w:eastAsia="Arial" w:hAnsi="Arial"/>
          <w:sz w:val="16"/>
          <w:szCs w:val="16"/>
          <w:color w:val="auto"/>
        </w:rPr>
        <w:t>reviews and approves management’s assessment of the performance of executive officers, and reviews and approves the salary, incentive compensation, and other compensation of such officers;</w:t>
      </w:r>
    </w:p>
    <w:p>
      <w:pPr>
        <w:spacing w:after="0" w:line="13" w:lineRule="exact"/>
        <w:rPr>
          <w:rFonts w:ascii="Arial" w:cs="Arial" w:eastAsia="Arial" w:hAnsi="Arial"/>
          <w:sz w:val="16"/>
          <w:szCs w:val="16"/>
          <w:color w:val="007CBA"/>
        </w:rPr>
      </w:pPr>
    </w:p>
    <w:p>
      <w:pPr>
        <w:ind w:left="640" w:hanging="198"/>
        <w:spacing w:after="0"/>
        <w:tabs>
          <w:tab w:leader="none" w:pos="640" w:val="left"/>
        </w:tabs>
        <w:numPr>
          <w:ilvl w:val="0"/>
          <w:numId w:val="53"/>
        </w:numPr>
        <w:rPr>
          <w:rFonts w:ascii="Arial" w:cs="Arial" w:eastAsia="Arial" w:hAnsi="Arial"/>
          <w:sz w:val="16"/>
          <w:szCs w:val="16"/>
          <w:color w:val="007CBA"/>
        </w:rPr>
      </w:pPr>
      <w:r>
        <w:rPr>
          <w:rFonts w:ascii="Arial" w:cs="Arial" w:eastAsia="Arial" w:hAnsi="Arial"/>
          <w:sz w:val="16"/>
          <w:szCs w:val="16"/>
          <w:color w:val="auto"/>
        </w:rPr>
        <w:t>approves and administers our equity and other plans relating to compensation of Martin Marietta’s directors and elected officers;</w:t>
      </w:r>
    </w:p>
    <w:p>
      <w:pPr>
        <w:spacing w:after="0" w:line="86" w:lineRule="exact"/>
        <w:rPr>
          <w:rFonts w:ascii="Arial" w:cs="Arial" w:eastAsia="Arial" w:hAnsi="Arial"/>
          <w:sz w:val="16"/>
          <w:szCs w:val="16"/>
          <w:color w:val="007CBA"/>
        </w:rPr>
      </w:pPr>
    </w:p>
    <w:p>
      <w:pPr>
        <w:ind w:left="680" w:right="60" w:hanging="238"/>
        <w:spacing w:after="0" w:line="291" w:lineRule="auto"/>
        <w:tabs>
          <w:tab w:leader="none" w:pos="639" w:val="left"/>
        </w:tabs>
        <w:numPr>
          <w:ilvl w:val="0"/>
          <w:numId w:val="53"/>
        </w:numPr>
        <w:rPr>
          <w:rFonts w:ascii="Arial" w:cs="Arial" w:eastAsia="Arial" w:hAnsi="Arial"/>
          <w:sz w:val="16"/>
          <w:szCs w:val="16"/>
          <w:color w:val="007CBA"/>
        </w:rPr>
      </w:pPr>
      <w:r>
        <w:rPr>
          <w:rFonts w:ascii="Arial" w:cs="Arial" w:eastAsia="Arial" w:hAnsi="Arial"/>
          <w:sz w:val="16"/>
          <w:szCs w:val="16"/>
          <w:color w:val="auto"/>
        </w:rPr>
        <w:t>reviews and discusses the Compensation Discussion and Analysis and produces a compensation committee report as required by the SEC to be included in this proxy statement;</w:t>
      </w:r>
    </w:p>
    <w:p>
      <w:pPr>
        <w:spacing w:after="0" w:line="13" w:lineRule="exact"/>
        <w:rPr>
          <w:rFonts w:ascii="Arial" w:cs="Arial" w:eastAsia="Arial" w:hAnsi="Arial"/>
          <w:sz w:val="16"/>
          <w:szCs w:val="16"/>
          <w:color w:val="007CBA"/>
        </w:rPr>
      </w:pPr>
    </w:p>
    <w:p>
      <w:pPr>
        <w:ind w:left="640" w:hanging="198"/>
        <w:spacing w:after="0"/>
        <w:tabs>
          <w:tab w:leader="none" w:pos="640" w:val="left"/>
        </w:tabs>
        <w:numPr>
          <w:ilvl w:val="0"/>
          <w:numId w:val="53"/>
        </w:numPr>
        <w:rPr>
          <w:rFonts w:ascii="Arial" w:cs="Arial" w:eastAsia="Arial" w:hAnsi="Arial"/>
          <w:sz w:val="16"/>
          <w:szCs w:val="16"/>
          <w:color w:val="007CBA"/>
        </w:rPr>
      </w:pPr>
      <w:r>
        <w:rPr>
          <w:rFonts w:ascii="Arial" w:cs="Arial" w:eastAsia="Arial" w:hAnsi="Arial"/>
          <w:sz w:val="16"/>
          <w:szCs w:val="16"/>
          <w:color w:val="auto"/>
        </w:rPr>
        <w:t>provides oversight of our Benefit Plan Committee, which administers Martin Marietta’s defined benefit and contribution plans;</w:t>
      </w:r>
    </w:p>
    <w:p>
      <w:pPr>
        <w:spacing w:after="0" w:line="86" w:lineRule="exact"/>
        <w:rPr>
          <w:rFonts w:ascii="Arial" w:cs="Arial" w:eastAsia="Arial" w:hAnsi="Arial"/>
          <w:sz w:val="16"/>
          <w:szCs w:val="16"/>
          <w:color w:val="007CBA"/>
        </w:rPr>
      </w:pPr>
    </w:p>
    <w:p>
      <w:pPr>
        <w:ind w:left="680" w:right="60" w:hanging="238"/>
        <w:spacing w:after="0" w:line="291" w:lineRule="auto"/>
        <w:tabs>
          <w:tab w:leader="none" w:pos="639" w:val="left"/>
        </w:tabs>
        <w:numPr>
          <w:ilvl w:val="0"/>
          <w:numId w:val="53"/>
        </w:numPr>
        <w:rPr>
          <w:rFonts w:ascii="Arial" w:cs="Arial" w:eastAsia="Arial" w:hAnsi="Arial"/>
          <w:sz w:val="16"/>
          <w:szCs w:val="16"/>
          <w:color w:val="007CBA"/>
        </w:rPr>
      </w:pPr>
      <w:r>
        <w:rPr>
          <w:rFonts w:ascii="Arial" w:cs="Arial" w:eastAsia="Arial" w:hAnsi="Arial"/>
          <w:sz w:val="16"/>
          <w:szCs w:val="16"/>
          <w:color w:val="auto"/>
        </w:rPr>
        <w:t>reviews and approves the goals and objectives for the CEO’s compensation, evaluates the CEO’s performance in light of those goals and objectives, and determines and approves the CEO’s compensation;</w:t>
      </w:r>
    </w:p>
    <w:p>
      <w:pPr>
        <w:spacing w:after="0" w:line="13" w:lineRule="exact"/>
        <w:rPr>
          <w:rFonts w:ascii="Arial" w:cs="Arial" w:eastAsia="Arial" w:hAnsi="Arial"/>
          <w:sz w:val="16"/>
          <w:szCs w:val="16"/>
          <w:color w:val="007CBA"/>
        </w:rPr>
      </w:pPr>
    </w:p>
    <w:p>
      <w:pPr>
        <w:ind w:left="640" w:hanging="198"/>
        <w:spacing w:after="0"/>
        <w:tabs>
          <w:tab w:leader="none" w:pos="640" w:val="left"/>
        </w:tabs>
        <w:numPr>
          <w:ilvl w:val="0"/>
          <w:numId w:val="53"/>
        </w:numPr>
        <w:rPr>
          <w:rFonts w:ascii="Arial" w:cs="Arial" w:eastAsia="Arial" w:hAnsi="Arial"/>
          <w:sz w:val="16"/>
          <w:szCs w:val="16"/>
          <w:color w:val="007CBA"/>
        </w:rPr>
      </w:pPr>
      <w:r>
        <w:rPr>
          <w:rFonts w:ascii="Arial" w:cs="Arial" w:eastAsia="Arial" w:hAnsi="Arial"/>
          <w:sz w:val="16"/>
          <w:szCs w:val="16"/>
          <w:color w:val="auto"/>
        </w:rPr>
        <w:t>makes recommendations to the Board on changes in the compensation of non-employee directors;</w:t>
      </w:r>
    </w:p>
    <w:p>
      <w:pPr>
        <w:spacing w:after="0" w:line="86" w:lineRule="exact"/>
        <w:rPr>
          <w:rFonts w:ascii="Arial" w:cs="Arial" w:eastAsia="Arial" w:hAnsi="Arial"/>
          <w:sz w:val="16"/>
          <w:szCs w:val="16"/>
          <w:color w:val="007CBA"/>
        </w:rPr>
      </w:pPr>
    </w:p>
    <w:p>
      <w:pPr>
        <w:ind w:left="640" w:hanging="198"/>
        <w:spacing w:after="0"/>
        <w:tabs>
          <w:tab w:leader="none" w:pos="640" w:val="left"/>
        </w:tabs>
        <w:numPr>
          <w:ilvl w:val="0"/>
          <w:numId w:val="53"/>
        </w:numPr>
        <w:rPr>
          <w:rFonts w:ascii="Arial" w:cs="Arial" w:eastAsia="Arial" w:hAnsi="Arial"/>
          <w:sz w:val="16"/>
          <w:szCs w:val="16"/>
          <w:color w:val="007CBA"/>
        </w:rPr>
      </w:pPr>
      <w:r>
        <w:rPr>
          <w:rFonts w:ascii="Arial" w:cs="Arial" w:eastAsia="Arial" w:hAnsi="Arial"/>
          <w:sz w:val="16"/>
          <w:szCs w:val="16"/>
          <w:color w:val="auto"/>
        </w:rPr>
        <w:t>reviews annually the adequacy of the committee charter and recommends proposed changes to the Board; and</w:t>
      </w:r>
    </w:p>
    <w:p>
      <w:pPr>
        <w:spacing w:after="0" w:line="86" w:lineRule="exact"/>
        <w:rPr>
          <w:rFonts w:ascii="Arial" w:cs="Arial" w:eastAsia="Arial" w:hAnsi="Arial"/>
          <w:sz w:val="16"/>
          <w:szCs w:val="16"/>
          <w:color w:val="007CBA"/>
        </w:rPr>
      </w:pPr>
    </w:p>
    <w:p>
      <w:pPr>
        <w:ind w:left="680" w:right="60" w:hanging="238"/>
        <w:spacing w:after="0" w:line="291" w:lineRule="auto"/>
        <w:tabs>
          <w:tab w:leader="none" w:pos="639" w:val="left"/>
        </w:tabs>
        <w:numPr>
          <w:ilvl w:val="0"/>
          <w:numId w:val="53"/>
        </w:numPr>
        <w:rPr>
          <w:rFonts w:ascii="Arial" w:cs="Arial" w:eastAsia="Arial" w:hAnsi="Arial"/>
          <w:sz w:val="16"/>
          <w:szCs w:val="16"/>
          <w:color w:val="007CBA"/>
        </w:rPr>
      </w:pPr>
      <w:r>
        <w:rPr>
          <w:rFonts w:ascii="Arial" w:cs="Arial" w:eastAsia="Arial" w:hAnsi="Arial"/>
          <w:sz w:val="16"/>
          <w:szCs w:val="16"/>
          <w:color w:val="auto"/>
        </w:rPr>
        <w:t>has the authority, in its sole discretion, to retain, pay, and terminate any consulting firm, if any, used to assist in evaluating director, chief executive officer, or senior executive compensation.</w:t>
      </w:r>
    </w:p>
    <w:p>
      <w:pPr>
        <w:spacing w:after="0" w:line="81"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007CBA"/>
        </w:rPr>
        <w:t>Other Governance Matters:</w:t>
      </w:r>
    </w:p>
    <w:p>
      <w:pPr>
        <w:spacing w:after="0" w:line="25" w:lineRule="exact"/>
        <w:rPr>
          <w:sz w:val="20"/>
          <w:szCs w:val="20"/>
          <w:color w:val="auto"/>
        </w:rPr>
      </w:pPr>
    </w:p>
    <w:p>
      <w:pPr>
        <w:ind w:left="440" w:right="940"/>
        <w:spacing w:after="0" w:line="265" w:lineRule="auto"/>
        <w:rPr>
          <w:sz w:val="20"/>
          <w:szCs w:val="20"/>
          <w:color w:val="auto"/>
        </w:rPr>
      </w:pPr>
      <w:r>
        <w:rPr>
          <w:rFonts w:ascii="Arial" w:cs="Arial" w:eastAsia="Arial" w:hAnsi="Arial"/>
          <w:sz w:val="16"/>
          <w:szCs w:val="16"/>
          <w:color w:val="auto"/>
        </w:rPr>
        <w:t xml:space="preserve">All members are non-employee, independent Directors, as required by the rules of the NYSE, the </w:t>
      </w:r>
      <w:r>
        <w:rPr>
          <w:rFonts w:ascii="Arial" w:cs="Arial" w:eastAsia="Arial" w:hAnsi="Arial"/>
          <w:sz w:val="16"/>
          <w:szCs w:val="16"/>
          <w:i w:val="1"/>
          <w:iCs w:val="1"/>
          <w:color w:val="auto"/>
        </w:rPr>
        <w:t>Martin Marietta Guidelines for Director’s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Independence </w:t>
      </w:r>
      <w:r>
        <w:rPr>
          <w:rFonts w:ascii="Arial" w:cs="Arial" w:eastAsia="Arial" w:hAnsi="Arial"/>
          <w:sz w:val="16"/>
          <w:szCs w:val="16"/>
          <w:color w:val="auto"/>
        </w:rPr>
        <w:t>and the Committee’s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118110</wp:posOffset>
            </wp:positionV>
            <wp:extent cx="7006590" cy="29927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006590" cy="299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4780" w:type="dxa"/>
            <w:vAlign w:val="bottom"/>
            <w:tcBorders>
              <w:right w:val="single" w:sz="8" w:color="007CBA"/>
            </w:tcBorders>
          </w:tcPr>
          <w:p>
            <w:pPr>
              <w:ind w:left="220"/>
              <w:spacing w:after="0"/>
              <w:rPr>
                <w:sz w:val="20"/>
                <w:szCs w:val="20"/>
                <w:color w:val="auto"/>
              </w:rPr>
            </w:pPr>
            <w:r>
              <w:rPr>
                <w:rFonts w:ascii="Arial" w:cs="Arial" w:eastAsia="Arial" w:hAnsi="Arial"/>
                <w:sz w:val="16"/>
                <w:szCs w:val="16"/>
                <w:b w:val="1"/>
                <w:bCs w:val="1"/>
                <w:i w:val="1"/>
                <w:iCs w:val="1"/>
                <w:color w:val="007CBA"/>
              </w:rPr>
              <w:t>Current Members:</w:t>
            </w:r>
          </w:p>
        </w:tc>
        <w:tc>
          <w:tcPr>
            <w:tcW w:w="4620" w:type="dxa"/>
            <w:vAlign w:val="bottom"/>
            <w:tcBorders>
              <w:right w:val="single" w:sz="8" w:color="007CBA"/>
            </w:tcBorders>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6"/>
                <w:szCs w:val="16"/>
                <w:b w:val="1"/>
                <w:bCs w:val="1"/>
                <w:i w:val="1"/>
                <w:iCs w:val="1"/>
                <w:color w:val="007CBA"/>
              </w:rPr>
              <w:t>Average</w:t>
            </w:r>
          </w:p>
        </w:tc>
      </w:tr>
      <w:tr>
        <w:trPr>
          <w:trHeight w:val="189"/>
        </w:trPr>
        <w:tc>
          <w:tcPr>
            <w:tcW w:w="4780" w:type="dxa"/>
            <w:vAlign w:val="bottom"/>
            <w:tcBorders>
              <w:right w:val="single" w:sz="8" w:color="007CBA"/>
            </w:tcBorders>
          </w:tcPr>
          <w:p>
            <w:pPr>
              <w:ind w:left="220"/>
              <w:spacing w:after="0"/>
              <w:rPr>
                <w:sz w:val="20"/>
                <w:szCs w:val="20"/>
                <w:color w:val="auto"/>
              </w:rPr>
            </w:pPr>
            <w:r>
              <w:rPr>
                <w:rFonts w:ascii="Arial" w:cs="Arial" w:eastAsia="Arial" w:hAnsi="Arial"/>
                <w:sz w:val="16"/>
                <w:szCs w:val="16"/>
                <w:color w:val="auto"/>
              </w:rPr>
              <w:t>Sue W. Cole (Chair)</w:t>
            </w:r>
          </w:p>
        </w:tc>
        <w:tc>
          <w:tcPr>
            <w:tcW w:w="4620" w:type="dxa"/>
            <w:vAlign w:val="bottom"/>
            <w:tcBorders>
              <w:right w:val="single" w:sz="8" w:color="007CBA"/>
            </w:tcBorders>
          </w:tcPr>
          <w:p>
            <w:pPr>
              <w:jc w:val="center"/>
              <w:ind w:left="139"/>
              <w:spacing w:after="0"/>
              <w:rPr>
                <w:sz w:val="20"/>
                <w:szCs w:val="20"/>
                <w:color w:val="auto"/>
              </w:rPr>
            </w:pPr>
            <w:r>
              <w:rPr>
                <w:rFonts w:ascii="Arial" w:cs="Arial" w:eastAsia="Arial" w:hAnsi="Arial"/>
                <w:sz w:val="16"/>
                <w:szCs w:val="16"/>
                <w:b w:val="1"/>
                <w:bCs w:val="1"/>
                <w:i w:val="1"/>
                <w:iCs w:val="1"/>
                <w:color w:val="007CBA"/>
              </w:rPr>
              <w:t>Meetings in 2017:</w:t>
            </w:r>
          </w:p>
        </w:tc>
        <w:tc>
          <w:tcPr>
            <w:tcW w:w="1620" w:type="dxa"/>
            <w:vAlign w:val="bottom"/>
          </w:tcPr>
          <w:p>
            <w:pPr>
              <w:jc w:val="center"/>
              <w:spacing w:after="0"/>
              <w:rPr>
                <w:sz w:val="20"/>
                <w:szCs w:val="20"/>
                <w:color w:val="auto"/>
              </w:rPr>
            </w:pPr>
            <w:r>
              <w:rPr>
                <w:rFonts w:ascii="Arial" w:cs="Arial" w:eastAsia="Arial" w:hAnsi="Arial"/>
                <w:sz w:val="16"/>
                <w:szCs w:val="16"/>
                <w:b w:val="1"/>
                <w:bCs w:val="1"/>
                <w:i w:val="1"/>
                <w:iCs w:val="1"/>
                <w:color w:val="007CBA"/>
              </w:rPr>
              <w:t>Attendance in</w:t>
            </w:r>
          </w:p>
        </w:tc>
      </w:tr>
      <w:tr>
        <w:trPr>
          <w:trHeight w:val="189"/>
        </w:trPr>
        <w:tc>
          <w:tcPr>
            <w:tcW w:w="4780" w:type="dxa"/>
            <w:vAlign w:val="bottom"/>
            <w:tcBorders>
              <w:right w:val="single" w:sz="8" w:color="007CBA"/>
            </w:tcBorders>
          </w:tcPr>
          <w:p>
            <w:pPr>
              <w:ind w:left="220"/>
              <w:spacing w:after="0"/>
              <w:rPr>
                <w:sz w:val="20"/>
                <w:szCs w:val="20"/>
                <w:color w:val="auto"/>
              </w:rPr>
            </w:pPr>
            <w:r>
              <w:rPr>
                <w:rFonts w:ascii="Arial" w:cs="Arial" w:eastAsia="Arial" w:hAnsi="Arial"/>
                <w:sz w:val="16"/>
                <w:szCs w:val="16"/>
                <w:color w:val="auto"/>
              </w:rPr>
              <w:t>Michael J. Quillen</w:t>
            </w:r>
          </w:p>
        </w:tc>
        <w:tc>
          <w:tcPr>
            <w:tcW w:w="4620" w:type="dxa"/>
            <w:vAlign w:val="bottom"/>
            <w:tcBorders>
              <w:right w:val="single" w:sz="8" w:color="007CBA"/>
            </w:tcBorders>
          </w:tcPr>
          <w:p>
            <w:pPr>
              <w:jc w:val="right"/>
              <w:ind w:right="2079"/>
              <w:spacing w:after="0"/>
              <w:rPr>
                <w:sz w:val="20"/>
                <w:szCs w:val="20"/>
                <w:color w:val="auto"/>
              </w:rPr>
            </w:pPr>
            <w:r>
              <w:rPr>
                <w:rFonts w:ascii="Arial" w:cs="Arial" w:eastAsia="Arial" w:hAnsi="Arial"/>
                <w:sz w:val="16"/>
                <w:szCs w:val="16"/>
                <w:color w:val="auto"/>
              </w:rPr>
              <w:t>3</w:t>
            </w:r>
          </w:p>
        </w:tc>
        <w:tc>
          <w:tcPr>
            <w:tcW w:w="1620" w:type="dxa"/>
            <w:vAlign w:val="bottom"/>
          </w:tcPr>
          <w:p>
            <w:pPr>
              <w:jc w:val="center"/>
              <w:spacing w:after="0"/>
              <w:rPr>
                <w:sz w:val="20"/>
                <w:szCs w:val="20"/>
                <w:color w:val="auto"/>
              </w:rPr>
            </w:pPr>
            <w:r>
              <w:rPr>
                <w:rFonts w:ascii="Arial" w:cs="Arial" w:eastAsia="Arial" w:hAnsi="Arial"/>
                <w:sz w:val="16"/>
                <w:szCs w:val="16"/>
                <w:b w:val="1"/>
                <w:bCs w:val="1"/>
                <w:i w:val="1"/>
                <w:iCs w:val="1"/>
                <w:color w:val="007CBA"/>
              </w:rPr>
              <w:t>2017:</w:t>
            </w:r>
          </w:p>
        </w:tc>
      </w:tr>
      <w:tr>
        <w:trPr>
          <w:trHeight w:val="220"/>
        </w:trPr>
        <w:tc>
          <w:tcPr>
            <w:tcW w:w="4780" w:type="dxa"/>
            <w:vAlign w:val="bottom"/>
            <w:tcBorders>
              <w:bottom w:val="single" w:sz="8" w:color="007CBA"/>
              <w:right w:val="single" w:sz="8" w:color="007CBA"/>
            </w:tcBorders>
          </w:tcPr>
          <w:p>
            <w:pPr>
              <w:ind w:left="220"/>
              <w:spacing w:after="0"/>
              <w:rPr>
                <w:sz w:val="20"/>
                <w:szCs w:val="20"/>
                <w:color w:val="auto"/>
              </w:rPr>
            </w:pPr>
            <w:r>
              <w:rPr>
                <w:rFonts w:ascii="Arial" w:cs="Arial" w:eastAsia="Arial" w:hAnsi="Arial"/>
                <w:sz w:val="16"/>
                <w:szCs w:val="16"/>
                <w:color w:val="auto"/>
              </w:rPr>
              <w:t>Donald W. Slager</w:t>
            </w:r>
          </w:p>
        </w:tc>
        <w:tc>
          <w:tcPr>
            <w:tcW w:w="4620" w:type="dxa"/>
            <w:vAlign w:val="bottom"/>
            <w:tcBorders>
              <w:bottom w:val="single" w:sz="8" w:color="007CBA"/>
              <w:right w:val="single" w:sz="8" w:color="007CBA"/>
            </w:tcBorders>
          </w:tcPr>
          <w:p>
            <w:pPr>
              <w:spacing w:after="0"/>
              <w:rPr>
                <w:sz w:val="19"/>
                <w:szCs w:val="19"/>
                <w:color w:val="auto"/>
              </w:rPr>
            </w:pPr>
          </w:p>
        </w:tc>
        <w:tc>
          <w:tcPr>
            <w:tcW w:w="1620" w:type="dxa"/>
            <w:vAlign w:val="bottom"/>
            <w:tcBorders>
              <w:bottom w:val="single" w:sz="8" w:color="007CBA"/>
            </w:tcBorders>
          </w:tcPr>
          <w:p>
            <w:pPr>
              <w:jc w:val="center"/>
              <w:spacing w:after="0"/>
              <w:rPr>
                <w:sz w:val="20"/>
                <w:szCs w:val="20"/>
                <w:color w:val="auto"/>
              </w:rPr>
            </w:pPr>
            <w:r>
              <w:rPr>
                <w:rFonts w:ascii="Arial" w:cs="Arial" w:eastAsia="Arial" w:hAnsi="Arial"/>
                <w:sz w:val="16"/>
                <w:szCs w:val="16"/>
                <w:color w:val="auto"/>
              </w:rPr>
              <w:t>100%</w:t>
            </w:r>
          </w:p>
        </w:tc>
      </w:tr>
      <w:tr>
        <w:trPr>
          <w:trHeight w:val="221"/>
        </w:trPr>
        <w:tc>
          <w:tcPr>
            <w:tcW w:w="4780" w:type="dxa"/>
            <w:vAlign w:val="bottom"/>
          </w:tcPr>
          <w:p>
            <w:pPr>
              <w:ind w:left="220"/>
              <w:spacing w:after="0"/>
              <w:rPr>
                <w:sz w:val="20"/>
                <w:szCs w:val="20"/>
                <w:color w:val="auto"/>
              </w:rPr>
            </w:pPr>
            <w:r>
              <w:rPr>
                <w:rFonts w:ascii="Arial" w:cs="Arial" w:eastAsia="Arial" w:hAnsi="Arial"/>
                <w:sz w:val="16"/>
                <w:szCs w:val="16"/>
                <w:b w:val="1"/>
                <w:bCs w:val="1"/>
                <w:i w:val="1"/>
                <w:iCs w:val="1"/>
                <w:color w:val="007CBA"/>
              </w:rPr>
              <w:t>Primary Responsibilities:</w:t>
            </w:r>
          </w:p>
        </w:tc>
        <w:tc>
          <w:tcPr>
            <w:tcW w:w="4620" w:type="dxa"/>
            <w:vAlign w:val="bottom"/>
          </w:tcPr>
          <w:p>
            <w:pPr>
              <w:spacing w:after="0"/>
              <w:rPr>
                <w:sz w:val="19"/>
                <w:szCs w:val="19"/>
                <w:color w:val="auto"/>
              </w:rPr>
            </w:pPr>
          </w:p>
        </w:tc>
        <w:tc>
          <w:tcPr>
            <w:tcW w:w="1620" w:type="dxa"/>
            <w:vAlign w:val="bottom"/>
          </w:tcPr>
          <w:p>
            <w:pPr>
              <w:spacing w:after="0"/>
              <w:rPr>
                <w:sz w:val="19"/>
                <w:szCs w:val="19"/>
                <w:color w:val="auto"/>
              </w:rPr>
            </w:pPr>
          </w:p>
        </w:tc>
      </w:tr>
    </w:tbl>
    <w:p>
      <w:pPr>
        <w:spacing w:after="0" w:line="25" w:lineRule="exact"/>
        <w:rPr>
          <w:sz w:val="20"/>
          <w:szCs w:val="20"/>
          <w:color w:val="auto"/>
        </w:rPr>
      </w:pPr>
    </w:p>
    <w:p>
      <w:pPr>
        <w:ind w:left="680" w:right="480" w:hanging="238"/>
        <w:spacing w:after="0" w:line="291" w:lineRule="auto"/>
        <w:tabs>
          <w:tab w:leader="none" w:pos="639" w:val="left"/>
        </w:tabs>
        <w:numPr>
          <w:ilvl w:val="0"/>
          <w:numId w:val="54"/>
        </w:numPr>
        <w:rPr>
          <w:rFonts w:ascii="Arial" w:cs="Arial" w:eastAsia="Arial" w:hAnsi="Arial"/>
          <w:sz w:val="16"/>
          <w:szCs w:val="16"/>
          <w:color w:val="007CBA"/>
        </w:rPr>
      </w:pPr>
      <w:r>
        <w:rPr>
          <w:rFonts w:ascii="Arial" w:cs="Arial" w:eastAsia="Arial" w:hAnsi="Arial"/>
          <w:sz w:val="16"/>
          <w:szCs w:val="16"/>
          <w:color w:val="auto"/>
        </w:rPr>
        <w:t>develops criteria for nominating and appointing directors, including Board size and composition, corporate governance policies, and individual director expertise, attributes and skills;</w:t>
      </w:r>
    </w:p>
    <w:p>
      <w:pPr>
        <w:spacing w:after="0" w:line="13" w:lineRule="exact"/>
        <w:rPr>
          <w:rFonts w:ascii="Arial" w:cs="Arial" w:eastAsia="Arial" w:hAnsi="Arial"/>
          <w:sz w:val="16"/>
          <w:szCs w:val="16"/>
          <w:color w:val="007CBA"/>
        </w:rPr>
      </w:pPr>
    </w:p>
    <w:p>
      <w:pPr>
        <w:ind w:left="640" w:hanging="198"/>
        <w:spacing w:after="0"/>
        <w:tabs>
          <w:tab w:leader="none" w:pos="640" w:val="left"/>
        </w:tabs>
        <w:numPr>
          <w:ilvl w:val="0"/>
          <w:numId w:val="54"/>
        </w:numPr>
        <w:rPr>
          <w:rFonts w:ascii="Arial" w:cs="Arial" w:eastAsia="Arial" w:hAnsi="Arial"/>
          <w:sz w:val="16"/>
          <w:szCs w:val="16"/>
          <w:color w:val="007CBA"/>
        </w:rPr>
      </w:pPr>
      <w:r>
        <w:rPr>
          <w:rFonts w:ascii="Arial" w:cs="Arial" w:eastAsia="Arial" w:hAnsi="Arial"/>
          <w:sz w:val="16"/>
          <w:szCs w:val="16"/>
          <w:color w:val="auto"/>
        </w:rPr>
        <w:t>recommends to the Board the individuals to be nominated as directors;</w:t>
      </w:r>
    </w:p>
    <w:p>
      <w:pPr>
        <w:spacing w:after="0" w:line="86" w:lineRule="exact"/>
        <w:rPr>
          <w:rFonts w:ascii="Arial" w:cs="Arial" w:eastAsia="Arial" w:hAnsi="Arial"/>
          <w:sz w:val="16"/>
          <w:szCs w:val="16"/>
          <w:color w:val="007CBA"/>
        </w:rPr>
      </w:pPr>
    </w:p>
    <w:p>
      <w:pPr>
        <w:ind w:left="640" w:hanging="198"/>
        <w:spacing w:after="0"/>
        <w:tabs>
          <w:tab w:leader="none" w:pos="640" w:val="left"/>
        </w:tabs>
        <w:numPr>
          <w:ilvl w:val="0"/>
          <w:numId w:val="54"/>
        </w:numPr>
        <w:rPr>
          <w:rFonts w:ascii="Arial" w:cs="Arial" w:eastAsia="Arial" w:hAnsi="Arial"/>
          <w:sz w:val="16"/>
          <w:szCs w:val="16"/>
          <w:color w:val="007CBA"/>
        </w:rPr>
      </w:pPr>
      <w:r>
        <w:rPr>
          <w:rFonts w:ascii="Arial" w:cs="Arial" w:eastAsia="Arial" w:hAnsi="Arial"/>
          <w:sz w:val="16"/>
          <w:szCs w:val="16"/>
          <w:color w:val="auto"/>
        </w:rPr>
        <w:t>recommends to the Board the appointees to be selected for service on the Board committees;</w:t>
      </w:r>
    </w:p>
    <w:p>
      <w:pPr>
        <w:spacing w:after="0" w:line="86" w:lineRule="exact"/>
        <w:rPr>
          <w:rFonts w:ascii="Arial" w:cs="Arial" w:eastAsia="Arial" w:hAnsi="Arial"/>
          <w:sz w:val="16"/>
          <w:szCs w:val="16"/>
          <w:color w:val="007CBA"/>
        </w:rPr>
      </w:pPr>
    </w:p>
    <w:p>
      <w:pPr>
        <w:ind w:left="640" w:hanging="198"/>
        <w:spacing w:after="0"/>
        <w:tabs>
          <w:tab w:leader="none" w:pos="640" w:val="left"/>
        </w:tabs>
        <w:numPr>
          <w:ilvl w:val="0"/>
          <w:numId w:val="54"/>
        </w:numPr>
        <w:rPr>
          <w:rFonts w:ascii="Arial" w:cs="Arial" w:eastAsia="Arial" w:hAnsi="Arial"/>
          <w:sz w:val="16"/>
          <w:szCs w:val="16"/>
          <w:color w:val="007CBA"/>
        </w:rPr>
      </w:pPr>
      <w:r>
        <w:rPr>
          <w:rFonts w:ascii="Arial" w:cs="Arial" w:eastAsia="Arial" w:hAnsi="Arial"/>
          <w:sz w:val="16"/>
          <w:szCs w:val="16"/>
          <w:color w:val="auto"/>
        </w:rPr>
        <w:t>oversees an annual review of the performance of the Board and each committee;</w:t>
      </w:r>
    </w:p>
    <w:p>
      <w:pPr>
        <w:spacing w:after="0" w:line="86" w:lineRule="exact"/>
        <w:rPr>
          <w:rFonts w:ascii="Arial" w:cs="Arial" w:eastAsia="Arial" w:hAnsi="Arial"/>
          <w:sz w:val="16"/>
          <w:szCs w:val="16"/>
          <w:color w:val="007CBA"/>
        </w:rPr>
      </w:pPr>
    </w:p>
    <w:p>
      <w:pPr>
        <w:ind w:left="640" w:hanging="198"/>
        <w:spacing w:after="0"/>
        <w:tabs>
          <w:tab w:leader="none" w:pos="640" w:val="left"/>
        </w:tabs>
        <w:numPr>
          <w:ilvl w:val="0"/>
          <w:numId w:val="54"/>
        </w:numPr>
        <w:rPr>
          <w:rFonts w:ascii="Arial" w:cs="Arial" w:eastAsia="Arial" w:hAnsi="Arial"/>
          <w:sz w:val="16"/>
          <w:szCs w:val="16"/>
          <w:color w:val="007CBA"/>
        </w:rPr>
      </w:pPr>
      <w:r>
        <w:rPr>
          <w:rFonts w:ascii="Arial" w:cs="Arial" w:eastAsia="Arial" w:hAnsi="Arial"/>
          <w:sz w:val="16"/>
          <w:szCs w:val="16"/>
          <w:color w:val="auto"/>
        </w:rPr>
        <w:t>reviews annually the adequacy of the committee charter and recommends proposed changes to the Board; and</w:t>
      </w:r>
    </w:p>
    <w:p>
      <w:pPr>
        <w:spacing w:after="0" w:line="86" w:lineRule="exact"/>
        <w:rPr>
          <w:rFonts w:ascii="Arial" w:cs="Arial" w:eastAsia="Arial" w:hAnsi="Arial"/>
          <w:sz w:val="16"/>
          <w:szCs w:val="16"/>
          <w:color w:val="007CBA"/>
        </w:rPr>
      </w:pPr>
    </w:p>
    <w:p>
      <w:pPr>
        <w:ind w:left="640" w:hanging="198"/>
        <w:spacing w:after="0"/>
        <w:tabs>
          <w:tab w:leader="none" w:pos="640" w:val="left"/>
        </w:tabs>
        <w:numPr>
          <w:ilvl w:val="0"/>
          <w:numId w:val="54"/>
        </w:numPr>
        <w:rPr>
          <w:rFonts w:ascii="Arial" w:cs="Arial" w:eastAsia="Arial" w:hAnsi="Arial"/>
          <w:sz w:val="16"/>
          <w:szCs w:val="16"/>
          <w:color w:val="007CBA"/>
        </w:rPr>
      </w:pPr>
      <w:r>
        <w:rPr>
          <w:rFonts w:ascii="Arial" w:cs="Arial" w:eastAsia="Arial" w:hAnsi="Arial"/>
          <w:sz w:val="16"/>
          <w:szCs w:val="16"/>
          <w:color w:val="auto"/>
        </w:rPr>
        <w:t>oversees the development and implementation of a set of corporate governance principles applicable to Martin Marietta.</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007CBA"/>
        </w:rPr>
        <w:t>Other Governance Matters:</w:t>
      </w:r>
    </w:p>
    <w:p>
      <w:pPr>
        <w:spacing w:after="0" w:line="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All members are non-employee, independent Directors, as required by the rules of the NYSE.</w:t>
      </w:r>
    </w:p>
    <w:p>
      <w:pPr>
        <w:spacing w:after="0" w:line="66" w:lineRule="exact"/>
        <w:rPr>
          <w:sz w:val="20"/>
          <w:szCs w:val="20"/>
          <w:color w:val="auto"/>
        </w:rPr>
      </w:pPr>
    </w:p>
    <w:p>
      <w:pPr>
        <w:ind w:left="440" w:right="320"/>
        <w:spacing w:after="0" w:line="269" w:lineRule="auto"/>
        <w:rPr>
          <w:sz w:val="20"/>
          <w:szCs w:val="20"/>
          <w:color w:val="auto"/>
        </w:rPr>
      </w:pPr>
      <w:r>
        <w:rPr>
          <w:rFonts w:ascii="Arial" w:cs="Arial" w:eastAsia="Arial" w:hAnsi="Arial"/>
          <w:sz w:val="16"/>
          <w:szCs w:val="16"/>
          <w:color w:val="auto"/>
        </w:rPr>
        <w:t xml:space="preserve">Upon recommendation of this Committee, the Board of Directors has adopted a set of </w:t>
      </w:r>
      <w:r>
        <w:rPr>
          <w:rFonts w:ascii="Arial" w:cs="Arial" w:eastAsia="Arial" w:hAnsi="Arial"/>
          <w:sz w:val="16"/>
          <w:szCs w:val="16"/>
          <w:i w:val="1"/>
          <w:iCs w:val="1"/>
          <w:color w:val="auto"/>
        </w:rPr>
        <w:t>Corporate Governance Guidelines</w:t>
      </w:r>
      <w:r>
        <w:rPr>
          <w:rFonts w:ascii="Arial" w:cs="Arial" w:eastAsia="Arial" w:hAnsi="Arial"/>
          <w:sz w:val="16"/>
          <w:szCs w:val="16"/>
          <w:color w:val="auto"/>
        </w:rPr>
        <w:t xml:space="preserve"> for Martin Marietta. The Guidelines are posted and available for public viewing on our website at www.martinmarietta.com. A copy may also be obtained upon request from Martin Marietta’s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3512820</wp:posOffset>
            </wp:positionH>
            <wp:positionV relativeFrom="paragraph">
              <wp:posOffset>141605</wp:posOffset>
            </wp:positionV>
            <wp:extent cx="411480" cy="2489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222" w:lineRule="exact"/>
        <w:rPr>
          <w:sz w:val="20"/>
          <w:szCs w:val="20"/>
          <w:color w:val="auto"/>
        </w:rPr>
      </w:pPr>
    </w:p>
    <w:p>
      <w:pPr>
        <w:ind w:left="640" w:hanging="436"/>
        <w:spacing w:after="0"/>
        <w:tabs>
          <w:tab w:leader="none" w:pos="640" w:val="left"/>
        </w:tabs>
        <w:numPr>
          <w:ilvl w:val="0"/>
          <w:numId w:val="55"/>
        </w:numPr>
        <w:rPr>
          <w:rFonts w:ascii="Arial" w:cs="Arial" w:eastAsia="Arial" w:hAnsi="Arial"/>
          <w:sz w:val="13"/>
          <w:szCs w:val="13"/>
          <w:b w:val="1"/>
          <w:bCs w:val="1"/>
          <w:color w:val="auto"/>
        </w:rPr>
      </w:pPr>
      <w:r>
        <w:rPr>
          <w:rFonts w:ascii="Arial" w:cs="Arial" w:eastAsia="Arial" w:hAnsi="Arial"/>
          <w:sz w:val="13"/>
          <w:szCs w:val="13"/>
          <w:color w:val="007CBA"/>
        </w:rPr>
        <w:t>2018 PROXY STATEMENT</w:t>
      </w:r>
    </w:p>
    <w:p>
      <w:pPr>
        <w:sectPr>
          <w:pgSz w:w="11900" w:h="16838" w:orient="portrait"/>
          <w:cols w:equalWidth="0" w:num="1">
            <w:col w:w="11240"/>
          </w:cols>
          <w:pgMar w:left="240" w:top="455" w:right="41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64" w:lineRule="exact"/>
        <w:rPr>
          <w:sz w:val="20"/>
          <w:szCs w:val="20"/>
          <w:color w:val="auto"/>
        </w:rPr>
      </w:pPr>
    </w:p>
    <w:p>
      <w:pPr>
        <w:jc w:val="right"/>
        <w:spacing w:after="0" w:line="288" w:lineRule="exact"/>
        <w:rPr>
          <w:sz w:val="20"/>
          <w:szCs w:val="20"/>
          <w:color w:val="auto"/>
        </w:rPr>
      </w:pPr>
      <w:r>
        <w:rPr>
          <w:rFonts w:ascii="Arial" w:cs="Arial" w:eastAsia="Arial" w:hAnsi="Arial"/>
          <w:sz w:val="14"/>
          <w:szCs w:val="14"/>
          <w:color w:val="auto"/>
        </w:rPr>
        <w:t xml:space="preserve">Board Committees </w:t>
      </w:r>
      <w:r>
        <w:rPr>
          <w:rFonts w:ascii="MS PGothic" w:cs="MS PGothic" w:eastAsia="MS PGothic" w:hAnsi="MS PGothic"/>
          <w:sz w:val="25"/>
          <w:szCs w:val="25"/>
          <w:color w:val="007CBA"/>
        </w:rPr>
        <w:t>◆</w:t>
      </w:r>
      <w:r>
        <w:rPr>
          <w:rFonts w:ascii="Arial" w:cs="Arial" w:eastAsia="Arial" w:hAnsi="Arial"/>
          <w:sz w:val="14"/>
          <w:szCs w:val="14"/>
          <w:color w:val="auto"/>
        </w:rPr>
        <w:t xml:space="preserve"> </w:t>
      </w:r>
      <w:r>
        <w:rPr>
          <w:rFonts w:ascii="Arial" w:cs="Arial" w:eastAsia="Arial" w:hAnsi="Arial"/>
          <w:sz w:val="14"/>
          <w:szCs w:val="14"/>
          <w:color w:val="007CBA"/>
        </w:rPr>
        <w:t>Corporate Governance Matters</w:t>
      </w:r>
    </w:p>
    <w:p>
      <w:pPr>
        <w:sectPr>
          <w:pgSz w:w="11900" w:h="16838" w:orient="portrait"/>
          <w:cols w:equalWidth="0" w:num="1">
            <w:col w:w="11220"/>
          </w:cols>
          <w:pgMar w:left="240" w:top="455" w:right="439" w:bottom="1440" w:gutter="0" w:footer="0" w:header="0"/>
        </w:sectPr>
      </w:pPr>
    </w:p>
    <w:p>
      <w:pPr>
        <w:spacing w:after="0" w:line="258" w:lineRule="exact"/>
        <w:rPr>
          <w:sz w:val="20"/>
          <w:szCs w:val="20"/>
          <w:color w:val="auto"/>
        </w:rPr>
      </w:pPr>
    </w:p>
    <w:p>
      <w:pPr>
        <w:ind w:left="220" w:right="40"/>
        <w:spacing w:after="0" w:line="259" w:lineRule="auto"/>
        <w:rPr>
          <w:sz w:val="20"/>
          <w:szCs w:val="20"/>
          <w:color w:val="auto"/>
        </w:rPr>
      </w:pPr>
      <w:r>
        <w:rPr>
          <w:rFonts w:ascii="Arial" w:cs="Arial" w:eastAsia="Arial" w:hAnsi="Arial"/>
          <w:sz w:val="16"/>
          <w:szCs w:val="16"/>
          <w:b w:val="1"/>
          <w:bCs w:val="1"/>
          <w:i w:val="1"/>
          <w:iCs w:val="1"/>
          <w:color w:val="007CBA"/>
        </w:rPr>
        <w:t>Will the Nominating and Corporate Governance Committee consider any Director candidates recommended by shareholders?</w:t>
      </w:r>
    </w:p>
    <w:p>
      <w:pPr>
        <w:spacing w:after="0" w:line="1" w:lineRule="exact"/>
        <w:rPr>
          <w:sz w:val="20"/>
          <w:szCs w:val="20"/>
          <w:color w:val="auto"/>
        </w:rPr>
      </w:pPr>
    </w:p>
    <w:p>
      <w:pPr>
        <w:jc w:val="both"/>
        <w:ind w:left="220"/>
        <w:spacing w:after="0" w:line="247" w:lineRule="auto"/>
        <w:rPr>
          <w:sz w:val="20"/>
          <w:szCs w:val="20"/>
          <w:color w:val="auto"/>
        </w:rPr>
      </w:pPr>
      <w:r>
        <w:rPr>
          <w:rFonts w:ascii="Arial" w:cs="Arial" w:eastAsia="Arial" w:hAnsi="Arial"/>
          <w:sz w:val="16"/>
          <w:szCs w:val="16"/>
          <w:color w:val="auto"/>
        </w:rPr>
        <w:t>The Nominating and Corporate Governance Committee will consider nominees recommended by shareholders for election as a Director at an Annual Meeting of Shareholders of Martin Marietta, if the shareholder making such recommendation complies with the advance notice provisions of the Bylaws of Martin Marietta. The Bylaws of Martin Marietta require advance notice for any proposal for the nomination for election as a Director at an Annual Meeting of Shareholders that is not included in Martin Marietta’s notice of meeting or made by or at the direction of the Board of Directors. In general, nominations must be delivered to the Secretary of Martin Marietta at its principal executive offices, 2710 Wycliff Road, Raleigh, North Carolina 27607, not less than 60 days nor more than 90 days prior to the first anniversary of the mailing of the proxy statement in connection with the preceding year’s Annual Meeting of Shareholders and must contain specified information concerning the nominee and the shareholder proposing the nomination. Any shareholder desiring a copy of the Bylaws of Martin Marietta will be furnished a copy without charge upon written request to the Secretary of Martin Marietta. Since the 2017 Annual Meeting, Martin Marietta has not made any material changes to the procedures by which shareholders may recommend nominees to Martin Marietta’s Board of Directors. Additional information is contained in the section entitled “Shareholders’ Proposals For 2019 Annual Meeting” below.</w:t>
      </w:r>
    </w:p>
    <w:p>
      <w:pPr>
        <w:spacing w:after="0" w:line="163"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007CBA"/>
        </w:rPr>
        <w:t>How does the Board select nominees for the Board?</w:t>
      </w:r>
    </w:p>
    <w:p>
      <w:pPr>
        <w:spacing w:after="0" w:line="25" w:lineRule="exact"/>
        <w:rPr>
          <w:sz w:val="20"/>
          <w:szCs w:val="20"/>
          <w:color w:val="auto"/>
        </w:rPr>
      </w:pPr>
    </w:p>
    <w:p>
      <w:pPr>
        <w:jc w:val="both"/>
        <w:ind w:left="220"/>
        <w:spacing w:after="0" w:line="247" w:lineRule="auto"/>
        <w:rPr>
          <w:sz w:val="20"/>
          <w:szCs w:val="20"/>
          <w:color w:val="auto"/>
        </w:rPr>
      </w:pPr>
      <w:r>
        <w:rPr>
          <w:rFonts w:ascii="Arial" w:cs="Arial" w:eastAsia="Arial" w:hAnsi="Arial"/>
          <w:sz w:val="16"/>
          <w:szCs w:val="16"/>
          <w:color w:val="auto"/>
        </w:rPr>
        <w:t>The Nominating and Corporate Governance Committee will consider candidates for Board membership suggested by its members and other Board members, as well as management and shareholders. The Committee has also retained a third-party executive search firm to identify potential candidates for its consideration from time to time. The Committee makes an initial determination as to whether to conduct a full evaluation of the candidate, and reviews all information provided to the Committee, including the recommendations for the prospective candidate and the Committee’s own knowledge of the prospective candidate. If the Committee determines that additional consideration is warranted, interviews are conducted by the members of the Committee, as well as the Chief Executive Officer of Martin Marietta; appropriate inquiries are conducted into the background and qualifications of potential candidates; the Committee meets to discuss its evaluation and feedback from the Chief Executive Officer; and, if the Committee determines to do so, it makes a recommendation to the full Board as to the persons who should be nominated by the Board. The Board of Directors determines the nominees after considering the recommendation and report of the Committee.</w:t>
      </w:r>
    </w:p>
    <w:p>
      <w:pPr>
        <w:spacing w:after="0" w:line="150" w:lineRule="exact"/>
        <w:rPr>
          <w:sz w:val="20"/>
          <w:szCs w:val="20"/>
          <w:color w:val="auto"/>
        </w:rPr>
      </w:pPr>
    </w:p>
    <w:p>
      <w:pPr>
        <w:jc w:val="both"/>
        <w:ind w:left="220"/>
        <w:spacing w:after="0" w:line="261" w:lineRule="auto"/>
        <w:rPr>
          <w:sz w:val="20"/>
          <w:szCs w:val="20"/>
          <w:color w:val="auto"/>
        </w:rPr>
      </w:pPr>
      <w:r>
        <w:rPr>
          <w:rFonts w:ascii="Arial" w:cs="Arial" w:eastAsia="Arial" w:hAnsi="Arial"/>
          <w:sz w:val="16"/>
          <w:szCs w:val="16"/>
          <w:color w:val="auto"/>
        </w:rPr>
        <w:t xml:space="preserve">In evaluating any potential candidate, the Nominating and Corporate Governance Committee considers the extent to which the candidate has the personal characteristics and core competencies outlined in the </w:t>
      </w:r>
      <w:r>
        <w:rPr>
          <w:rFonts w:ascii="Arial" w:cs="Arial" w:eastAsia="Arial" w:hAnsi="Arial"/>
          <w:sz w:val="16"/>
          <w:szCs w:val="16"/>
          <w:i w:val="1"/>
          <w:iCs w:val="1"/>
          <w:color w:val="auto"/>
        </w:rPr>
        <w:t>Guidelines for Potential New Board</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i w:val="1"/>
          <w:iCs w:val="1"/>
          <w:color w:val="auto"/>
        </w:rPr>
        <w:t xml:space="preserve">Members </w:t>
      </w:r>
      <w:r>
        <w:rPr>
          <w:rFonts w:ascii="Arial" w:cs="Arial" w:eastAsia="Arial" w:hAnsi="Arial"/>
          <w:sz w:val="16"/>
          <w:szCs w:val="16"/>
          <w:color w:val="auto"/>
        </w:rPr>
        <w:t>adopted by the Committee, and takes into account all other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factors it considers appropriate. A copy of these </w:t>
      </w:r>
      <w:r>
        <w:rPr>
          <w:rFonts w:ascii="Arial" w:cs="Arial" w:eastAsia="Arial" w:hAnsi="Arial"/>
          <w:sz w:val="16"/>
          <w:szCs w:val="16"/>
          <w:i w:val="1"/>
          <w:iCs w:val="1"/>
          <w:color w:val="auto"/>
        </w:rPr>
        <w:t>Guidelines</w:t>
      </w:r>
      <w:r>
        <w:rPr>
          <w:rFonts w:ascii="Arial" w:cs="Arial" w:eastAsia="Arial" w:hAnsi="Arial"/>
          <w:sz w:val="16"/>
          <w:szCs w:val="16"/>
          <w:color w:val="auto"/>
        </w:rPr>
        <w:t xml:space="preserve"> is attached to this proxy statement as Appendix A.</w:t>
      </w:r>
    </w:p>
    <w:p>
      <w:pPr>
        <w:spacing w:after="0" w:line="13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Articles of Incorporation provide that the size of the Board shall be not less than nine nor more than 11, with the number of Directors to serve on the Board being set within that range by the Board. The Board has set the size of the Board to ten, effective upon commencement of the 2018 Annual Meeting. The Board has nominated Smith W. Davis to stand for election by shareholders at the 2018 Annual Meeting of Shareholders for a one-year term to fill the vacancy created by the increase in the size of the Board to ten. The Nominating and Corporate Governance Committee did not retain a search firm in 2018 to help identify director prospects and other tasks relating to potential new Board members. Mr. Davis was initially identified by the Chairman, President and CEO and was recommended as a Director nominee by the Nominating and Corporate Governance Committee.</w:t>
      </w:r>
    </w:p>
    <w:p>
      <w:pPr>
        <w:spacing w:after="0" w:line="145" w:lineRule="exact"/>
        <w:rPr>
          <w:sz w:val="20"/>
          <w:szCs w:val="20"/>
          <w:color w:val="auto"/>
        </w:rPr>
      </w:pPr>
    </w:p>
    <w:p>
      <w:pPr>
        <w:ind w:right="440"/>
        <w:spacing w:after="0" w:line="259" w:lineRule="auto"/>
        <w:rPr>
          <w:sz w:val="20"/>
          <w:szCs w:val="20"/>
          <w:color w:val="auto"/>
        </w:rPr>
      </w:pPr>
      <w:r>
        <w:rPr>
          <w:rFonts w:ascii="Arial" w:cs="Arial" w:eastAsia="Arial" w:hAnsi="Arial"/>
          <w:sz w:val="16"/>
          <w:szCs w:val="16"/>
          <w:b w:val="1"/>
          <w:bCs w:val="1"/>
          <w:i w:val="1"/>
          <w:iCs w:val="1"/>
          <w:color w:val="007CBA"/>
        </w:rPr>
        <w:t>Do the Board Committees have charters? How can shareholders obtain them?</w:t>
      </w:r>
    </w:p>
    <w:p>
      <w:pPr>
        <w:spacing w:after="0" w:line="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 xml:space="preserve">Martin Marietta’s Board of Directors has adopted written charters meeting the requirements of the NYSE for the Audit Committee, Management Development and Compensation Committee, and Nominating and Corporate Governance Committee. These charters address the purposes and responsibilities of each committee, as described above, and provide for an annual performance evaluation of each committee. Copies of these charters, and the charters of the other committees of the Board, are posted on Martin Marietta’s website at </w:t>
      </w:r>
      <w:r>
        <w:rPr>
          <w:rFonts w:ascii="Arial" w:cs="Arial" w:eastAsia="Arial" w:hAnsi="Arial"/>
          <w:sz w:val="16"/>
          <w:szCs w:val="16"/>
          <w:i w:val="1"/>
          <w:iCs w:val="1"/>
          <w:color w:val="auto"/>
        </w:rPr>
        <w:t>www.martinmarietta.com</w:t>
      </w:r>
      <w:r>
        <w:rPr>
          <w:rFonts w:ascii="Arial" w:cs="Arial" w:eastAsia="Arial" w:hAnsi="Arial"/>
          <w:sz w:val="16"/>
          <w:szCs w:val="16"/>
          <w:color w:val="auto"/>
        </w:rPr>
        <w:t xml:space="preserve">, along with copies of Martin Marietta’s </w:t>
      </w:r>
      <w:r>
        <w:rPr>
          <w:rFonts w:ascii="Arial" w:cs="Arial" w:eastAsia="Arial" w:hAnsi="Arial"/>
          <w:sz w:val="16"/>
          <w:szCs w:val="16"/>
          <w:i w:val="1"/>
          <w:iCs w:val="1"/>
          <w:color w:val="auto"/>
        </w:rPr>
        <w:t>Corporate Governance Guidelines, Code of Ethical</w:t>
      </w:r>
      <w:r>
        <w:rPr>
          <w:rFonts w:ascii="Arial" w:cs="Arial" w:eastAsia="Arial" w:hAnsi="Arial"/>
          <w:sz w:val="16"/>
          <w:szCs w:val="16"/>
          <w:color w:val="auto"/>
        </w:rPr>
        <w:t xml:space="preserve"> </w:t>
      </w:r>
      <w:r>
        <w:rPr>
          <w:rFonts w:ascii="Arial" w:cs="Arial" w:eastAsia="Arial" w:hAnsi="Arial"/>
          <w:sz w:val="16"/>
          <w:szCs w:val="16"/>
          <w:i w:val="1"/>
          <w:iCs w:val="1"/>
          <w:color w:val="auto"/>
        </w:rPr>
        <w:t>Business Conduct</w:t>
      </w:r>
      <w:r>
        <w:rPr>
          <w:rFonts w:ascii="Arial" w:cs="Arial" w:eastAsia="Arial" w:hAnsi="Arial"/>
          <w:sz w:val="16"/>
          <w:szCs w:val="16"/>
          <w:color w:val="auto"/>
        </w:rPr>
        <w:t>, and</w:t>
      </w:r>
      <w:r>
        <w:rPr>
          <w:rFonts w:ascii="Arial" w:cs="Arial" w:eastAsia="Arial" w:hAnsi="Arial"/>
          <w:sz w:val="16"/>
          <w:szCs w:val="16"/>
          <w:i w:val="1"/>
          <w:iCs w:val="1"/>
          <w:color w:val="auto"/>
        </w:rPr>
        <w:t xml:space="preserve"> Guidelines for Director’s Independence</w:t>
      </w:r>
      <w:r>
        <w:rPr>
          <w:rFonts w:ascii="Arial" w:cs="Arial" w:eastAsia="Arial" w:hAnsi="Arial"/>
          <w:sz w:val="16"/>
          <w:szCs w:val="16"/>
          <w:color w:val="auto"/>
        </w:rPr>
        <w:t>.</w:t>
      </w:r>
    </w:p>
    <w:p>
      <w:pPr>
        <w:spacing w:after="0" w:line="145" w:lineRule="exact"/>
        <w:rPr>
          <w:sz w:val="20"/>
          <w:szCs w:val="20"/>
          <w:color w:val="auto"/>
        </w:rPr>
      </w:pPr>
    </w:p>
    <w:p>
      <w:pPr>
        <w:ind w:right="740"/>
        <w:spacing w:after="0" w:line="259" w:lineRule="auto"/>
        <w:rPr>
          <w:sz w:val="20"/>
          <w:szCs w:val="20"/>
          <w:color w:val="auto"/>
        </w:rPr>
      </w:pPr>
      <w:r>
        <w:rPr>
          <w:rFonts w:ascii="Arial" w:cs="Arial" w:eastAsia="Arial" w:hAnsi="Arial"/>
          <w:sz w:val="16"/>
          <w:szCs w:val="16"/>
          <w:b w:val="1"/>
          <w:bCs w:val="1"/>
          <w:i w:val="1"/>
          <w:iCs w:val="1"/>
          <w:color w:val="007CBA"/>
        </w:rPr>
        <w:t>How are transactions with persons related to Martin Marietta reviewed?</w:t>
      </w:r>
    </w:p>
    <w:p>
      <w:pPr>
        <w:spacing w:after="0" w:line="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SEC requires Martin Marietta to disclose in this proxy statement certain transactions in which Martin Marietta participates and in which certain persons considered “related persons” of Martin Marietta have a direct or indirect material interest. These “related persons” would include the Directors and executive officers of Martin Marietta, nominees for Director, certain control persons, and their immediate family members. Since January 1, 2017, there have been no such transactions.</w:t>
      </w:r>
    </w:p>
    <w:p>
      <w:pPr>
        <w:spacing w:after="0" w:line="15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Each Director, executive officer, and nominee for Director of Martin Marietta receives and agrees to abide by Martin Marietta’s </w:t>
      </w:r>
      <w:r>
        <w:rPr>
          <w:rFonts w:ascii="Arial" w:cs="Arial" w:eastAsia="Arial" w:hAnsi="Arial"/>
          <w:sz w:val="16"/>
          <w:szCs w:val="16"/>
          <w:i w:val="1"/>
          <w:iCs w:val="1"/>
          <w:color w:val="auto"/>
        </w:rPr>
        <w:t>Code of Ethical</w:t>
      </w:r>
      <w:r>
        <w:rPr>
          <w:rFonts w:ascii="Arial" w:cs="Arial" w:eastAsia="Arial" w:hAnsi="Arial"/>
          <w:sz w:val="16"/>
          <w:szCs w:val="16"/>
          <w:color w:val="auto"/>
        </w:rPr>
        <w:t xml:space="preserve"> </w:t>
      </w:r>
      <w:r>
        <w:rPr>
          <w:rFonts w:ascii="Arial" w:cs="Arial" w:eastAsia="Arial" w:hAnsi="Arial"/>
          <w:sz w:val="16"/>
          <w:szCs w:val="16"/>
          <w:i w:val="1"/>
          <w:iCs w:val="1"/>
          <w:color w:val="auto"/>
        </w:rPr>
        <w:t>Business Conduct</w:t>
      </w:r>
      <w:r>
        <w:rPr>
          <w:rFonts w:ascii="Arial" w:cs="Arial" w:eastAsia="Arial" w:hAnsi="Arial"/>
          <w:sz w:val="16"/>
          <w:szCs w:val="16"/>
          <w:color w:val="auto"/>
        </w:rPr>
        <w:t>. Martin Marietta considers that any transaction in which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Martin Marietta participates and in which any related person of Martin Marietta has a direct or indirect material interest will be subject to review, approval or ratification, as appropriate under the circumstances, by Martin Marietta under the standards enumerated in Martin Marietta’s </w:t>
      </w:r>
      <w:r>
        <w:rPr>
          <w:rFonts w:ascii="Arial" w:cs="Arial" w:eastAsia="Arial" w:hAnsi="Arial"/>
          <w:sz w:val="16"/>
          <w:szCs w:val="16"/>
          <w:i w:val="1"/>
          <w:iCs w:val="1"/>
          <w:color w:val="auto"/>
        </w:rPr>
        <w:t>Code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Ethical Business Conduct. </w:t>
      </w:r>
      <w:r>
        <w:rPr>
          <w:rFonts w:ascii="Arial" w:cs="Arial" w:eastAsia="Arial" w:hAnsi="Arial"/>
          <w:sz w:val="16"/>
          <w:szCs w:val="16"/>
          <w:color w:val="auto"/>
        </w:rPr>
        <w:t>If a proposed transaction is one in which a</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 of Martin Marietta has an actual or potential conflict of interest, it will be subject to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-259715</wp:posOffset>
            </wp:positionH>
            <wp:positionV relativeFrom="paragraph">
              <wp:posOffset>187325</wp:posOffset>
            </wp:positionV>
            <wp:extent cx="411480" cy="2489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292" w:lineRule="exact"/>
        <w:rPr>
          <w:sz w:val="20"/>
          <w:szCs w:val="20"/>
          <w:color w:val="auto"/>
        </w:rPr>
      </w:pPr>
    </w:p>
    <w:tbl>
      <w:tblPr>
        <w:tblLayout w:type="fixed"/>
        <w:tblInd w:w="3440" w:type="dxa"/>
        <w:tblCellMar>
          <w:top w:w="0" w:type="dxa"/>
          <w:left w:w="0" w:type="dxa"/>
          <w:bottom w:w="0" w:type="dxa"/>
          <w:right w:w="0" w:type="dxa"/>
        </w:tblCellMar>
      </w:tblPr>
      <w:tr>
        <w:trPr>
          <w:trHeight w:val="178"/>
        </w:trPr>
        <w:tc>
          <w:tcPr>
            <w:tcW w:w="1680" w:type="dxa"/>
            <w:vAlign w:val="bottom"/>
          </w:tcPr>
          <w:p>
            <w:pPr>
              <w:spacing w:after="0"/>
              <w:rPr>
                <w:sz w:val="20"/>
                <w:szCs w:val="20"/>
                <w:color w:val="auto"/>
              </w:rPr>
            </w:pPr>
            <w:r>
              <w:rPr>
                <w:rFonts w:ascii="Arial" w:cs="Arial" w:eastAsia="Arial" w:hAnsi="Arial"/>
                <w:sz w:val="13"/>
                <w:szCs w:val="13"/>
                <w:color w:val="007CBA"/>
              </w:rPr>
              <w:t>2018 PROXY STATEMENT</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rPr>
              <w:t>25</w:t>
            </w:r>
          </w:p>
        </w:tc>
      </w:tr>
    </w:tbl>
    <w:p>
      <w:pPr>
        <w:sectPr>
          <w:pgSz w:w="11900" w:h="16838" w:orient="portrait"/>
          <w:cols w:equalWidth="0" w:num="2">
            <w:col w:w="5500" w:space="320"/>
            <w:col w:w="5400"/>
          </w:cols>
          <w:pgMar w:left="240" w:top="455" w:right="439" w:bottom="1440" w:gutter="0" w:footer="0" w:header="0"/>
          <w:type w:val="continuous"/>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64" w:lineRule="exact"/>
        <w:rPr>
          <w:sz w:val="20"/>
          <w:szCs w:val="20"/>
          <w:color w:val="auto"/>
        </w:rPr>
      </w:pPr>
    </w:p>
    <w:p>
      <w:pPr>
        <w:ind w:left="200"/>
        <w:spacing w:after="0" w:line="288" w:lineRule="exact"/>
        <w:rPr>
          <w:sz w:val="20"/>
          <w:szCs w:val="20"/>
          <w:color w:val="auto"/>
        </w:rPr>
      </w:pPr>
      <w:r>
        <w:rPr>
          <w:rFonts w:ascii="Arial" w:cs="Arial" w:eastAsia="Arial" w:hAnsi="Arial"/>
          <w:sz w:val="14"/>
          <w:szCs w:val="14"/>
          <w:color w:val="007CBA"/>
        </w:rPr>
        <w:t xml:space="preserve">Corporate Governance Matters </w:t>
      </w:r>
      <w:r>
        <w:rPr>
          <w:rFonts w:ascii="MS PGothic" w:cs="MS PGothic" w:eastAsia="MS PGothic" w:hAnsi="MS PGothic"/>
          <w:sz w:val="25"/>
          <w:szCs w:val="25"/>
          <w:color w:val="007CBA"/>
        </w:rPr>
        <w:t>◆</w:t>
      </w:r>
      <w:r>
        <w:rPr>
          <w:rFonts w:ascii="Arial" w:cs="Arial" w:eastAsia="Arial" w:hAnsi="Arial"/>
          <w:sz w:val="14"/>
          <w:szCs w:val="14"/>
          <w:color w:val="007CBA"/>
        </w:rPr>
        <w:t xml:space="preserve"> </w:t>
      </w:r>
      <w:r>
        <w:rPr>
          <w:rFonts w:ascii="Arial" w:cs="Arial" w:eastAsia="Arial" w:hAnsi="Arial"/>
          <w:sz w:val="14"/>
          <w:szCs w:val="14"/>
          <w:color w:val="000000"/>
        </w:rPr>
        <w:t>Board Committees</w:t>
      </w:r>
    </w:p>
    <w:p>
      <w:pPr>
        <w:spacing w:after="0" w:line="258" w:lineRule="exact"/>
        <w:rPr>
          <w:sz w:val="20"/>
          <w:szCs w:val="20"/>
          <w:color w:val="auto"/>
        </w:rPr>
      </w:pPr>
    </w:p>
    <w:p>
      <w:pPr>
        <w:jc w:val="both"/>
        <w:ind w:left="220"/>
        <w:spacing w:after="0" w:line="291" w:lineRule="auto"/>
        <w:rPr>
          <w:sz w:val="20"/>
          <w:szCs w:val="20"/>
          <w:color w:val="auto"/>
        </w:rPr>
      </w:pPr>
      <w:r>
        <w:rPr>
          <w:rFonts w:ascii="Arial" w:cs="Arial" w:eastAsia="Arial" w:hAnsi="Arial"/>
          <w:sz w:val="16"/>
          <w:szCs w:val="16"/>
          <w:color w:val="auto"/>
        </w:rPr>
        <w:t>by the Chairman of the Board of Directors and the Chairman of the Nominating and Corporate Governance Committee.</w:t>
      </w:r>
    </w:p>
    <w:p>
      <w:pPr>
        <w:spacing w:after="0" w:line="121" w:lineRule="exact"/>
        <w:rPr>
          <w:sz w:val="20"/>
          <w:szCs w:val="20"/>
          <w:color w:val="auto"/>
        </w:rPr>
      </w:pPr>
    </w:p>
    <w:p>
      <w:pPr>
        <w:jc w:val="both"/>
        <w:ind w:left="220"/>
        <w:spacing w:after="0" w:line="257" w:lineRule="auto"/>
        <w:rPr>
          <w:sz w:val="20"/>
          <w:szCs w:val="20"/>
          <w:color w:val="auto"/>
        </w:rPr>
      </w:pPr>
      <w:r>
        <w:rPr>
          <w:rFonts w:ascii="Arial" w:cs="Arial" w:eastAsia="Arial" w:hAnsi="Arial"/>
          <w:sz w:val="16"/>
          <w:szCs w:val="16"/>
          <w:color w:val="auto"/>
        </w:rPr>
        <w:t xml:space="preserve">Any waivers of the </w:t>
      </w:r>
      <w:r>
        <w:rPr>
          <w:rFonts w:ascii="Arial" w:cs="Arial" w:eastAsia="Arial" w:hAnsi="Arial"/>
          <w:sz w:val="16"/>
          <w:szCs w:val="16"/>
          <w:i w:val="1"/>
          <w:iCs w:val="1"/>
          <w:color w:val="auto"/>
        </w:rPr>
        <w:t>Code of Ethical Business Conduct</w:t>
      </w:r>
      <w:r>
        <w:rPr>
          <w:rFonts w:ascii="Arial" w:cs="Arial" w:eastAsia="Arial" w:hAnsi="Arial"/>
          <w:sz w:val="16"/>
          <w:szCs w:val="16"/>
          <w:color w:val="auto"/>
        </w:rPr>
        <w:t xml:space="preserve"> for Directors and executive officers may be made only by Martin Marietta’s Board of Directors or any committee to which it delegates that authority. Any waivers for Directors and executive officers and any amendments to the </w:t>
      </w:r>
      <w:r>
        <w:rPr>
          <w:rFonts w:ascii="Arial" w:cs="Arial" w:eastAsia="Arial" w:hAnsi="Arial"/>
          <w:sz w:val="16"/>
          <w:szCs w:val="16"/>
          <w:i w:val="1"/>
          <w:iCs w:val="1"/>
          <w:color w:val="auto"/>
        </w:rPr>
        <w:t xml:space="preserve">Code of Ethical Business Conduct </w:t>
      </w:r>
      <w:r>
        <w:rPr>
          <w:rFonts w:ascii="Arial" w:cs="Arial" w:eastAsia="Arial" w:hAnsi="Arial"/>
          <w:sz w:val="16"/>
          <w:szCs w:val="16"/>
          <w:color w:val="auto"/>
        </w:rPr>
        <w:t>will be</w:t>
      </w:r>
    </w:p>
    <w:p>
      <w:pPr>
        <w:spacing w:after="0" w:line="281" w:lineRule="exact"/>
        <w:rPr>
          <w:sz w:val="20"/>
          <w:szCs w:val="20"/>
          <w:color w:val="auto"/>
        </w:rPr>
      </w:pPr>
    </w:p>
    <w:p>
      <w:pPr>
        <w:ind w:left="640" w:hanging="436"/>
        <w:spacing w:after="0"/>
        <w:tabs>
          <w:tab w:leader="none" w:pos="640" w:val="left"/>
        </w:tabs>
        <w:numPr>
          <w:ilvl w:val="0"/>
          <w:numId w:val="56"/>
        </w:numPr>
        <w:rPr>
          <w:rFonts w:ascii="Arial" w:cs="Arial" w:eastAsia="Arial" w:hAnsi="Arial"/>
          <w:sz w:val="13"/>
          <w:szCs w:val="13"/>
          <w:b w:val="1"/>
          <w:bCs w:val="1"/>
          <w:color w:val="auto"/>
        </w:rPr>
      </w:pPr>
      <w:r>
        <w:rPr>
          <w:rFonts w:ascii="Arial" w:cs="Arial" w:eastAsia="Arial" w:hAnsi="Arial"/>
          <w:sz w:val="13"/>
          <w:szCs w:val="13"/>
          <w:color w:val="007CBA"/>
        </w:rPr>
        <w:t>2018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promptly disclosed to Martin Marietta’s shareholders by posting on our website, </w:t>
      </w:r>
      <w:r>
        <w:rPr>
          <w:rFonts w:ascii="Arial" w:cs="Arial" w:eastAsia="Arial" w:hAnsi="Arial"/>
          <w:sz w:val="16"/>
          <w:szCs w:val="16"/>
          <w:i w:val="1"/>
          <w:iCs w:val="1"/>
          <w:color w:val="auto"/>
        </w:rPr>
        <w:t>www.martinmarietta.com</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-1129030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0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assessing the independence of its members, the Board considers any interests a director may have in any transactions in which Martin Marietta participates. The Board also considers other entities with which the Directors are affiliated and any business Martin Marietta has done with such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166370</wp:posOffset>
            </wp:positionV>
            <wp:extent cx="411480" cy="2489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ectPr>
          <w:pgSz w:w="11900" w:h="16838" w:orient="portrait"/>
          <w:cols w:equalWidth="0" w:num="2">
            <w:col w:w="5500" w:space="320"/>
            <w:col w:w="5400"/>
          </w:cols>
          <w:pgMar w:left="240" w:top="455" w:right="4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72" w:lineRule="exact"/>
        <w:rPr>
          <w:sz w:val="20"/>
          <w:szCs w:val="20"/>
          <w:color w:val="auto"/>
        </w:rPr>
      </w:pPr>
    </w:p>
    <w:p>
      <w:pPr>
        <w:ind w:left="200"/>
        <w:spacing w:after="0"/>
        <w:rPr>
          <w:sz w:val="20"/>
          <w:szCs w:val="20"/>
          <w:color w:val="auto"/>
        </w:rPr>
      </w:pPr>
      <w:r>
        <w:rPr>
          <w:rFonts w:ascii="Arial" w:cs="Arial" w:eastAsia="Arial" w:hAnsi="Arial"/>
          <w:sz w:val="43"/>
          <w:szCs w:val="43"/>
          <w:color w:val="auto"/>
        </w:rPr>
        <w:t>Proposal 2</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007CBA"/>
        </w:rPr>
        <w:t>Independent Auditors</w:t>
      </w:r>
    </w:p>
    <w:p>
      <w:pPr>
        <w:spacing w:after="0" w:line="41" w:lineRule="exact"/>
        <w:rPr>
          <w:sz w:val="20"/>
          <w:szCs w:val="20"/>
          <w:color w:val="auto"/>
        </w:rPr>
      </w:pPr>
    </w:p>
    <w:p>
      <w:pPr>
        <w:ind w:left="200"/>
        <w:spacing w:after="0"/>
        <w:rPr>
          <w:sz w:val="20"/>
          <w:szCs w:val="20"/>
          <w:color w:val="auto"/>
        </w:rPr>
      </w:pPr>
      <w:r>
        <w:rPr>
          <w:rFonts w:ascii="Arial" w:cs="Arial" w:eastAsia="Arial" w:hAnsi="Arial"/>
          <w:sz w:val="20"/>
          <w:szCs w:val="20"/>
          <w:i w:val="1"/>
          <w:iCs w:val="1"/>
          <w:color w:val="007CBA"/>
        </w:rPr>
        <w:t>(Item 2 on Proxy Card)</w:t>
      </w:r>
    </w:p>
    <w:p>
      <w:pPr>
        <w:spacing w:after="0" w:line="296" w:lineRule="exact"/>
        <w:rPr>
          <w:sz w:val="20"/>
          <w:szCs w:val="20"/>
          <w:color w:val="auto"/>
        </w:rPr>
      </w:pPr>
    </w:p>
    <w:p>
      <w:pPr>
        <w:jc w:val="both"/>
        <w:ind w:left="200"/>
        <w:spacing w:after="0" w:line="257" w:lineRule="auto"/>
        <w:rPr>
          <w:sz w:val="20"/>
          <w:szCs w:val="20"/>
          <w:color w:val="auto"/>
        </w:rPr>
      </w:pPr>
      <w:r>
        <w:rPr>
          <w:rFonts w:ascii="Arial" w:cs="Arial" w:eastAsia="Arial" w:hAnsi="Arial"/>
          <w:sz w:val="16"/>
          <w:szCs w:val="16"/>
          <w:color w:val="auto"/>
        </w:rPr>
        <w:t>The Board of Directors recommends that the shareholders ratify the appointment of PricewaterhouseCoopers LLP (“PwC”), an independent registered public accounting firm, to audit the consolidated financial statements of Martin Marietta and the effectiveness of Martin Marietta’s internal control over financial reporting for the 2018 fiscal year. The ratification of the appointment of PwC is being submitted to the shareholders because the Board of Directors believes this to be good corporate practice. Should the shareholders fail to ratify this appointment, the Audit Committee will review the matter and determine, in its sole discretion, whether PwC or another independent registered public accounting firm should be retained.</w:t>
      </w:r>
    </w:p>
    <w:p>
      <w:pPr>
        <w:spacing w:after="0" w:line="136" w:lineRule="exact"/>
        <w:rPr>
          <w:sz w:val="20"/>
          <w:szCs w:val="20"/>
          <w:color w:val="auto"/>
        </w:rPr>
      </w:pPr>
    </w:p>
    <w:p>
      <w:pPr>
        <w:jc w:val="both"/>
        <w:ind w:left="200"/>
        <w:spacing w:after="0" w:line="261" w:lineRule="auto"/>
        <w:rPr>
          <w:sz w:val="20"/>
          <w:szCs w:val="20"/>
          <w:color w:val="auto"/>
        </w:rPr>
      </w:pPr>
      <w:r>
        <w:rPr>
          <w:rFonts w:ascii="Arial" w:cs="Arial" w:eastAsia="Arial" w:hAnsi="Arial"/>
          <w:sz w:val="16"/>
          <w:szCs w:val="16"/>
          <w:color w:val="auto"/>
        </w:rPr>
        <w:t>PwC served as Martin Marietta’s independent auditors for 2017 and audited the consolidated financial statements of Martin Marietta for the year ended December 31, 2017 and the effectiveness of Martin Marietta’s internal control over financial reporting as of December 31, 2017. In connection with the audit of Martin Marietta’s 2017 consolidated financial statements, Martin Marietta entered into an engagement letter with PwC that sets forth the terms by which PwC would perform audit services for Martin Marietta in 2017.</w:t>
      </w:r>
    </w:p>
    <w:p>
      <w:pPr>
        <w:spacing w:after="0" w:line="132"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The Audit Committee conducted a competitive process with multiple firms to determine the Company’s independent registered public accounting firm for the fiscal year ending December 31, 2016. The Audit Committee invited several firms to participate in this process, including its then-incumbent independent auditor, Ernst &amp; Young LLP (EY). As a result of this process, on March 14, 2016, the Audit Committee dismissed EY as its independent registered public accounting firm for the fiscal year ending December 31, 2016. During the fiscal year ended December 31, 2015 and in the subsequent interim period through March 14, 2016, there were no “disagreements” (as that term is described in Item 304(a)(1)(iv) of Regulation S-K of the rules and regulations of the SEC and the related instructions) with EY on any matters of accounting principles or practices, financial statement disclosure, or auditing scope or procedure which, if not resolved to the satisfaction of EY, would have caused EY to make reference to the subject matter of such disagreements in their reports on the consolidated financial statements.</w:t>
      </w:r>
    </w:p>
    <w:p>
      <w:pPr>
        <w:spacing w:after="0" w:line="150" w:lineRule="exact"/>
        <w:rPr>
          <w:sz w:val="20"/>
          <w:szCs w:val="20"/>
          <w:color w:val="auto"/>
        </w:rPr>
      </w:pPr>
    </w:p>
    <w:p>
      <w:pPr>
        <w:jc w:val="both"/>
        <w:ind w:left="200"/>
        <w:spacing w:after="0" w:line="261" w:lineRule="auto"/>
        <w:rPr>
          <w:sz w:val="20"/>
          <w:szCs w:val="20"/>
          <w:color w:val="auto"/>
        </w:rPr>
      </w:pPr>
      <w:r>
        <w:rPr>
          <w:rFonts w:ascii="Arial" w:cs="Arial" w:eastAsia="Arial" w:hAnsi="Arial"/>
          <w:sz w:val="16"/>
          <w:szCs w:val="16"/>
          <w:color w:val="auto"/>
        </w:rPr>
        <w:t>The audit reports of EY on the Company’s consolidated financial statements as of and for the fiscal year ended December 31, 2015 did not contain an adverse opinion or a disclaimer of opinion, and were not qualified or modified as to uncertainty, audit scope or accounting principles. During the fiscal year ended December 31, 2015 and in the subsequent interim period through March 14, 2016 there were no “reportable events” as that term is described in Item 304(a)(1)(v) of Regulation S-K of the rules and regulations of the SEC.</w:t>
      </w:r>
    </w:p>
    <w:p>
      <w:pPr>
        <w:spacing w:after="0" w:line="132" w:lineRule="exact"/>
        <w:rPr>
          <w:sz w:val="20"/>
          <w:szCs w:val="20"/>
          <w:color w:val="auto"/>
        </w:rPr>
      </w:pPr>
    </w:p>
    <w:p>
      <w:pPr>
        <w:jc w:val="both"/>
        <w:ind w:left="200"/>
        <w:spacing w:after="0" w:line="254" w:lineRule="auto"/>
        <w:rPr>
          <w:sz w:val="20"/>
          <w:szCs w:val="20"/>
          <w:color w:val="auto"/>
        </w:rPr>
      </w:pPr>
      <w:r>
        <w:rPr>
          <w:rFonts w:ascii="Arial" w:cs="Arial" w:eastAsia="Arial" w:hAnsi="Arial"/>
          <w:sz w:val="16"/>
          <w:szCs w:val="16"/>
          <w:color w:val="auto"/>
        </w:rPr>
        <w:t>On March 14, 2016, the Audit Committee approved the appointment of PwC as the Company’s new independent registered public accounting firm for the year ending December 31, 2016. During the fiscal years ended December 31, 2015 and 2014 and in the subsequent interim period through March 14, 2016, neither the Company nor anyone acting on its behalf consulted with PwC regarding (i) the application of accounting principles to a specific transaction, either completed or proposed, or the type of audit opinion that might be rendered on the Company’s consolidated financial statements, and neither a written report nor oral advice was provided to the Company that PwC concluded was an important factor considered by the Company in reaching a decision as to any accounting, auditing, or financial reporting issue, (ii) any matter that was the subject of a disagreement as defined in Item 304(a)(1)(iv) of Regulation S-K, or (iii) any reportable event as defined in Item 304(a)(1)(v) of Regulation S-K of the rules and regulations of the SEC.</w:t>
      </w:r>
    </w:p>
    <w:p>
      <w:pPr>
        <w:spacing w:after="0" w:line="136" w:lineRule="exact"/>
        <w:rPr>
          <w:sz w:val="20"/>
          <w:szCs w:val="20"/>
          <w:color w:val="auto"/>
        </w:rPr>
      </w:pPr>
    </w:p>
    <w:p>
      <w:pPr>
        <w:jc w:val="both"/>
        <w:ind w:left="200"/>
        <w:spacing w:after="0" w:line="279" w:lineRule="auto"/>
        <w:rPr>
          <w:sz w:val="20"/>
          <w:szCs w:val="20"/>
          <w:color w:val="auto"/>
        </w:rPr>
      </w:pPr>
      <w:r>
        <w:rPr>
          <w:rFonts w:ascii="Arial" w:cs="Arial" w:eastAsia="Arial" w:hAnsi="Arial"/>
          <w:sz w:val="16"/>
          <w:szCs w:val="16"/>
          <w:color w:val="auto"/>
        </w:rPr>
        <w:t>The Audit Committee is solely responsible for retaining or terminating Martin Marietta’s independent auditors. Representatives of PwC are expected to attend the Annual Meeting, will have the opportunity to make a statement if they so desire, and will be available to respond to questions from shareholders.</w:t>
      </w:r>
    </w:p>
    <w:p>
      <w:pPr>
        <w:spacing w:after="0" w:line="366" w:lineRule="exact"/>
        <w:rPr>
          <w:sz w:val="20"/>
          <w:szCs w:val="20"/>
          <w:color w:val="auto"/>
        </w:rPr>
      </w:pPr>
    </w:p>
    <w:p>
      <w:pPr>
        <w:ind w:left="2140" w:right="3200"/>
        <w:spacing w:after="0" w:line="295" w:lineRule="auto"/>
        <w:rPr>
          <w:sz w:val="20"/>
          <w:szCs w:val="20"/>
          <w:color w:val="auto"/>
        </w:rPr>
      </w:pPr>
      <w:r>
        <w:rPr>
          <w:rFonts w:ascii="Arial" w:cs="Arial" w:eastAsia="Arial" w:hAnsi="Arial"/>
          <w:sz w:val="25"/>
          <w:szCs w:val="25"/>
          <w:color w:val="007CBA"/>
        </w:rPr>
        <w:t>The Board Unanimously Recommends a Vote “</w:t>
      </w:r>
      <w:r>
        <w:rPr>
          <w:rFonts w:ascii="Arial" w:cs="Arial" w:eastAsia="Arial" w:hAnsi="Arial"/>
          <w:sz w:val="25"/>
          <w:szCs w:val="25"/>
          <w:b w:val="1"/>
          <w:bCs w:val="1"/>
          <w:color w:val="007CBA"/>
        </w:rPr>
        <w:t>FOR</w:t>
      </w:r>
      <w:r>
        <w:rPr>
          <w:rFonts w:ascii="Arial" w:cs="Arial" w:eastAsia="Arial" w:hAnsi="Arial"/>
          <w:sz w:val="25"/>
          <w:szCs w:val="25"/>
          <w:color w:val="007CBA"/>
        </w:rPr>
        <w:t>” on this 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-426085</wp:posOffset>
            </wp:positionV>
            <wp:extent cx="325755" cy="3257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53340</wp:posOffset>
            </wp:positionV>
            <wp:extent cx="411480" cy="2489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81" w:lineRule="exact"/>
        <w:rPr>
          <w:sz w:val="20"/>
          <w:szCs w:val="20"/>
          <w:color w:val="auto"/>
        </w:rPr>
      </w:pPr>
    </w:p>
    <w:tbl>
      <w:tblPr>
        <w:tblLayout w:type="fixed"/>
        <w:tblInd w:w="9260" w:type="dxa"/>
        <w:tblCellMar>
          <w:top w:w="0" w:type="dxa"/>
          <w:left w:w="0" w:type="dxa"/>
          <w:bottom w:w="0" w:type="dxa"/>
          <w:right w:w="0" w:type="dxa"/>
        </w:tblCellMar>
      </w:tblPr>
      <w:tr>
        <w:trPr>
          <w:trHeight w:val="178"/>
        </w:trPr>
        <w:tc>
          <w:tcPr>
            <w:tcW w:w="1680" w:type="dxa"/>
            <w:vAlign w:val="bottom"/>
          </w:tcPr>
          <w:p>
            <w:pPr>
              <w:spacing w:after="0"/>
              <w:rPr>
                <w:sz w:val="20"/>
                <w:szCs w:val="20"/>
                <w:color w:val="auto"/>
              </w:rPr>
            </w:pPr>
            <w:r>
              <w:rPr>
                <w:rFonts w:ascii="Arial" w:cs="Arial" w:eastAsia="Arial" w:hAnsi="Arial"/>
                <w:sz w:val="13"/>
                <w:szCs w:val="13"/>
                <w:color w:val="007CBA"/>
              </w:rPr>
              <w:t>2018 PROXY STATEMENT</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rPr>
              <w:t>27</w:t>
            </w:r>
          </w:p>
        </w:tc>
      </w:tr>
    </w:tbl>
    <w:p>
      <w:pPr>
        <w:sectPr>
          <w:pgSz w:w="11900" w:h="16838" w:orient="portrait"/>
          <w:cols w:equalWidth="0" w:num="1">
            <w:col w:w="11220"/>
          </w:cols>
          <w:pgMar w:left="240" w:top="455" w:right="4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64" w:lineRule="exact"/>
        <w:rPr>
          <w:sz w:val="20"/>
          <w:szCs w:val="20"/>
          <w:color w:val="auto"/>
        </w:rPr>
      </w:pPr>
    </w:p>
    <w:p>
      <w:pPr>
        <w:ind w:left="200"/>
        <w:spacing w:after="0" w:line="288" w:lineRule="exact"/>
        <w:rPr>
          <w:sz w:val="20"/>
          <w:szCs w:val="20"/>
          <w:color w:val="auto"/>
        </w:rPr>
      </w:pPr>
      <w:r>
        <w:rPr>
          <w:rFonts w:ascii="Arial" w:cs="Arial" w:eastAsia="Arial" w:hAnsi="Arial"/>
          <w:sz w:val="14"/>
          <w:szCs w:val="14"/>
          <w:color w:val="007CBA"/>
        </w:rPr>
        <w:t xml:space="preserve">Proposal 2: Independent Auditors </w:t>
      </w:r>
      <w:r>
        <w:rPr>
          <w:rFonts w:ascii="MS PGothic" w:cs="MS PGothic" w:eastAsia="MS PGothic" w:hAnsi="MS PGothic"/>
          <w:sz w:val="25"/>
          <w:szCs w:val="25"/>
          <w:color w:val="007CBA"/>
        </w:rPr>
        <w:t>◆</w:t>
      </w:r>
      <w:r>
        <w:rPr>
          <w:rFonts w:ascii="Arial" w:cs="Arial" w:eastAsia="Arial" w:hAnsi="Arial"/>
          <w:sz w:val="14"/>
          <w:szCs w:val="14"/>
          <w:color w:val="007CBA"/>
        </w:rPr>
        <w:t xml:space="preserve"> </w:t>
      </w:r>
      <w:r>
        <w:rPr>
          <w:rFonts w:ascii="Arial" w:cs="Arial" w:eastAsia="Arial" w:hAnsi="Arial"/>
          <w:sz w:val="14"/>
          <w:szCs w:val="14"/>
          <w:color w:val="000000"/>
        </w:rPr>
        <w:t>Summary of Fees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007CBA"/>
        </w:rPr>
        <w:t>Summary of Fees</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following table summarizes the aggregate fees billed for professional services rendered to Martin Marietta by PwC in 2017 and 2016.</w:t>
      </w:r>
    </w:p>
    <w:p>
      <w:pPr>
        <w:spacing w:after="0" w:line="266" w:lineRule="exact"/>
        <w:rPr>
          <w:sz w:val="20"/>
          <w:szCs w:val="20"/>
          <w:color w:val="auto"/>
        </w:rPr>
      </w:pPr>
    </w:p>
    <w:tbl>
      <w:tblPr>
        <w:tblLayout w:type="fixed"/>
        <w:tblInd w:w="200" w:type="dxa"/>
        <w:tblCellMar>
          <w:top w:w="0" w:type="dxa"/>
          <w:left w:w="0" w:type="dxa"/>
          <w:bottom w:w="0" w:type="dxa"/>
          <w:right w:w="0" w:type="dxa"/>
        </w:tblCellMar>
      </w:tblPr>
      <w:tr>
        <w:trPr>
          <w:trHeight w:val="257"/>
        </w:trPr>
        <w:tc>
          <w:tcPr>
            <w:tcW w:w="20" w:type="dxa"/>
            <w:vAlign w:val="bottom"/>
          </w:tcPr>
          <w:p>
            <w:pPr>
              <w:spacing w:after="0"/>
              <w:rPr>
                <w:sz w:val="22"/>
                <w:szCs w:val="22"/>
                <w:color w:val="auto"/>
              </w:rPr>
            </w:pPr>
          </w:p>
        </w:tc>
        <w:tc>
          <w:tcPr>
            <w:tcW w:w="7160" w:type="dxa"/>
            <w:vAlign w:val="bottom"/>
            <w:tcBorders>
              <w:right w:val="single" w:sz="8" w:color="007CBA"/>
            </w:tcBorders>
            <w:shd w:val="clear" w:color="auto" w:fill="007CBA"/>
          </w:tcPr>
          <w:p>
            <w:pPr>
              <w:spacing w:after="0"/>
              <w:rPr>
                <w:sz w:val="22"/>
                <w:szCs w:val="22"/>
                <w:color w:val="auto"/>
              </w:rPr>
            </w:pPr>
          </w:p>
        </w:tc>
        <w:tc>
          <w:tcPr>
            <w:tcW w:w="600" w:type="dxa"/>
            <w:vAlign w:val="bottom"/>
            <w:shd w:val="clear" w:color="auto" w:fill="007CBA"/>
          </w:tcPr>
          <w:p>
            <w:pPr>
              <w:spacing w:after="0"/>
              <w:rPr>
                <w:sz w:val="22"/>
                <w:szCs w:val="22"/>
                <w:color w:val="auto"/>
              </w:rPr>
            </w:pPr>
          </w:p>
        </w:tc>
        <w:tc>
          <w:tcPr>
            <w:tcW w:w="1480" w:type="dxa"/>
            <w:vAlign w:val="bottom"/>
            <w:tcBorders>
              <w:right w:val="single" w:sz="8" w:color="007CBA"/>
            </w:tcBorders>
            <w:shd w:val="clear" w:color="auto" w:fill="007CBA"/>
          </w:tcPr>
          <w:p>
            <w:pPr>
              <w:jc w:val="right"/>
              <w:ind w:right="897"/>
              <w:spacing w:after="0"/>
              <w:rPr>
                <w:sz w:val="20"/>
                <w:szCs w:val="20"/>
                <w:color w:val="auto"/>
              </w:rPr>
            </w:pPr>
            <w:r>
              <w:rPr>
                <w:rFonts w:ascii="Arial" w:cs="Arial" w:eastAsia="Arial" w:hAnsi="Arial"/>
                <w:sz w:val="14"/>
                <w:szCs w:val="14"/>
                <w:b w:val="1"/>
                <w:bCs w:val="1"/>
                <w:color w:val="FFFFFF"/>
              </w:rPr>
              <w:t>2017</w:t>
            </w:r>
          </w:p>
        </w:tc>
        <w:tc>
          <w:tcPr>
            <w:tcW w:w="1780" w:type="dxa"/>
            <w:vAlign w:val="bottom"/>
            <w:shd w:val="clear" w:color="auto" w:fill="007CBA"/>
          </w:tcPr>
          <w:p>
            <w:pPr>
              <w:jc w:val="right"/>
              <w:ind w:right="535"/>
              <w:spacing w:after="0"/>
              <w:rPr>
                <w:sz w:val="20"/>
                <w:szCs w:val="20"/>
                <w:color w:val="auto"/>
              </w:rPr>
            </w:pPr>
            <w:r>
              <w:rPr>
                <w:rFonts w:ascii="Arial" w:cs="Arial" w:eastAsia="Arial" w:hAnsi="Arial"/>
                <w:sz w:val="14"/>
                <w:szCs w:val="14"/>
                <w:b w:val="1"/>
                <w:bCs w:val="1"/>
                <w:color w:val="FFFFFF"/>
              </w:rPr>
              <w:t>2016</w:t>
            </w:r>
          </w:p>
        </w:tc>
      </w:tr>
      <w:tr>
        <w:trPr>
          <w:trHeight w:val="216"/>
        </w:trPr>
        <w:tc>
          <w:tcPr>
            <w:tcW w:w="20" w:type="dxa"/>
            <w:vAlign w:val="bottom"/>
          </w:tcPr>
          <w:p>
            <w:pPr>
              <w:spacing w:after="0"/>
              <w:rPr>
                <w:sz w:val="18"/>
                <w:szCs w:val="18"/>
                <w:color w:val="auto"/>
              </w:rPr>
            </w:pPr>
          </w:p>
        </w:tc>
        <w:tc>
          <w:tcPr>
            <w:tcW w:w="7160" w:type="dxa"/>
            <w:vAlign w:val="bottom"/>
            <w:tcBorders>
              <w:right w:val="single" w:sz="8" w:color="007CBA"/>
            </w:tcBorders>
          </w:tcPr>
          <w:p>
            <w:pPr>
              <w:spacing w:after="0"/>
              <w:rPr>
                <w:sz w:val="20"/>
                <w:szCs w:val="20"/>
                <w:color w:val="auto"/>
              </w:rPr>
            </w:pPr>
            <w:r>
              <w:rPr>
                <w:rFonts w:ascii="Arial" w:cs="Arial" w:eastAsia="Arial" w:hAnsi="Arial"/>
                <w:sz w:val="17"/>
                <w:szCs w:val="17"/>
                <w:color w:val="auto"/>
              </w:rPr>
              <w:t>Audit Fees</w:t>
            </w:r>
            <w:r>
              <w:rPr>
                <w:rFonts w:ascii="Arial" w:cs="Arial" w:eastAsia="Arial" w:hAnsi="Arial"/>
                <w:sz w:val="14"/>
                <w:szCs w:val="14"/>
                <w:color w:val="auto"/>
              </w:rPr>
              <w:t>1</w:t>
            </w:r>
          </w:p>
        </w:tc>
        <w:tc>
          <w:tcPr>
            <w:tcW w:w="6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80" w:type="dxa"/>
            <w:vAlign w:val="bottom"/>
            <w:tcBorders>
              <w:right w:val="single" w:sz="8" w:color="007CBA"/>
            </w:tcBorders>
          </w:tcPr>
          <w:p>
            <w:pPr>
              <w:jc w:val="right"/>
              <w:ind w:right="397"/>
              <w:spacing w:after="0"/>
              <w:rPr>
                <w:sz w:val="20"/>
                <w:szCs w:val="20"/>
                <w:color w:val="auto"/>
              </w:rPr>
            </w:pPr>
            <w:r>
              <w:rPr>
                <w:rFonts w:ascii="Arial" w:cs="Arial" w:eastAsia="Arial" w:hAnsi="Arial"/>
                <w:sz w:val="16"/>
                <w:szCs w:val="16"/>
                <w:color w:val="auto"/>
              </w:rPr>
              <w:t>2,872,000</w:t>
            </w:r>
          </w:p>
        </w:tc>
        <w:tc>
          <w:tcPr>
            <w:tcW w:w="1780" w:type="dxa"/>
            <w:vAlign w:val="bottom"/>
          </w:tcPr>
          <w:p>
            <w:pPr>
              <w:jc w:val="right"/>
              <w:ind w:right="375"/>
              <w:spacing w:after="0"/>
              <w:rPr>
                <w:sz w:val="20"/>
                <w:szCs w:val="20"/>
                <w:color w:val="auto"/>
              </w:rPr>
            </w:pPr>
            <w:r>
              <w:rPr>
                <w:rFonts w:ascii="Arial" w:cs="Arial" w:eastAsia="Arial" w:hAnsi="Arial"/>
                <w:sz w:val="16"/>
                <w:szCs w:val="16"/>
                <w:color w:val="auto"/>
              </w:rPr>
              <w:t>$2,473,000</w:t>
            </w:r>
          </w:p>
        </w:tc>
      </w:tr>
      <w:tr>
        <w:trPr>
          <w:trHeight w:val="44"/>
        </w:trPr>
        <w:tc>
          <w:tcPr>
            <w:tcW w:w="20" w:type="dxa"/>
            <w:vAlign w:val="bottom"/>
          </w:tcPr>
          <w:p>
            <w:pPr>
              <w:spacing w:after="0"/>
              <w:rPr>
                <w:sz w:val="3"/>
                <w:szCs w:val="3"/>
                <w:color w:val="auto"/>
              </w:rPr>
            </w:pPr>
          </w:p>
        </w:tc>
        <w:tc>
          <w:tcPr>
            <w:tcW w:w="7160" w:type="dxa"/>
            <w:vAlign w:val="bottom"/>
            <w:tcBorders>
              <w:right w:val="single" w:sz="8" w:color="007CBA"/>
            </w:tcBorders>
            <w:shd w:val="clear" w:color="auto" w:fill="E5F1F8"/>
          </w:tcPr>
          <w:p>
            <w:pPr>
              <w:spacing w:after="0" w:line="44" w:lineRule="exact"/>
              <w:rPr>
                <w:sz w:val="20"/>
                <w:szCs w:val="20"/>
                <w:color w:val="auto"/>
              </w:rPr>
            </w:pPr>
            <w:r>
              <w:rPr>
                <w:rFonts w:ascii="Arial" w:cs="Arial" w:eastAsia="Arial" w:hAnsi="Arial"/>
                <w:sz w:val="5"/>
                <w:szCs w:val="5"/>
                <w:color w:val="auto"/>
              </w:rPr>
              <w:t>Audit-Related Fees</w:t>
            </w:r>
          </w:p>
        </w:tc>
        <w:tc>
          <w:tcPr>
            <w:tcW w:w="600" w:type="dxa"/>
            <w:vAlign w:val="bottom"/>
            <w:shd w:val="clear" w:color="auto" w:fill="E5F1F8"/>
          </w:tcPr>
          <w:p>
            <w:pPr>
              <w:spacing w:after="0"/>
              <w:rPr>
                <w:sz w:val="3"/>
                <w:szCs w:val="3"/>
                <w:color w:val="auto"/>
              </w:rPr>
            </w:pPr>
          </w:p>
        </w:tc>
        <w:tc>
          <w:tcPr>
            <w:tcW w:w="1480" w:type="dxa"/>
            <w:vAlign w:val="bottom"/>
            <w:tcBorders>
              <w:right w:val="single" w:sz="8" w:color="007CBA"/>
            </w:tcBorders>
            <w:shd w:val="clear" w:color="auto" w:fill="E5F1F8"/>
          </w:tcPr>
          <w:p>
            <w:pPr>
              <w:jc w:val="right"/>
              <w:ind w:right="397"/>
              <w:spacing w:after="0" w:line="44" w:lineRule="exact"/>
              <w:rPr>
                <w:sz w:val="20"/>
                <w:szCs w:val="20"/>
                <w:color w:val="auto"/>
              </w:rPr>
            </w:pPr>
            <w:r>
              <w:rPr>
                <w:rFonts w:ascii="Arial" w:cs="Arial" w:eastAsia="Arial" w:hAnsi="Arial"/>
                <w:sz w:val="5"/>
                <w:szCs w:val="5"/>
                <w:color w:val="auto"/>
              </w:rPr>
              <w:t>103,000</w:t>
            </w:r>
          </w:p>
        </w:tc>
        <w:tc>
          <w:tcPr>
            <w:tcW w:w="1780" w:type="dxa"/>
            <w:vAlign w:val="bottom"/>
            <w:shd w:val="clear" w:color="auto" w:fill="E5F1F8"/>
          </w:tcPr>
          <w:p>
            <w:pPr>
              <w:jc w:val="right"/>
              <w:ind w:right="355"/>
              <w:spacing w:after="0" w:line="44" w:lineRule="exact"/>
              <w:rPr>
                <w:sz w:val="20"/>
                <w:szCs w:val="20"/>
                <w:color w:val="auto"/>
              </w:rPr>
            </w:pPr>
            <w:r>
              <w:rPr>
                <w:rFonts w:ascii="Arial" w:cs="Arial" w:eastAsia="Arial" w:hAnsi="Arial"/>
                <w:sz w:val="5"/>
                <w:szCs w:val="5"/>
                <w:color w:val="auto"/>
              </w:rPr>
              <w:t>103,000</w:t>
            </w:r>
          </w:p>
        </w:tc>
      </w:tr>
      <w:tr>
        <w:trPr>
          <w:trHeight w:val="196"/>
        </w:trPr>
        <w:tc>
          <w:tcPr>
            <w:tcW w:w="20" w:type="dxa"/>
            <w:vAlign w:val="bottom"/>
          </w:tcPr>
          <w:p>
            <w:pPr>
              <w:spacing w:after="0"/>
              <w:rPr>
                <w:sz w:val="17"/>
                <w:szCs w:val="17"/>
                <w:color w:val="auto"/>
              </w:rPr>
            </w:pPr>
          </w:p>
        </w:tc>
        <w:tc>
          <w:tcPr>
            <w:tcW w:w="7160" w:type="dxa"/>
            <w:vAlign w:val="bottom"/>
            <w:tcBorders>
              <w:right w:val="single" w:sz="8" w:color="007CBA"/>
            </w:tcBorders>
            <w:shd w:val="clear" w:color="auto" w:fill="E5F1F8"/>
          </w:tcPr>
          <w:p>
            <w:pPr>
              <w:ind w:left="1440"/>
              <w:spacing w:after="0"/>
              <w:rPr>
                <w:sz w:val="20"/>
                <w:szCs w:val="20"/>
                <w:color w:val="auto"/>
              </w:rPr>
            </w:pPr>
            <w:r>
              <w:rPr>
                <w:rFonts w:ascii="Arial" w:cs="Arial" w:eastAsia="Arial" w:hAnsi="Arial"/>
                <w:sz w:val="15"/>
                <w:szCs w:val="15"/>
                <w:color w:val="auto"/>
              </w:rPr>
              <w:t>2</w:t>
            </w:r>
          </w:p>
        </w:tc>
        <w:tc>
          <w:tcPr>
            <w:tcW w:w="600" w:type="dxa"/>
            <w:vAlign w:val="bottom"/>
            <w:shd w:val="clear" w:color="auto" w:fill="E5F1F8"/>
          </w:tcPr>
          <w:p>
            <w:pPr>
              <w:spacing w:after="0"/>
              <w:rPr>
                <w:sz w:val="17"/>
                <w:szCs w:val="17"/>
                <w:color w:val="auto"/>
              </w:rPr>
            </w:pPr>
          </w:p>
        </w:tc>
        <w:tc>
          <w:tcPr>
            <w:tcW w:w="1480" w:type="dxa"/>
            <w:vAlign w:val="bottom"/>
            <w:tcBorders>
              <w:right w:val="single" w:sz="8" w:color="007CBA"/>
            </w:tcBorders>
            <w:shd w:val="clear" w:color="auto" w:fill="E5F1F8"/>
          </w:tcPr>
          <w:p>
            <w:pPr>
              <w:spacing w:after="0"/>
              <w:rPr>
                <w:sz w:val="17"/>
                <w:szCs w:val="17"/>
                <w:color w:val="auto"/>
              </w:rPr>
            </w:pPr>
          </w:p>
        </w:tc>
        <w:tc>
          <w:tcPr>
            <w:tcW w:w="1780" w:type="dxa"/>
            <w:vAlign w:val="bottom"/>
            <w:shd w:val="clear" w:color="auto" w:fill="E5F1F8"/>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7160" w:type="dxa"/>
            <w:vAlign w:val="bottom"/>
            <w:tcBorders>
              <w:right w:val="single" w:sz="8" w:color="007CBA"/>
            </w:tcBorders>
            <w:shd w:val="clear" w:color="auto" w:fill="E5F1F8"/>
          </w:tcPr>
          <w:p>
            <w:pPr>
              <w:spacing w:after="0"/>
              <w:rPr>
                <w:sz w:val="20"/>
                <w:szCs w:val="20"/>
                <w:color w:val="auto"/>
              </w:rPr>
            </w:pPr>
            <w:r>
              <w:rPr>
                <w:rFonts w:ascii="Arial" w:cs="Arial" w:eastAsia="Arial" w:hAnsi="Arial"/>
                <w:sz w:val="3"/>
                <w:szCs w:val="3"/>
                <w:color w:val="auto"/>
              </w:rPr>
              <w:t>Tax Fees</w:t>
            </w:r>
          </w:p>
        </w:tc>
        <w:tc>
          <w:tcPr>
            <w:tcW w:w="600" w:type="dxa"/>
            <w:vAlign w:val="bottom"/>
            <w:shd w:val="clear" w:color="auto" w:fill="E5F1F8"/>
          </w:tcPr>
          <w:p>
            <w:pPr>
              <w:spacing w:after="0"/>
              <w:rPr>
                <w:sz w:val="2"/>
                <w:szCs w:val="2"/>
                <w:color w:val="auto"/>
              </w:rPr>
            </w:pPr>
          </w:p>
        </w:tc>
        <w:tc>
          <w:tcPr>
            <w:tcW w:w="1480" w:type="dxa"/>
            <w:vAlign w:val="bottom"/>
            <w:tcBorders>
              <w:right w:val="single" w:sz="8" w:color="007CBA"/>
            </w:tcBorders>
            <w:shd w:val="clear" w:color="auto" w:fill="E5F1F8"/>
          </w:tcPr>
          <w:p>
            <w:pPr>
              <w:jc w:val="right"/>
              <w:ind w:right="397"/>
              <w:spacing w:after="0"/>
              <w:rPr>
                <w:sz w:val="20"/>
                <w:szCs w:val="20"/>
                <w:color w:val="auto"/>
              </w:rPr>
            </w:pPr>
            <w:r>
              <w:rPr>
                <w:rFonts w:ascii="Arial" w:cs="Arial" w:eastAsia="Arial" w:hAnsi="Arial"/>
                <w:sz w:val="3"/>
                <w:szCs w:val="3"/>
                <w:color w:val="auto"/>
              </w:rPr>
              <w:t>20,000</w:t>
            </w:r>
          </w:p>
        </w:tc>
        <w:tc>
          <w:tcPr>
            <w:tcW w:w="1780" w:type="dxa"/>
            <w:vAlign w:val="bottom"/>
            <w:shd w:val="clear" w:color="auto" w:fill="E5F1F8"/>
          </w:tcPr>
          <w:p>
            <w:pPr>
              <w:jc w:val="right"/>
              <w:ind w:right="355"/>
              <w:spacing w:after="0"/>
              <w:rPr>
                <w:sz w:val="20"/>
                <w:szCs w:val="20"/>
                <w:color w:val="auto"/>
              </w:rPr>
            </w:pPr>
            <w:r>
              <w:rPr>
                <w:rFonts w:ascii="Arial" w:cs="Arial" w:eastAsia="Arial" w:hAnsi="Arial"/>
                <w:sz w:val="3"/>
                <w:szCs w:val="3"/>
                <w:color w:val="auto"/>
              </w:rPr>
              <w:t>40,000</w:t>
            </w:r>
          </w:p>
        </w:tc>
      </w:tr>
      <w:tr>
        <w:trPr>
          <w:trHeight w:val="196"/>
        </w:trPr>
        <w:tc>
          <w:tcPr>
            <w:tcW w:w="7180" w:type="dxa"/>
            <w:vAlign w:val="bottom"/>
            <w:tcBorders>
              <w:right w:val="single" w:sz="8" w:color="007CBA"/>
            </w:tcBorders>
            <w:gridSpan w:val="2"/>
          </w:tcPr>
          <w:p>
            <w:pPr>
              <w:jc w:val="right"/>
              <w:ind w:right="6335"/>
              <w:spacing w:after="0"/>
              <w:rPr>
                <w:sz w:val="20"/>
                <w:szCs w:val="20"/>
                <w:color w:val="auto"/>
              </w:rPr>
            </w:pPr>
            <w:r>
              <w:rPr>
                <w:rFonts w:ascii="Arial" w:cs="Arial" w:eastAsia="Arial" w:hAnsi="Arial"/>
                <w:sz w:val="15"/>
                <w:szCs w:val="15"/>
                <w:color w:val="auto"/>
              </w:rPr>
              <w:t>3</w:t>
            </w:r>
          </w:p>
        </w:tc>
        <w:tc>
          <w:tcPr>
            <w:tcW w:w="600" w:type="dxa"/>
            <w:vAlign w:val="bottom"/>
          </w:tcPr>
          <w:p>
            <w:pPr>
              <w:spacing w:after="0"/>
              <w:rPr>
                <w:sz w:val="17"/>
                <w:szCs w:val="17"/>
                <w:color w:val="auto"/>
              </w:rPr>
            </w:pPr>
          </w:p>
        </w:tc>
        <w:tc>
          <w:tcPr>
            <w:tcW w:w="1480" w:type="dxa"/>
            <w:vAlign w:val="bottom"/>
            <w:tcBorders>
              <w:right w:val="single" w:sz="8" w:color="007CBA"/>
            </w:tcBorders>
          </w:tcPr>
          <w:p>
            <w:pPr>
              <w:spacing w:after="0"/>
              <w:rPr>
                <w:sz w:val="17"/>
                <w:szCs w:val="17"/>
                <w:color w:val="auto"/>
              </w:rPr>
            </w:pPr>
          </w:p>
        </w:tc>
        <w:tc>
          <w:tcPr>
            <w:tcW w:w="1780" w:type="dxa"/>
            <w:vAlign w:val="bottom"/>
          </w:tcPr>
          <w:p>
            <w:pPr>
              <w:spacing w:after="0"/>
              <w:rPr>
                <w:sz w:val="17"/>
                <w:szCs w:val="17"/>
                <w:color w:val="auto"/>
              </w:rPr>
            </w:pPr>
          </w:p>
        </w:tc>
      </w:tr>
      <w:tr>
        <w:trPr>
          <w:trHeight w:val="247"/>
        </w:trPr>
        <w:tc>
          <w:tcPr>
            <w:tcW w:w="20" w:type="dxa"/>
            <w:vAlign w:val="bottom"/>
          </w:tcPr>
          <w:p>
            <w:pPr>
              <w:spacing w:after="0"/>
              <w:rPr>
                <w:sz w:val="21"/>
                <w:szCs w:val="21"/>
                <w:color w:val="auto"/>
              </w:rPr>
            </w:pPr>
          </w:p>
        </w:tc>
        <w:tc>
          <w:tcPr>
            <w:tcW w:w="7160" w:type="dxa"/>
            <w:vAlign w:val="bottom"/>
            <w:tcBorders>
              <w:bottom w:val="single" w:sz="8" w:color="007CBA"/>
              <w:right w:val="single" w:sz="8" w:color="007CBA"/>
            </w:tcBorders>
            <w:shd w:val="clear" w:color="auto" w:fill="E5F1F8"/>
          </w:tcPr>
          <w:p>
            <w:pPr>
              <w:spacing w:after="0"/>
              <w:rPr>
                <w:sz w:val="20"/>
                <w:szCs w:val="20"/>
                <w:color w:val="auto"/>
              </w:rPr>
            </w:pPr>
            <w:r>
              <w:rPr>
                <w:rFonts w:ascii="Arial" w:cs="Arial" w:eastAsia="Arial" w:hAnsi="Arial"/>
                <w:sz w:val="17"/>
                <w:szCs w:val="17"/>
                <w:color w:val="auto"/>
              </w:rPr>
              <w:t>All Other Fees</w:t>
            </w:r>
            <w:r>
              <w:rPr>
                <w:rFonts w:ascii="Arial" w:cs="Arial" w:eastAsia="Arial" w:hAnsi="Arial"/>
                <w:sz w:val="14"/>
                <w:szCs w:val="14"/>
                <w:color w:val="auto"/>
              </w:rPr>
              <w:t>4</w:t>
            </w:r>
          </w:p>
        </w:tc>
        <w:tc>
          <w:tcPr>
            <w:tcW w:w="600" w:type="dxa"/>
            <w:vAlign w:val="bottom"/>
            <w:tcBorders>
              <w:bottom w:val="single" w:sz="8" w:color="007CBA"/>
            </w:tcBorders>
            <w:shd w:val="clear" w:color="auto" w:fill="E5F1F8"/>
          </w:tcPr>
          <w:p>
            <w:pPr>
              <w:spacing w:after="0"/>
              <w:rPr>
                <w:sz w:val="21"/>
                <w:szCs w:val="21"/>
                <w:color w:val="auto"/>
              </w:rPr>
            </w:pPr>
          </w:p>
        </w:tc>
        <w:tc>
          <w:tcPr>
            <w:tcW w:w="1480" w:type="dxa"/>
            <w:vAlign w:val="bottom"/>
            <w:tcBorders>
              <w:bottom w:val="single" w:sz="8" w:color="007CBA"/>
              <w:right w:val="single" w:sz="8" w:color="007CBA"/>
            </w:tcBorders>
            <w:shd w:val="clear" w:color="auto" w:fill="E5F1F8"/>
          </w:tcPr>
          <w:p>
            <w:pPr>
              <w:jc w:val="right"/>
              <w:ind w:right="397"/>
              <w:spacing w:after="0"/>
              <w:rPr>
                <w:sz w:val="20"/>
                <w:szCs w:val="20"/>
                <w:color w:val="auto"/>
              </w:rPr>
            </w:pPr>
            <w:r>
              <w:rPr>
                <w:rFonts w:ascii="Arial" w:cs="Arial" w:eastAsia="Arial" w:hAnsi="Arial"/>
                <w:sz w:val="17"/>
                <w:szCs w:val="17"/>
                <w:color w:val="auto"/>
              </w:rPr>
              <w:t>0</w:t>
            </w:r>
          </w:p>
        </w:tc>
        <w:tc>
          <w:tcPr>
            <w:tcW w:w="1780" w:type="dxa"/>
            <w:vAlign w:val="bottom"/>
            <w:tcBorders>
              <w:bottom w:val="single" w:sz="8" w:color="007CBA"/>
            </w:tcBorders>
            <w:shd w:val="clear" w:color="auto" w:fill="E5F1F8"/>
          </w:tcPr>
          <w:p>
            <w:pPr>
              <w:jc w:val="right"/>
              <w:ind w:right="355"/>
              <w:spacing w:after="0"/>
              <w:rPr>
                <w:sz w:val="20"/>
                <w:szCs w:val="20"/>
                <w:color w:val="auto"/>
              </w:rPr>
            </w:pPr>
            <w:r>
              <w:rPr>
                <w:rFonts w:ascii="Arial" w:cs="Arial" w:eastAsia="Arial" w:hAnsi="Arial"/>
                <w:sz w:val="17"/>
                <w:szCs w:val="17"/>
                <w:color w:val="auto"/>
              </w:rPr>
              <w:t>0</w:t>
            </w:r>
          </w:p>
        </w:tc>
      </w:tr>
      <w:tr>
        <w:trPr>
          <w:trHeight w:val="223"/>
        </w:trPr>
        <w:tc>
          <w:tcPr>
            <w:tcW w:w="20" w:type="dxa"/>
            <w:vAlign w:val="bottom"/>
          </w:tcPr>
          <w:p>
            <w:pPr>
              <w:spacing w:after="0"/>
              <w:rPr>
                <w:sz w:val="19"/>
                <w:szCs w:val="19"/>
                <w:color w:val="auto"/>
              </w:rPr>
            </w:pPr>
          </w:p>
        </w:tc>
        <w:tc>
          <w:tcPr>
            <w:tcW w:w="7160" w:type="dxa"/>
            <w:vAlign w:val="bottom"/>
            <w:tcBorders>
              <w:bottom w:val="single" w:sz="8" w:color="007CBA"/>
              <w:right w:val="single" w:sz="8" w:color="007CBA"/>
            </w:tcBorders>
          </w:tcPr>
          <w:p>
            <w:pPr>
              <w:spacing w:after="0"/>
              <w:rPr>
                <w:sz w:val="20"/>
                <w:szCs w:val="20"/>
                <w:color w:val="auto"/>
              </w:rPr>
            </w:pPr>
            <w:r>
              <w:rPr>
                <w:rFonts w:ascii="Arial" w:cs="Arial" w:eastAsia="Arial" w:hAnsi="Arial"/>
                <w:sz w:val="17"/>
                <w:szCs w:val="17"/>
                <w:color w:val="auto"/>
              </w:rPr>
              <w:t>TOTAL</w:t>
            </w:r>
          </w:p>
        </w:tc>
        <w:tc>
          <w:tcPr>
            <w:tcW w:w="600" w:type="dxa"/>
            <w:vAlign w:val="bottom"/>
            <w:tcBorders>
              <w:bottom w:val="single" w:sz="8" w:color="007CBA"/>
            </w:tcBorders>
          </w:tcPr>
          <w:p>
            <w:pPr>
              <w:jc w:val="right"/>
              <w:ind w:right="11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007CBA"/>
              <w:right w:val="single" w:sz="8" w:color="007CBA"/>
            </w:tcBorders>
          </w:tcPr>
          <w:p>
            <w:pPr>
              <w:jc w:val="right"/>
              <w:ind w:right="397"/>
              <w:spacing w:after="0"/>
              <w:rPr>
                <w:sz w:val="20"/>
                <w:szCs w:val="20"/>
                <w:color w:val="auto"/>
              </w:rPr>
            </w:pPr>
            <w:r>
              <w:rPr>
                <w:rFonts w:ascii="Arial" w:cs="Arial" w:eastAsia="Arial" w:hAnsi="Arial"/>
                <w:sz w:val="16"/>
                <w:szCs w:val="16"/>
                <w:color w:val="auto"/>
              </w:rPr>
              <w:t>2,995,000</w:t>
            </w:r>
          </w:p>
        </w:tc>
        <w:tc>
          <w:tcPr>
            <w:tcW w:w="1780" w:type="dxa"/>
            <w:vAlign w:val="bottom"/>
            <w:tcBorders>
              <w:bottom w:val="single" w:sz="8" w:color="007CBA"/>
            </w:tcBorders>
          </w:tcPr>
          <w:p>
            <w:pPr>
              <w:jc w:val="right"/>
              <w:ind w:right="355"/>
              <w:spacing w:after="0"/>
              <w:rPr>
                <w:sz w:val="20"/>
                <w:szCs w:val="20"/>
                <w:color w:val="auto"/>
              </w:rPr>
            </w:pPr>
            <w:r>
              <w:rPr>
                <w:rFonts w:ascii="Arial" w:cs="Arial" w:eastAsia="Arial" w:hAnsi="Arial"/>
                <w:sz w:val="17"/>
                <w:szCs w:val="17"/>
                <w:color w:val="auto"/>
              </w:rPr>
              <w:t>$2,616,000</w:t>
            </w:r>
          </w:p>
        </w:tc>
      </w:tr>
      <w:tr>
        <w:trPr>
          <w:trHeight w:val="210"/>
        </w:trPr>
        <w:tc>
          <w:tcPr>
            <w:tcW w:w="20" w:type="dxa"/>
            <w:vAlign w:val="bottom"/>
          </w:tcPr>
          <w:p>
            <w:pPr>
              <w:spacing w:after="0"/>
              <w:rPr>
                <w:sz w:val="18"/>
                <w:szCs w:val="18"/>
                <w:color w:val="auto"/>
              </w:rPr>
            </w:pPr>
          </w:p>
        </w:tc>
        <w:tc>
          <w:tcPr>
            <w:tcW w:w="7160" w:type="dxa"/>
            <w:vAlign w:val="bottom"/>
            <w:tcBorders>
              <w:bottom w:val="single" w:sz="8" w:color="007CBA"/>
              <w:right w:val="single" w:sz="8" w:color="007CBA"/>
            </w:tcBorders>
            <w:shd w:val="clear" w:color="auto" w:fill="E5F1F8"/>
          </w:tcPr>
          <w:p>
            <w:pPr>
              <w:spacing w:after="0"/>
              <w:rPr>
                <w:sz w:val="20"/>
                <w:szCs w:val="20"/>
                <w:color w:val="auto"/>
              </w:rPr>
            </w:pPr>
            <w:r>
              <w:rPr>
                <w:rFonts w:ascii="Arial" w:cs="Arial" w:eastAsia="Arial" w:hAnsi="Arial"/>
                <w:sz w:val="17"/>
                <w:szCs w:val="17"/>
                <w:color w:val="auto"/>
              </w:rPr>
              <w:t>Percentage of Audit &amp; Audit-Related Fees to Total Fees</w:t>
            </w:r>
          </w:p>
        </w:tc>
        <w:tc>
          <w:tcPr>
            <w:tcW w:w="600" w:type="dxa"/>
            <w:vAlign w:val="bottom"/>
            <w:tcBorders>
              <w:bottom w:val="single" w:sz="8" w:color="007CBA"/>
            </w:tcBorders>
            <w:shd w:val="clear" w:color="auto" w:fill="E5F1F8"/>
          </w:tcPr>
          <w:p>
            <w:pPr>
              <w:spacing w:after="0"/>
              <w:rPr>
                <w:sz w:val="18"/>
                <w:szCs w:val="18"/>
                <w:color w:val="auto"/>
              </w:rPr>
            </w:pPr>
          </w:p>
        </w:tc>
        <w:tc>
          <w:tcPr>
            <w:tcW w:w="1480" w:type="dxa"/>
            <w:vAlign w:val="bottom"/>
            <w:tcBorders>
              <w:bottom w:val="single" w:sz="8" w:color="007CBA"/>
              <w:right w:val="single" w:sz="8" w:color="007CBA"/>
            </w:tcBorders>
            <w:shd w:val="clear" w:color="auto" w:fill="E5F1F8"/>
          </w:tcPr>
          <w:p>
            <w:pPr>
              <w:jc w:val="right"/>
              <w:ind w:right="257"/>
              <w:spacing w:after="0"/>
              <w:rPr>
                <w:sz w:val="20"/>
                <w:szCs w:val="20"/>
                <w:color w:val="auto"/>
              </w:rPr>
            </w:pPr>
            <w:r>
              <w:rPr>
                <w:rFonts w:ascii="Arial" w:cs="Arial" w:eastAsia="Arial" w:hAnsi="Arial"/>
                <w:sz w:val="16"/>
                <w:szCs w:val="16"/>
                <w:color w:val="auto"/>
              </w:rPr>
              <w:t>99.3%</w:t>
            </w:r>
          </w:p>
        </w:tc>
        <w:tc>
          <w:tcPr>
            <w:tcW w:w="1780" w:type="dxa"/>
            <w:vAlign w:val="bottom"/>
            <w:tcBorders>
              <w:bottom w:val="single" w:sz="8" w:color="007CBA"/>
            </w:tcBorders>
            <w:shd w:val="clear" w:color="auto" w:fill="E5F1F8"/>
          </w:tcPr>
          <w:p>
            <w:pPr>
              <w:jc w:val="right"/>
              <w:ind w:right="275"/>
              <w:spacing w:after="0"/>
              <w:rPr>
                <w:sz w:val="20"/>
                <w:szCs w:val="20"/>
                <w:color w:val="auto"/>
              </w:rPr>
            </w:pPr>
            <w:r>
              <w:rPr>
                <w:rFonts w:ascii="Arial" w:cs="Arial" w:eastAsia="Arial" w:hAnsi="Arial"/>
                <w:sz w:val="17"/>
                <w:szCs w:val="17"/>
                <w:color w:val="auto"/>
              </w:rPr>
              <w:t>98.5%</w:t>
            </w:r>
          </w:p>
        </w:tc>
      </w:tr>
    </w:tbl>
    <w:p>
      <w:pPr>
        <w:spacing w:after="0" w:line="68" w:lineRule="exact"/>
        <w:rPr>
          <w:sz w:val="20"/>
          <w:szCs w:val="20"/>
          <w:color w:val="auto"/>
        </w:rPr>
      </w:pPr>
    </w:p>
    <w:p>
      <w:pPr>
        <w:ind w:left="320" w:right="20" w:hanging="116"/>
        <w:spacing w:after="0" w:line="195" w:lineRule="auto"/>
        <w:tabs>
          <w:tab w:leader="none" w:pos="320" w:val="left"/>
        </w:tabs>
        <w:numPr>
          <w:ilvl w:val="0"/>
          <w:numId w:val="57"/>
        </w:numPr>
        <w:rPr>
          <w:rFonts w:ascii="Arial" w:cs="Arial" w:eastAsia="Arial" w:hAnsi="Arial"/>
          <w:sz w:val="24"/>
          <w:szCs w:val="24"/>
          <w:color w:val="auto"/>
          <w:vertAlign w:val="superscript"/>
        </w:rPr>
      </w:pPr>
      <w:r>
        <w:rPr>
          <w:rFonts w:ascii="Arial" w:cs="Arial" w:eastAsia="Arial" w:hAnsi="Arial"/>
          <w:sz w:val="14"/>
          <w:szCs w:val="14"/>
          <w:color w:val="auto"/>
        </w:rPr>
        <w:t>Services in connection with the annual consolidated financial statement audit, the annual internal controls audit, and reviews of the consolidated financial statements included in the quarterly reports.</w:t>
      </w:r>
    </w:p>
    <w:p>
      <w:pPr>
        <w:ind w:left="320" w:hanging="116"/>
        <w:spacing w:after="0" w:line="200" w:lineRule="auto"/>
        <w:tabs>
          <w:tab w:leader="none" w:pos="320" w:val="left"/>
        </w:tabs>
        <w:numPr>
          <w:ilvl w:val="0"/>
          <w:numId w:val="58"/>
        </w:numPr>
        <w:rPr>
          <w:rFonts w:ascii="Arial" w:cs="Arial" w:eastAsia="Arial" w:hAnsi="Arial"/>
          <w:sz w:val="24"/>
          <w:szCs w:val="24"/>
          <w:color w:val="auto"/>
          <w:vertAlign w:val="superscript"/>
        </w:rPr>
      </w:pPr>
      <w:r>
        <w:rPr>
          <w:rFonts w:ascii="Arial" w:cs="Arial" w:eastAsia="Arial" w:hAnsi="Arial"/>
          <w:sz w:val="14"/>
          <w:szCs w:val="14"/>
          <w:color w:val="auto"/>
        </w:rPr>
        <w:t>Services in connection with audit-related services, including agreed-upon procedures reports, subsidiary audits and continuing education.</w:t>
      </w:r>
    </w:p>
    <w:p>
      <w:pPr>
        <w:spacing w:after="0" w:line="54" w:lineRule="exact"/>
        <w:rPr>
          <w:rFonts w:ascii="Arial" w:cs="Arial" w:eastAsia="Arial" w:hAnsi="Arial"/>
          <w:sz w:val="24"/>
          <w:szCs w:val="24"/>
          <w:color w:val="auto"/>
          <w:vertAlign w:val="superscript"/>
        </w:rPr>
      </w:pPr>
    </w:p>
    <w:p>
      <w:pPr>
        <w:ind w:left="200"/>
        <w:spacing w:after="0" w:line="199" w:lineRule="auto"/>
        <w:rPr>
          <w:rFonts w:ascii="Arial" w:cs="Arial" w:eastAsia="Arial" w:hAnsi="Arial"/>
          <w:sz w:val="24"/>
          <w:szCs w:val="24"/>
          <w:color w:val="auto"/>
          <w:vertAlign w:val="superscript"/>
        </w:rPr>
      </w:pPr>
      <w:r>
        <w:rPr>
          <w:rFonts w:ascii="Arial" w:cs="Arial" w:eastAsia="Arial" w:hAnsi="Arial"/>
          <w:sz w:val="24"/>
          <w:szCs w:val="24"/>
          <w:color w:val="auto"/>
          <w:vertAlign w:val="superscript"/>
        </w:rPr>
        <w:t>3</w:t>
      </w:r>
      <w:r>
        <w:rPr>
          <w:rFonts w:ascii="Arial" w:cs="Arial" w:eastAsia="Arial" w:hAnsi="Arial"/>
          <w:sz w:val="14"/>
          <w:szCs w:val="14"/>
          <w:color w:val="auto"/>
        </w:rPr>
        <w:t xml:space="preserve"> Services in connection with tax advice related to transfer pricing issues.</w:t>
      </w:r>
    </w:p>
    <w:p>
      <w:pPr>
        <w:ind w:left="200"/>
        <w:spacing w:after="0"/>
        <w:rPr>
          <w:rFonts w:ascii="Arial" w:cs="Arial" w:eastAsia="Arial" w:hAnsi="Arial"/>
          <w:sz w:val="24"/>
          <w:szCs w:val="24"/>
          <w:color w:val="auto"/>
          <w:vertAlign w:val="superscript"/>
        </w:rPr>
      </w:pPr>
      <w:r>
        <w:rPr>
          <w:rFonts w:ascii="Arial" w:cs="Arial" w:eastAsia="Arial" w:hAnsi="Arial"/>
          <w:sz w:val="24"/>
          <w:szCs w:val="24"/>
          <w:color w:val="auto"/>
          <w:vertAlign w:val="superscript"/>
        </w:rPr>
        <w:t>4</w:t>
      </w:r>
      <w:r>
        <w:rPr>
          <w:rFonts w:ascii="Arial" w:cs="Arial" w:eastAsia="Arial" w:hAnsi="Arial"/>
          <w:sz w:val="14"/>
          <w:szCs w:val="14"/>
          <w:color w:val="auto"/>
        </w:rPr>
        <w:t xml:space="preserve"> There were no other fees billed for other professional services rendered or products provided by PwC to Martin Marietta for 2017 or 2016.</w:t>
      </w:r>
    </w:p>
    <w:p>
      <w:pPr>
        <w:sectPr>
          <w:pgSz w:w="11900" w:h="16838" w:orient="portrait"/>
          <w:cols w:equalWidth="0" w:num="1">
            <w:col w:w="11240"/>
          </w:cols>
          <w:pgMar w:left="240" w:top="455" w:right="419" w:bottom="1440" w:gutter="0" w:footer="0" w:header="0"/>
        </w:sectPr>
      </w:pPr>
    </w:p>
    <w:p>
      <w:pPr>
        <w:spacing w:after="0" w:line="117"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007CBA"/>
        </w:rPr>
        <w:t>Pre-Approval Policies and Procedures</w:t>
      </w:r>
    </w:p>
    <w:p>
      <w:pPr>
        <w:spacing w:after="0" w:line="134" w:lineRule="exact"/>
        <w:rPr>
          <w:sz w:val="20"/>
          <w:szCs w:val="20"/>
          <w:color w:val="auto"/>
        </w:rPr>
      </w:pPr>
    </w:p>
    <w:p>
      <w:pPr>
        <w:jc w:val="both"/>
        <w:ind w:left="220"/>
        <w:spacing w:after="0" w:line="251" w:lineRule="auto"/>
        <w:rPr>
          <w:sz w:val="20"/>
          <w:szCs w:val="20"/>
          <w:color w:val="auto"/>
        </w:rPr>
      </w:pPr>
      <w:r>
        <w:rPr>
          <w:rFonts w:ascii="Arial" w:cs="Arial" w:eastAsia="Arial" w:hAnsi="Arial"/>
          <w:sz w:val="16"/>
          <w:szCs w:val="16"/>
          <w:color w:val="auto"/>
        </w:rPr>
        <w:t>The Audit Committee has adopted a policy that requires advance approval of all audit, audit-related, tax services, and other services performed by its independent auditor. The policy provides for pre-approval by the Audit Committee of specifically defined audit and non-audit services. Unless the specific service has been previously pre-approved with respect to that year, the Audit Committee must approve the permitted service before the independent auditor is engaged to perform it. The Audit Committee has delegated to the Chair of the Audit Committee authority to approve permitted services, provided that the Chair reports any decision to the Committee at its next scheduled meeting.</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Audit Committee Review</w:t>
      </w:r>
    </w:p>
    <w:p>
      <w:pPr>
        <w:spacing w:after="0" w:line="134"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In connection with the Audit Committee’s review of services rendered and fees billed by the independent auditor, the Audit Committee has considered whether the provision of the non-audit related services described above is compatible with maintaining the independent auditors’ independence and has concluded that the provision of these services did not compromise such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775970</wp:posOffset>
            </wp:positionV>
            <wp:extent cx="411480" cy="2489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951" w:lineRule="exact"/>
        <w:rPr>
          <w:sz w:val="20"/>
          <w:szCs w:val="20"/>
          <w:color w:val="auto"/>
        </w:rPr>
      </w:pPr>
    </w:p>
    <w:p>
      <w:pPr>
        <w:sectPr>
          <w:pgSz w:w="11900" w:h="16838" w:orient="portrait"/>
          <w:cols w:equalWidth="0" w:num="2">
            <w:col w:w="5500" w:space="320"/>
            <w:col w:w="5420"/>
          </w:cols>
          <w:pgMar w:left="240" w:top="455" w:right="419" w:bottom="1440" w:gutter="0" w:footer="0" w:header="0"/>
          <w:type w:val="continuous"/>
        </w:sectPr>
      </w:pPr>
    </w:p>
    <w:p>
      <w:pPr>
        <w:spacing w:after="0" w:line="289" w:lineRule="exact"/>
        <w:rPr>
          <w:sz w:val="20"/>
          <w:szCs w:val="20"/>
          <w:color w:val="auto"/>
        </w:rPr>
      </w:pPr>
    </w:p>
    <w:p>
      <w:pPr>
        <w:ind w:left="640" w:hanging="436"/>
        <w:spacing w:after="0"/>
        <w:tabs>
          <w:tab w:leader="none" w:pos="640" w:val="left"/>
        </w:tabs>
        <w:numPr>
          <w:ilvl w:val="0"/>
          <w:numId w:val="59"/>
        </w:numPr>
        <w:rPr>
          <w:rFonts w:ascii="Arial" w:cs="Arial" w:eastAsia="Arial" w:hAnsi="Arial"/>
          <w:sz w:val="12"/>
          <w:szCs w:val="12"/>
          <w:b w:val="1"/>
          <w:bCs w:val="1"/>
          <w:color w:val="auto"/>
        </w:rPr>
      </w:pPr>
      <w:r>
        <w:rPr>
          <w:rFonts w:ascii="Arial" w:cs="Arial" w:eastAsia="Arial" w:hAnsi="Arial"/>
          <w:sz w:val="12"/>
          <w:szCs w:val="12"/>
          <w:color w:val="007CBA"/>
        </w:rPr>
        <w:t>2018 PROXY STATEMENT</w:t>
      </w:r>
    </w:p>
    <w:p>
      <w:pPr>
        <w:sectPr>
          <w:pgSz w:w="11900" w:h="16838" w:orient="portrait"/>
          <w:cols w:equalWidth="0" w:num="1">
            <w:col w:w="11240"/>
          </w:cols>
          <w:pgMar w:left="240" w:top="455" w:right="419" w:bottom="1440" w:gutter="0" w:footer="0" w:header="0"/>
          <w:type w:val="continuous"/>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72" w:lineRule="exact"/>
        <w:rPr>
          <w:sz w:val="20"/>
          <w:szCs w:val="20"/>
          <w:color w:val="auto"/>
        </w:rPr>
      </w:pPr>
    </w:p>
    <w:p>
      <w:pPr>
        <w:jc w:val="center"/>
        <w:ind w:right="-199"/>
        <w:spacing w:after="0"/>
        <w:rPr>
          <w:sz w:val="20"/>
          <w:szCs w:val="20"/>
          <w:color w:val="auto"/>
        </w:rPr>
      </w:pPr>
      <w:r>
        <w:rPr>
          <w:rFonts w:ascii="Arial" w:cs="Arial" w:eastAsia="Arial" w:hAnsi="Arial"/>
          <w:sz w:val="43"/>
          <w:szCs w:val="43"/>
          <w:color w:val="auto"/>
        </w:rPr>
        <w:t>Audit Committee Report</w:t>
      </w:r>
    </w:p>
    <w:p>
      <w:pPr>
        <w:spacing w:after="0" w:line="367" w:lineRule="exact"/>
        <w:rPr>
          <w:sz w:val="20"/>
          <w:szCs w:val="20"/>
          <w:color w:val="auto"/>
        </w:rPr>
      </w:pPr>
    </w:p>
    <w:p>
      <w:pPr>
        <w:jc w:val="both"/>
        <w:ind w:left="200"/>
        <w:spacing w:after="0" w:line="254" w:lineRule="auto"/>
        <w:rPr>
          <w:sz w:val="20"/>
          <w:szCs w:val="20"/>
          <w:color w:val="auto"/>
        </w:rPr>
      </w:pPr>
      <w:r>
        <w:rPr>
          <w:rFonts w:ascii="Arial" w:cs="Arial" w:eastAsia="Arial" w:hAnsi="Arial"/>
          <w:sz w:val="16"/>
          <w:szCs w:val="16"/>
          <w:color w:val="auto"/>
        </w:rPr>
        <w:t xml:space="preserve">The Audit Committee operates under a written charter adopted by the Board of Directors, which is reassessed at least annually for adequacy by the Audit Committee. The Directors who serve on the Audit Committee have no financial or personal ties to Martin Marietta (other than Director compensation and equity ownership as described in this proxy statement) and are all “independent” for purposes of the Securities and Exchange Commission’s regulations, the New York Stock Exchange listing standards, and the </w:t>
      </w:r>
      <w:r>
        <w:rPr>
          <w:rFonts w:ascii="Arial" w:cs="Arial" w:eastAsia="Arial" w:hAnsi="Arial"/>
          <w:sz w:val="16"/>
          <w:szCs w:val="16"/>
          <w:i w:val="1"/>
          <w:iCs w:val="1"/>
          <w:color w:val="auto"/>
        </w:rPr>
        <w:t>Guidelines for Director’s Independence</w:t>
      </w:r>
      <w:r>
        <w:rPr>
          <w:rFonts w:ascii="Arial" w:cs="Arial" w:eastAsia="Arial" w:hAnsi="Arial"/>
          <w:sz w:val="16"/>
          <w:szCs w:val="16"/>
          <w:color w:val="auto"/>
        </w:rPr>
        <w:t xml:space="preserve"> adopted by the Board of Directors. The Board of Directors has determined that none of the Audit Committee members has a relationship with Martin Marietta that may interfere with the Director’s independence from Martin Marietta and its management. Copies of the Audit Committee’s charter and Martin Marietta’s </w:t>
      </w:r>
      <w:r>
        <w:rPr>
          <w:rFonts w:ascii="Arial" w:cs="Arial" w:eastAsia="Arial" w:hAnsi="Arial"/>
          <w:sz w:val="16"/>
          <w:szCs w:val="16"/>
          <w:i w:val="1"/>
          <w:iCs w:val="1"/>
          <w:color w:val="auto"/>
        </w:rPr>
        <w:t>Guidelines for Director’s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Independence </w:t>
      </w:r>
      <w:r>
        <w:rPr>
          <w:rFonts w:ascii="Arial" w:cs="Arial" w:eastAsia="Arial" w:hAnsi="Arial"/>
          <w:sz w:val="16"/>
          <w:szCs w:val="16"/>
          <w:color w:val="auto"/>
        </w:rPr>
        <w:t>can be viewed on Martin Marietta’s website at</w:t>
      </w:r>
      <w:r>
        <w:rPr>
          <w:rFonts w:ascii="Arial" w:cs="Arial" w:eastAsia="Arial" w:hAnsi="Arial"/>
          <w:sz w:val="16"/>
          <w:szCs w:val="16"/>
          <w:i w:val="1"/>
          <w:iCs w:val="1"/>
          <w:color w:val="auto"/>
        </w:rPr>
        <w:t xml:space="preserve"> www.martinmarietta.com.</w:t>
      </w:r>
    </w:p>
    <w:p>
      <w:pPr>
        <w:spacing w:after="0" w:line="150" w:lineRule="exact"/>
        <w:rPr>
          <w:sz w:val="20"/>
          <w:szCs w:val="20"/>
          <w:color w:val="auto"/>
        </w:rPr>
      </w:pPr>
    </w:p>
    <w:p>
      <w:pPr>
        <w:jc w:val="both"/>
        <w:ind w:left="200"/>
        <w:spacing w:after="0" w:line="269" w:lineRule="auto"/>
        <w:rPr>
          <w:sz w:val="20"/>
          <w:szCs w:val="20"/>
          <w:color w:val="auto"/>
        </w:rPr>
      </w:pPr>
      <w:r>
        <w:rPr>
          <w:rFonts w:ascii="Arial" w:cs="Arial" w:eastAsia="Arial" w:hAnsi="Arial"/>
          <w:sz w:val="16"/>
          <w:szCs w:val="16"/>
          <w:color w:val="auto"/>
        </w:rPr>
        <w:t>The Board of Directors has charged the Audit Committee with a number of responsibilities, including review of the adequacy of Martin Marietta’s financial reporting, accounting systems, and internal controls. Martin Marietta’s independent auditors and the vice president of the internal audit function report directly and are ultimately accountable to the Audit Committee.</w:t>
      </w:r>
    </w:p>
    <w:p>
      <w:pPr>
        <w:spacing w:after="0" w:line="124" w:lineRule="exact"/>
        <w:rPr>
          <w:sz w:val="20"/>
          <w:szCs w:val="20"/>
          <w:color w:val="auto"/>
        </w:rPr>
      </w:pPr>
    </w:p>
    <w:p>
      <w:pPr>
        <w:jc w:val="both"/>
        <w:ind w:left="200"/>
        <w:spacing w:after="0" w:line="261" w:lineRule="auto"/>
        <w:rPr>
          <w:sz w:val="20"/>
          <w:szCs w:val="20"/>
          <w:color w:val="auto"/>
        </w:rPr>
      </w:pPr>
      <w:r>
        <w:rPr>
          <w:rFonts w:ascii="Arial" w:cs="Arial" w:eastAsia="Arial" w:hAnsi="Arial"/>
          <w:sz w:val="16"/>
          <w:szCs w:val="16"/>
          <w:color w:val="auto"/>
        </w:rPr>
        <w:t>In the discharge of its responsibilities, the Audit Committee has reviewed and discussed with management and the independent auditors Martin Marietta’s audited consolidated financial statements for fiscal year 2017. In addition, the Committee has discussed with the independent auditors matters such as the quality (in addition to acceptability), clarity, consistency, and completeness of Martin Marietta’s financial reporting, as required by Auditing Standard No. 1301, Communications with Audit Committees, as adopted by the Public Company Accounting Oversight Board.</w:t>
      </w:r>
    </w:p>
    <w:p>
      <w:pPr>
        <w:spacing w:after="0" w:line="132" w:lineRule="exact"/>
        <w:rPr>
          <w:sz w:val="20"/>
          <w:szCs w:val="20"/>
          <w:color w:val="auto"/>
        </w:rPr>
      </w:pPr>
    </w:p>
    <w:p>
      <w:pPr>
        <w:jc w:val="both"/>
        <w:ind w:left="200"/>
        <w:spacing w:after="0" w:line="261" w:lineRule="auto"/>
        <w:rPr>
          <w:sz w:val="20"/>
          <w:szCs w:val="20"/>
          <w:color w:val="auto"/>
        </w:rPr>
      </w:pPr>
      <w:r>
        <w:rPr>
          <w:rFonts w:ascii="Arial" w:cs="Arial" w:eastAsia="Arial" w:hAnsi="Arial"/>
          <w:sz w:val="16"/>
          <w:szCs w:val="16"/>
          <w:color w:val="auto"/>
        </w:rPr>
        <w:t xml:space="preserve">The Audit Committee has received from the independent auditors written disclosures and a letter concerning the independent auditors’ independence from Martin Marietta, as required by the Public Company Accounting Oversight Board in Rule 3526, </w:t>
      </w:r>
      <w:r>
        <w:rPr>
          <w:rFonts w:ascii="Arial" w:cs="Arial" w:eastAsia="Arial" w:hAnsi="Arial"/>
          <w:sz w:val="16"/>
          <w:szCs w:val="16"/>
          <w:i w:val="1"/>
          <w:iCs w:val="1"/>
          <w:color w:val="auto"/>
        </w:rPr>
        <w:t>Communication with Audit Committees Concerning</w:t>
      </w:r>
      <w:r>
        <w:rPr>
          <w:rFonts w:ascii="Arial" w:cs="Arial" w:eastAsia="Arial" w:hAnsi="Arial"/>
          <w:sz w:val="16"/>
          <w:szCs w:val="16"/>
          <w:color w:val="auto"/>
        </w:rPr>
        <w:t xml:space="preserve"> </w:t>
      </w:r>
      <w:r>
        <w:rPr>
          <w:rFonts w:ascii="Arial" w:cs="Arial" w:eastAsia="Arial" w:hAnsi="Arial"/>
          <w:sz w:val="16"/>
          <w:szCs w:val="16"/>
          <w:i w:val="1"/>
          <w:iCs w:val="1"/>
          <w:color w:val="auto"/>
        </w:rPr>
        <w:t>Independence</w:t>
      </w:r>
      <w:r>
        <w:rPr>
          <w:rFonts w:ascii="Arial" w:cs="Arial" w:eastAsia="Arial" w:hAnsi="Arial"/>
          <w:sz w:val="16"/>
          <w:szCs w:val="16"/>
          <w:color w:val="auto"/>
        </w:rPr>
        <w:t>, and has discussed with the independent auditors the independent auditors’ independence. These disclosures have been reviewed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and discussed with the independent auditors.</w:t>
      </w:r>
    </w:p>
    <w:p>
      <w:pPr>
        <w:spacing w:after="0" w:line="145" w:lineRule="exact"/>
        <w:rPr>
          <w:sz w:val="20"/>
          <w:szCs w:val="20"/>
          <w:color w:val="auto"/>
        </w:rPr>
      </w:pPr>
    </w:p>
    <w:p>
      <w:pPr>
        <w:jc w:val="both"/>
        <w:ind w:left="200"/>
        <w:spacing w:after="0" w:line="291" w:lineRule="auto"/>
        <w:rPr>
          <w:sz w:val="20"/>
          <w:szCs w:val="20"/>
          <w:color w:val="auto"/>
        </w:rPr>
      </w:pPr>
      <w:r>
        <w:rPr>
          <w:rFonts w:ascii="Arial" w:cs="Arial" w:eastAsia="Arial" w:hAnsi="Arial"/>
          <w:sz w:val="16"/>
          <w:szCs w:val="16"/>
          <w:color w:val="auto"/>
        </w:rPr>
        <w:t>Based on these reviews and discussions, the Audit Committee has recommended to the Board of Directors that the audited financial statements be included in Martin Marietta’s 2017 Annual Report on Form 10-K for filing with the Securities and Exchange Commission.</w:t>
      </w:r>
    </w:p>
    <w:p>
      <w:pPr>
        <w:spacing w:after="0" w:line="10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February 21, 2018</w:t>
      </w:r>
    </w:p>
    <w:p>
      <w:pPr>
        <w:spacing w:after="0" w:line="169" w:lineRule="exact"/>
        <w:rPr>
          <w:sz w:val="20"/>
          <w:szCs w:val="20"/>
          <w:color w:val="auto"/>
        </w:rPr>
      </w:pPr>
    </w:p>
    <w:p>
      <w:pPr>
        <w:ind w:left="6060"/>
        <w:spacing w:after="0"/>
        <w:rPr>
          <w:sz w:val="20"/>
          <w:szCs w:val="20"/>
          <w:color w:val="auto"/>
        </w:rPr>
      </w:pPr>
      <w:r>
        <w:rPr>
          <w:rFonts w:ascii="Arial" w:cs="Arial" w:eastAsia="Arial" w:hAnsi="Arial"/>
          <w:sz w:val="17"/>
          <w:szCs w:val="17"/>
          <w:b w:val="1"/>
          <w:bCs w:val="1"/>
          <w:color w:val="auto"/>
        </w:rPr>
        <w:t>AUDIT COMMITTEE</w:t>
      </w:r>
    </w:p>
    <w:p>
      <w:pPr>
        <w:spacing w:after="0" w:line="77"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 xml:space="preserve">David G. Maffucci, </w:t>
      </w:r>
      <w:r>
        <w:rPr>
          <w:rFonts w:ascii="Arial" w:cs="Arial" w:eastAsia="Arial" w:hAnsi="Arial"/>
          <w:sz w:val="17"/>
          <w:szCs w:val="17"/>
          <w:i w:val="1"/>
          <w:iCs w:val="1"/>
          <w:color w:val="auto"/>
        </w:rPr>
        <w:t>Chair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John J. Koraleski</w:t>
      </w:r>
    </w:p>
    <w:p>
      <w:pPr>
        <w:ind w:left="6060"/>
        <w:spacing w:after="0" w:line="232" w:lineRule="auto"/>
        <w:rPr>
          <w:sz w:val="20"/>
          <w:szCs w:val="20"/>
          <w:color w:val="auto"/>
        </w:rPr>
      </w:pPr>
      <w:r>
        <w:rPr>
          <w:rFonts w:ascii="Arial" w:cs="Arial" w:eastAsia="Arial" w:hAnsi="Arial"/>
          <w:sz w:val="17"/>
          <w:szCs w:val="17"/>
          <w:color w:val="auto"/>
        </w:rPr>
        <w:t>Laree E. Perez</w:t>
      </w:r>
    </w:p>
    <w:p>
      <w:pPr>
        <w:ind w:left="6060"/>
        <w:spacing w:after="0"/>
        <w:rPr>
          <w:sz w:val="20"/>
          <w:szCs w:val="20"/>
          <w:color w:val="auto"/>
        </w:rPr>
      </w:pPr>
      <w:r>
        <w:rPr>
          <w:rFonts w:ascii="Arial" w:cs="Arial" w:eastAsia="Arial" w:hAnsi="Arial"/>
          <w:sz w:val="17"/>
          <w:szCs w:val="17"/>
          <w:color w:val="auto"/>
        </w:rPr>
        <w:t>Dennis L. Rediker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93980</wp:posOffset>
            </wp:positionV>
            <wp:extent cx="411480" cy="2489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145" w:lineRule="exact"/>
        <w:rPr>
          <w:sz w:val="20"/>
          <w:szCs w:val="20"/>
          <w:color w:val="auto"/>
        </w:rPr>
      </w:pPr>
    </w:p>
    <w:tbl>
      <w:tblPr>
        <w:tblLayout w:type="fixed"/>
        <w:tblInd w:w="9260" w:type="dxa"/>
        <w:tblCellMar>
          <w:top w:w="0" w:type="dxa"/>
          <w:left w:w="0" w:type="dxa"/>
          <w:bottom w:w="0" w:type="dxa"/>
          <w:right w:w="0" w:type="dxa"/>
        </w:tblCellMar>
      </w:tblPr>
      <w:tr>
        <w:trPr>
          <w:trHeight w:val="178"/>
        </w:trPr>
        <w:tc>
          <w:tcPr>
            <w:tcW w:w="1680" w:type="dxa"/>
            <w:vAlign w:val="bottom"/>
          </w:tcPr>
          <w:p>
            <w:pPr>
              <w:spacing w:after="0"/>
              <w:rPr>
                <w:sz w:val="20"/>
                <w:szCs w:val="20"/>
                <w:color w:val="auto"/>
              </w:rPr>
            </w:pPr>
            <w:r>
              <w:rPr>
                <w:rFonts w:ascii="Arial" w:cs="Arial" w:eastAsia="Arial" w:hAnsi="Arial"/>
                <w:sz w:val="13"/>
                <w:szCs w:val="13"/>
                <w:color w:val="007CBA"/>
              </w:rPr>
              <w:t>2018 PROXY STATEMENT</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rPr>
              <w:t>29</w:t>
            </w:r>
          </w:p>
        </w:tc>
      </w:tr>
    </w:tbl>
    <w:p>
      <w:pPr>
        <w:sectPr>
          <w:pgSz w:w="11900" w:h="16838" w:orient="portrait"/>
          <w:cols w:equalWidth="0" w:num="1">
            <w:col w:w="11220"/>
          </w:cols>
          <w:pgMar w:left="240" w:top="455" w:right="4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72" w:lineRule="exact"/>
        <w:rPr>
          <w:sz w:val="20"/>
          <w:szCs w:val="20"/>
          <w:color w:val="auto"/>
        </w:rPr>
      </w:pPr>
    </w:p>
    <w:p>
      <w:pPr>
        <w:jc w:val="center"/>
        <w:ind w:right="-199"/>
        <w:spacing w:after="0"/>
        <w:rPr>
          <w:sz w:val="20"/>
          <w:szCs w:val="20"/>
          <w:color w:val="auto"/>
        </w:rPr>
      </w:pPr>
      <w:r>
        <w:rPr>
          <w:rFonts w:ascii="Arial" w:cs="Arial" w:eastAsia="Arial" w:hAnsi="Arial"/>
          <w:sz w:val="43"/>
          <w:szCs w:val="43"/>
          <w:color w:val="auto"/>
        </w:rPr>
        <w:t>Management Development and</w:t>
      </w:r>
    </w:p>
    <w:p>
      <w:pPr>
        <w:spacing w:after="0" w:line="61" w:lineRule="exact"/>
        <w:rPr>
          <w:sz w:val="20"/>
          <w:szCs w:val="20"/>
          <w:color w:val="auto"/>
        </w:rPr>
      </w:pPr>
    </w:p>
    <w:p>
      <w:pPr>
        <w:jc w:val="center"/>
        <w:ind w:right="-199"/>
        <w:spacing w:after="0"/>
        <w:rPr>
          <w:sz w:val="20"/>
          <w:szCs w:val="20"/>
          <w:color w:val="auto"/>
        </w:rPr>
      </w:pPr>
      <w:r>
        <w:rPr>
          <w:rFonts w:ascii="Arial" w:cs="Arial" w:eastAsia="Arial" w:hAnsi="Arial"/>
          <w:sz w:val="43"/>
          <w:szCs w:val="43"/>
          <w:color w:val="auto"/>
        </w:rPr>
        <w:t>Compensation Committee Report</w:t>
      </w:r>
    </w:p>
    <w:p>
      <w:pPr>
        <w:spacing w:after="0" w:line="311" w:lineRule="exact"/>
        <w:rPr>
          <w:sz w:val="20"/>
          <w:szCs w:val="20"/>
          <w:color w:val="auto"/>
        </w:rPr>
      </w:pPr>
    </w:p>
    <w:p>
      <w:pPr>
        <w:jc w:val="both"/>
        <w:ind w:left="200"/>
        <w:spacing w:after="0" w:line="261" w:lineRule="auto"/>
        <w:rPr>
          <w:sz w:val="20"/>
          <w:szCs w:val="20"/>
          <w:color w:val="auto"/>
        </w:rPr>
      </w:pPr>
      <w:r>
        <w:rPr>
          <w:rFonts w:ascii="Arial" w:cs="Arial" w:eastAsia="Arial" w:hAnsi="Arial"/>
          <w:sz w:val="16"/>
          <w:szCs w:val="16"/>
          <w:color w:val="auto"/>
        </w:rPr>
        <w:t xml:space="preserve">The Management Development and Compensation Committee has reviewed and discussed with management the </w:t>
      </w:r>
      <w:r>
        <w:rPr>
          <w:rFonts w:ascii="Arial" w:cs="Arial" w:eastAsia="Arial" w:hAnsi="Arial"/>
          <w:sz w:val="16"/>
          <w:szCs w:val="16"/>
          <w:i w:val="1"/>
          <w:iCs w:val="1"/>
          <w:color w:val="auto"/>
        </w:rPr>
        <w:t>Compensation Discussion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Analysis </w:t>
      </w:r>
      <w:r>
        <w:rPr>
          <w:rFonts w:ascii="Arial" w:cs="Arial" w:eastAsia="Arial" w:hAnsi="Arial"/>
          <w:sz w:val="16"/>
          <w:szCs w:val="16"/>
          <w:color w:val="auto"/>
        </w:rPr>
        <w:t>beginning on page 31 of this Proxy Statement. Based on this review and discussion, the Management Development and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Committee recommended to the Board of Directors that the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xml:space="preserve"> be included in Martin Marietta’s Annual Report on Form 10-K and this Proxy Statement.</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February 22, 2018</w:t>
      </w:r>
    </w:p>
    <w:p>
      <w:pPr>
        <w:spacing w:after="0" w:line="169" w:lineRule="exact"/>
        <w:rPr>
          <w:sz w:val="20"/>
          <w:szCs w:val="20"/>
          <w:color w:val="auto"/>
        </w:rPr>
      </w:pPr>
    </w:p>
    <w:p>
      <w:pPr>
        <w:ind w:left="6060"/>
        <w:spacing w:after="0"/>
        <w:rPr>
          <w:sz w:val="20"/>
          <w:szCs w:val="20"/>
          <w:color w:val="auto"/>
        </w:rPr>
      </w:pPr>
      <w:r>
        <w:rPr>
          <w:rFonts w:ascii="Arial" w:cs="Arial" w:eastAsia="Arial" w:hAnsi="Arial"/>
          <w:sz w:val="17"/>
          <w:szCs w:val="17"/>
          <w:b w:val="1"/>
          <w:bCs w:val="1"/>
          <w:color w:val="auto"/>
        </w:rPr>
        <w:t>MANAGEMENT DEVELOPMENT AND</w:t>
      </w:r>
    </w:p>
    <w:p>
      <w:pPr>
        <w:spacing w:after="0" w:line="18" w:lineRule="exact"/>
        <w:rPr>
          <w:sz w:val="20"/>
          <w:szCs w:val="20"/>
          <w:color w:val="auto"/>
        </w:rPr>
      </w:pPr>
    </w:p>
    <w:p>
      <w:pPr>
        <w:ind w:left="6060"/>
        <w:spacing w:after="0"/>
        <w:rPr>
          <w:sz w:val="20"/>
          <w:szCs w:val="20"/>
          <w:color w:val="auto"/>
        </w:rPr>
      </w:pPr>
      <w:r>
        <w:rPr>
          <w:rFonts w:ascii="Arial" w:cs="Arial" w:eastAsia="Arial" w:hAnsi="Arial"/>
          <w:sz w:val="17"/>
          <w:szCs w:val="17"/>
          <w:b w:val="1"/>
          <w:bCs w:val="1"/>
          <w:color w:val="auto"/>
        </w:rPr>
        <w:t>COMPENSATION COMMITTEE</w:t>
      </w:r>
    </w:p>
    <w:p>
      <w:pPr>
        <w:spacing w:after="0" w:line="39"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 xml:space="preserve">Michael J. Quillen, </w:t>
      </w:r>
      <w:r>
        <w:rPr>
          <w:rFonts w:ascii="Arial" w:cs="Arial" w:eastAsia="Arial" w:hAnsi="Arial"/>
          <w:sz w:val="17"/>
          <w:szCs w:val="17"/>
          <w:i w:val="1"/>
          <w:iCs w:val="1"/>
          <w:color w:val="auto"/>
        </w:rPr>
        <w:t>Chair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Sue W. Cole</w:t>
      </w:r>
    </w:p>
    <w:p>
      <w:pPr>
        <w:ind w:left="6060"/>
        <w:spacing w:after="0"/>
        <w:rPr>
          <w:sz w:val="20"/>
          <w:szCs w:val="20"/>
          <w:color w:val="auto"/>
        </w:rPr>
      </w:pPr>
      <w:r>
        <w:rPr>
          <w:rFonts w:ascii="Arial" w:cs="Arial" w:eastAsia="Arial" w:hAnsi="Arial"/>
          <w:sz w:val="17"/>
          <w:szCs w:val="17"/>
          <w:color w:val="auto"/>
        </w:rPr>
        <w:t>John J. Koraleski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left="440" w:right="900"/>
        <w:spacing w:after="0" w:line="287" w:lineRule="auto"/>
        <w:rPr>
          <w:sz w:val="20"/>
          <w:szCs w:val="20"/>
          <w:color w:val="auto"/>
        </w:rPr>
      </w:pPr>
      <w:r>
        <w:rPr>
          <w:rFonts w:ascii="Arial" w:cs="Arial" w:eastAsia="Arial" w:hAnsi="Arial"/>
          <w:sz w:val="43"/>
          <w:szCs w:val="43"/>
          <w:color w:val="auto"/>
        </w:rPr>
        <w:t>Compensation Committee Interlocks and Insider Participation in Compensation Decisions</w:t>
      </w:r>
    </w:p>
    <w:p>
      <w:pPr>
        <w:spacing w:after="0" w:line="178" w:lineRule="exact"/>
        <w:rPr>
          <w:sz w:val="20"/>
          <w:szCs w:val="20"/>
          <w:color w:val="auto"/>
        </w:rPr>
      </w:pPr>
    </w:p>
    <w:p>
      <w:pPr>
        <w:jc w:val="both"/>
        <w:ind w:left="200"/>
        <w:spacing w:after="0" w:line="261" w:lineRule="auto"/>
        <w:rPr>
          <w:sz w:val="20"/>
          <w:szCs w:val="20"/>
          <w:color w:val="auto"/>
        </w:rPr>
      </w:pPr>
      <w:r>
        <w:rPr>
          <w:rFonts w:ascii="Arial" w:cs="Arial" w:eastAsia="Arial" w:hAnsi="Arial"/>
          <w:sz w:val="16"/>
          <w:szCs w:val="16"/>
          <w:color w:val="auto"/>
        </w:rPr>
        <w:t>The members of Martin Marietta’s Management Development and Compensation Committee are Directors Cole, Koraleski, and Quillen, none of whom has ever been an officer or employee of Martin Marietta or any of its subsidiaries, or had any relationship requiring disclosure by Martin Marietta under Item 404 of Regulation S-K. There are no executive officer-Director interlocks where an executive of Martin Marietta serves on the compensation committee of another corporation that has an executive officer serving on Martin Marietta’s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3512820</wp:posOffset>
            </wp:positionH>
            <wp:positionV relativeFrom="paragraph">
              <wp:posOffset>78105</wp:posOffset>
            </wp:positionV>
            <wp:extent cx="411480" cy="2489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121" w:lineRule="exact"/>
        <w:rPr>
          <w:sz w:val="20"/>
          <w:szCs w:val="20"/>
          <w:color w:val="auto"/>
        </w:rPr>
      </w:pPr>
    </w:p>
    <w:p>
      <w:pPr>
        <w:ind w:left="640" w:hanging="436"/>
        <w:spacing w:after="0"/>
        <w:tabs>
          <w:tab w:leader="none" w:pos="640" w:val="left"/>
        </w:tabs>
        <w:numPr>
          <w:ilvl w:val="0"/>
          <w:numId w:val="60"/>
        </w:numPr>
        <w:rPr>
          <w:rFonts w:ascii="Arial" w:cs="Arial" w:eastAsia="Arial" w:hAnsi="Arial"/>
          <w:sz w:val="13"/>
          <w:szCs w:val="13"/>
          <w:b w:val="1"/>
          <w:bCs w:val="1"/>
          <w:color w:val="auto"/>
        </w:rPr>
      </w:pPr>
      <w:r>
        <w:rPr>
          <w:rFonts w:ascii="Arial" w:cs="Arial" w:eastAsia="Arial" w:hAnsi="Arial"/>
          <w:sz w:val="13"/>
          <w:szCs w:val="13"/>
          <w:color w:val="007CBA"/>
        </w:rPr>
        <w:t>2018 PROXY STATEMENT</w:t>
      </w:r>
    </w:p>
    <w:p>
      <w:pPr>
        <w:sectPr>
          <w:pgSz w:w="11900" w:h="16838" w:orient="portrait"/>
          <w:cols w:equalWidth="0" w:num="1">
            <w:col w:w="11220"/>
          </w:cols>
          <w:pgMar w:left="240" w:top="455" w:right="4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72" w:lineRule="exact"/>
        <w:rPr>
          <w:sz w:val="20"/>
          <w:szCs w:val="20"/>
          <w:color w:val="auto"/>
        </w:rPr>
      </w:pPr>
    </w:p>
    <w:p>
      <w:pPr>
        <w:jc w:val="right"/>
        <w:ind w:right="1720"/>
        <w:spacing w:after="0"/>
        <w:rPr>
          <w:sz w:val="20"/>
          <w:szCs w:val="20"/>
          <w:color w:val="auto"/>
        </w:rPr>
      </w:pPr>
      <w:r>
        <w:rPr>
          <w:rFonts w:ascii="Arial" w:cs="Arial" w:eastAsia="Arial" w:hAnsi="Arial"/>
          <w:sz w:val="43"/>
          <w:szCs w:val="43"/>
          <w:color w:val="auto"/>
        </w:rPr>
        <w:t>Compensation Discussion and Analysis</w:t>
      </w:r>
    </w:p>
    <w:p>
      <w:pPr>
        <w:spacing w:after="0" w:line="350"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007CBA"/>
        </w:rPr>
        <w:t>Introduction</w:t>
      </w:r>
    </w:p>
    <w:p>
      <w:pPr>
        <w:sectPr>
          <w:pgSz w:w="11900" w:h="16838" w:orient="portrait"/>
          <w:cols w:equalWidth="0" w:num="1">
            <w:col w:w="11220"/>
          </w:cols>
          <w:pgMar w:left="240" w:top="455" w:right="439" w:bottom="1440" w:gutter="0" w:footer="0" w:header="0"/>
        </w:sectPr>
      </w:pPr>
    </w:p>
    <w:p>
      <w:pPr>
        <w:spacing w:after="0" w:line="202" w:lineRule="exact"/>
        <w:rPr>
          <w:sz w:val="20"/>
          <w:szCs w:val="20"/>
          <w:color w:val="auto"/>
        </w:rPr>
      </w:pPr>
    </w:p>
    <w:p>
      <w:pPr>
        <w:jc w:val="both"/>
        <w:ind w:left="220"/>
        <w:spacing w:after="0" w:line="255" w:lineRule="auto"/>
        <w:rPr>
          <w:sz w:val="20"/>
          <w:szCs w:val="20"/>
          <w:color w:val="auto"/>
        </w:rPr>
      </w:pPr>
      <w:r>
        <w:rPr>
          <w:rFonts w:ascii="Arial" w:cs="Arial" w:eastAsia="Arial" w:hAnsi="Arial"/>
          <w:sz w:val="16"/>
          <w:szCs w:val="16"/>
          <w:color w:val="auto"/>
        </w:rPr>
        <w:t>This Compensation Discussion and Analysis, or CD&amp;A, describes our 2017 executive compensation program and the attendant oversight provided by the Management Development and Compensation Committee of the Board of Directors (the Committee). It also summarizes our executive compensation structure and discusses the compensation earned by Martin</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Marietta’s NEOs (the CEO, the CFO, and the three other most highly compensated executive officers in 2017) as presented below in the tables under “</w:t>
      </w:r>
      <w:r>
        <w:rPr>
          <w:rFonts w:ascii="Arial" w:cs="Arial" w:eastAsia="Arial" w:hAnsi="Arial"/>
          <w:sz w:val="16"/>
          <w:szCs w:val="16"/>
          <w:i w:val="1"/>
          <w:iCs w:val="1"/>
          <w:color w:val="auto"/>
        </w:rPr>
        <w:t>Executive Compensation</w:t>
      </w:r>
      <w:r>
        <w:rPr>
          <w:rFonts w:ascii="Arial" w:cs="Arial" w:eastAsia="Arial" w:hAnsi="Arial"/>
          <w:sz w:val="16"/>
          <w:szCs w:val="16"/>
          <w:color w:val="auto"/>
        </w:rPr>
        <w:t>” following this CD&amp;A, which contain detailed compensation information quantifying and further explaining our NEOs’ compensation.</w:t>
      </w:r>
    </w:p>
    <w:p>
      <w:pPr>
        <w:spacing w:after="0" w:line="387" w:lineRule="exact"/>
        <w:rPr>
          <w:sz w:val="20"/>
          <w:szCs w:val="20"/>
          <w:color w:val="auto"/>
        </w:rPr>
      </w:pPr>
    </w:p>
    <w:p>
      <w:pPr>
        <w:sectPr>
          <w:pgSz w:w="11900" w:h="16838" w:orient="portrait"/>
          <w:cols w:equalWidth="0" w:num="2">
            <w:col w:w="5500" w:space="320"/>
            <w:col w:w="5400"/>
          </w:cols>
          <w:pgMar w:left="240" w:top="455" w:right="439" w:bottom="1440" w:gutter="0" w:footer="0" w:header="0"/>
          <w:type w:val="continuous"/>
        </w:sectPr>
      </w:pPr>
    </w:p>
    <w:p>
      <w:pPr>
        <w:spacing w:after="0" w:line="12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For 2017, our NEOs were:</w:t>
      </w:r>
    </w:p>
    <w:p>
      <w:pPr>
        <w:spacing w:after="0" w:line="239" w:lineRule="exact"/>
        <w:rPr>
          <w:sz w:val="20"/>
          <w:szCs w:val="20"/>
          <w:color w:val="auto"/>
        </w:rPr>
      </w:pPr>
    </w:p>
    <w:tbl>
      <w:tblPr>
        <w:tblLayout w:type="fixed"/>
        <w:tblInd w:w="1860" w:type="dxa"/>
        <w:tblCellMar>
          <w:top w:w="0" w:type="dxa"/>
          <w:left w:w="0" w:type="dxa"/>
          <w:bottom w:w="0" w:type="dxa"/>
          <w:right w:w="0" w:type="dxa"/>
        </w:tblCellMar>
      </w:tblPr>
      <w:tr>
        <w:trPr>
          <w:trHeight w:val="257"/>
        </w:trPr>
        <w:tc>
          <w:tcPr>
            <w:tcW w:w="204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6"/>
                <w:szCs w:val="16"/>
                <w:b w:val="1"/>
                <w:bCs w:val="1"/>
                <w:color w:val="FFFFFF"/>
              </w:rPr>
              <w:t>NEO</w:t>
            </w:r>
          </w:p>
        </w:tc>
        <w:tc>
          <w:tcPr>
            <w:tcW w:w="5660" w:type="dxa"/>
            <w:vAlign w:val="bottom"/>
            <w:shd w:val="clear" w:color="auto" w:fill="007CBA"/>
          </w:tcPr>
          <w:p>
            <w:pPr>
              <w:ind w:left="280"/>
              <w:spacing w:after="0"/>
              <w:rPr>
                <w:sz w:val="20"/>
                <w:szCs w:val="20"/>
                <w:color w:val="auto"/>
              </w:rPr>
            </w:pPr>
            <w:r>
              <w:rPr>
                <w:rFonts w:ascii="Arial" w:cs="Arial" w:eastAsia="Arial" w:hAnsi="Arial"/>
                <w:sz w:val="16"/>
                <w:szCs w:val="16"/>
                <w:b w:val="1"/>
                <w:bCs w:val="1"/>
                <w:color w:val="FFFFFF"/>
              </w:rPr>
              <w:t>Title</w:t>
            </w:r>
          </w:p>
        </w:tc>
      </w:tr>
      <w:tr>
        <w:trPr>
          <w:trHeight w:val="277"/>
        </w:trPr>
        <w:tc>
          <w:tcPr>
            <w:tcW w:w="2040" w:type="dxa"/>
            <w:vAlign w:val="bottom"/>
            <w:tcBorders>
              <w:bottom w:val="single" w:sz="8" w:color="E5F1F8"/>
              <w:right w:val="single" w:sz="8" w:color="007CBA"/>
            </w:tcBorders>
            <w:shd w:val="clear" w:color="auto" w:fill="E5F1F8"/>
          </w:tcPr>
          <w:p>
            <w:pPr>
              <w:ind w:left="60"/>
              <w:spacing w:after="0"/>
              <w:rPr>
                <w:sz w:val="20"/>
                <w:szCs w:val="20"/>
                <w:color w:val="auto"/>
              </w:rPr>
            </w:pPr>
            <w:r>
              <w:rPr>
                <w:rFonts w:ascii="Arial" w:cs="Arial" w:eastAsia="Arial" w:hAnsi="Arial"/>
                <w:sz w:val="16"/>
                <w:szCs w:val="16"/>
                <w:color w:val="auto"/>
              </w:rPr>
              <w:t>C. Howard Nye</w:t>
            </w:r>
          </w:p>
        </w:tc>
        <w:tc>
          <w:tcPr>
            <w:tcW w:w="5660" w:type="dxa"/>
            <w:vAlign w:val="bottom"/>
            <w:tcBorders>
              <w:bottom w:val="single" w:sz="8" w:color="E5F1F8"/>
            </w:tcBorders>
            <w:shd w:val="clear" w:color="auto" w:fill="E5F1F8"/>
          </w:tcPr>
          <w:p>
            <w:pPr>
              <w:ind w:left="280"/>
              <w:spacing w:after="0"/>
              <w:rPr>
                <w:sz w:val="20"/>
                <w:szCs w:val="20"/>
                <w:color w:val="auto"/>
              </w:rPr>
            </w:pPr>
            <w:r>
              <w:rPr>
                <w:rFonts w:ascii="Arial" w:cs="Arial" w:eastAsia="Arial" w:hAnsi="Arial"/>
                <w:sz w:val="16"/>
                <w:szCs w:val="16"/>
                <w:color w:val="auto"/>
              </w:rPr>
              <w:t>Chairman of the Board, President and Chief Executive Officer</w:t>
            </w:r>
          </w:p>
        </w:tc>
      </w:tr>
      <w:tr>
        <w:trPr>
          <w:trHeight w:val="219"/>
        </w:trPr>
        <w:tc>
          <w:tcPr>
            <w:tcW w:w="2040" w:type="dxa"/>
            <w:vAlign w:val="bottom"/>
            <w:tcBorders>
              <w:right w:val="single" w:sz="8" w:color="007CBA"/>
            </w:tcBorders>
          </w:tcPr>
          <w:p>
            <w:pPr>
              <w:ind w:left="60"/>
              <w:spacing w:after="0"/>
              <w:rPr>
                <w:sz w:val="20"/>
                <w:szCs w:val="20"/>
                <w:color w:val="auto"/>
              </w:rPr>
            </w:pPr>
            <w:r>
              <w:rPr>
                <w:rFonts w:ascii="Arial" w:cs="Arial" w:eastAsia="Arial" w:hAnsi="Arial"/>
                <w:sz w:val="16"/>
                <w:szCs w:val="16"/>
                <w:color w:val="auto"/>
              </w:rPr>
              <w:t>James A. J. Nickolas</w:t>
            </w:r>
          </w:p>
        </w:tc>
        <w:tc>
          <w:tcPr>
            <w:tcW w:w="5660" w:type="dxa"/>
            <w:vAlign w:val="bottom"/>
          </w:tcPr>
          <w:p>
            <w:pPr>
              <w:ind w:left="280"/>
              <w:spacing w:after="0"/>
              <w:rPr>
                <w:sz w:val="20"/>
                <w:szCs w:val="20"/>
                <w:color w:val="auto"/>
              </w:rPr>
            </w:pPr>
            <w:r>
              <w:rPr>
                <w:rFonts w:ascii="Arial" w:cs="Arial" w:eastAsia="Arial" w:hAnsi="Arial"/>
                <w:sz w:val="16"/>
                <w:szCs w:val="16"/>
                <w:color w:val="auto"/>
              </w:rPr>
              <w:t>Senior Vice President and Chief Financial Officer</w:t>
            </w:r>
          </w:p>
        </w:tc>
      </w:tr>
      <w:tr>
        <w:trPr>
          <w:trHeight w:val="38"/>
        </w:trPr>
        <w:tc>
          <w:tcPr>
            <w:tcW w:w="2040" w:type="dxa"/>
            <w:vAlign w:val="bottom"/>
            <w:tcBorders>
              <w:right w:val="single" w:sz="8" w:color="007CBA"/>
            </w:tcBorders>
          </w:tcPr>
          <w:p>
            <w:pPr>
              <w:spacing w:after="0"/>
              <w:rPr>
                <w:sz w:val="3"/>
                <w:szCs w:val="3"/>
                <w:color w:val="auto"/>
              </w:rPr>
            </w:pPr>
          </w:p>
        </w:tc>
        <w:tc>
          <w:tcPr>
            <w:tcW w:w="5660" w:type="dxa"/>
            <w:vAlign w:val="bottom"/>
          </w:tcPr>
          <w:p>
            <w:pPr>
              <w:spacing w:after="0"/>
              <w:rPr>
                <w:sz w:val="3"/>
                <w:szCs w:val="3"/>
                <w:color w:val="auto"/>
              </w:rPr>
            </w:pPr>
          </w:p>
        </w:tc>
      </w:tr>
      <w:tr>
        <w:trPr>
          <w:trHeight w:val="237"/>
        </w:trPr>
        <w:tc>
          <w:tcPr>
            <w:tcW w:w="2040" w:type="dxa"/>
            <w:vAlign w:val="bottom"/>
            <w:tcBorders>
              <w:bottom w:val="single" w:sz="8" w:color="E5F1F8"/>
              <w:right w:val="single" w:sz="8" w:color="007CBA"/>
            </w:tcBorders>
            <w:shd w:val="clear" w:color="auto" w:fill="E5F1F8"/>
          </w:tcPr>
          <w:p>
            <w:pPr>
              <w:ind w:left="60"/>
              <w:spacing w:after="0"/>
              <w:rPr>
                <w:sz w:val="20"/>
                <w:szCs w:val="20"/>
                <w:color w:val="auto"/>
              </w:rPr>
            </w:pPr>
            <w:r>
              <w:rPr>
                <w:rFonts w:ascii="Arial" w:cs="Arial" w:eastAsia="Arial" w:hAnsi="Arial"/>
                <w:sz w:val="16"/>
                <w:szCs w:val="16"/>
                <w:color w:val="auto"/>
              </w:rPr>
              <w:t>Roselyn R. Bar</w:t>
            </w:r>
          </w:p>
        </w:tc>
        <w:tc>
          <w:tcPr>
            <w:tcW w:w="5660" w:type="dxa"/>
            <w:vAlign w:val="bottom"/>
            <w:tcBorders>
              <w:bottom w:val="single" w:sz="8" w:color="E5F1F8"/>
            </w:tcBorders>
            <w:shd w:val="clear" w:color="auto" w:fill="E5F1F8"/>
          </w:tcPr>
          <w:p>
            <w:pPr>
              <w:ind w:left="280"/>
              <w:spacing w:after="0"/>
              <w:rPr>
                <w:sz w:val="20"/>
                <w:szCs w:val="20"/>
                <w:color w:val="auto"/>
              </w:rPr>
            </w:pPr>
            <w:r>
              <w:rPr>
                <w:rFonts w:ascii="Arial" w:cs="Arial" w:eastAsia="Arial" w:hAnsi="Arial"/>
                <w:sz w:val="16"/>
                <w:szCs w:val="16"/>
                <w:color w:val="auto"/>
              </w:rPr>
              <w:t>Executive Vice President, General Counsel and Corporate Secretary</w:t>
            </w:r>
          </w:p>
        </w:tc>
      </w:tr>
      <w:tr>
        <w:trPr>
          <w:trHeight w:val="219"/>
        </w:trPr>
        <w:tc>
          <w:tcPr>
            <w:tcW w:w="2040" w:type="dxa"/>
            <w:vAlign w:val="bottom"/>
            <w:tcBorders>
              <w:right w:val="single" w:sz="8" w:color="007CBA"/>
            </w:tcBorders>
          </w:tcPr>
          <w:p>
            <w:pPr>
              <w:ind w:left="60"/>
              <w:spacing w:after="0"/>
              <w:rPr>
                <w:sz w:val="20"/>
                <w:szCs w:val="20"/>
                <w:color w:val="auto"/>
              </w:rPr>
            </w:pPr>
            <w:r>
              <w:rPr>
                <w:rFonts w:ascii="Arial" w:cs="Arial" w:eastAsia="Arial" w:hAnsi="Arial"/>
                <w:sz w:val="16"/>
                <w:szCs w:val="16"/>
                <w:color w:val="auto"/>
              </w:rPr>
              <w:t>Daniel L. Grant</w:t>
            </w:r>
          </w:p>
        </w:tc>
        <w:tc>
          <w:tcPr>
            <w:tcW w:w="5660" w:type="dxa"/>
            <w:vAlign w:val="bottom"/>
          </w:tcPr>
          <w:p>
            <w:pPr>
              <w:ind w:left="280"/>
              <w:spacing w:after="0"/>
              <w:rPr>
                <w:sz w:val="20"/>
                <w:szCs w:val="20"/>
                <w:color w:val="auto"/>
              </w:rPr>
            </w:pPr>
            <w:r>
              <w:rPr>
                <w:rFonts w:ascii="Arial" w:cs="Arial" w:eastAsia="Arial" w:hAnsi="Arial"/>
                <w:sz w:val="16"/>
                <w:szCs w:val="16"/>
                <w:color w:val="auto"/>
              </w:rPr>
              <w:t>Senior Vice President – Strategy and Development</w:t>
            </w:r>
          </w:p>
        </w:tc>
      </w:tr>
      <w:tr>
        <w:trPr>
          <w:trHeight w:val="38"/>
        </w:trPr>
        <w:tc>
          <w:tcPr>
            <w:tcW w:w="2040" w:type="dxa"/>
            <w:vAlign w:val="bottom"/>
            <w:tcBorders>
              <w:right w:val="single" w:sz="8" w:color="007CBA"/>
            </w:tcBorders>
          </w:tcPr>
          <w:p>
            <w:pPr>
              <w:spacing w:after="0"/>
              <w:rPr>
                <w:sz w:val="3"/>
                <w:szCs w:val="3"/>
                <w:color w:val="auto"/>
              </w:rPr>
            </w:pPr>
          </w:p>
        </w:tc>
        <w:tc>
          <w:tcPr>
            <w:tcW w:w="5660" w:type="dxa"/>
            <w:vAlign w:val="bottom"/>
          </w:tcPr>
          <w:p>
            <w:pPr>
              <w:spacing w:after="0"/>
              <w:rPr>
                <w:sz w:val="3"/>
                <w:szCs w:val="3"/>
                <w:color w:val="auto"/>
              </w:rPr>
            </w:pPr>
          </w:p>
        </w:tc>
      </w:tr>
      <w:tr>
        <w:trPr>
          <w:trHeight w:val="216"/>
        </w:trPr>
        <w:tc>
          <w:tcPr>
            <w:tcW w:w="204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6"/>
                <w:szCs w:val="16"/>
                <w:color w:val="auto"/>
              </w:rPr>
              <w:t>Donald A. McCunniff</w:t>
            </w:r>
          </w:p>
        </w:tc>
        <w:tc>
          <w:tcPr>
            <w:tcW w:w="5660" w:type="dxa"/>
            <w:vAlign w:val="bottom"/>
            <w:shd w:val="clear" w:color="auto" w:fill="E5F1F8"/>
          </w:tcPr>
          <w:p>
            <w:pPr>
              <w:ind w:left="280"/>
              <w:spacing w:after="0"/>
              <w:rPr>
                <w:sz w:val="20"/>
                <w:szCs w:val="20"/>
                <w:color w:val="auto"/>
              </w:rPr>
            </w:pPr>
            <w:r>
              <w:rPr>
                <w:rFonts w:ascii="Arial" w:cs="Arial" w:eastAsia="Arial" w:hAnsi="Arial"/>
                <w:sz w:val="16"/>
                <w:szCs w:val="16"/>
                <w:color w:val="auto"/>
              </w:rPr>
              <w:t>Senior Vice President – Human Resources</w:t>
            </w:r>
          </w:p>
        </w:tc>
      </w:tr>
      <w:tr>
        <w:trPr>
          <w:trHeight w:val="20"/>
        </w:trPr>
        <w:tc>
          <w:tcPr>
            <w:tcW w:w="2040" w:type="dxa"/>
            <w:vAlign w:val="bottom"/>
            <w:tcBorders>
              <w:bottom w:val="single" w:sz="8" w:color="007CBA"/>
              <w:right w:val="single" w:sz="8" w:color="007CBA"/>
            </w:tcBorders>
          </w:tcPr>
          <w:p>
            <w:pPr>
              <w:spacing w:after="0" w:line="20" w:lineRule="exact"/>
              <w:rPr>
                <w:sz w:val="1"/>
                <w:szCs w:val="1"/>
                <w:color w:val="auto"/>
              </w:rPr>
            </w:pPr>
          </w:p>
        </w:tc>
        <w:tc>
          <w:tcPr>
            <w:tcW w:w="5660" w:type="dxa"/>
            <w:vAlign w:val="bottom"/>
            <w:tcBorders>
              <w:bottom w:val="single" w:sz="8" w:color="007CBA"/>
            </w:tcBorders>
          </w:tcPr>
          <w:p>
            <w:pPr>
              <w:spacing w:after="0" w:line="20" w:lineRule="exact"/>
              <w:rPr>
                <w:sz w:val="1"/>
                <w:szCs w:val="1"/>
                <w:color w:val="auto"/>
              </w:rPr>
            </w:pPr>
          </w:p>
        </w:tc>
      </w:tr>
    </w:tbl>
    <w:p>
      <w:pPr>
        <w:spacing w:after="0" w:line="103" w:lineRule="exact"/>
        <w:rPr>
          <w:sz w:val="20"/>
          <w:szCs w:val="20"/>
          <w:color w:val="auto"/>
        </w:rPr>
      </w:pPr>
    </w:p>
    <w:p>
      <w:pPr>
        <w:jc w:val="both"/>
        <w:ind w:left="2060" w:hanging="208"/>
        <w:spacing w:after="0" w:line="269" w:lineRule="auto"/>
        <w:tabs>
          <w:tab w:leader="none" w:pos="2060" w:val="left"/>
        </w:tabs>
        <w:numPr>
          <w:ilvl w:val="0"/>
          <w:numId w:val="61"/>
        </w:numPr>
        <w:rPr>
          <w:rFonts w:ascii="Arial" w:cs="Arial" w:eastAsia="Arial" w:hAnsi="Arial"/>
          <w:sz w:val="16"/>
          <w:szCs w:val="16"/>
          <w:b w:val="1"/>
          <w:bCs w:val="1"/>
          <w:color w:val="auto"/>
        </w:rPr>
      </w:pPr>
      <w:r>
        <w:rPr>
          <w:rFonts w:ascii="Arial" w:cs="Arial" w:eastAsia="Arial" w:hAnsi="Arial"/>
          <w:sz w:val="16"/>
          <w:szCs w:val="16"/>
          <w:color w:val="auto"/>
        </w:rPr>
        <w:t xml:space="preserve">Also included in the </w:t>
      </w:r>
      <w:r>
        <w:rPr>
          <w:rFonts w:ascii="Arial" w:cs="Arial" w:eastAsia="Arial" w:hAnsi="Arial"/>
          <w:sz w:val="16"/>
          <w:szCs w:val="16"/>
          <w:i w:val="1"/>
          <w:iCs w:val="1"/>
          <w:color w:val="auto"/>
        </w:rPr>
        <w:t>Executive Compensation</w:t>
      </w:r>
      <w:r>
        <w:rPr>
          <w:rFonts w:ascii="Arial" w:cs="Arial" w:eastAsia="Arial" w:hAnsi="Arial"/>
          <w:sz w:val="16"/>
          <w:szCs w:val="16"/>
          <w:color w:val="auto"/>
        </w:rPr>
        <w:t xml:space="preserve"> information starting on page 51 is Anne H. Lloyd, former Executive Vice President and Chief Financial Officer, who retired from the Company as of December 31, 2017. The terms of her separation from the Company are described on pages 60 and 62 of this proxy statement.</w:t>
      </w:r>
    </w:p>
    <w:p>
      <w:pPr>
        <w:sectPr>
          <w:pgSz w:w="11900" w:h="16838" w:orient="portrait"/>
          <w:cols w:equalWidth="0" w:num="1">
            <w:col w:w="11220"/>
          </w:cols>
          <w:pgMar w:left="240" w:top="455" w:right="439" w:bottom="1440" w:gutter="0" w:footer="0" w:header="0"/>
          <w:type w:val="continuous"/>
        </w:sectPr>
      </w:pPr>
    </w:p>
    <w:p>
      <w:pPr>
        <w:spacing w:after="0" w:line="108"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007CBA"/>
        </w:rPr>
        <w:t>Executive Summary</w:t>
      </w:r>
    </w:p>
    <w:p>
      <w:pPr>
        <w:spacing w:after="0" w:line="296" w:lineRule="exact"/>
        <w:rPr>
          <w:sz w:val="20"/>
          <w:szCs w:val="20"/>
          <w:color w:val="auto"/>
        </w:rPr>
      </w:pPr>
    </w:p>
    <w:p>
      <w:pPr>
        <w:jc w:val="both"/>
        <w:ind w:left="220"/>
        <w:spacing w:after="0" w:line="255" w:lineRule="auto"/>
        <w:rPr>
          <w:sz w:val="20"/>
          <w:szCs w:val="20"/>
          <w:color w:val="auto"/>
        </w:rPr>
      </w:pPr>
      <w:r>
        <w:rPr>
          <w:rFonts w:ascii="Arial" w:cs="Arial" w:eastAsia="Arial" w:hAnsi="Arial"/>
          <w:sz w:val="16"/>
          <w:szCs w:val="16"/>
          <w:color w:val="auto"/>
        </w:rPr>
        <w:t xml:space="preserve">By almost any meaningful measure, 2017 was a remarkable year for Martin Marietta. We had record financial performance, </w:t>
      </w:r>
      <w:r>
        <w:rPr>
          <w:rFonts w:ascii="Arial" w:cs="Arial" w:eastAsia="Arial" w:hAnsi="Arial"/>
          <w:sz w:val="16"/>
          <w:szCs w:val="16"/>
          <w:b w:val="1"/>
          <w:bCs w:val="1"/>
          <w:color w:val="auto"/>
        </w:rPr>
        <w:t>delivering net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earnings of $713.4 million and over $1 billion dollars in EBITDA.* </w:t>
      </w:r>
      <w:r>
        <w:rPr>
          <w:rFonts w:ascii="Arial" w:cs="Arial" w:eastAsia="Arial" w:hAnsi="Arial"/>
          <w:sz w:val="16"/>
          <w:szCs w:val="16"/>
          <w:color w:val="auto"/>
        </w:rPr>
        <w:t>We</w:t>
      </w:r>
      <w:r>
        <w:rPr>
          <w:rFonts w:ascii="Arial" w:cs="Arial" w:eastAsia="Arial" w:hAnsi="Arial"/>
          <w:sz w:val="16"/>
          <w:szCs w:val="16"/>
          <w:b w:val="1"/>
          <w:bCs w:val="1"/>
          <w:color w:val="auto"/>
        </w:rPr>
        <w:t xml:space="preserve"> </w:t>
      </w:r>
      <w:r>
        <w:rPr>
          <w:rFonts w:ascii="Arial" w:cs="Arial" w:eastAsia="Arial" w:hAnsi="Arial"/>
          <w:sz w:val="16"/>
          <w:szCs w:val="16"/>
          <w:color w:val="auto"/>
        </w:rPr>
        <w:t>continue to focus not only on the operations of the Company, but on the best practices needed to make Martin Marietta not just the best aggregates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company, but rather one of the world’s best companies. Our Company performance, coupled with the achievement of key strategic goals, delivered excellent results in 2017, and established an enhanced solid foundation for continued performance and delivery of shareholder value.</w:t>
      </w:r>
    </w:p>
    <w:p>
      <w:pPr>
        <w:spacing w:after="0" w:line="572" w:lineRule="exact"/>
        <w:rPr>
          <w:sz w:val="20"/>
          <w:szCs w:val="20"/>
          <w:color w:val="auto"/>
        </w:rPr>
      </w:pPr>
    </w:p>
    <w:p>
      <w:pPr>
        <w:sectPr>
          <w:pgSz w:w="11900" w:h="16838" w:orient="portrait"/>
          <w:cols w:equalWidth="0" w:num="2">
            <w:col w:w="5480" w:space="340"/>
            <w:col w:w="5400"/>
          </w:cols>
          <w:pgMar w:left="240" w:top="455" w:right="439" w:bottom="1440" w:gutter="0" w:footer="0" w:header="0"/>
          <w:type w:val="continuous"/>
        </w:sectPr>
      </w:pPr>
    </w:p>
    <w:p>
      <w:pPr>
        <w:spacing w:after="0" w:line="398"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Another Record Year: Performance Through Transformation</w:t>
      </w:r>
    </w:p>
    <w:p>
      <w:pPr>
        <w:spacing w:after="0" w:line="384" w:lineRule="exact"/>
        <w:rPr>
          <w:sz w:val="20"/>
          <w:szCs w:val="20"/>
          <w:color w:val="auto"/>
        </w:rPr>
      </w:pPr>
    </w:p>
    <w:p>
      <w:pPr>
        <w:ind w:left="4140" w:hanging="202"/>
        <w:spacing w:after="0"/>
        <w:tabs>
          <w:tab w:leader="none" w:pos="4140" w:val="left"/>
        </w:tabs>
        <w:numPr>
          <w:ilvl w:val="1"/>
          <w:numId w:val="62"/>
        </w:numPr>
        <w:rPr>
          <w:rFonts w:ascii="MS PGothic" w:cs="MS PGothic" w:eastAsia="MS PGothic" w:hAnsi="MS PGothic"/>
          <w:sz w:val="16"/>
          <w:szCs w:val="16"/>
          <w:color w:val="auto"/>
        </w:rPr>
      </w:pPr>
      <w:r>
        <w:rPr>
          <w:rFonts w:ascii="Arial" w:cs="Arial" w:eastAsia="Arial" w:hAnsi="Arial"/>
          <w:sz w:val="16"/>
          <w:szCs w:val="16"/>
          <w:color w:val="auto"/>
        </w:rPr>
        <w:t>Record total revenues of $4.0 billion</w:t>
      </w:r>
    </w:p>
    <w:p>
      <w:pPr>
        <w:spacing w:after="0" w:line="86" w:lineRule="exact"/>
        <w:rPr>
          <w:rFonts w:ascii="MS PGothic" w:cs="MS PGothic" w:eastAsia="MS PGothic" w:hAnsi="MS PGothic"/>
          <w:sz w:val="16"/>
          <w:szCs w:val="16"/>
          <w:color w:val="auto"/>
        </w:rPr>
      </w:pPr>
    </w:p>
    <w:p>
      <w:pPr>
        <w:ind w:left="4140" w:hanging="202"/>
        <w:spacing w:after="0"/>
        <w:tabs>
          <w:tab w:leader="none" w:pos="4140" w:val="left"/>
        </w:tabs>
        <w:numPr>
          <w:ilvl w:val="1"/>
          <w:numId w:val="62"/>
        </w:numPr>
        <w:rPr>
          <w:rFonts w:ascii="MS PGothic" w:cs="MS PGothic" w:eastAsia="MS PGothic" w:hAnsi="MS PGothic"/>
          <w:sz w:val="16"/>
          <w:szCs w:val="16"/>
          <w:color w:val="auto"/>
        </w:rPr>
      </w:pPr>
      <w:r>
        <w:rPr>
          <w:rFonts w:ascii="Arial" w:cs="Arial" w:eastAsia="Arial" w:hAnsi="Arial"/>
          <w:sz w:val="16"/>
          <w:szCs w:val="16"/>
          <w:color w:val="auto"/>
        </w:rPr>
        <w:t>Record gross profit of $971.9 million</w:t>
      </w:r>
    </w:p>
    <w:p>
      <w:pPr>
        <w:spacing w:after="0" w:line="86" w:lineRule="exact"/>
        <w:rPr>
          <w:rFonts w:ascii="MS PGothic" w:cs="MS PGothic" w:eastAsia="MS PGothic" w:hAnsi="MS PGothic"/>
          <w:sz w:val="16"/>
          <w:szCs w:val="16"/>
          <w:color w:val="auto"/>
        </w:rPr>
      </w:pPr>
    </w:p>
    <w:p>
      <w:pPr>
        <w:jc w:val="both"/>
        <w:ind w:left="4180" w:right="3620" w:hanging="242"/>
        <w:spacing w:after="0" w:line="272" w:lineRule="auto"/>
        <w:tabs>
          <w:tab w:leader="none" w:pos="4199" w:val="left"/>
        </w:tabs>
        <w:numPr>
          <w:ilvl w:val="1"/>
          <w:numId w:val="62"/>
        </w:numPr>
        <w:rPr>
          <w:rFonts w:ascii="MS PGothic" w:cs="MS PGothic" w:eastAsia="MS PGothic" w:hAnsi="MS PGothic"/>
          <w:sz w:val="16"/>
          <w:szCs w:val="16"/>
          <w:color w:val="auto"/>
        </w:rPr>
      </w:pPr>
      <w:r>
        <w:rPr>
          <w:rFonts w:ascii="Arial" w:cs="Arial" w:eastAsia="Arial" w:hAnsi="Arial"/>
          <w:sz w:val="16"/>
          <w:szCs w:val="16"/>
          <w:color w:val="auto"/>
        </w:rPr>
        <w:t>Record net earnings of $713.4 million, despite 1 million tons lower of aggregates shipments than 2016</w:t>
      </w:r>
    </w:p>
    <w:p>
      <w:pPr>
        <w:spacing w:after="0" w:line="22" w:lineRule="exact"/>
        <w:rPr>
          <w:rFonts w:ascii="MS PGothic" w:cs="MS PGothic" w:eastAsia="MS PGothic" w:hAnsi="MS PGothic"/>
          <w:sz w:val="16"/>
          <w:szCs w:val="16"/>
          <w:color w:val="auto"/>
        </w:rPr>
      </w:pPr>
    </w:p>
    <w:p>
      <w:pPr>
        <w:ind w:left="4140" w:hanging="202"/>
        <w:spacing w:after="0"/>
        <w:tabs>
          <w:tab w:leader="none" w:pos="4140" w:val="left"/>
        </w:tabs>
        <w:numPr>
          <w:ilvl w:val="1"/>
          <w:numId w:val="62"/>
        </w:numPr>
        <w:rPr>
          <w:rFonts w:ascii="MS PGothic" w:cs="MS PGothic" w:eastAsia="MS PGothic" w:hAnsi="MS PGothic"/>
          <w:sz w:val="16"/>
          <w:szCs w:val="16"/>
          <w:color w:val="auto"/>
        </w:rPr>
      </w:pPr>
      <w:r>
        <w:rPr>
          <w:rFonts w:ascii="Arial" w:cs="Arial" w:eastAsia="Arial" w:hAnsi="Arial"/>
          <w:sz w:val="16"/>
          <w:szCs w:val="16"/>
          <w:color w:val="auto"/>
        </w:rPr>
        <w:t>Record EBITDA* of $1.004 billion</w:t>
      </w:r>
    </w:p>
    <w:p>
      <w:pPr>
        <w:spacing w:after="0" w:line="86" w:lineRule="exact"/>
        <w:rPr>
          <w:rFonts w:ascii="MS PGothic" w:cs="MS PGothic" w:eastAsia="MS PGothic" w:hAnsi="MS PGothic"/>
          <w:sz w:val="16"/>
          <w:szCs w:val="16"/>
          <w:color w:val="auto"/>
        </w:rPr>
      </w:pPr>
    </w:p>
    <w:p>
      <w:pPr>
        <w:ind w:left="4140" w:hanging="202"/>
        <w:spacing w:after="0"/>
        <w:tabs>
          <w:tab w:leader="none" w:pos="4140" w:val="left"/>
        </w:tabs>
        <w:numPr>
          <w:ilvl w:val="1"/>
          <w:numId w:val="62"/>
        </w:numPr>
        <w:rPr>
          <w:rFonts w:ascii="MS PGothic" w:cs="MS PGothic" w:eastAsia="MS PGothic" w:hAnsi="MS PGothic"/>
          <w:sz w:val="16"/>
          <w:szCs w:val="16"/>
          <w:color w:val="auto"/>
        </w:rPr>
      </w:pPr>
      <w:r>
        <w:rPr>
          <w:rFonts w:ascii="Arial" w:cs="Arial" w:eastAsia="Arial" w:hAnsi="Arial"/>
          <w:sz w:val="16"/>
          <w:szCs w:val="16"/>
          <w:color w:val="auto"/>
        </w:rPr>
        <w:t>Record earnings per diluted share of $11.25</w:t>
      </w:r>
    </w:p>
    <w:p>
      <w:pPr>
        <w:spacing w:after="0" w:line="106" w:lineRule="exact"/>
        <w:rPr>
          <w:rFonts w:ascii="MS PGothic" w:cs="MS PGothic" w:eastAsia="MS PGothic" w:hAnsi="MS PGothic"/>
          <w:sz w:val="16"/>
          <w:szCs w:val="16"/>
          <w:color w:val="auto"/>
        </w:rPr>
      </w:pPr>
    </w:p>
    <w:p>
      <w:pPr>
        <w:ind w:left="3300"/>
        <w:spacing w:after="0"/>
        <w:rPr>
          <w:rFonts w:ascii="MS PGothic" w:cs="MS PGothic" w:eastAsia="MS PGothic" w:hAnsi="MS PGothic"/>
          <w:sz w:val="16"/>
          <w:szCs w:val="16"/>
          <w:color w:val="auto"/>
        </w:rPr>
      </w:pPr>
      <w:r>
        <w:rPr>
          <w:rFonts w:ascii="Arial" w:cs="Arial" w:eastAsia="Arial" w:hAnsi="Arial"/>
          <w:sz w:val="14"/>
          <w:szCs w:val="14"/>
          <w:i w:val="1"/>
          <w:iCs w:val="1"/>
          <w:color w:val="auto"/>
        </w:rPr>
        <w:t>* See Appendix B for a reconciliation of net earnings attributable to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2337435</wp:posOffset>
            </wp:positionH>
            <wp:positionV relativeFrom="paragraph">
              <wp:posOffset>-1209040</wp:posOffset>
            </wp:positionV>
            <wp:extent cx="2590165" cy="10718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590165" cy="1071880"/>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179070</wp:posOffset>
            </wp:positionV>
            <wp:extent cx="411480" cy="2489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279" w:lineRule="exact"/>
        <w:rPr>
          <w:sz w:val="20"/>
          <w:szCs w:val="20"/>
          <w:color w:val="auto"/>
        </w:rPr>
      </w:pPr>
    </w:p>
    <w:tbl>
      <w:tblPr>
        <w:tblLayout w:type="fixed"/>
        <w:tblInd w:w="9260" w:type="dxa"/>
        <w:tblCellMar>
          <w:top w:w="0" w:type="dxa"/>
          <w:left w:w="0" w:type="dxa"/>
          <w:bottom w:w="0" w:type="dxa"/>
          <w:right w:w="0" w:type="dxa"/>
        </w:tblCellMar>
      </w:tblPr>
      <w:tr>
        <w:trPr>
          <w:trHeight w:val="178"/>
        </w:trPr>
        <w:tc>
          <w:tcPr>
            <w:tcW w:w="1680" w:type="dxa"/>
            <w:vAlign w:val="bottom"/>
          </w:tcPr>
          <w:p>
            <w:pPr>
              <w:spacing w:after="0"/>
              <w:rPr>
                <w:sz w:val="20"/>
                <w:szCs w:val="20"/>
                <w:color w:val="auto"/>
              </w:rPr>
            </w:pPr>
            <w:r>
              <w:rPr>
                <w:rFonts w:ascii="Arial" w:cs="Arial" w:eastAsia="Arial" w:hAnsi="Arial"/>
                <w:sz w:val="13"/>
                <w:szCs w:val="13"/>
                <w:color w:val="007CBA"/>
              </w:rPr>
              <w:t>2018 PROXY STATEMENT</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rPr>
              <w:t>31</w:t>
            </w:r>
          </w:p>
        </w:tc>
      </w:tr>
    </w:tbl>
    <w:p>
      <w:pPr>
        <w:sectPr>
          <w:pgSz w:w="11900" w:h="16838" w:orient="portrait"/>
          <w:cols w:equalWidth="0" w:num="1">
            <w:col w:w="11220"/>
          </w:cols>
          <w:pgMar w:left="240" w:top="455" w:right="439" w:bottom="1440" w:gutter="0" w:footer="0" w:header="0"/>
          <w:type w:val="continuous"/>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64" w:lineRule="exact"/>
        <w:rPr>
          <w:sz w:val="20"/>
          <w:szCs w:val="20"/>
          <w:color w:val="auto"/>
        </w:rPr>
      </w:pPr>
    </w:p>
    <w:p>
      <w:pPr>
        <w:ind w:left="200"/>
        <w:spacing w:after="0" w:line="288" w:lineRule="exact"/>
        <w:rPr>
          <w:sz w:val="20"/>
          <w:szCs w:val="20"/>
          <w:color w:val="auto"/>
        </w:rPr>
      </w:pPr>
      <w:r>
        <w:rPr>
          <w:rFonts w:ascii="Arial" w:cs="Arial" w:eastAsia="Arial" w:hAnsi="Arial"/>
          <w:sz w:val="14"/>
          <w:szCs w:val="14"/>
          <w:color w:val="007CBA"/>
        </w:rPr>
        <w:t xml:space="preserve">Compensation Discussion and Analysis </w:t>
      </w:r>
      <w:r>
        <w:rPr>
          <w:rFonts w:ascii="MS PGothic" w:cs="MS PGothic" w:eastAsia="MS PGothic" w:hAnsi="MS PGothic"/>
          <w:sz w:val="25"/>
          <w:szCs w:val="25"/>
          <w:color w:val="007CBA"/>
        </w:rPr>
        <w:t>◆</w:t>
      </w:r>
      <w:r>
        <w:rPr>
          <w:rFonts w:ascii="Arial" w:cs="Arial" w:eastAsia="Arial" w:hAnsi="Arial"/>
          <w:sz w:val="14"/>
          <w:szCs w:val="14"/>
          <w:color w:val="007CBA"/>
        </w:rPr>
        <w:t xml:space="preserve"> </w:t>
      </w:r>
      <w:r>
        <w:rPr>
          <w:rFonts w:ascii="Arial" w:cs="Arial" w:eastAsia="Arial" w:hAnsi="Arial"/>
          <w:sz w:val="14"/>
          <w:szCs w:val="14"/>
          <w:color w:val="000000"/>
        </w:rPr>
        <w:t>Executive Summary</w:t>
      </w:r>
    </w:p>
    <w:p>
      <w:pPr>
        <w:spacing w:after="0" w:line="202" w:lineRule="exact"/>
        <w:rPr>
          <w:sz w:val="20"/>
          <w:szCs w:val="20"/>
          <w:color w:val="auto"/>
        </w:rPr>
      </w:pPr>
    </w:p>
    <w:p>
      <w:pPr>
        <w:jc w:val="both"/>
        <w:ind w:left="200"/>
        <w:spacing w:after="0" w:line="304" w:lineRule="auto"/>
        <w:rPr>
          <w:sz w:val="20"/>
          <w:szCs w:val="20"/>
          <w:color w:val="auto"/>
        </w:rPr>
      </w:pPr>
      <w:r>
        <w:rPr>
          <w:rFonts w:ascii="Arial" w:cs="Arial" w:eastAsia="Arial" w:hAnsi="Arial"/>
          <w:sz w:val="16"/>
          <w:szCs w:val="16"/>
          <w:color w:val="auto"/>
        </w:rPr>
        <w:t xml:space="preserve">Our performance earned us recognition, including being </w:t>
      </w:r>
      <w:r>
        <w:rPr>
          <w:rFonts w:ascii="Arial" w:cs="Arial" w:eastAsia="Arial" w:hAnsi="Arial"/>
          <w:sz w:val="16"/>
          <w:szCs w:val="16"/>
          <w:b w:val="1"/>
          <w:bCs w:val="1"/>
          <w:color w:val="auto"/>
        </w:rPr>
        <w:t>ranked #72 in Fortune’s 100 fastest growing companies in the world</w:t>
      </w:r>
      <w:r>
        <w:rPr>
          <w:rFonts w:ascii="Arial" w:cs="Arial" w:eastAsia="Arial" w:hAnsi="Arial"/>
          <w:sz w:val="16"/>
          <w:szCs w:val="16"/>
          <w:color w:val="auto"/>
        </w:rPr>
        <w:t xml:space="preserve"> in 2017. </w:t>
      </w:r>
      <w:r>
        <w:rPr>
          <w:rFonts w:ascii="Arial" w:cs="Arial" w:eastAsia="Arial" w:hAnsi="Arial"/>
          <w:sz w:val="16"/>
          <w:szCs w:val="16"/>
          <w:b w:val="1"/>
          <w:bCs w:val="1"/>
          <w:color w:val="auto"/>
        </w:rPr>
        <w:t>Our TSR for</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the 3-year and 5-year periods represented a premium </w:t>
      </w:r>
      <w:r>
        <w:rPr>
          <w:rFonts w:ascii="Arial" w:cs="Arial" w:eastAsia="Arial" w:hAnsi="Arial"/>
          <w:sz w:val="16"/>
          <w:szCs w:val="16"/>
          <w:color w:val="auto"/>
        </w:rPr>
        <w:t>relative to the performance of the S&amp;P 500 TSR and the S&amp;P 500 Materials Index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93980</wp:posOffset>
            </wp:positionV>
            <wp:extent cx="3009900" cy="13379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009900" cy="1337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left="200"/>
        <w:spacing w:after="0" w:line="269" w:lineRule="auto"/>
        <w:rPr>
          <w:sz w:val="20"/>
          <w:szCs w:val="20"/>
          <w:color w:val="auto"/>
        </w:rPr>
      </w:pPr>
      <w:r>
        <w:rPr>
          <w:rFonts w:ascii="Arial" w:cs="Arial" w:eastAsia="Arial" w:hAnsi="Arial"/>
          <w:sz w:val="16"/>
          <w:szCs w:val="16"/>
          <w:color w:val="auto"/>
        </w:rPr>
        <w:t>In 2017, we continued to focus on strategically positioning ourselves in high-growth areas. Consistent with our strategic plan and our assessment of the attractiveness of markets, we entered into an agreement to acquire Bluegrass Materials, the largest privately-held, pure-play aggregates business in the United States with locations in Maryland, Georgia, Kentucky, Tennessee and South Carolina.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116205</wp:posOffset>
            </wp:positionV>
            <wp:extent cx="4742180" cy="17665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742180" cy="1766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left="200"/>
        <w:spacing w:after="0" w:line="261" w:lineRule="auto"/>
        <w:rPr>
          <w:sz w:val="20"/>
          <w:szCs w:val="20"/>
          <w:color w:val="auto"/>
        </w:rPr>
      </w:pPr>
      <w:r>
        <w:rPr>
          <w:rFonts w:ascii="Arial" w:cs="Arial" w:eastAsia="Arial" w:hAnsi="Arial"/>
          <w:sz w:val="16"/>
          <w:szCs w:val="16"/>
          <w:color w:val="auto"/>
        </w:rPr>
        <w:t>Despite significant precipitation in many of our key markets and shipment volume decreases, we achieved record financial performance in 2017 that led to increased profits versus the prior year. Effective management provided us the ability to prudently reinvest in our business, pursue strategic opportunities, and return cash to our shareholders. Based on our strategy, we have achieved the number 1 or 2 position in 85% of the regions in which we operate, giving us a foundation for durable growth.</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 summary, Martin Marietta continued to execute its strategic plan while delivering strong performance in 2017 as compared to 2016:</w:t>
      </w:r>
    </w:p>
    <w:p>
      <w:pPr>
        <w:sectPr>
          <w:pgSz w:w="11900" w:h="16838" w:orient="portrait"/>
          <w:cols w:equalWidth="0" w:num="1">
            <w:col w:w="11220"/>
          </w:cols>
          <w:pgMar w:left="240" w:top="455" w:right="439" w:bottom="1440" w:gutter="0" w:footer="0" w:header="0"/>
        </w:sectPr>
      </w:pPr>
    </w:p>
    <w:p>
      <w:pPr>
        <w:spacing w:after="0" w:line="138" w:lineRule="exact"/>
        <w:rPr>
          <w:sz w:val="20"/>
          <w:szCs w:val="20"/>
          <w:color w:val="auto"/>
        </w:rPr>
      </w:pPr>
    </w:p>
    <w:p>
      <w:pPr>
        <w:jc w:val="both"/>
        <w:ind w:left="560" w:hanging="275"/>
        <w:spacing w:after="0" w:line="270" w:lineRule="auto"/>
        <w:tabs>
          <w:tab w:leader="none" w:pos="560" w:val="left"/>
        </w:tabs>
        <w:numPr>
          <w:ilvl w:val="0"/>
          <w:numId w:val="63"/>
        </w:numPr>
        <w:rPr>
          <w:rFonts w:ascii="Arial" w:cs="Arial" w:eastAsia="Arial" w:hAnsi="Arial"/>
          <w:sz w:val="16"/>
          <w:szCs w:val="16"/>
          <w:color w:val="007CBA"/>
        </w:rPr>
      </w:pPr>
      <w:r>
        <w:rPr>
          <w:rFonts w:ascii="Arial" w:cs="Arial" w:eastAsia="Arial" w:hAnsi="Arial"/>
          <w:sz w:val="16"/>
          <w:szCs w:val="16"/>
          <w:b w:val="1"/>
          <w:bCs w:val="1"/>
          <w:color w:val="auto"/>
        </w:rPr>
        <w:t xml:space="preserve">Record earnings per diluted share of $11.25 </w:t>
      </w:r>
      <w:r>
        <w:rPr>
          <w:rFonts w:ascii="Arial" w:cs="Arial" w:eastAsia="Arial" w:hAnsi="Arial"/>
          <w:sz w:val="16"/>
          <w:szCs w:val="16"/>
          <w:color w:val="auto"/>
        </w:rPr>
        <w:t>compared with</w:t>
      </w:r>
      <w:r>
        <w:rPr>
          <w:rFonts w:ascii="Arial" w:cs="Arial" w:eastAsia="Arial" w:hAnsi="Arial"/>
          <w:sz w:val="16"/>
          <w:szCs w:val="16"/>
          <w:b w:val="1"/>
          <w:bCs w:val="1"/>
          <w:color w:val="auto"/>
        </w:rPr>
        <w:t xml:space="preserve"> </w:t>
      </w:r>
      <w:r>
        <w:rPr>
          <w:rFonts w:ascii="Arial" w:cs="Arial" w:eastAsia="Arial" w:hAnsi="Arial"/>
          <w:sz w:val="16"/>
          <w:szCs w:val="16"/>
          <w:color w:val="auto"/>
        </w:rPr>
        <w:t>$6.63; 2017 includes $4.07 per share benefit for the impact of the Tax Cuts and Jobs Act of 2017 (2017 Tax Act)</w:t>
      </w:r>
    </w:p>
    <w:p>
      <w:pPr>
        <w:spacing w:after="0" w:line="27" w:lineRule="exact"/>
        <w:rPr>
          <w:rFonts w:ascii="Arial" w:cs="Arial" w:eastAsia="Arial" w:hAnsi="Arial"/>
          <w:sz w:val="16"/>
          <w:szCs w:val="16"/>
          <w:color w:val="007CBA"/>
        </w:rPr>
      </w:pPr>
    </w:p>
    <w:p>
      <w:pPr>
        <w:jc w:val="both"/>
        <w:ind w:left="560" w:hanging="275"/>
        <w:spacing w:after="0" w:line="262" w:lineRule="auto"/>
        <w:tabs>
          <w:tab w:leader="none" w:pos="560" w:val="left"/>
        </w:tabs>
        <w:numPr>
          <w:ilvl w:val="0"/>
          <w:numId w:val="63"/>
        </w:numPr>
        <w:rPr>
          <w:rFonts w:ascii="Arial" w:cs="Arial" w:eastAsia="Arial" w:hAnsi="Arial"/>
          <w:sz w:val="16"/>
          <w:szCs w:val="16"/>
          <w:color w:val="007CBA"/>
        </w:rPr>
      </w:pPr>
      <w:r>
        <w:rPr>
          <w:rFonts w:ascii="Arial" w:cs="Arial" w:eastAsia="Arial" w:hAnsi="Arial"/>
          <w:sz w:val="16"/>
          <w:szCs w:val="16"/>
          <w:b w:val="1"/>
          <w:bCs w:val="1"/>
          <w:color w:val="auto"/>
        </w:rPr>
        <w:t xml:space="preserve">Record net earnings attributable to Martin Marietta of $713.3 million, an increase of 68%, </w:t>
      </w:r>
      <w:r>
        <w:rPr>
          <w:rFonts w:ascii="Arial" w:cs="Arial" w:eastAsia="Arial" w:hAnsi="Arial"/>
          <w:sz w:val="16"/>
          <w:szCs w:val="16"/>
          <w:color w:val="auto"/>
        </w:rPr>
        <w:t>including a $258.1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income tax benefit from the remeasurement of deferred tax assets and liabilities following enactment of the 2017 Tax Act</w:t>
      </w:r>
    </w:p>
    <w:p>
      <w:pPr>
        <w:spacing w:after="0" w:line="33" w:lineRule="exact"/>
        <w:rPr>
          <w:rFonts w:ascii="Arial" w:cs="Arial" w:eastAsia="Arial" w:hAnsi="Arial"/>
          <w:sz w:val="16"/>
          <w:szCs w:val="16"/>
          <w:color w:val="007CBA"/>
        </w:rPr>
      </w:pPr>
    </w:p>
    <w:p>
      <w:pPr>
        <w:ind w:left="560" w:hanging="275"/>
        <w:spacing w:after="0" w:line="294" w:lineRule="auto"/>
        <w:tabs>
          <w:tab w:leader="none" w:pos="560" w:val="left"/>
        </w:tabs>
        <w:numPr>
          <w:ilvl w:val="0"/>
          <w:numId w:val="63"/>
        </w:numPr>
        <w:rPr>
          <w:rFonts w:ascii="Arial" w:cs="Arial" w:eastAsia="Arial" w:hAnsi="Arial"/>
          <w:sz w:val="16"/>
          <w:szCs w:val="16"/>
          <w:color w:val="007CBA"/>
        </w:rPr>
      </w:pPr>
      <w:r>
        <w:rPr>
          <w:rFonts w:ascii="Arial" w:cs="Arial" w:eastAsia="Arial" w:hAnsi="Arial"/>
          <w:sz w:val="16"/>
          <w:szCs w:val="16"/>
          <w:color w:val="auto"/>
        </w:rPr>
        <w:t xml:space="preserve">Record consolidated </w:t>
      </w:r>
      <w:r>
        <w:rPr>
          <w:rFonts w:ascii="Arial" w:cs="Arial" w:eastAsia="Arial" w:hAnsi="Arial"/>
          <w:sz w:val="16"/>
          <w:szCs w:val="16"/>
          <w:b w:val="1"/>
          <w:bCs w:val="1"/>
          <w:color w:val="auto"/>
        </w:rPr>
        <w:t>EBITDA of over $1.00 billion</w:t>
      </w:r>
      <w:r>
        <w:rPr>
          <w:rFonts w:ascii="Arial" w:cs="Arial" w:eastAsia="Arial" w:hAnsi="Arial"/>
          <w:sz w:val="16"/>
          <w:szCs w:val="16"/>
          <w:color w:val="auto"/>
        </w:rPr>
        <w:t xml:space="preserve"> compared with $971.6 million</w:t>
      </w:r>
    </w:p>
    <w:p>
      <w:pPr>
        <w:spacing w:after="0" w:line="8" w:lineRule="exact"/>
        <w:rPr>
          <w:rFonts w:ascii="Arial" w:cs="Arial" w:eastAsia="Arial" w:hAnsi="Arial"/>
          <w:sz w:val="16"/>
          <w:szCs w:val="16"/>
          <w:color w:val="007CBA"/>
        </w:rPr>
      </w:pPr>
    </w:p>
    <w:p>
      <w:pPr>
        <w:ind w:left="560" w:hanging="275"/>
        <w:spacing w:after="0" w:line="294" w:lineRule="auto"/>
        <w:tabs>
          <w:tab w:leader="none" w:pos="560" w:val="left"/>
        </w:tabs>
        <w:numPr>
          <w:ilvl w:val="0"/>
          <w:numId w:val="63"/>
        </w:numPr>
        <w:rPr>
          <w:rFonts w:ascii="Arial" w:cs="Arial" w:eastAsia="Arial" w:hAnsi="Arial"/>
          <w:sz w:val="16"/>
          <w:szCs w:val="16"/>
          <w:color w:val="007CBA"/>
        </w:rPr>
      </w:pPr>
      <w:r>
        <w:rPr>
          <w:rFonts w:ascii="Arial" w:cs="Arial" w:eastAsia="Arial" w:hAnsi="Arial"/>
          <w:sz w:val="16"/>
          <w:szCs w:val="16"/>
          <w:color w:val="auto"/>
        </w:rPr>
        <w:t xml:space="preserve">Record consolidated </w:t>
      </w:r>
      <w:r>
        <w:rPr>
          <w:rFonts w:ascii="Arial" w:cs="Arial" w:eastAsia="Arial" w:hAnsi="Arial"/>
          <w:sz w:val="16"/>
          <w:szCs w:val="16"/>
          <w:b w:val="1"/>
          <w:bCs w:val="1"/>
          <w:color w:val="auto"/>
        </w:rPr>
        <w:t>total revenues of $3.97 billion</w:t>
      </w:r>
      <w:r>
        <w:rPr>
          <w:rFonts w:ascii="Arial" w:cs="Arial" w:eastAsia="Arial" w:hAnsi="Arial"/>
          <w:sz w:val="16"/>
          <w:szCs w:val="16"/>
          <w:color w:val="auto"/>
        </w:rPr>
        <w:t xml:space="preserve"> compared with $3.82 billion, an increase of 3.8%</w:t>
      </w:r>
    </w:p>
    <w:p>
      <w:pPr>
        <w:spacing w:after="0" w:line="8" w:lineRule="exact"/>
        <w:rPr>
          <w:rFonts w:ascii="Arial" w:cs="Arial" w:eastAsia="Arial" w:hAnsi="Arial"/>
          <w:sz w:val="16"/>
          <w:szCs w:val="16"/>
          <w:color w:val="007CBA"/>
        </w:rPr>
      </w:pPr>
    </w:p>
    <w:p>
      <w:pPr>
        <w:ind w:left="560" w:hanging="275"/>
        <w:spacing w:after="0" w:line="294" w:lineRule="auto"/>
        <w:tabs>
          <w:tab w:leader="none" w:pos="560" w:val="left"/>
        </w:tabs>
        <w:numPr>
          <w:ilvl w:val="0"/>
          <w:numId w:val="63"/>
        </w:numPr>
        <w:rPr>
          <w:rFonts w:ascii="Arial" w:cs="Arial" w:eastAsia="Arial" w:hAnsi="Arial"/>
          <w:sz w:val="16"/>
          <w:szCs w:val="16"/>
          <w:color w:val="007CBA"/>
        </w:rPr>
      </w:pPr>
      <w:r>
        <w:rPr>
          <w:rFonts w:ascii="Arial" w:cs="Arial" w:eastAsia="Arial" w:hAnsi="Arial"/>
          <w:sz w:val="16"/>
          <w:szCs w:val="16"/>
          <w:color w:val="auto"/>
        </w:rPr>
        <w:t xml:space="preserve">Aggregates product line </w:t>
      </w:r>
      <w:r>
        <w:rPr>
          <w:rFonts w:ascii="Arial" w:cs="Arial" w:eastAsia="Arial" w:hAnsi="Arial"/>
          <w:sz w:val="16"/>
          <w:szCs w:val="16"/>
          <w:b w:val="1"/>
          <w:bCs w:val="1"/>
          <w:color w:val="auto"/>
        </w:rPr>
        <w:t>pricing increase of 4.5%</w:t>
      </w:r>
      <w:r>
        <w:rPr>
          <w:rFonts w:ascii="Arial" w:cs="Arial" w:eastAsia="Arial" w:hAnsi="Arial"/>
          <w:sz w:val="16"/>
          <w:szCs w:val="16"/>
          <w:color w:val="auto"/>
        </w:rPr>
        <w:t xml:space="preserve"> despite aggregates product line volume decline of 0.6%</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left="275" w:right="20" w:hanging="275"/>
        <w:spacing w:after="0" w:line="299" w:lineRule="auto"/>
        <w:tabs>
          <w:tab w:leader="none" w:pos="275" w:val="left"/>
        </w:tabs>
        <w:numPr>
          <w:ilvl w:val="0"/>
          <w:numId w:val="64"/>
        </w:numPr>
        <w:rPr>
          <w:rFonts w:ascii="Arial" w:cs="Arial" w:eastAsia="Arial" w:hAnsi="Arial"/>
          <w:sz w:val="16"/>
          <w:szCs w:val="16"/>
          <w:color w:val="007CBA"/>
        </w:rPr>
      </w:pPr>
      <w:r>
        <w:rPr>
          <w:rFonts w:ascii="Arial" w:cs="Arial" w:eastAsia="Arial" w:hAnsi="Arial"/>
          <w:sz w:val="16"/>
          <w:szCs w:val="16"/>
          <w:color w:val="auto"/>
        </w:rPr>
        <w:t xml:space="preserve">Cement product line total revenues of $384.1 million and </w:t>
      </w:r>
      <w:r>
        <w:rPr>
          <w:rFonts w:ascii="Arial" w:cs="Arial" w:eastAsia="Arial" w:hAnsi="Arial"/>
          <w:sz w:val="16"/>
          <w:szCs w:val="16"/>
          <w:b w:val="1"/>
          <w:bCs w:val="1"/>
          <w:color w:val="auto"/>
        </w:rPr>
        <w:t>gross profit</w:t>
      </w:r>
      <w:r>
        <w:rPr>
          <w:rFonts w:ascii="Arial" w:cs="Arial" w:eastAsia="Arial" w:hAnsi="Arial"/>
          <w:sz w:val="16"/>
          <w:szCs w:val="16"/>
          <w:color w:val="auto"/>
        </w:rPr>
        <w:t xml:space="preserve"> </w:t>
      </w:r>
      <w:r>
        <w:rPr>
          <w:rFonts w:ascii="Arial" w:cs="Arial" w:eastAsia="Arial" w:hAnsi="Arial"/>
          <w:sz w:val="16"/>
          <w:szCs w:val="16"/>
          <w:b w:val="1"/>
          <w:bCs w:val="1"/>
          <w:color w:val="auto"/>
        </w:rPr>
        <w:t>of $117.3 million</w:t>
      </w:r>
    </w:p>
    <w:p>
      <w:pPr>
        <w:ind w:left="275" w:hanging="275"/>
        <w:spacing w:after="0"/>
        <w:tabs>
          <w:tab w:leader="none" w:pos="275" w:val="left"/>
        </w:tabs>
        <w:numPr>
          <w:ilvl w:val="0"/>
          <w:numId w:val="64"/>
        </w:numPr>
        <w:rPr>
          <w:rFonts w:ascii="Arial" w:cs="Arial" w:eastAsia="Arial" w:hAnsi="Arial"/>
          <w:sz w:val="16"/>
          <w:szCs w:val="16"/>
          <w:color w:val="007CBA"/>
        </w:rPr>
      </w:pPr>
      <w:r>
        <w:rPr>
          <w:rFonts w:ascii="Arial" w:cs="Arial" w:eastAsia="Arial" w:hAnsi="Arial"/>
          <w:sz w:val="16"/>
          <w:szCs w:val="16"/>
          <w:b w:val="1"/>
          <w:bCs w:val="1"/>
          <w:color w:val="auto"/>
        </w:rPr>
        <w:t>Return on shareholders’ equity of 16.2%</w:t>
      </w:r>
    </w:p>
    <w:p>
      <w:pPr>
        <w:spacing w:after="0" w:line="88" w:lineRule="exact"/>
        <w:rPr>
          <w:rFonts w:ascii="Arial" w:cs="Arial" w:eastAsia="Arial" w:hAnsi="Arial"/>
          <w:sz w:val="16"/>
          <w:szCs w:val="16"/>
          <w:color w:val="007CBA"/>
        </w:rPr>
      </w:pPr>
    </w:p>
    <w:p>
      <w:pPr>
        <w:ind w:left="275" w:hanging="275"/>
        <w:spacing w:after="0" w:line="299" w:lineRule="auto"/>
        <w:tabs>
          <w:tab w:leader="none" w:pos="275" w:val="left"/>
        </w:tabs>
        <w:numPr>
          <w:ilvl w:val="0"/>
          <w:numId w:val="64"/>
        </w:numPr>
        <w:rPr>
          <w:rFonts w:ascii="Arial" w:cs="Arial" w:eastAsia="Arial" w:hAnsi="Arial"/>
          <w:sz w:val="16"/>
          <w:szCs w:val="16"/>
          <w:color w:val="007CBA"/>
        </w:rPr>
      </w:pPr>
      <w:r>
        <w:rPr>
          <w:rFonts w:ascii="Arial" w:cs="Arial" w:eastAsia="Arial" w:hAnsi="Arial"/>
          <w:sz w:val="16"/>
          <w:szCs w:val="16"/>
          <w:color w:val="auto"/>
        </w:rPr>
        <w:t xml:space="preserve">Record Magnesia Specialties’ total revenues of $270.0 million and </w:t>
      </w:r>
      <w:r>
        <w:rPr>
          <w:rFonts w:ascii="Arial" w:cs="Arial" w:eastAsia="Arial" w:hAnsi="Arial"/>
          <w:sz w:val="16"/>
          <w:szCs w:val="16"/>
          <w:b w:val="1"/>
          <w:bCs w:val="1"/>
          <w:color w:val="auto"/>
        </w:rPr>
        <w:t>earnings from operations of $79.4 million</w:t>
      </w:r>
    </w:p>
    <w:p>
      <w:pPr>
        <w:ind w:left="275" w:right="20" w:hanging="275"/>
        <w:spacing w:after="0" w:line="298" w:lineRule="auto"/>
        <w:tabs>
          <w:tab w:leader="none" w:pos="275" w:val="left"/>
        </w:tabs>
        <w:numPr>
          <w:ilvl w:val="0"/>
          <w:numId w:val="64"/>
        </w:numPr>
        <w:rPr>
          <w:rFonts w:ascii="Arial" w:cs="Arial" w:eastAsia="Arial" w:hAnsi="Arial"/>
          <w:sz w:val="16"/>
          <w:szCs w:val="16"/>
          <w:color w:val="007CBA"/>
        </w:rPr>
      </w:pPr>
      <w:r>
        <w:rPr>
          <w:rFonts w:ascii="Arial" w:cs="Arial" w:eastAsia="Arial" w:hAnsi="Arial"/>
          <w:sz w:val="16"/>
          <w:szCs w:val="16"/>
          <w:color w:val="auto"/>
        </w:rPr>
        <w:t xml:space="preserve">Effective management of controllable production costs, as evidenced by a </w:t>
      </w:r>
      <w:r>
        <w:rPr>
          <w:rFonts w:ascii="Arial" w:cs="Arial" w:eastAsia="Arial" w:hAnsi="Arial"/>
          <w:sz w:val="16"/>
          <w:szCs w:val="16"/>
          <w:b w:val="1"/>
          <w:bCs w:val="1"/>
          <w:color w:val="auto"/>
        </w:rPr>
        <w:t>60-basis-point improvement in consolidated gross margin</w:t>
      </w:r>
    </w:p>
    <w:p>
      <w:pPr>
        <w:ind w:left="275" w:right="20" w:hanging="275"/>
        <w:spacing w:after="0" w:line="299" w:lineRule="auto"/>
        <w:tabs>
          <w:tab w:leader="none" w:pos="275" w:val="left"/>
        </w:tabs>
        <w:numPr>
          <w:ilvl w:val="0"/>
          <w:numId w:val="64"/>
        </w:numPr>
        <w:rPr>
          <w:rFonts w:ascii="Arial" w:cs="Arial" w:eastAsia="Arial" w:hAnsi="Arial"/>
          <w:sz w:val="16"/>
          <w:szCs w:val="16"/>
          <w:color w:val="007CBA"/>
        </w:rPr>
      </w:pPr>
      <w:r>
        <w:rPr>
          <w:rFonts w:ascii="Arial" w:cs="Arial" w:eastAsia="Arial" w:hAnsi="Arial"/>
          <w:sz w:val="16"/>
          <w:szCs w:val="16"/>
          <w:color w:val="auto"/>
        </w:rPr>
        <w:t xml:space="preserve">Selling, general and administrative </w:t>
      </w:r>
      <w:r>
        <w:rPr>
          <w:rFonts w:ascii="Arial" w:cs="Arial" w:eastAsia="Arial" w:hAnsi="Arial"/>
          <w:sz w:val="16"/>
          <w:szCs w:val="16"/>
          <w:b w:val="1"/>
          <w:bCs w:val="1"/>
          <w:color w:val="auto"/>
        </w:rPr>
        <w:t>(SG&amp;A) expenses representing</w:t>
      </w:r>
      <w:r>
        <w:rPr>
          <w:rFonts w:ascii="Arial" w:cs="Arial" w:eastAsia="Arial" w:hAnsi="Arial"/>
          <w:sz w:val="16"/>
          <w:szCs w:val="16"/>
          <w:color w:val="auto"/>
        </w:rPr>
        <w:t xml:space="preserve"> </w:t>
      </w:r>
      <w:r>
        <w:rPr>
          <w:rFonts w:ascii="Arial" w:cs="Arial" w:eastAsia="Arial" w:hAnsi="Arial"/>
          <w:sz w:val="16"/>
          <w:szCs w:val="16"/>
          <w:b w:val="1"/>
          <w:bCs w:val="1"/>
          <w:color w:val="auto"/>
        </w:rPr>
        <w:t>6.6% of total revenues</w:t>
      </w:r>
    </w:p>
    <w:p>
      <w:pPr>
        <w:ind w:left="275" w:hanging="275"/>
        <w:spacing w:after="0"/>
        <w:tabs>
          <w:tab w:leader="none" w:pos="275" w:val="left"/>
        </w:tabs>
        <w:numPr>
          <w:ilvl w:val="0"/>
          <w:numId w:val="64"/>
        </w:numPr>
        <w:rPr>
          <w:rFonts w:ascii="Arial" w:cs="Arial" w:eastAsia="Arial" w:hAnsi="Arial"/>
          <w:sz w:val="16"/>
          <w:szCs w:val="16"/>
          <w:b w:val="1"/>
          <w:bCs w:val="1"/>
          <w:color w:val="007CBA"/>
        </w:rPr>
      </w:pPr>
      <w:r>
        <w:rPr>
          <w:rFonts w:ascii="Arial" w:cs="Arial" w:eastAsia="Arial" w:hAnsi="Arial"/>
          <w:sz w:val="16"/>
          <w:szCs w:val="16"/>
          <w:b w:val="1"/>
          <w:bCs w:val="1"/>
          <w:color w:val="auto"/>
        </w:rPr>
        <w:t>Operating cash flow of $657.9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513715</wp:posOffset>
            </wp:positionV>
            <wp:extent cx="411480" cy="2489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763" w:lineRule="exact"/>
        <w:rPr>
          <w:sz w:val="20"/>
          <w:szCs w:val="20"/>
          <w:color w:val="auto"/>
        </w:rPr>
      </w:pPr>
    </w:p>
    <w:p>
      <w:pPr>
        <w:sectPr>
          <w:pgSz w:w="11900" w:h="16838" w:orient="portrait"/>
          <w:cols w:equalWidth="0" w:num="2">
            <w:col w:w="5480" w:space="425"/>
            <w:col w:w="5315"/>
          </w:cols>
          <w:pgMar w:left="240" w:top="455" w:right="439" w:bottom="1440" w:gutter="0" w:footer="0" w:header="0"/>
          <w:type w:val="continuous"/>
        </w:sectPr>
      </w:pPr>
    </w:p>
    <w:p>
      <w:pPr>
        <w:spacing w:after="0" w:line="63" w:lineRule="exact"/>
        <w:rPr>
          <w:sz w:val="20"/>
          <w:szCs w:val="20"/>
          <w:color w:val="auto"/>
        </w:rPr>
      </w:pPr>
    </w:p>
    <w:p>
      <w:pPr>
        <w:ind w:left="640" w:hanging="436"/>
        <w:spacing w:after="0"/>
        <w:tabs>
          <w:tab w:leader="none" w:pos="640" w:val="left"/>
        </w:tabs>
        <w:numPr>
          <w:ilvl w:val="0"/>
          <w:numId w:val="65"/>
        </w:numPr>
        <w:rPr>
          <w:rFonts w:ascii="Arial" w:cs="Arial" w:eastAsia="Arial" w:hAnsi="Arial"/>
          <w:sz w:val="12"/>
          <w:szCs w:val="12"/>
          <w:b w:val="1"/>
          <w:bCs w:val="1"/>
          <w:color w:val="auto"/>
        </w:rPr>
      </w:pPr>
      <w:r>
        <w:rPr>
          <w:rFonts w:ascii="Arial" w:cs="Arial" w:eastAsia="Arial" w:hAnsi="Arial"/>
          <w:sz w:val="12"/>
          <w:szCs w:val="12"/>
          <w:color w:val="007CBA"/>
        </w:rPr>
        <w:t>2018 PROXY STATEMENT</w:t>
      </w:r>
    </w:p>
    <w:p>
      <w:pPr>
        <w:sectPr>
          <w:pgSz w:w="11900" w:h="16838" w:orient="portrait"/>
          <w:cols w:equalWidth="0" w:num="1">
            <w:col w:w="11220"/>
          </w:cols>
          <w:pgMar w:left="240" w:top="455" w:right="439" w:bottom="1440" w:gutter="0" w:footer="0" w:header="0"/>
          <w:type w:val="continuous"/>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20" w:right="20"/>
        <w:spacing w:after="0" w:line="291" w:lineRule="auto"/>
        <w:rPr>
          <w:sz w:val="20"/>
          <w:szCs w:val="20"/>
          <w:color w:val="auto"/>
        </w:rPr>
      </w:pPr>
      <w:r>
        <w:rPr>
          <w:rFonts w:ascii="Arial" w:cs="Arial" w:eastAsia="Arial" w:hAnsi="Arial"/>
          <w:sz w:val="16"/>
          <w:szCs w:val="16"/>
          <w:color w:val="auto"/>
        </w:rPr>
        <w:t>This financial performance allowed us to achieve our additional strategic objectives, including:</w:t>
      </w:r>
    </w:p>
    <w:p>
      <w:pPr>
        <w:spacing w:after="0" w:line="11" w:lineRule="exact"/>
        <w:rPr>
          <w:sz w:val="20"/>
          <w:szCs w:val="20"/>
          <w:color w:val="auto"/>
        </w:rPr>
      </w:pPr>
    </w:p>
    <w:p>
      <w:pPr>
        <w:jc w:val="both"/>
        <w:ind w:left="560" w:right="20" w:hanging="275"/>
        <w:spacing w:after="0" w:line="262" w:lineRule="auto"/>
        <w:tabs>
          <w:tab w:leader="none" w:pos="560" w:val="left"/>
        </w:tabs>
        <w:numPr>
          <w:ilvl w:val="0"/>
          <w:numId w:val="66"/>
        </w:numPr>
        <w:rPr>
          <w:rFonts w:ascii="Arial" w:cs="Arial" w:eastAsia="Arial" w:hAnsi="Arial"/>
          <w:sz w:val="16"/>
          <w:szCs w:val="16"/>
          <w:color w:val="007CBA"/>
        </w:rPr>
      </w:pPr>
      <w:r>
        <w:rPr>
          <w:rFonts w:ascii="Arial" w:cs="Arial" w:eastAsia="Arial" w:hAnsi="Arial"/>
          <w:sz w:val="16"/>
          <w:szCs w:val="16"/>
          <w:color w:val="auto"/>
        </w:rPr>
        <w:t xml:space="preserve">Pursuing </w:t>
      </w:r>
      <w:r>
        <w:rPr>
          <w:rFonts w:ascii="Arial" w:cs="Arial" w:eastAsia="Arial" w:hAnsi="Arial"/>
          <w:sz w:val="16"/>
          <w:szCs w:val="16"/>
          <w:b w:val="1"/>
          <w:bCs w:val="1"/>
          <w:color w:val="auto"/>
        </w:rPr>
        <w:t>aggregates-led expansion through</w:t>
      </w:r>
      <w:r>
        <w:rPr>
          <w:rFonts w:ascii="Arial" w:cs="Arial" w:eastAsia="Arial" w:hAnsi="Arial"/>
          <w:sz w:val="16"/>
          <w:szCs w:val="16"/>
          <w:color w:val="auto"/>
        </w:rPr>
        <w:t xml:space="preserve"> acquisitions that complement existing operations (i.e., bolt-on acquisitions) and acquisitions that provide leadership entry into new markets or similar product lines (i.e., platform acquisitions)</w:t>
      </w:r>
    </w:p>
    <w:p>
      <w:pPr>
        <w:spacing w:after="0" w:line="33" w:lineRule="exact"/>
        <w:rPr>
          <w:rFonts w:ascii="Arial" w:cs="Arial" w:eastAsia="Arial" w:hAnsi="Arial"/>
          <w:sz w:val="16"/>
          <w:szCs w:val="16"/>
          <w:color w:val="007CBA"/>
        </w:rPr>
      </w:pPr>
    </w:p>
    <w:p>
      <w:pPr>
        <w:jc w:val="both"/>
        <w:ind w:left="560" w:right="20" w:hanging="275"/>
        <w:spacing w:after="0" w:line="259" w:lineRule="auto"/>
        <w:tabs>
          <w:tab w:leader="none" w:pos="560" w:val="left"/>
        </w:tabs>
        <w:numPr>
          <w:ilvl w:val="0"/>
          <w:numId w:val="66"/>
        </w:numPr>
        <w:rPr>
          <w:rFonts w:ascii="Arial" w:cs="Arial" w:eastAsia="Arial" w:hAnsi="Arial"/>
          <w:sz w:val="16"/>
          <w:szCs w:val="16"/>
          <w:color w:val="007CBA"/>
        </w:rPr>
      </w:pPr>
      <w:r>
        <w:rPr>
          <w:rFonts w:ascii="Arial" w:cs="Arial" w:eastAsia="Arial" w:hAnsi="Arial"/>
          <w:sz w:val="16"/>
          <w:szCs w:val="16"/>
          <w:b w:val="1"/>
          <w:bCs w:val="1"/>
          <w:color w:val="auto"/>
        </w:rPr>
        <w:t xml:space="preserve">Returning $209 million to our shareholders in 2017 </w:t>
      </w:r>
      <w:r>
        <w:rPr>
          <w:rFonts w:ascii="Arial" w:cs="Arial" w:eastAsia="Arial" w:hAnsi="Arial"/>
          <w:sz w:val="16"/>
          <w:szCs w:val="16"/>
          <w:color w:val="auto"/>
        </w:rPr>
        <w:t>through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share repurchases ($100.0 million) and meaningful dividends ($108.9 million) that were recently increased, and totaling over </w:t>
      </w:r>
      <w:r>
        <w:rPr>
          <w:rFonts w:ascii="Arial" w:cs="Arial" w:eastAsia="Arial" w:hAnsi="Arial"/>
          <w:sz w:val="16"/>
          <w:szCs w:val="16"/>
          <w:b w:val="1"/>
          <w:bCs w:val="1"/>
          <w:color w:val="auto"/>
        </w:rPr>
        <w:t xml:space="preserve">$1.2 billion </w:t>
      </w:r>
      <w:r>
        <w:rPr>
          <w:rFonts w:ascii="Arial" w:cs="Arial" w:eastAsia="Arial" w:hAnsi="Arial"/>
          <w:sz w:val="16"/>
          <w:szCs w:val="16"/>
          <w:color w:val="auto"/>
        </w:rPr>
        <w:t>since announcing our repurchase authorization in</w:t>
      </w:r>
      <w:r>
        <w:rPr>
          <w:rFonts w:ascii="Arial" w:cs="Arial" w:eastAsia="Arial" w:hAnsi="Arial"/>
          <w:sz w:val="16"/>
          <w:szCs w:val="16"/>
          <w:b w:val="1"/>
          <w:bCs w:val="1"/>
          <w:color w:val="auto"/>
        </w:rPr>
        <w:t xml:space="preserve"> </w:t>
      </w:r>
      <w:r>
        <w:rPr>
          <w:rFonts w:ascii="Arial" w:cs="Arial" w:eastAsia="Arial" w:hAnsi="Arial"/>
          <w:sz w:val="16"/>
          <w:szCs w:val="16"/>
          <w:color w:val="auto"/>
        </w:rPr>
        <w:t>February 2015</w:t>
      </w:r>
    </w:p>
    <w:p>
      <w:pPr>
        <w:spacing w:after="0" w:line="342"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 xml:space="preserve">Martin Marietta continues to be recognized as the best of the best in our industry. All awards are meaningful, but it is particularly satisfying when we are recognized for achievement against a core value, such as safety. At the 2017 Fall meeting of the National Stone, Sand and Gravel Association (NSSGA), several of our facilities were recognized as NSSGA </w:t>
      </w:r>
      <w:r>
        <w:rPr>
          <w:rFonts w:ascii="Arial" w:cs="Arial" w:eastAsia="Arial" w:hAnsi="Arial"/>
          <w:sz w:val="16"/>
          <w:szCs w:val="16"/>
          <w:b w:val="1"/>
          <w:bCs w:val="1"/>
          <w:color w:val="auto"/>
        </w:rPr>
        <w:t>Safety Excellence Award</w:t>
      </w:r>
      <w:r>
        <w:rPr>
          <w:rFonts w:ascii="Arial" w:cs="Arial" w:eastAsia="Arial" w:hAnsi="Arial"/>
          <w:sz w:val="16"/>
          <w:szCs w:val="16"/>
          <w:color w:val="auto"/>
        </w:rPr>
        <w:t xml:space="preserve"> winners. These awards recognize operations that have gone the longest duration without a reportable injury in their size category, based on data provided by the Mine Safety and Health Administration (MSHA). Our Rio Medina Quarry, located in San Antonio, Texas, earned a gold-level Safety Excellence award in the large quarry category. Silver-level award winners include Helotes Quarry (Texas), Cedarville Quarry (Ohio), 3 Bells Sand &amp; Gravel (Colorado), New Harvey Sand (Iowa), Linn County Sand (Iowa) and Onslow Quarry (North Carolina). In addition, 20 of our operations were recognized as bronze-level award winners.</w:t>
      </w:r>
    </w:p>
    <w:p>
      <w:pPr>
        <w:spacing w:after="0" w:line="148"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 xml:space="preserve">Stewardship is another of our core values and our operations were well-represented among the NSSGA </w:t>
      </w:r>
      <w:r>
        <w:rPr>
          <w:rFonts w:ascii="Arial" w:cs="Arial" w:eastAsia="Arial" w:hAnsi="Arial"/>
          <w:sz w:val="16"/>
          <w:szCs w:val="16"/>
          <w:b w:val="1"/>
          <w:bCs w:val="1"/>
          <w:color w:val="auto"/>
        </w:rPr>
        <w:t>Environmental Excellence Award</w:t>
      </w:r>
      <w:r>
        <w:rPr>
          <w:rFonts w:ascii="Arial" w:cs="Arial" w:eastAsia="Arial" w:hAnsi="Arial"/>
          <w:sz w:val="16"/>
          <w:szCs w:val="16"/>
          <w:color w:val="auto"/>
        </w:rPr>
        <w:t xml:space="preserve"> winners. These awards provide national recognition for operations actively contributing to the maintenance of the environment in and around their operations as evidenced by a commitment to the exemplary use of environmental controls and systems. This award is based, in part, on the extent to which an operation meets and exceeds technical environmental and regulatory requirements. In addition, in order to be eligible for the award, the operation must certify its compliance with all applicable governmental environmental regulatory requirements and does not have a pattern of violations during the time period of two full years prior to the date of application. Two of our operations, Central Rock (North Carolina) and Mill Creek Limestone (Oklahoma), were recognized as gold-level award winners. Silver-level winners included Kings Mountain Quarry (North Carolina), Maiden Quarry (North Carolina) and North Columbia Quarry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1" w:lineRule="exact"/>
        <w:rPr>
          <w:sz w:val="20"/>
          <w:szCs w:val="20"/>
          <w:color w:val="auto"/>
        </w:rPr>
      </w:pPr>
    </w:p>
    <w:p>
      <w:pPr>
        <w:jc w:val="right"/>
        <w:spacing w:after="0" w:line="288" w:lineRule="exact"/>
        <w:rPr>
          <w:sz w:val="20"/>
          <w:szCs w:val="20"/>
          <w:color w:val="auto"/>
        </w:rPr>
      </w:pPr>
      <w:r>
        <w:rPr>
          <w:rFonts w:ascii="Arial" w:cs="Arial" w:eastAsia="Arial" w:hAnsi="Arial"/>
          <w:sz w:val="14"/>
          <w:szCs w:val="14"/>
          <w:color w:val="auto"/>
        </w:rPr>
        <w:t xml:space="preserve">Executive Summary </w:t>
      </w:r>
      <w:r>
        <w:rPr>
          <w:rFonts w:ascii="MS PGothic" w:cs="MS PGothic" w:eastAsia="MS PGothic" w:hAnsi="MS PGothic"/>
          <w:sz w:val="25"/>
          <w:szCs w:val="25"/>
          <w:color w:val="007CBA"/>
        </w:rPr>
        <w:t>◆</w:t>
      </w:r>
      <w:r>
        <w:rPr>
          <w:rFonts w:ascii="Arial" w:cs="Arial" w:eastAsia="Arial" w:hAnsi="Arial"/>
          <w:sz w:val="14"/>
          <w:szCs w:val="14"/>
          <w:color w:val="auto"/>
        </w:rPr>
        <w:t xml:space="preserve"> </w:t>
      </w:r>
      <w:r>
        <w:rPr>
          <w:rFonts w:ascii="Arial" w:cs="Arial" w:eastAsia="Arial" w:hAnsi="Arial"/>
          <w:sz w:val="14"/>
          <w:szCs w:val="14"/>
          <w:color w:val="007CB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-681355</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3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(South Carolina). Eleven of our operations were recognized as bronze-level award winners.</w:t>
      </w:r>
    </w:p>
    <w:p>
      <w:pPr>
        <w:spacing w:after="0" w:line="12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In 2017, </w:t>
      </w:r>
      <w:r>
        <w:rPr>
          <w:rFonts w:ascii="Arial" w:cs="Arial" w:eastAsia="Arial" w:hAnsi="Arial"/>
          <w:sz w:val="16"/>
          <w:szCs w:val="16"/>
          <w:i w:val="1"/>
          <w:iCs w:val="1"/>
          <w:color w:val="auto"/>
        </w:rPr>
        <w:t>Forbes Magazine</w:t>
      </w:r>
      <w:r>
        <w:rPr>
          <w:rFonts w:ascii="Arial" w:cs="Arial" w:eastAsia="Arial" w:hAnsi="Arial"/>
          <w:sz w:val="16"/>
          <w:szCs w:val="16"/>
          <w:color w:val="auto"/>
        </w:rPr>
        <w:t xml:space="preserve"> unveiled two new lists and Martin Marietta was recognized on both: We ranked #146 on the </w:t>
      </w:r>
      <w:r>
        <w:rPr>
          <w:rFonts w:ascii="Arial" w:cs="Arial" w:eastAsia="Arial" w:hAnsi="Arial"/>
          <w:sz w:val="16"/>
          <w:szCs w:val="16"/>
          <w:b w:val="1"/>
          <w:bCs w:val="1"/>
          <w:color w:val="auto"/>
        </w:rPr>
        <w:t>Global 2000 Growth</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Champions </w:t>
      </w:r>
      <w:r>
        <w:rPr>
          <w:rFonts w:ascii="Arial" w:cs="Arial" w:eastAsia="Arial" w:hAnsi="Arial"/>
          <w:sz w:val="16"/>
          <w:szCs w:val="16"/>
          <w:color w:val="auto"/>
        </w:rPr>
        <w:t>list and #209 on the</w:t>
      </w:r>
      <w:r>
        <w:rPr>
          <w:rFonts w:ascii="Arial" w:cs="Arial" w:eastAsia="Arial" w:hAnsi="Arial"/>
          <w:sz w:val="16"/>
          <w:szCs w:val="16"/>
          <w:b w:val="1"/>
          <w:bCs w:val="1"/>
          <w:color w:val="auto"/>
        </w:rPr>
        <w:t xml:space="preserve"> Global 2000 World’s Best Employers </w:t>
      </w:r>
      <w:r>
        <w:rPr>
          <w:rFonts w:ascii="Arial" w:cs="Arial" w:eastAsia="Arial" w:hAnsi="Arial"/>
          <w:sz w:val="16"/>
          <w:szCs w:val="16"/>
          <w:color w:val="auto"/>
        </w:rPr>
        <w:t>list. Sales are one of four metrics used to rank the companies on the Global 2000 Growth Champions list – the others are profits, assets and market value. Our financial performance put us on this list. Our employees put us on the Global 2000 World’s Best Employers list. Employees were asked to rate their employer and the likelihood they would recommend the company to a friend or family member. We were one of only 9 employers from the Construction Materials sector recognized in the top 500. In addition, we were the highest ranked U.S.-based employer from the Construction Materials sector in the top 500.</w:t>
      </w:r>
    </w:p>
    <w:p>
      <w:pPr>
        <w:spacing w:after="0" w:line="14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 xml:space="preserve">Further, for the second year in a row, Martin Marietta was also recognized by </w:t>
      </w:r>
      <w:r>
        <w:rPr>
          <w:rFonts w:ascii="Arial" w:cs="Arial" w:eastAsia="Arial" w:hAnsi="Arial"/>
          <w:sz w:val="16"/>
          <w:szCs w:val="16"/>
          <w:i w:val="1"/>
          <w:iCs w:val="1"/>
          <w:color w:val="auto"/>
        </w:rPr>
        <w:t>Fortune Magazine</w:t>
      </w:r>
      <w:r>
        <w:rPr>
          <w:rFonts w:ascii="Arial" w:cs="Arial" w:eastAsia="Arial" w:hAnsi="Arial"/>
          <w:sz w:val="16"/>
          <w:szCs w:val="16"/>
          <w:color w:val="auto"/>
        </w:rPr>
        <w:t xml:space="preserve"> as one of the </w:t>
      </w:r>
      <w:r>
        <w:rPr>
          <w:rFonts w:ascii="Arial" w:cs="Arial" w:eastAsia="Arial" w:hAnsi="Arial"/>
          <w:sz w:val="16"/>
          <w:szCs w:val="16"/>
          <w:b w:val="1"/>
          <w:bCs w:val="1"/>
          <w:color w:val="auto"/>
        </w:rPr>
        <w:t>World’s 100 Fastest Growing</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Companies. </w:t>
      </w:r>
      <w:r>
        <w:rPr>
          <w:rFonts w:ascii="Arial" w:cs="Arial" w:eastAsia="Arial" w:hAnsi="Arial"/>
          <w:sz w:val="16"/>
          <w:szCs w:val="16"/>
          <w:color w:val="auto"/>
        </w:rPr>
        <w:t>2017 marked the 31st edition of Fortune’s Fastest Growing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Companies list which reveals the top three-year performers in revenues, profits and stock returns. Martin Marietta was ranked #57 in 2016 and #72 in 2017. None of our industry or sector peers made the </w:t>
      </w:r>
      <w:r>
        <w:rPr>
          <w:rFonts w:ascii="Arial" w:cs="Arial" w:eastAsia="Arial" w:hAnsi="Arial"/>
          <w:sz w:val="16"/>
          <w:szCs w:val="16"/>
          <w:i w:val="1"/>
          <w:iCs w:val="1"/>
          <w:color w:val="auto"/>
        </w:rPr>
        <w:t>Fortune</w:t>
      </w:r>
      <w:r>
        <w:rPr>
          <w:rFonts w:ascii="Arial" w:cs="Arial" w:eastAsia="Arial" w:hAnsi="Arial"/>
          <w:sz w:val="16"/>
          <w:szCs w:val="16"/>
          <w:color w:val="auto"/>
        </w:rPr>
        <w:t xml:space="preserve"> ranking.</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Martin Marietta was also identified as </w:t>
      </w:r>
      <w:r>
        <w:rPr>
          <w:rFonts w:ascii="Arial" w:cs="Arial" w:eastAsia="Arial" w:hAnsi="Arial"/>
          <w:sz w:val="16"/>
          <w:szCs w:val="16"/>
          <w:b w:val="1"/>
          <w:bCs w:val="1"/>
          <w:color w:val="auto"/>
        </w:rPr>
        <w:t>North Carolina’s best-run public</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company </w:t>
      </w:r>
      <w:r>
        <w:rPr>
          <w:rFonts w:ascii="Arial" w:cs="Arial" w:eastAsia="Arial" w:hAnsi="Arial"/>
          <w:sz w:val="16"/>
          <w:szCs w:val="16"/>
          <w:color w:val="auto"/>
        </w:rPr>
        <w:t>for 2017 by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American City Business Journals</w:t>
      </w:r>
      <w:r>
        <w:rPr>
          <w:rFonts w:ascii="Arial" w:cs="Arial" w:eastAsia="Arial" w:hAnsi="Arial"/>
          <w:sz w:val="16"/>
          <w:szCs w:val="16"/>
          <w:color w:val="auto"/>
        </w:rPr>
        <w:t>. Seven</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factors were considered in the ranking: return on equity, profit margin, debt-to-equity ratio, revenue growth, liquidity, shareholder return and employee growth. We bested Bank of America, BB&amp;T, Duke Energy, Lowes, Nucor, Hanes Brands, VF Corporation, Red Hat, and IQVIA (formerly Quintiles), among others, due to our impressive financial performance.</w:t>
      </w:r>
    </w:p>
    <w:p>
      <w:pPr>
        <w:spacing w:after="0" w:line="150"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 xml:space="preserve">We were also well-represented on the </w:t>
      </w:r>
      <w:r>
        <w:rPr>
          <w:rFonts w:ascii="Arial" w:cs="Arial" w:eastAsia="Arial" w:hAnsi="Arial"/>
          <w:sz w:val="16"/>
          <w:szCs w:val="16"/>
          <w:b w:val="1"/>
          <w:bCs w:val="1"/>
          <w:color w:val="auto"/>
        </w:rPr>
        <w:t>Institutional Investor All-America</w:t>
      </w:r>
      <w:r>
        <w:rPr>
          <w:rFonts w:ascii="Arial" w:cs="Arial" w:eastAsia="Arial" w:hAnsi="Arial"/>
          <w:sz w:val="16"/>
          <w:szCs w:val="16"/>
          <w:color w:val="auto"/>
        </w:rPr>
        <w:t xml:space="preserve"> </w:t>
      </w:r>
      <w:r>
        <w:rPr>
          <w:rFonts w:ascii="Arial" w:cs="Arial" w:eastAsia="Arial" w:hAnsi="Arial"/>
          <w:sz w:val="16"/>
          <w:szCs w:val="16"/>
          <w:b w:val="1"/>
          <w:bCs w:val="1"/>
          <w:color w:val="auto"/>
        </w:rPr>
        <w:t>Executive Team for 2018</w:t>
      </w:r>
      <w:r>
        <w:rPr>
          <w:rFonts w:ascii="Arial" w:cs="Arial" w:eastAsia="Arial" w:hAnsi="Arial"/>
          <w:sz w:val="16"/>
          <w:szCs w:val="16"/>
          <w:color w:val="auto"/>
        </w:rPr>
        <w:t>, where, among other recognitions, the Martin</w:t>
      </w:r>
      <w:r>
        <w:rPr>
          <w:rFonts w:ascii="Arial" w:cs="Arial" w:eastAsia="Arial" w:hAnsi="Arial"/>
          <w:sz w:val="16"/>
          <w:szCs w:val="16"/>
          <w:b w:val="1"/>
          <w:bCs w:val="1"/>
          <w:color w:val="auto"/>
        </w:rPr>
        <w:t xml:space="preserve"> </w:t>
      </w:r>
      <w:r>
        <w:rPr>
          <w:rFonts w:ascii="Arial" w:cs="Arial" w:eastAsia="Arial" w:hAnsi="Arial"/>
          <w:sz w:val="16"/>
          <w:szCs w:val="16"/>
          <w:color w:val="auto"/>
        </w:rPr>
        <w:t>Marietta Analyst Day was ranked second overall.</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 xml:space="preserve">Finally, our Information Services team was honored at OpenWorld in San Francisco for </w:t>
      </w:r>
      <w:r>
        <w:rPr>
          <w:rFonts w:ascii="Arial" w:cs="Arial" w:eastAsia="Arial" w:hAnsi="Arial"/>
          <w:sz w:val="16"/>
          <w:szCs w:val="16"/>
          <w:b w:val="1"/>
          <w:bCs w:val="1"/>
          <w:color w:val="auto"/>
        </w:rPr>
        <w:t>Digital Innovation.</w:t>
      </w:r>
      <w:r>
        <w:rPr>
          <w:rFonts w:ascii="Arial" w:cs="Arial" w:eastAsia="Arial" w:hAnsi="Arial"/>
          <w:sz w:val="16"/>
          <w:szCs w:val="16"/>
          <w:color w:val="auto"/>
        </w:rPr>
        <w:t xml:space="preserve"> The award recognized the team’s pioneering efforts in installing JD Edwards on Oracle’s SuperCluster technology platform. This project significantly improved application performance, created a robust business continuity and disaster recovery platform, and provides a foundation for growth that will serve the Company for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-259715</wp:posOffset>
            </wp:positionH>
            <wp:positionV relativeFrom="paragraph">
              <wp:posOffset>415290</wp:posOffset>
            </wp:positionV>
            <wp:extent cx="411480" cy="2489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3440" w:type="dxa"/>
        <w:tblCellMar>
          <w:top w:w="0" w:type="dxa"/>
          <w:left w:w="0" w:type="dxa"/>
          <w:bottom w:w="0" w:type="dxa"/>
          <w:right w:w="0" w:type="dxa"/>
        </w:tblCellMar>
      </w:tblPr>
      <w:tr>
        <w:trPr>
          <w:trHeight w:val="178"/>
        </w:trPr>
        <w:tc>
          <w:tcPr>
            <w:tcW w:w="1680" w:type="dxa"/>
            <w:vAlign w:val="bottom"/>
          </w:tcPr>
          <w:p>
            <w:pPr>
              <w:spacing w:after="0"/>
              <w:rPr>
                <w:sz w:val="20"/>
                <w:szCs w:val="20"/>
                <w:color w:val="auto"/>
              </w:rPr>
            </w:pPr>
            <w:r>
              <w:rPr>
                <w:rFonts w:ascii="Arial" w:cs="Arial" w:eastAsia="Arial" w:hAnsi="Arial"/>
                <w:sz w:val="13"/>
                <w:szCs w:val="13"/>
                <w:color w:val="007CBA"/>
              </w:rPr>
              <w:t>2018 PROXY STATEMENT</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rPr>
              <w:t>33</w:t>
            </w:r>
          </w:p>
        </w:tc>
      </w:tr>
    </w:tbl>
    <w:p>
      <w:pPr>
        <w:sectPr>
          <w:pgSz w:w="11900" w:h="16838" w:orient="portrait"/>
          <w:cols w:equalWidth="0" w:num="2">
            <w:col w:w="5500" w:space="320"/>
            <w:col w:w="5400"/>
          </w:cols>
          <w:pgMar w:left="240" w:top="455" w:right="4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64" w:lineRule="exact"/>
        <w:rPr>
          <w:sz w:val="20"/>
          <w:szCs w:val="20"/>
          <w:color w:val="auto"/>
        </w:rPr>
      </w:pPr>
    </w:p>
    <w:p>
      <w:pPr>
        <w:ind w:left="200"/>
        <w:spacing w:after="0" w:line="288" w:lineRule="exact"/>
        <w:rPr>
          <w:sz w:val="20"/>
          <w:szCs w:val="20"/>
          <w:color w:val="auto"/>
        </w:rPr>
      </w:pPr>
      <w:r>
        <w:rPr>
          <w:rFonts w:ascii="Arial" w:cs="Arial" w:eastAsia="Arial" w:hAnsi="Arial"/>
          <w:sz w:val="14"/>
          <w:szCs w:val="14"/>
          <w:color w:val="007CBA"/>
        </w:rPr>
        <w:t xml:space="preserve">Compensation Discussion and Analysis </w:t>
      </w:r>
      <w:r>
        <w:rPr>
          <w:rFonts w:ascii="MS PGothic" w:cs="MS PGothic" w:eastAsia="MS PGothic" w:hAnsi="MS PGothic"/>
          <w:sz w:val="25"/>
          <w:szCs w:val="25"/>
          <w:color w:val="007CBA"/>
        </w:rPr>
        <w:t>◆</w:t>
      </w:r>
      <w:r>
        <w:rPr>
          <w:rFonts w:ascii="Arial" w:cs="Arial" w:eastAsia="Arial" w:hAnsi="Arial"/>
          <w:sz w:val="14"/>
          <w:szCs w:val="14"/>
          <w:color w:val="007CBA"/>
        </w:rPr>
        <w:t xml:space="preserve"> </w:t>
      </w:r>
      <w:r>
        <w:rPr>
          <w:rFonts w:ascii="Arial" w:cs="Arial" w:eastAsia="Arial" w:hAnsi="Arial"/>
          <w:sz w:val="14"/>
          <w:szCs w:val="14"/>
          <w:color w:val="000000"/>
        </w:rPr>
        <w:t>Executive Summary</w:t>
      </w:r>
    </w:p>
    <w:p>
      <w:pPr>
        <w:spacing w:after="0" w:line="258" w:lineRule="exact"/>
        <w:rPr>
          <w:sz w:val="20"/>
          <w:szCs w:val="20"/>
          <w:color w:val="auto"/>
        </w:rPr>
      </w:pPr>
    </w:p>
    <w:p>
      <w:pPr>
        <w:jc w:val="both"/>
        <w:ind w:left="220" w:right="5720"/>
        <w:spacing w:after="0" w:line="253" w:lineRule="auto"/>
        <w:rPr>
          <w:sz w:val="20"/>
          <w:szCs w:val="20"/>
          <w:color w:val="auto"/>
        </w:rPr>
      </w:pPr>
      <w:r>
        <w:rPr>
          <w:rFonts w:ascii="Arial" w:cs="Arial" w:eastAsia="Arial" w:hAnsi="Arial"/>
          <w:sz w:val="16"/>
          <w:szCs w:val="16"/>
          <w:color w:val="auto"/>
        </w:rPr>
        <w:t xml:space="preserve">With a primary Martin Marietta strategic objective being value-enhancing growth, it is important that the </w:t>
      </w:r>
      <w:r>
        <w:rPr>
          <w:rFonts w:ascii="Arial" w:cs="Arial" w:eastAsia="Arial" w:hAnsi="Arial"/>
          <w:sz w:val="16"/>
          <w:szCs w:val="16"/>
          <w:b w:val="1"/>
          <w:bCs w:val="1"/>
          <w:color w:val="auto"/>
        </w:rPr>
        <w:t>Mission, Vision, and Values</w:t>
      </w:r>
      <w:r>
        <w:rPr>
          <w:rFonts w:ascii="Arial" w:cs="Arial" w:eastAsia="Arial" w:hAnsi="Arial"/>
          <w:sz w:val="16"/>
          <w:szCs w:val="16"/>
          <w:color w:val="auto"/>
        </w:rPr>
        <w:t xml:space="preserve"> of the Company are unified, aligned, and equally well-known and understood. In 2017, a team of specifically chosen, high-performing employees were tasked with refreshing this message. The team, comprised of nine individuals, met several times as they worked through this important initiative. The message was delivered to all employees in 2017 and will guide our strategic and tactical decisions into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-973455</wp:posOffset>
            </wp:positionV>
            <wp:extent cx="2847340" cy="18097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847340" cy="180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left="200"/>
        <w:spacing w:after="0" w:line="258" w:lineRule="auto"/>
        <w:rPr>
          <w:sz w:val="20"/>
          <w:szCs w:val="20"/>
          <w:color w:val="auto"/>
        </w:rPr>
      </w:pPr>
      <w:r>
        <w:rPr>
          <w:rFonts w:ascii="Arial" w:cs="Arial" w:eastAsia="Arial" w:hAnsi="Arial"/>
          <w:sz w:val="16"/>
          <w:szCs w:val="16"/>
          <w:color w:val="auto"/>
        </w:rPr>
        <w:t xml:space="preserve">In 2017, we </w:t>
      </w:r>
      <w:r>
        <w:rPr>
          <w:rFonts w:ascii="Arial" w:cs="Arial" w:eastAsia="Arial" w:hAnsi="Arial"/>
          <w:sz w:val="16"/>
          <w:szCs w:val="16"/>
          <w:b w:val="1"/>
          <w:bCs w:val="1"/>
          <w:color w:val="auto"/>
        </w:rPr>
        <w:t>updated our Code of Ethical Business Conduct</w:t>
      </w:r>
      <w:r>
        <w:rPr>
          <w:rFonts w:ascii="Arial" w:cs="Arial" w:eastAsia="Arial" w:hAnsi="Arial"/>
          <w:sz w:val="16"/>
          <w:szCs w:val="16"/>
          <w:color w:val="auto"/>
        </w:rPr>
        <w:t xml:space="preserve"> and provided in-person ethics training to our over 8,000 employees and contractors. The training in 2017 demonstrated how an employee could use the Code in real-life scenarios and provided employees other tools to help in making the right decisions and considering the hard questions of ‘right vs. right.’ Each class opened with an in-depth discussion of the refreshed </w:t>
      </w:r>
      <w:r>
        <w:rPr>
          <w:rFonts w:ascii="Arial" w:cs="Arial" w:eastAsia="Arial" w:hAnsi="Arial"/>
          <w:sz w:val="16"/>
          <w:szCs w:val="16"/>
          <w:b w:val="1"/>
          <w:bCs w:val="1"/>
          <w:color w:val="auto"/>
        </w:rPr>
        <w:t>Mission, Vision, and</w:t>
      </w:r>
      <w:r>
        <w:rPr>
          <w:rFonts w:ascii="Arial" w:cs="Arial" w:eastAsia="Arial" w:hAnsi="Arial"/>
          <w:sz w:val="16"/>
          <w:szCs w:val="16"/>
          <w:color w:val="auto"/>
        </w:rPr>
        <w:t xml:space="preserve"> </w:t>
      </w:r>
      <w:r>
        <w:rPr>
          <w:rFonts w:ascii="Arial" w:cs="Arial" w:eastAsia="Arial" w:hAnsi="Arial"/>
          <w:sz w:val="16"/>
          <w:szCs w:val="16"/>
          <w:b w:val="1"/>
          <w:bCs w:val="1"/>
          <w:color w:val="auto"/>
        </w:rPr>
        <w:t>Values</w:t>
      </w:r>
      <w:r>
        <w:rPr>
          <w:rFonts w:ascii="Arial" w:cs="Arial" w:eastAsia="Arial" w:hAnsi="Arial"/>
          <w:sz w:val="16"/>
          <w:szCs w:val="16"/>
          <w:color w:val="auto"/>
        </w:rPr>
        <w:t>, and continued to cover important and relevant topics. The in-person training, which occurs every three years, is an important component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overall ethics program, which includes computer-based training and an ethics hotline.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122555</wp:posOffset>
            </wp:positionV>
            <wp:extent cx="3207385" cy="19208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207385" cy="1920875"/>
                    </a:xfrm>
                    <a:prstGeom prst="rect">
                      <a:avLst/>
                    </a:prstGeom>
                    <a:noFill/>
                  </pic:spPr>
                </pic:pic>
              </a:graphicData>
            </a:graphic>
          </wp:anchor>
        </w:drawing>
      </w:r>
    </w:p>
    <w:p>
      <w:pPr>
        <w:sectPr>
          <w:pgSz w:w="11900" w:h="16838" w:orient="portrait"/>
          <w:cols w:equalWidth="0" w:num="1">
            <w:col w:w="11220"/>
          </w:cols>
          <w:pgMar w:left="24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00" w:right="2140"/>
        <w:spacing w:after="0" w:line="306" w:lineRule="auto"/>
        <w:rPr>
          <w:sz w:val="20"/>
          <w:szCs w:val="20"/>
          <w:color w:val="auto"/>
        </w:rPr>
      </w:pPr>
      <w:r>
        <w:rPr>
          <w:rFonts w:ascii="Arial" w:cs="Arial" w:eastAsia="Arial" w:hAnsi="Arial"/>
          <w:sz w:val="25"/>
          <w:szCs w:val="25"/>
          <w:b w:val="1"/>
          <w:bCs w:val="1"/>
          <w:color w:val="007CBA"/>
        </w:rPr>
        <w:t>2017 Say-On-Pay Vote and Shareholder Outreach</w:t>
      </w:r>
    </w:p>
    <w:p>
      <w:pPr>
        <w:spacing w:after="0" w:line="53" w:lineRule="exact"/>
        <w:rPr>
          <w:sz w:val="20"/>
          <w:szCs w:val="20"/>
          <w:color w:val="auto"/>
        </w:rPr>
      </w:pPr>
    </w:p>
    <w:p>
      <w:pPr>
        <w:jc w:val="both"/>
        <w:ind w:left="220"/>
        <w:spacing w:after="0" w:line="254" w:lineRule="auto"/>
        <w:rPr>
          <w:sz w:val="20"/>
          <w:szCs w:val="20"/>
          <w:color w:val="auto"/>
        </w:rPr>
      </w:pPr>
      <w:r>
        <w:rPr>
          <w:rFonts w:ascii="Arial" w:cs="Arial" w:eastAsia="Arial" w:hAnsi="Arial"/>
          <w:sz w:val="16"/>
          <w:szCs w:val="16"/>
          <w:color w:val="auto"/>
        </w:rPr>
        <w:t>Our shareholders expressed their continued support of our executive compensation programs by approving our non-binding advisory vote on executive compensation at our 2017 Annual Meeting of Shareholders. More than 96% of votes cast supported our executive compensation policies and practices. Management and the Committee considered this strong support by our shareholders as indicating that our pay structure aligns our compensation programs with the interests of our shareholders.</w:t>
      </w:r>
    </w:p>
    <w:p>
      <w:pPr>
        <w:spacing w:after="0" w:line="150" w:lineRule="exact"/>
        <w:rPr>
          <w:sz w:val="20"/>
          <w:szCs w:val="20"/>
          <w:color w:val="auto"/>
        </w:rPr>
      </w:pPr>
    </w:p>
    <w:p>
      <w:pPr>
        <w:jc w:val="both"/>
        <w:ind w:left="220"/>
        <w:spacing w:after="0" w:line="253" w:lineRule="auto"/>
        <w:rPr>
          <w:sz w:val="20"/>
          <w:szCs w:val="20"/>
          <w:color w:val="auto"/>
        </w:rPr>
      </w:pPr>
      <w:r>
        <w:rPr>
          <w:rFonts w:ascii="Arial" w:cs="Arial" w:eastAsia="Arial" w:hAnsi="Arial"/>
          <w:sz w:val="16"/>
          <w:szCs w:val="16"/>
          <w:color w:val="auto"/>
        </w:rPr>
        <w:t>The Committee feels strongly that our executive compensation programs should evolve and be adjusted over time to support the achievement of our business goals, to reflect our challenges, and to promote both the near- and long-term profitable growth of Martin Marietta. During 2017, the Committee reviewed and evaluated market trends and best practices in designing and implementing elements of our compensation program. The Committee continues to believe that the goals for our executive compensation programs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are to incentivize and reward achievement that creates value for our shareholders.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 view a continuing, constructive dialogue with our long-term shareholders as critically important to ensuring that we remain aligned with their interests. With that in mind:</w:t>
      </w:r>
    </w:p>
    <w:p>
      <w:pPr>
        <w:spacing w:after="0" w:line="30" w:lineRule="exact"/>
        <w:rPr>
          <w:sz w:val="20"/>
          <w:szCs w:val="20"/>
          <w:color w:val="auto"/>
        </w:rPr>
      </w:pPr>
    </w:p>
    <w:p>
      <w:pPr>
        <w:jc w:val="both"/>
        <w:ind w:left="360" w:hanging="275"/>
        <w:spacing w:after="0" w:line="279" w:lineRule="auto"/>
        <w:tabs>
          <w:tab w:leader="none" w:pos="360" w:val="left"/>
        </w:tabs>
        <w:numPr>
          <w:ilvl w:val="0"/>
          <w:numId w:val="67"/>
        </w:numPr>
        <w:rPr>
          <w:rFonts w:ascii="Arial" w:cs="Arial" w:eastAsia="Arial" w:hAnsi="Arial"/>
          <w:sz w:val="16"/>
          <w:szCs w:val="16"/>
          <w:color w:val="007CBA"/>
        </w:rPr>
      </w:pPr>
      <w:r>
        <w:rPr>
          <w:rFonts w:ascii="Arial" w:cs="Arial" w:eastAsia="Arial" w:hAnsi="Arial"/>
          <w:sz w:val="16"/>
          <w:szCs w:val="16"/>
          <w:color w:val="auto"/>
        </w:rPr>
        <w:t>At our 2017 Annual Meeting of Shareholders, more than 96% of shares cast voted in favor of the advisory vote on executive compensation.</w:t>
      </w:r>
    </w:p>
    <w:p>
      <w:pPr>
        <w:spacing w:after="0" w:line="220" w:lineRule="exact"/>
        <w:rPr>
          <w:rFonts w:ascii="Arial" w:cs="Arial" w:eastAsia="Arial" w:hAnsi="Arial"/>
          <w:sz w:val="16"/>
          <w:szCs w:val="16"/>
          <w:color w:val="007CBA"/>
        </w:rPr>
      </w:pPr>
    </w:p>
    <w:p>
      <w:pPr>
        <w:jc w:val="both"/>
        <w:ind w:left="360" w:hanging="275"/>
        <w:spacing w:after="0" w:line="261" w:lineRule="auto"/>
        <w:tabs>
          <w:tab w:leader="none" w:pos="360" w:val="left"/>
        </w:tabs>
        <w:numPr>
          <w:ilvl w:val="0"/>
          <w:numId w:val="67"/>
        </w:numPr>
        <w:rPr>
          <w:rFonts w:ascii="Arial" w:cs="Arial" w:eastAsia="Arial" w:hAnsi="Arial"/>
          <w:sz w:val="16"/>
          <w:szCs w:val="16"/>
          <w:color w:val="007CBA"/>
        </w:rPr>
      </w:pPr>
      <w:r>
        <w:rPr>
          <w:rFonts w:ascii="Arial" w:cs="Arial" w:eastAsia="Arial" w:hAnsi="Arial"/>
          <w:sz w:val="16"/>
          <w:szCs w:val="16"/>
          <w:color w:val="auto"/>
        </w:rPr>
        <w:t>We regularly talk to long-term shareholders and appreciate the opportunity to gain further insight and understanding into their views. In 2017 our investor relations outreach extended to 86 meetings with 296 investment groups in the United States, Canada, and Europe.</w:t>
      </w:r>
    </w:p>
    <w:p>
      <w:pPr>
        <w:spacing w:after="0" w:line="36" w:lineRule="exact"/>
        <w:rPr>
          <w:rFonts w:ascii="Arial" w:cs="Arial" w:eastAsia="Arial" w:hAnsi="Arial"/>
          <w:sz w:val="16"/>
          <w:szCs w:val="16"/>
          <w:color w:val="007CBA"/>
        </w:rPr>
      </w:pPr>
    </w:p>
    <w:p>
      <w:pPr>
        <w:ind w:left="360" w:right="20" w:hanging="275"/>
        <w:spacing w:after="0" w:line="291" w:lineRule="auto"/>
        <w:tabs>
          <w:tab w:leader="none" w:pos="360" w:val="left"/>
        </w:tabs>
        <w:numPr>
          <w:ilvl w:val="0"/>
          <w:numId w:val="67"/>
        </w:numPr>
        <w:rPr>
          <w:rFonts w:ascii="Arial" w:cs="Arial" w:eastAsia="Arial" w:hAnsi="Arial"/>
          <w:sz w:val="16"/>
          <w:szCs w:val="16"/>
          <w:color w:val="007CBA"/>
        </w:rPr>
      </w:pPr>
      <w:r>
        <w:rPr>
          <w:rFonts w:ascii="Arial" w:cs="Arial" w:eastAsia="Arial" w:hAnsi="Arial"/>
          <w:sz w:val="16"/>
          <w:szCs w:val="16"/>
          <w:color w:val="auto"/>
        </w:rPr>
        <w:t>We update the Committee and the Board on our conversations with investors, and this investor input, along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148590</wp:posOffset>
            </wp:positionV>
            <wp:extent cx="411480" cy="2489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00" w:space="320"/>
            <w:col w:w="5400"/>
          </w:cols>
          <w:pgMar w:left="240" w:top="455" w:right="439" w:bottom="1440" w:gutter="0" w:footer="0" w:header="0"/>
          <w:type w:val="continuous"/>
        </w:sectPr>
      </w:pPr>
    </w:p>
    <w:p>
      <w:pPr>
        <w:spacing w:after="0" w:line="52" w:lineRule="exact"/>
        <w:rPr>
          <w:sz w:val="20"/>
          <w:szCs w:val="20"/>
          <w:color w:val="auto"/>
        </w:rPr>
      </w:pPr>
    </w:p>
    <w:p>
      <w:pPr>
        <w:ind w:left="640" w:hanging="436"/>
        <w:spacing w:after="0"/>
        <w:tabs>
          <w:tab w:leader="none" w:pos="640" w:val="left"/>
        </w:tabs>
        <w:numPr>
          <w:ilvl w:val="0"/>
          <w:numId w:val="68"/>
        </w:numPr>
        <w:rPr>
          <w:rFonts w:ascii="Arial" w:cs="Arial" w:eastAsia="Arial" w:hAnsi="Arial"/>
          <w:sz w:val="12"/>
          <w:szCs w:val="12"/>
          <w:b w:val="1"/>
          <w:bCs w:val="1"/>
          <w:color w:val="auto"/>
        </w:rPr>
      </w:pPr>
      <w:r>
        <w:rPr>
          <w:rFonts w:ascii="Arial" w:cs="Arial" w:eastAsia="Arial" w:hAnsi="Arial"/>
          <w:sz w:val="12"/>
          <w:szCs w:val="12"/>
          <w:color w:val="007CBA"/>
        </w:rPr>
        <w:t>2018 PROXY STATEMENT</w:t>
      </w:r>
    </w:p>
    <w:p>
      <w:pPr>
        <w:sectPr>
          <w:pgSz w:w="11900" w:h="16838" w:orient="portrait"/>
          <w:cols w:equalWidth="0" w:num="1">
            <w:col w:w="11220"/>
          </w:cols>
          <w:pgMar w:left="240" w:top="455" w:right="439" w:bottom="1440" w:gutter="0" w:footer="0" w:header="0"/>
          <w:type w:val="continuous"/>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64" w:lineRule="exact"/>
        <w:rPr>
          <w:sz w:val="20"/>
          <w:szCs w:val="20"/>
          <w:color w:val="auto"/>
        </w:rPr>
      </w:pPr>
    </w:p>
    <w:tbl>
      <w:tblPr>
        <w:tblLayout w:type="fixed"/>
        <w:tblInd w:w="280" w:type="dxa"/>
        <w:tblCellMar>
          <w:top w:w="0" w:type="dxa"/>
          <w:left w:w="0" w:type="dxa"/>
          <w:bottom w:w="0" w:type="dxa"/>
          <w:right w:w="0" w:type="dxa"/>
        </w:tblCellMar>
      </w:tblPr>
      <w:tr>
        <w:trPr>
          <w:trHeight w:val="398"/>
        </w:trPr>
        <w:tc>
          <w:tcPr>
            <w:tcW w:w="5200" w:type="dxa"/>
            <w:vAlign w:val="bottom"/>
          </w:tcPr>
          <w:p>
            <w:pPr>
              <w:spacing w:after="0"/>
              <w:rPr>
                <w:sz w:val="24"/>
                <w:szCs w:val="24"/>
                <w:color w:val="auto"/>
              </w:rPr>
            </w:pPr>
          </w:p>
        </w:tc>
        <w:tc>
          <w:tcPr>
            <w:tcW w:w="5740" w:type="dxa"/>
            <w:vAlign w:val="bottom"/>
            <w:gridSpan w:val="4"/>
          </w:tcPr>
          <w:p>
            <w:pPr>
              <w:jc w:val="right"/>
              <w:spacing w:after="0" w:line="288" w:lineRule="exact"/>
              <w:rPr>
                <w:sz w:val="20"/>
                <w:szCs w:val="20"/>
                <w:color w:val="auto"/>
              </w:rPr>
            </w:pPr>
            <w:r>
              <w:rPr>
                <w:rFonts w:ascii="Arial" w:cs="Arial" w:eastAsia="Arial" w:hAnsi="Arial"/>
                <w:sz w:val="14"/>
                <w:szCs w:val="14"/>
                <w:color w:val="auto"/>
                <w:w w:val="96"/>
              </w:rPr>
              <w:t xml:space="preserve">2017 Say-On-Pay Vote and Shareholder Outreach </w:t>
            </w:r>
            <w:r>
              <w:rPr>
                <w:rFonts w:ascii="MS PGothic" w:cs="MS PGothic" w:eastAsia="MS PGothic" w:hAnsi="MS PGothic"/>
                <w:sz w:val="25"/>
                <w:szCs w:val="25"/>
                <w:color w:val="007CBA"/>
                <w:w w:val="96"/>
              </w:rPr>
              <w:t>◆</w:t>
            </w:r>
            <w:r>
              <w:rPr>
                <w:rFonts w:ascii="Arial" w:cs="Arial" w:eastAsia="Arial" w:hAnsi="Arial"/>
                <w:sz w:val="14"/>
                <w:szCs w:val="14"/>
                <w:color w:val="auto"/>
                <w:w w:val="96"/>
              </w:rPr>
              <w:t xml:space="preserve"> </w:t>
            </w:r>
            <w:r>
              <w:rPr>
                <w:rFonts w:ascii="Arial" w:cs="Arial" w:eastAsia="Arial" w:hAnsi="Arial"/>
                <w:sz w:val="14"/>
                <w:szCs w:val="14"/>
                <w:color w:val="007CBA"/>
                <w:w w:val="96"/>
              </w:rPr>
              <w:t>Compensation Discussion and Analysis</w:t>
            </w:r>
          </w:p>
        </w:tc>
      </w:tr>
      <w:tr>
        <w:trPr>
          <w:trHeight w:val="335"/>
        </w:trPr>
        <w:tc>
          <w:tcPr>
            <w:tcW w:w="5200" w:type="dxa"/>
            <w:vAlign w:val="bottom"/>
          </w:tcPr>
          <w:p>
            <w:pPr>
              <w:ind w:left="280"/>
              <w:spacing w:after="0"/>
              <w:rPr>
                <w:sz w:val="20"/>
                <w:szCs w:val="20"/>
                <w:color w:val="auto"/>
              </w:rPr>
            </w:pPr>
            <w:r>
              <w:rPr>
                <w:rFonts w:ascii="Arial" w:cs="Arial" w:eastAsia="Arial" w:hAnsi="Arial"/>
                <w:sz w:val="16"/>
                <w:szCs w:val="16"/>
                <w:color w:val="auto"/>
              </w:rPr>
              <w:t>with the feedback from its independent compensation consultant,</w:t>
            </w:r>
          </w:p>
        </w:tc>
        <w:tc>
          <w:tcPr>
            <w:tcW w:w="3200" w:type="dxa"/>
            <w:vAlign w:val="bottom"/>
          </w:tcPr>
          <w:p>
            <w:pPr>
              <w:ind w:left="420"/>
              <w:spacing w:after="0"/>
              <w:rPr>
                <w:sz w:val="20"/>
                <w:szCs w:val="20"/>
                <w:color w:val="auto"/>
              </w:rPr>
            </w:pPr>
            <w:r>
              <w:rPr>
                <w:rFonts w:ascii="Arial" w:cs="Arial" w:eastAsia="Arial" w:hAnsi="Arial"/>
                <w:sz w:val="16"/>
                <w:szCs w:val="16"/>
                <w:color w:val="007CBA"/>
              </w:rPr>
              <w:t xml:space="preserve">•   </w:t>
            </w:r>
            <w:r>
              <w:rPr>
                <w:rFonts w:ascii="Arial" w:cs="Arial" w:eastAsia="Arial" w:hAnsi="Arial"/>
                <w:sz w:val="16"/>
                <w:szCs w:val="16"/>
                <w:i w:val="1"/>
                <w:iCs w:val="1"/>
                <w:color w:val="000000"/>
              </w:rPr>
              <w:t>Institutional  Investor</w:t>
            </w:r>
            <w:r>
              <w:rPr>
                <w:rFonts w:ascii="Arial" w:cs="Arial" w:eastAsia="Arial" w:hAnsi="Arial"/>
                <w:sz w:val="16"/>
                <w:szCs w:val="16"/>
                <w:color w:val="007CBA"/>
              </w:rPr>
              <w:t xml:space="preserve">  </w:t>
            </w:r>
            <w:r>
              <w:rPr>
                <w:rFonts w:ascii="Arial" w:cs="Arial" w:eastAsia="Arial" w:hAnsi="Arial"/>
                <w:sz w:val="16"/>
                <w:szCs w:val="16"/>
                <w:color w:val="000000"/>
              </w:rPr>
              <w:t>magazine</w:t>
            </w:r>
          </w:p>
        </w:tc>
        <w:tc>
          <w:tcPr>
            <w:tcW w:w="660" w:type="dxa"/>
            <w:vAlign w:val="bottom"/>
          </w:tcPr>
          <w:p>
            <w:pPr>
              <w:jc w:val="center"/>
              <w:spacing w:after="0"/>
              <w:rPr>
                <w:sz w:val="20"/>
                <w:szCs w:val="20"/>
                <w:color w:val="auto"/>
              </w:rPr>
            </w:pPr>
            <w:r>
              <w:rPr>
                <w:rFonts w:ascii="Arial" w:cs="Arial" w:eastAsia="Arial" w:hAnsi="Arial"/>
                <w:sz w:val="16"/>
                <w:szCs w:val="16"/>
                <w:color w:val="auto"/>
              </w:rPr>
              <w:t>named</w:t>
            </w:r>
          </w:p>
        </w:tc>
        <w:tc>
          <w:tcPr>
            <w:tcW w:w="540" w:type="dxa"/>
            <w:vAlign w:val="bottom"/>
          </w:tcPr>
          <w:p>
            <w:pPr>
              <w:ind w:left="60"/>
              <w:spacing w:after="0"/>
              <w:rPr>
                <w:sz w:val="20"/>
                <w:szCs w:val="20"/>
                <w:color w:val="auto"/>
              </w:rPr>
            </w:pPr>
            <w:r>
              <w:rPr>
                <w:rFonts w:ascii="Arial" w:cs="Arial" w:eastAsia="Arial" w:hAnsi="Arial"/>
                <w:sz w:val="16"/>
                <w:szCs w:val="16"/>
                <w:color w:val="auto"/>
              </w:rPr>
              <w:t>Martin</w:t>
            </w:r>
          </w:p>
        </w:tc>
        <w:tc>
          <w:tcPr>
            <w:tcW w:w="1340" w:type="dxa"/>
            <w:vAlign w:val="bottom"/>
          </w:tcPr>
          <w:p>
            <w:pPr>
              <w:jc w:val="right"/>
              <w:spacing w:after="0"/>
              <w:rPr>
                <w:sz w:val="20"/>
                <w:szCs w:val="20"/>
                <w:color w:val="auto"/>
              </w:rPr>
            </w:pPr>
            <w:r>
              <w:rPr>
                <w:rFonts w:ascii="Arial" w:cs="Arial" w:eastAsia="Arial" w:hAnsi="Arial"/>
                <w:sz w:val="16"/>
                <w:szCs w:val="16"/>
                <w:color w:val="auto"/>
              </w:rPr>
              <w:t>Marietta  to  its</w:t>
            </w:r>
          </w:p>
        </w:tc>
      </w:tr>
      <w:tr>
        <w:trPr>
          <w:trHeight w:val="191"/>
        </w:trPr>
        <w:tc>
          <w:tcPr>
            <w:tcW w:w="5200" w:type="dxa"/>
            <w:vAlign w:val="bottom"/>
          </w:tcPr>
          <w:p>
            <w:pPr>
              <w:ind w:left="280"/>
              <w:spacing w:after="0"/>
              <w:rPr>
                <w:sz w:val="20"/>
                <w:szCs w:val="20"/>
                <w:color w:val="auto"/>
              </w:rPr>
            </w:pPr>
            <w:r>
              <w:rPr>
                <w:rFonts w:ascii="Arial" w:cs="Arial" w:eastAsia="Arial" w:hAnsi="Arial"/>
                <w:sz w:val="16"/>
                <w:szCs w:val="16"/>
                <w:color w:val="auto"/>
              </w:rPr>
              <w:t>assists the Committee as it maintains its focus on aligning pay and</w:t>
            </w:r>
          </w:p>
        </w:tc>
        <w:tc>
          <w:tcPr>
            <w:tcW w:w="5740" w:type="dxa"/>
            <w:vAlign w:val="bottom"/>
            <w:gridSpan w:val="4"/>
          </w:tcPr>
          <w:p>
            <w:pPr>
              <w:jc w:val="right"/>
              <w:spacing w:after="0"/>
              <w:rPr>
                <w:sz w:val="20"/>
                <w:szCs w:val="20"/>
                <w:color w:val="auto"/>
              </w:rPr>
            </w:pPr>
            <w:r>
              <w:rPr>
                <w:rFonts w:ascii="Arial" w:cs="Arial" w:eastAsia="Arial" w:hAnsi="Arial"/>
                <w:sz w:val="16"/>
                <w:szCs w:val="16"/>
                <w:b w:val="1"/>
                <w:bCs w:val="1"/>
                <w:color w:val="auto"/>
              </w:rPr>
              <w:t>All-America Executive Team 2018</w:t>
            </w:r>
            <w:r>
              <w:rPr>
                <w:rFonts w:ascii="Arial" w:cs="Arial" w:eastAsia="Arial" w:hAnsi="Arial"/>
                <w:sz w:val="16"/>
                <w:szCs w:val="16"/>
                <w:color w:val="auto"/>
              </w:rPr>
              <w:t>. Martin Marietta finished second</w:t>
            </w:r>
          </w:p>
        </w:tc>
      </w:tr>
      <w:tr>
        <w:trPr>
          <w:trHeight w:val="189"/>
        </w:trPr>
        <w:tc>
          <w:tcPr>
            <w:tcW w:w="5200" w:type="dxa"/>
            <w:vAlign w:val="bottom"/>
          </w:tcPr>
          <w:p>
            <w:pPr>
              <w:ind w:left="280"/>
              <w:spacing w:after="0"/>
              <w:rPr>
                <w:sz w:val="20"/>
                <w:szCs w:val="20"/>
                <w:color w:val="auto"/>
              </w:rPr>
            </w:pPr>
            <w:r>
              <w:rPr>
                <w:rFonts w:ascii="Arial" w:cs="Arial" w:eastAsia="Arial" w:hAnsi="Arial"/>
                <w:sz w:val="16"/>
                <w:szCs w:val="16"/>
                <w:color w:val="auto"/>
              </w:rPr>
              <w:t>performance.</w:t>
            </w:r>
          </w:p>
        </w:tc>
        <w:tc>
          <w:tcPr>
            <w:tcW w:w="5740" w:type="dxa"/>
            <w:vAlign w:val="bottom"/>
            <w:gridSpan w:val="4"/>
          </w:tcPr>
          <w:p>
            <w:pPr>
              <w:jc w:val="right"/>
              <w:spacing w:after="0"/>
              <w:rPr>
                <w:sz w:val="20"/>
                <w:szCs w:val="20"/>
                <w:color w:val="auto"/>
              </w:rPr>
            </w:pPr>
            <w:r>
              <w:rPr>
                <w:rFonts w:ascii="Arial" w:cs="Arial" w:eastAsia="Arial" w:hAnsi="Arial"/>
                <w:sz w:val="16"/>
                <w:szCs w:val="16"/>
                <w:color w:val="auto"/>
              </w:rPr>
              <w:t>overall (in the Homebuilders &amp; Building Products category) for the</w:t>
            </w:r>
          </w:p>
        </w:tc>
      </w:tr>
      <w:tr>
        <w:trPr>
          <w:trHeight w:val="219"/>
        </w:trPr>
        <w:tc>
          <w:tcPr>
            <w:tcW w:w="5200" w:type="dxa"/>
            <w:vAlign w:val="bottom"/>
          </w:tcPr>
          <w:p>
            <w:pPr>
              <w:spacing w:after="0"/>
              <w:rPr>
                <w:sz w:val="20"/>
                <w:szCs w:val="20"/>
                <w:color w:val="auto"/>
              </w:rPr>
            </w:pPr>
            <w:r>
              <w:rPr>
                <w:rFonts w:ascii="Arial" w:cs="Arial" w:eastAsia="Arial" w:hAnsi="Arial"/>
                <w:sz w:val="16"/>
                <w:szCs w:val="16"/>
                <w:color w:val="007CBA"/>
              </w:rPr>
              <w:t xml:space="preserve">•   </w:t>
            </w:r>
            <w:r>
              <w:rPr>
                <w:rFonts w:ascii="Arial" w:cs="Arial" w:eastAsia="Arial" w:hAnsi="Arial"/>
                <w:sz w:val="16"/>
                <w:szCs w:val="16"/>
                <w:color w:val="000000"/>
              </w:rPr>
              <w:t>We speak to almost all of our top 25 shareholders at least annually,</w:t>
            </w:r>
          </w:p>
        </w:tc>
        <w:tc>
          <w:tcPr>
            <w:tcW w:w="3200" w:type="dxa"/>
            <w:vAlign w:val="bottom"/>
          </w:tcPr>
          <w:p>
            <w:pPr>
              <w:ind w:left="700"/>
              <w:spacing w:after="0"/>
              <w:rPr>
                <w:sz w:val="20"/>
                <w:szCs w:val="20"/>
                <w:color w:val="auto"/>
              </w:rPr>
            </w:pPr>
            <w:r>
              <w:rPr>
                <w:rFonts w:ascii="Arial" w:cs="Arial" w:eastAsia="Arial" w:hAnsi="Arial"/>
                <w:sz w:val="16"/>
                <w:szCs w:val="16"/>
                <w:color w:val="auto"/>
              </w:rPr>
              <w:t>Best Investor Relations Program</w:t>
            </w:r>
          </w:p>
        </w:tc>
        <w:tc>
          <w:tcPr>
            <w:tcW w:w="660" w:type="dxa"/>
            <w:vAlign w:val="bottom"/>
          </w:tcPr>
          <w:p>
            <w:pPr>
              <w:jc w:val="center"/>
              <w:spacing w:after="0"/>
              <w:rPr>
                <w:sz w:val="20"/>
                <w:szCs w:val="20"/>
                <w:color w:val="auto"/>
              </w:rPr>
            </w:pPr>
            <w:r>
              <w:rPr>
                <w:rFonts w:ascii="Arial" w:cs="Arial" w:eastAsia="Arial" w:hAnsi="Arial"/>
                <w:sz w:val="16"/>
                <w:szCs w:val="16"/>
                <w:color w:val="auto"/>
              </w:rPr>
              <w:t>and the</w:t>
            </w:r>
          </w:p>
        </w:tc>
        <w:tc>
          <w:tcPr>
            <w:tcW w:w="540" w:type="dxa"/>
            <w:vAlign w:val="bottom"/>
          </w:tcPr>
          <w:p>
            <w:pPr>
              <w:ind w:left="40"/>
              <w:spacing w:after="0"/>
              <w:rPr>
                <w:sz w:val="20"/>
                <w:szCs w:val="20"/>
                <w:color w:val="auto"/>
              </w:rPr>
            </w:pPr>
            <w:r>
              <w:rPr>
                <w:rFonts w:ascii="Arial" w:cs="Arial" w:eastAsia="Arial" w:hAnsi="Arial"/>
                <w:sz w:val="16"/>
                <w:szCs w:val="16"/>
                <w:color w:val="auto"/>
              </w:rPr>
              <w:t>Martin</w:t>
            </w:r>
          </w:p>
        </w:tc>
        <w:tc>
          <w:tcPr>
            <w:tcW w:w="1340" w:type="dxa"/>
            <w:vAlign w:val="bottom"/>
          </w:tcPr>
          <w:p>
            <w:pPr>
              <w:jc w:val="right"/>
              <w:spacing w:after="0"/>
              <w:rPr>
                <w:sz w:val="20"/>
                <w:szCs w:val="20"/>
                <w:color w:val="auto"/>
              </w:rPr>
            </w:pPr>
            <w:r>
              <w:rPr>
                <w:rFonts w:ascii="Arial" w:cs="Arial" w:eastAsia="Arial" w:hAnsi="Arial"/>
                <w:sz w:val="16"/>
                <w:szCs w:val="16"/>
                <w:color w:val="auto"/>
              </w:rPr>
              <w:t>Marietta Analysts</w:t>
            </w:r>
          </w:p>
        </w:tc>
      </w:tr>
    </w:tbl>
    <w:p>
      <w:pPr>
        <w:spacing w:after="0" w:line="1" w:lineRule="exact"/>
        <w:rPr>
          <w:sz w:val="20"/>
          <w:szCs w:val="20"/>
          <w:color w:val="auto"/>
        </w:rPr>
      </w:pPr>
    </w:p>
    <w:tbl>
      <w:tblPr>
        <w:tblLayout w:type="fixed"/>
        <w:tblInd w:w="560" w:type="dxa"/>
        <w:tblCellMar>
          <w:top w:w="0" w:type="dxa"/>
          <w:left w:w="0" w:type="dxa"/>
          <w:bottom w:w="0" w:type="dxa"/>
          <w:right w:w="0" w:type="dxa"/>
        </w:tblCellMar>
      </w:tblPr>
      <w:tr>
        <w:trPr>
          <w:trHeight w:val="228"/>
        </w:trPr>
        <w:tc>
          <w:tcPr>
            <w:tcW w:w="5100" w:type="dxa"/>
            <w:vAlign w:val="bottom"/>
            <w:vMerge w:val="restart"/>
          </w:tcPr>
          <w:p>
            <w:pPr>
              <w:spacing w:after="0"/>
              <w:rPr>
                <w:sz w:val="20"/>
                <w:szCs w:val="20"/>
                <w:color w:val="auto"/>
              </w:rPr>
            </w:pPr>
            <w:r>
              <w:rPr>
                <w:rFonts w:ascii="Arial" w:cs="Arial" w:eastAsia="Arial" w:hAnsi="Arial"/>
                <w:sz w:val="16"/>
                <w:szCs w:val="16"/>
                <w:color w:val="auto"/>
              </w:rPr>
              <w:t>which represents approximately 70% of our outstanding shares.</w:t>
            </w:r>
          </w:p>
        </w:tc>
        <w:tc>
          <w:tcPr>
            <w:tcW w:w="2820" w:type="dxa"/>
            <w:vAlign w:val="bottom"/>
          </w:tcPr>
          <w:p>
            <w:pPr>
              <w:ind w:left="520"/>
              <w:spacing w:after="0"/>
              <w:rPr>
                <w:sz w:val="20"/>
                <w:szCs w:val="20"/>
                <w:color w:val="auto"/>
              </w:rPr>
            </w:pPr>
            <w:r>
              <w:rPr>
                <w:rFonts w:ascii="Arial" w:cs="Arial" w:eastAsia="Arial" w:hAnsi="Arial"/>
                <w:sz w:val="16"/>
                <w:szCs w:val="16"/>
                <w:color w:val="auto"/>
              </w:rPr>
              <w:t>Day was ranked second overall</w:t>
            </w:r>
            <w:r>
              <w:rPr>
                <w:rFonts w:ascii="Arial" w:cs="Arial" w:eastAsia="Arial" w:hAnsi="Arial"/>
                <w:sz w:val="16"/>
                <w:szCs w:val="16"/>
                <w:b w:val="1"/>
                <w:bCs w:val="1"/>
                <w:i w:val="1"/>
                <w:iCs w:val="1"/>
                <w:color w:val="auto"/>
              </w:rPr>
              <w:t>.</w:t>
            </w:r>
          </w:p>
        </w:tc>
        <w:tc>
          <w:tcPr>
            <w:tcW w:w="0" w:type="dxa"/>
            <w:vAlign w:val="bottom"/>
          </w:tcPr>
          <w:p>
            <w:pPr>
              <w:spacing w:after="0"/>
              <w:rPr>
                <w:sz w:val="1"/>
                <w:szCs w:val="1"/>
                <w:color w:val="auto"/>
              </w:rPr>
            </w:pPr>
          </w:p>
        </w:tc>
      </w:tr>
      <w:tr>
        <w:trPr>
          <w:trHeight w:val="52"/>
        </w:trPr>
        <w:tc>
          <w:tcPr>
            <w:tcW w:w="5100" w:type="dxa"/>
            <w:vAlign w:val="bottom"/>
            <w:vMerge w:val="continue"/>
          </w:tcPr>
          <w:p>
            <w:pPr>
              <w:spacing w:after="0"/>
              <w:rPr>
                <w:sz w:val="4"/>
                <w:szCs w:val="4"/>
                <w:color w:val="auto"/>
              </w:rPr>
            </w:pPr>
          </w:p>
        </w:tc>
        <w:tc>
          <w:tcPr>
            <w:tcW w:w="28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007CBA"/>
        </w:rPr>
        <w:t>Shareholder Feedback on Proxy Access</w:t>
      </w:r>
    </w:p>
    <w:p>
      <w:pPr>
        <w:spacing w:after="0" w:line="134" w:lineRule="exact"/>
        <w:rPr>
          <w:sz w:val="20"/>
          <w:szCs w:val="20"/>
          <w:color w:val="auto"/>
        </w:rPr>
      </w:pPr>
    </w:p>
    <w:p>
      <w:pPr>
        <w:jc w:val="both"/>
        <w:ind w:left="200"/>
        <w:spacing w:after="0" w:line="261" w:lineRule="auto"/>
        <w:rPr>
          <w:sz w:val="20"/>
          <w:szCs w:val="20"/>
          <w:color w:val="auto"/>
        </w:rPr>
      </w:pPr>
      <w:r>
        <w:rPr>
          <w:rFonts w:ascii="Arial" w:cs="Arial" w:eastAsia="Arial" w:hAnsi="Arial"/>
          <w:sz w:val="16"/>
          <w:szCs w:val="16"/>
          <w:color w:val="auto"/>
        </w:rPr>
        <w:t>At our 2017 Annual Meeting, a nonbinding advisory shareholder proposal to adopt a proxy access Bylaw was supported by a majority of the shares that voted on the proposal. Martin Marietta engaged in discussion with some of our largest shareholders regarding proxy access and, while not unanimous in their view, they generally supported the concept of proxy access. Based on the vote, these discussions, and additional dialogue with the proposal’s proponent, the Board amended our Bylaws in February 2018 to implement proxy access.</w:t>
      </w:r>
    </w:p>
    <w:p>
      <w:pPr>
        <w:spacing w:after="0" w:line="264"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007CBA"/>
        </w:rPr>
        <w:t>Components of Executive Compensation – Performance-Related Compensation</w:t>
      </w:r>
    </w:p>
    <w:p>
      <w:pPr>
        <w:spacing w:after="0" w:line="134" w:lineRule="exact"/>
        <w:rPr>
          <w:sz w:val="20"/>
          <w:szCs w:val="20"/>
          <w:color w:val="auto"/>
        </w:rPr>
      </w:pPr>
    </w:p>
    <w:p>
      <w:pPr>
        <w:jc w:val="both"/>
        <w:ind w:left="200"/>
        <w:spacing w:after="0" w:line="255" w:lineRule="auto"/>
        <w:rPr>
          <w:sz w:val="20"/>
          <w:szCs w:val="20"/>
          <w:color w:val="auto"/>
        </w:rPr>
      </w:pPr>
      <w:r>
        <w:rPr>
          <w:rFonts w:ascii="Arial" w:cs="Arial" w:eastAsia="Arial" w:hAnsi="Arial"/>
          <w:sz w:val="16"/>
          <w:szCs w:val="16"/>
          <w:color w:val="auto"/>
        </w:rPr>
        <w:t>Each NEO receives a mix of fixed and variable components of compensation. A substantial portion of our CEO’s and other executive officers’ compensation is at risk and will vary depending upon our performance. All of the opportunities to achieve long-term equity incentives (LTI) granted to our CEO and other executive officers in 2017 (other than Mr. Nickolas, who did not receive a PSUs award in 2017 as he was hired in August 2017) were performance-related consisting of PSUs that comprised 55% of the long-term equity awards and performance-related RSUs that comprised 45% of the awards. The following charts summarize the various forms of compensation and demonstrate that in 2017 over 87 percent of the CEO’s compensation and 79 percent of other NEO compensation is variable and tied to company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124460</wp:posOffset>
            </wp:positionV>
            <wp:extent cx="4408170" cy="18440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408170" cy="1844040"/>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2199640</wp:posOffset>
            </wp:positionV>
            <wp:extent cx="411480" cy="2489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9260" w:type="dxa"/>
        <w:tblCellMar>
          <w:top w:w="0" w:type="dxa"/>
          <w:left w:w="0" w:type="dxa"/>
          <w:bottom w:w="0" w:type="dxa"/>
          <w:right w:w="0" w:type="dxa"/>
        </w:tblCellMar>
      </w:tblPr>
      <w:tr>
        <w:trPr>
          <w:trHeight w:val="178"/>
        </w:trPr>
        <w:tc>
          <w:tcPr>
            <w:tcW w:w="1680" w:type="dxa"/>
            <w:vAlign w:val="bottom"/>
          </w:tcPr>
          <w:p>
            <w:pPr>
              <w:spacing w:after="0"/>
              <w:rPr>
                <w:sz w:val="20"/>
                <w:szCs w:val="20"/>
                <w:color w:val="auto"/>
              </w:rPr>
            </w:pPr>
            <w:r>
              <w:rPr>
                <w:rFonts w:ascii="Arial" w:cs="Arial" w:eastAsia="Arial" w:hAnsi="Arial"/>
                <w:sz w:val="13"/>
                <w:szCs w:val="13"/>
                <w:color w:val="007CBA"/>
              </w:rPr>
              <w:t>2018 PROXY STATEMENT</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rPr>
              <w:t>35</w:t>
            </w:r>
          </w:p>
        </w:tc>
      </w:tr>
    </w:tbl>
    <w:p>
      <w:pPr>
        <w:sectPr>
          <w:pgSz w:w="11900" w:h="16838" w:orient="portrait"/>
          <w:cols w:equalWidth="0" w:num="1">
            <w:col w:w="11220"/>
          </w:cols>
          <w:pgMar w:left="240" w:top="455" w:right="4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64" w:lineRule="exact"/>
        <w:rPr>
          <w:sz w:val="20"/>
          <w:szCs w:val="20"/>
          <w:color w:val="auto"/>
        </w:rPr>
      </w:pPr>
    </w:p>
    <w:p>
      <w:pPr>
        <w:ind w:left="200"/>
        <w:spacing w:after="0" w:line="288" w:lineRule="exact"/>
        <w:rPr>
          <w:sz w:val="20"/>
          <w:szCs w:val="20"/>
          <w:color w:val="auto"/>
        </w:rPr>
      </w:pPr>
      <w:r>
        <w:rPr>
          <w:rFonts w:ascii="Arial" w:cs="Arial" w:eastAsia="Arial" w:hAnsi="Arial"/>
          <w:sz w:val="14"/>
          <w:szCs w:val="14"/>
          <w:color w:val="007CBA"/>
        </w:rPr>
        <w:t xml:space="preserve">Compensation Discussion and Analysis </w:t>
      </w:r>
      <w:r>
        <w:rPr>
          <w:rFonts w:ascii="MS PGothic" w:cs="MS PGothic" w:eastAsia="MS PGothic" w:hAnsi="MS PGothic"/>
          <w:sz w:val="25"/>
          <w:szCs w:val="25"/>
          <w:color w:val="007CBA"/>
        </w:rPr>
        <w:t>◆</w:t>
      </w:r>
      <w:r>
        <w:rPr>
          <w:rFonts w:ascii="Arial" w:cs="Arial" w:eastAsia="Arial" w:hAnsi="Arial"/>
          <w:sz w:val="14"/>
          <w:szCs w:val="14"/>
          <w:color w:val="007CBA"/>
        </w:rPr>
        <w:t xml:space="preserve"> </w:t>
      </w:r>
      <w:r>
        <w:rPr>
          <w:rFonts w:ascii="Arial" w:cs="Arial" w:eastAsia="Arial" w:hAnsi="Arial"/>
          <w:sz w:val="14"/>
          <w:szCs w:val="14"/>
          <w:color w:val="000000"/>
        </w:rPr>
        <w:t>Pay Decisions and Compensation Governance Practices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007CBA"/>
        </w:rPr>
        <w:t>Pay Decisions and Compensation Governance Practices</w:t>
      </w:r>
    </w:p>
    <w:p>
      <w:pPr>
        <w:sectPr>
          <w:pgSz w:w="11900" w:h="16838" w:orient="portrait"/>
          <w:cols w:equalWidth="0" w:num="1">
            <w:col w:w="11220"/>
          </w:cols>
          <w:pgMar w:left="240" w:top="455" w:right="439" w:bottom="1440" w:gutter="0" w:footer="0" w:header="0"/>
        </w:sectPr>
      </w:pPr>
    </w:p>
    <w:p>
      <w:pPr>
        <w:spacing w:after="0" w:line="321"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93345</wp:posOffset>
            </wp:positionV>
            <wp:extent cx="335343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163" w:lineRule="exact"/>
        <w:rPr>
          <w:sz w:val="20"/>
          <w:szCs w:val="20"/>
          <w:color w:val="auto"/>
        </w:rPr>
      </w:pPr>
    </w:p>
    <w:p>
      <w:pPr>
        <w:jc w:val="both"/>
        <w:ind w:left="700"/>
        <w:spacing w:after="0" w:line="269" w:lineRule="auto"/>
        <w:rPr>
          <w:sz w:val="20"/>
          <w:szCs w:val="20"/>
          <w:color w:val="auto"/>
        </w:rPr>
      </w:pPr>
      <w:r>
        <w:rPr>
          <w:rFonts w:ascii="Arial" w:cs="Arial" w:eastAsia="Arial" w:hAnsi="Arial"/>
          <w:sz w:val="16"/>
          <w:szCs w:val="16"/>
          <w:b w:val="1"/>
          <w:bCs w:val="1"/>
          <w:i w:val="1"/>
          <w:iCs w:val="1"/>
          <w:color w:val="007CBA"/>
        </w:rPr>
        <w:t xml:space="preserve">Pay for performance. </w:t>
      </w:r>
      <w:r>
        <w:rPr>
          <w:rFonts w:ascii="Arial" w:cs="Arial" w:eastAsia="Arial" w:hAnsi="Arial"/>
          <w:sz w:val="16"/>
          <w:szCs w:val="16"/>
          <w:color w:val="000000"/>
        </w:rPr>
        <w:t>Tie pay to performance by ensuring that a</w:t>
      </w:r>
      <w:r>
        <w:rPr>
          <w:rFonts w:ascii="Arial" w:cs="Arial" w:eastAsia="Arial" w:hAnsi="Arial"/>
          <w:sz w:val="16"/>
          <w:szCs w:val="16"/>
          <w:b w:val="1"/>
          <w:bCs w:val="1"/>
          <w:i w:val="1"/>
          <w:iCs w:val="1"/>
          <w:color w:val="007CBA"/>
        </w:rPr>
        <w:t xml:space="preserve"> </w:t>
      </w:r>
      <w:r>
        <w:rPr>
          <w:rFonts w:ascii="Arial" w:cs="Arial" w:eastAsia="Arial" w:hAnsi="Arial"/>
          <w:sz w:val="16"/>
          <w:szCs w:val="16"/>
          <w:color w:val="000000"/>
        </w:rPr>
        <w:t>significant portion of NEO compensation is performance-based and at-risk.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-381000</wp:posOffset>
            </wp:positionV>
            <wp:extent cx="111760" cy="1117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11760" cy="111760"/>
                    </a:xfrm>
                    <a:prstGeom prst="rect">
                      <a:avLst/>
                    </a:prstGeom>
                    <a:noFill/>
                  </pic:spPr>
                </pic:pic>
              </a:graphicData>
            </a:graphic>
          </wp:anchor>
        </w:drawing>
      </w:r>
    </w:p>
    <w:p>
      <w:pPr>
        <w:spacing w:after="0" w:line="10" w:lineRule="exact"/>
        <w:rPr>
          <w:sz w:val="20"/>
          <w:szCs w:val="20"/>
          <w:color w:val="auto"/>
        </w:rPr>
      </w:pPr>
    </w:p>
    <w:p>
      <w:pPr>
        <w:jc w:val="both"/>
        <w:ind w:left="700"/>
        <w:spacing w:after="0" w:line="269" w:lineRule="auto"/>
        <w:rPr>
          <w:sz w:val="20"/>
          <w:szCs w:val="20"/>
          <w:color w:val="auto"/>
        </w:rPr>
      </w:pPr>
      <w:r>
        <w:rPr>
          <w:rFonts w:ascii="Arial" w:cs="Arial" w:eastAsia="Arial" w:hAnsi="Arial"/>
          <w:sz w:val="16"/>
          <w:szCs w:val="16"/>
          <w:b w:val="1"/>
          <w:bCs w:val="1"/>
          <w:i w:val="1"/>
          <w:iCs w:val="1"/>
          <w:color w:val="007CBA"/>
        </w:rPr>
        <w:t xml:space="preserve">Median compensation targets. </w:t>
      </w:r>
      <w:r>
        <w:rPr>
          <w:rFonts w:ascii="Arial" w:cs="Arial" w:eastAsia="Arial" w:hAnsi="Arial"/>
          <w:sz w:val="16"/>
          <w:szCs w:val="16"/>
          <w:color w:val="000000"/>
        </w:rPr>
        <w:t>We generally aim to align all</w:t>
      </w:r>
      <w:r>
        <w:rPr>
          <w:rFonts w:ascii="Arial" w:cs="Arial" w:eastAsia="Arial" w:hAnsi="Arial"/>
          <w:sz w:val="16"/>
          <w:szCs w:val="16"/>
          <w:b w:val="1"/>
          <w:bCs w:val="1"/>
          <w:i w:val="1"/>
          <w:iCs w:val="1"/>
          <w:color w:val="007CBA"/>
        </w:rPr>
        <w:t xml:space="preserve"> </w:t>
      </w:r>
      <w:r>
        <w:rPr>
          <w:rFonts w:ascii="Arial" w:cs="Arial" w:eastAsia="Arial" w:hAnsi="Arial"/>
          <w:sz w:val="16"/>
          <w:szCs w:val="16"/>
          <w:color w:val="000000"/>
        </w:rPr>
        <w:t>compensation elements for our executives with the median of our peer group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-381000</wp:posOffset>
            </wp:positionV>
            <wp:extent cx="111760" cy="1117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11760" cy="111760"/>
                    </a:xfrm>
                    <a:prstGeom prst="rect">
                      <a:avLst/>
                    </a:prstGeom>
                    <a:noFill/>
                  </pic:spPr>
                </pic:pic>
              </a:graphicData>
            </a:graphic>
          </wp:anchor>
        </w:drawing>
      </w:r>
    </w:p>
    <w:p>
      <w:pPr>
        <w:spacing w:after="0" w:line="10" w:lineRule="exact"/>
        <w:rPr>
          <w:sz w:val="20"/>
          <w:szCs w:val="20"/>
          <w:color w:val="auto"/>
        </w:rPr>
      </w:pPr>
    </w:p>
    <w:p>
      <w:pPr>
        <w:jc w:val="both"/>
        <w:ind w:left="700"/>
        <w:spacing w:after="0" w:line="257" w:lineRule="auto"/>
        <w:rPr>
          <w:sz w:val="20"/>
          <w:szCs w:val="20"/>
          <w:color w:val="auto"/>
        </w:rPr>
      </w:pPr>
      <w:r>
        <w:rPr>
          <w:rFonts w:ascii="Arial" w:cs="Arial" w:eastAsia="Arial" w:hAnsi="Arial"/>
          <w:sz w:val="16"/>
          <w:szCs w:val="16"/>
          <w:b w:val="1"/>
          <w:bCs w:val="1"/>
          <w:i w:val="1"/>
          <w:iCs w:val="1"/>
          <w:color w:val="007CBA"/>
        </w:rPr>
        <w:t xml:space="preserve">PSUs are a substantial portion of LTI. </w:t>
      </w:r>
      <w:r>
        <w:rPr>
          <w:rFonts w:ascii="Arial" w:cs="Arial" w:eastAsia="Arial" w:hAnsi="Arial"/>
          <w:sz w:val="16"/>
          <w:szCs w:val="16"/>
          <w:color w:val="000000"/>
        </w:rPr>
        <w:t>PSU grants, tied to our</w:t>
      </w:r>
      <w:r>
        <w:rPr>
          <w:rFonts w:ascii="Arial" w:cs="Arial" w:eastAsia="Arial" w:hAnsi="Arial"/>
          <w:sz w:val="16"/>
          <w:szCs w:val="16"/>
          <w:b w:val="1"/>
          <w:bCs w:val="1"/>
          <w:i w:val="1"/>
          <w:iCs w:val="1"/>
          <w:color w:val="007CBA"/>
        </w:rPr>
        <w:t xml:space="preserve"> </w:t>
      </w:r>
      <w:r>
        <w:rPr>
          <w:rFonts w:ascii="Arial" w:cs="Arial" w:eastAsia="Arial" w:hAnsi="Arial"/>
          <w:sz w:val="16"/>
          <w:szCs w:val="16"/>
          <w:color w:val="000000"/>
        </w:rPr>
        <w:t>achievement of specified performance measures, comprised approximately 55% of the total value of annual long-term incentive grants made to our NEOs in 2017. Performance-based RSUs comprised the remaining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-613410</wp:posOffset>
            </wp:positionV>
            <wp:extent cx="111760" cy="1117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11760" cy="111760"/>
                    </a:xfrm>
                    <a:prstGeom prst="rect">
                      <a:avLst/>
                    </a:prstGeom>
                    <a:noFill/>
                  </pic:spPr>
                </pic:pic>
              </a:graphicData>
            </a:graphic>
          </wp:anchor>
        </w:drawing>
      </w:r>
    </w:p>
    <w:p>
      <w:pPr>
        <w:spacing w:after="0" w:line="21" w:lineRule="exact"/>
        <w:rPr>
          <w:sz w:val="20"/>
          <w:szCs w:val="20"/>
          <w:color w:val="auto"/>
        </w:rPr>
      </w:pPr>
    </w:p>
    <w:p>
      <w:pPr>
        <w:jc w:val="both"/>
        <w:ind w:left="700"/>
        <w:spacing w:after="0" w:line="291" w:lineRule="auto"/>
        <w:rPr>
          <w:sz w:val="20"/>
          <w:szCs w:val="20"/>
          <w:color w:val="auto"/>
        </w:rPr>
      </w:pPr>
      <w:r>
        <w:rPr>
          <w:rFonts w:ascii="Arial" w:cs="Arial" w:eastAsia="Arial" w:hAnsi="Arial"/>
          <w:sz w:val="16"/>
          <w:szCs w:val="16"/>
          <w:b w:val="1"/>
          <w:bCs w:val="1"/>
          <w:i w:val="1"/>
          <w:iCs w:val="1"/>
          <w:color w:val="007CBA"/>
        </w:rPr>
        <w:t xml:space="preserve">Independent compensation consultant. </w:t>
      </w:r>
      <w:r>
        <w:rPr>
          <w:rFonts w:ascii="Arial" w:cs="Arial" w:eastAsia="Arial" w:hAnsi="Arial"/>
          <w:sz w:val="16"/>
          <w:szCs w:val="16"/>
          <w:color w:val="000000"/>
        </w:rPr>
        <w:t>The Compensation</w:t>
      </w:r>
      <w:r>
        <w:rPr>
          <w:rFonts w:ascii="Arial" w:cs="Arial" w:eastAsia="Arial" w:hAnsi="Arial"/>
          <w:sz w:val="16"/>
          <w:szCs w:val="16"/>
          <w:b w:val="1"/>
          <w:bCs w:val="1"/>
          <w:i w:val="1"/>
          <w:iCs w:val="1"/>
          <w:color w:val="007CBA"/>
        </w:rPr>
        <w:t xml:space="preserve"> </w:t>
      </w:r>
      <w:r>
        <w:rPr>
          <w:rFonts w:ascii="Arial" w:cs="Arial" w:eastAsia="Arial" w:hAnsi="Arial"/>
          <w:sz w:val="16"/>
          <w:szCs w:val="16"/>
          <w:color w:val="000000"/>
        </w:rPr>
        <w:t>Committee uses an independent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-271145</wp:posOffset>
            </wp:positionV>
            <wp:extent cx="111760" cy="1117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11760" cy="111760"/>
                    </a:xfrm>
                    <a:prstGeom prst="rect">
                      <a:avLst/>
                    </a:prstGeom>
                    <a:noFill/>
                  </pic:spPr>
                </pic:pic>
              </a:graphicData>
            </a:graphic>
          </wp:anchor>
        </w:drawing>
      </w:r>
    </w:p>
    <w:p>
      <w:pPr>
        <w:jc w:val="both"/>
        <w:ind w:left="700"/>
        <w:spacing w:after="0" w:line="255" w:lineRule="auto"/>
        <w:rPr>
          <w:sz w:val="20"/>
          <w:szCs w:val="20"/>
          <w:color w:val="auto"/>
        </w:rPr>
      </w:pPr>
      <w:r>
        <w:rPr>
          <w:rFonts w:ascii="Arial" w:cs="Arial" w:eastAsia="Arial" w:hAnsi="Arial"/>
          <w:sz w:val="16"/>
          <w:szCs w:val="16"/>
          <w:b w:val="1"/>
          <w:bCs w:val="1"/>
          <w:i w:val="1"/>
          <w:iCs w:val="1"/>
          <w:color w:val="007CBA"/>
        </w:rPr>
        <w:t xml:space="preserve">Robust share ownership requirements. </w:t>
      </w:r>
      <w:r>
        <w:rPr>
          <w:rFonts w:ascii="Arial" w:cs="Arial" w:eastAsia="Arial" w:hAnsi="Arial"/>
          <w:sz w:val="16"/>
          <w:szCs w:val="16"/>
          <w:color w:val="000000"/>
        </w:rPr>
        <w:t>We have robust stock</w:t>
      </w:r>
      <w:r>
        <w:rPr>
          <w:rFonts w:ascii="Arial" w:cs="Arial" w:eastAsia="Arial" w:hAnsi="Arial"/>
          <w:sz w:val="16"/>
          <w:szCs w:val="16"/>
          <w:b w:val="1"/>
          <w:bCs w:val="1"/>
          <w:i w:val="1"/>
          <w:iCs w:val="1"/>
          <w:color w:val="007CBA"/>
        </w:rPr>
        <w:t xml:space="preserve"> </w:t>
      </w:r>
      <w:r>
        <w:rPr>
          <w:rFonts w:ascii="Arial" w:cs="Arial" w:eastAsia="Arial" w:hAnsi="Arial"/>
          <w:sz w:val="16"/>
          <w:szCs w:val="16"/>
          <w:color w:val="000000"/>
        </w:rPr>
        <w:t>ownership guidelines of 7 times base salary for the CEO, 5 times base salary for our other NEOs, and 5 times annual retainer for Directors. We also have an equity retention requirement of 50% of net shares paid as incentive compensation until ownership guidelines are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-732790</wp:posOffset>
            </wp:positionV>
            <wp:extent cx="111760" cy="1117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11760" cy="111760"/>
                    </a:xfrm>
                    <a:prstGeom prst="rect">
                      <a:avLst/>
                    </a:prstGeom>
                    <a:noFill/>
                  </pic:spPr>
                </pic:pic>
              </a:graphicData>
            </a:graphic>
          </wp:anchor>
        </w:drawing>
      </w:r>
    </w:p>
    <w:p>
      <w:pPr>
        <w:spacing w:after="0" w:line="23" w:lineRule="exact"/>
        <w:rPr>
          <w:sz w:val="20"/>
          <w:szCs w:val="20"/>
          <w:color w:val="auto"/>
        </w:rPr>
      </w:pPr>
    </w:p>
    <w:p>
      <w:pPr>
        <w:jc w:val="both"/>
        <w:ind w:left="700"/>
        <w:spacing w:after="0" w:line="257" w:lineRule="auto"/>
        <w:rPr>
          <w:sz w:val="20"/>
          <w:szCs w:val="20"/>
          <w:color w:val="auto"/>
        </w:rPr>
      </w:pPr>
      <w:r>
        <w:rPr>
          <w:rFonts w:ascii="Arial" w:cs="Arial" w:eastAsia="Arial" w:hAnsi="Arial"/>
          <w:sz w:val="16"/>
          <w:szCs w:val="16"/>
          <w:b w:val="1"/>
          <w:bCs w:val="1"/>
          <w:i w:val="1"/>
          <w:iCs w:val="1"/>
          <w:color w:val="007CBA"/>
        </w:rPr>
        <w:t xml:space="preserve">Clawback policy. </w:t>
      </w:r>
      <w:r>
        <w:rPr>
          <w:rFonts w:ascii="Arial" w:cs="Arial" w:eastAsia="Arial" w:hAnsi="Arial"/>
          <w:sz w:val="16"/>
          <w:szCs w:val="16"/>
          <w:color w:val="000000"/>
        </w:rPr>
        <w:t>We have a compensation recovery (clawback)</w:t>
      </w:r>
      <w:r>
        <w:rPr>
          <w:rFonts w:ascii="Arial" w:cs="Arial" w:eastAsia="Arial" w:hAnsi="Arial"/>
          <w:sz w:val="16"/>
          <w:szCs w:val="16"/>
          <w:b w:val="1"/>
          <w:bCs w:val="1"/>
          <w:i w:val="1"/>
          <w:iCs w:val="1"/>
          <w:color w:val="007CBA"/>
        </w:rPr>
        <w:t xml:space="preserve"> </w:t>
      </w:r>
      <w:r>
        <w:rPr>
          <w:rFonts w:ascii="Arial" w:cs="Arial" w:eastAsia="Arial" w:hAnsi="Arial"/>
          <w:sz w:val="16"/>
          <w:szCs w:val="16"/>
          <w:color w:val="000000"/>
        </w:rPr>
        <w:t>policy that requires officers to forfeit certain cash-based incentive compensation and/or equity-based incentive compensation if the company restates its financial statements due to the officer’s misconduct.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-613410</wp:posOffset>
            </wp:positionV>
            <wp:extent cx="111760" cy="1117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11760" cy="111760"/>
                    </a:xfrm>
                    <a:prstGeom prst="rect">
                      <a:avLst/>
                    </a:prstGeom>
                    <a:noFill/>
                  </pic:spPr>
                </pic:pic>
              </a:graphicData>
            </a:graphic>
          </wp:anchor>
        </w:drawing>
      </w:r>
    </w:p>
    <w:p>
      <w:pPr>
        <w:spacing w:after="0" w:line="21" w:lineRule="exact"/>
        <w:rPr>
          <w:sz w:val="20"/>
          <w:szCs w:val="20"/>
          <w:color w:val="auto"/>
        </w:rPr>
      </w:pPr>
    </w:p>
    <w:p>
      <w:pPr>
        <w:jc w:val="both"/>
        <w:ind w:left="700"/>
        <w:spacing w:after="0" w:line="269" w:lineRule="auto"/>
        <w:rPr>
          <w:sz w:val="20"/>
          <w:szCs w:val="20"/>
          <w:color w:val="auto"/>
        </w:rPr>
      </w:pPr>
      <w:r>
        <w:rPr>
          <w:rFonts w:ascii="Arial" w:cs="Arial" w:eastAsia="Arial" w:hAnsi="Arial"/>
          <w:sz w:val="16"/>
          <w:szCs w:val="16"/>
          <w:b w:val="1"/>
          <w:bCs w:val="1"/>
          <w:i w:val="1"/>
          <w:iCs w:val="1"/>
          <w:color w:val="007CBA"/>
        </w:rPr>
        <w:t xml:space="preserve">Regular engagement with shareholders. </w:t>
      </w:r>
      <w:r>
        <w:rPr>
          <w:rFonts w:ascii="Arial" w:cs="Arial" w:eastAsia="Arial" w:hAnsi="Arial"/>
          <w:sz w:val="16"/>
          <w:szCs w:val="16"/>
          <w:color w:val="000000"/>
        </w:rPr>
        <w:t>We engage with</w:t>
      </w:r>
      <w:r>
        <w:rPr>
          <w:rFonts w:ascii="Arial" w:cs="Arial" w:eastAsia="Arial" w:hAnsi="Arial"/>
          <w:sz w:val="16"/>
          <w:szCs w:val="16"/>
          <w:b w:val="1"/>
          <w:bCs w:val="1"/>
          <w:i w:val="1"/>
          <w:iCs w:val="1"/>
          <w:color w:val="007CBA"/>
        </w:rPr>
        <w:t xml:space="preserve"> </w:t>
      </w:r>
      <w:r>
        <w:rPr>
          <w:rFonts w:ascii="Arial" w:cs="Arial" w:eastAsia="Arial" w:hAnsi="Arial"/>
          <w:sz w:val="16"/>
          <w:szCs w:val="16"/>
          <w:color w:val="000000"/>
        </w:rPr>
        <w:t>shareholders to hear their views on compensation and other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-381000</wp:posOffset>
            </wp:positionV>
            <wp:extent cx="111760" cy="1117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11760" cy="1117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93345</wp:posOffset>
            </wp:positionV>
            <wp:extent cx="342201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163" w:lineRule="exact"/>
        <w:rPr>
          <w:sz w:val="20"/>
          <w:szCs w:val="20"/>
          <w:color w:val="auto"/>
        </w:rPr>
      </w:pPr>
    </w:p>
    <w:p>
      <w:pPr>
        <w:jc w:val="both"/>
        <w:ind w:left="380" w:right="20"/>
        <w:spacing w:after="0" w:line="269" w:lineRule="auto"/>
        <w:rPr>
          <w:sz w:val="20"/>
          <w:szCs w:val="20"/>
          <w:color w:val="auto"/>
        </w:rPr>
      </w:pPr>
      <w:r>
        <w:rPr>
          <w:rFonts w:ascii="Arial" w:cs="Arial" w:eastAsia="Arial" w:hAnsi="Arial"/>
          <w:sz w:val="16"/>
          <w:szCs w:val="16"/>
          <w:b w:val="1"/>
          <w:bCs w:val="1"/>
          <w:i w:val="1"/>
          <w:iCs w:val="1"/>
          <w:color w:val="auto"/>
        </w:rPr>
        <w:t xml:space="preserve">No employment contracts. </w:t>
      </w:r>
      <w:r>
        <w:rPr>
          <w:rFonts w:ascii="Arial" w:cs="Arial" w:eastAsia="Arial" w:hAnsi="Arial"/>
          <w:sz w:val="16"/>
          <w:szCs w:val="16"/>
          <w:color w:val="auto"/>
        </w:rPr>
        <w:t>None of our NEOs or other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officers have employment contracts that guarantee continued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-381000</wp:posOffset>
            </wp:positionV>
            <wp:extent cx="111760" cy="1117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11760" cy="111760"/>
                    </a:xfrm>
                    <a:prstGeom prst="rect">
                      <a:avLst/>
                    </a:prstGeom>
                    <a:noFill/>
                  </pic:spPr>
                </pic:pic>
              </a:graphicData>
            </a:graphic>
          </wp:anchor>
        </w:drawing>
      </w:r>
    </w:p>
    <w:p>
      <w:pPr>
        <w:spacing w:after="0" w:line="10" w:lineRule="exact"/>
        <w:rPr>
          <w:sz w:val="20"/>
          <w:szCs w:val="20"/>
          <w:color w:val="auto"/>
        </w:rPr>
      </w:pPr>
    </w:p>
    <w:p>
      <w:pPr>
        <w:jc w:val="both"/>
        <w:ind w:left="380" w:right="20"/>
        <w:spacing w:after="0" w:line="261" w:lineRule="auto"/>
        <w:rPr>
          <w:sz w:val="20"/>
          <w:szCs w:val="20"/>
          <w:color w:val="auto"/>
        </w:rPr>
      </w:pPr>
      <w:r>
        <w:rPr>
          <w:rFonts w:ascii="Arial" w:cs="Arial" w:eastAsia="Arial" w:hAnsi="Arial"/>
          <w:sz w:val="16"/>
          <w:szCs w:val="16"/>
          <w:b w:val="1"/>
          <w:bCs w:val="1"/>
          <w:i w:val="1"/>
          <w:iCs w:val="1"/>
          <w:color w:val="auto"/>
        </w:rPr>
        <w:t xml:space="preserve">No dividends on unvested awards. </w:t>
      </w:r>
      <w:r>
        <w:rPr>
          <w:rFonts w:ascii="Arial" w:cs="Arial" w:eastAsia="Arial" w:hAnsi="Arial"/>
          <w:sz w:val="16"/>
          <w:szCs w:val="16"/>
          <w:color w:val="auto"/>
        </w:rPr>
        <w:t>Our 2017 RSU and PSU</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awards require three years to fully vest and dividends paid on shares of common stock of Martin Marietta during the vesting period are only paid to award holders if and when an award vests.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-495935</wp:posOffset>
            </wp:positionV>
            <wp:extent cx="111760" cy="1117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11760" cy="111760"/>
                    </a:xfrm>
                    <a:prstGeom prst="rect">
                      <a:avLst/>
                    </a:prstGeom>
                    <a:noFill/>
                  </pic:spPr>
                </pic:pic>
              </a:graphicData>
            </a:graphic>
          </wp:anchor>
        </w:drawing>
      </w:r>
    </w:p>
    <w:p>
      <w:pPr>
        <w:spacing w:after="0" w:line="17" w:lineRule="exact"/>
        <w:rPr>
          <w:sz w:val="20"/>
          <w:szCs w:val="20"/>
          <w:color w:val="auto"/>
        </w:rPr>
      </w:pPr>
    </w:p>
    <w:p>
      <w:pPr>
        <w:jc w:val="both"/>
        <w:ind w:left="380"/>
        <w:spacing w:after="0" w:line="269" w:lineRule="auto"/>
        <w:rPr>
          <w:sz w:val="20"/>
          <w:szCs w:val="20"/>
          <w:color w:val="auto"/>
        </w:rPr>
      </w:pPr>
      <w:r>
        <w:rPr>
          <w:rFonts w:ascii="Arial" w:cs="Arial" w:eastAsia="Arial" w:hAnsi="Arial"/>
          <w:sz w:val="16"/>
          <w:szCs w:val="16"/>
          <w:b w:val="1"/>
          <w:bCs w:val="1"/>
          <w:i w:val="1"/>
          <w:iCs w:val="1"/>
          <w:color w:val="auto"/>
        </w:rPr>
        <w:t xml:space="preserve">No pledging of shares. </w:t>
      </w:r>
      <w:r>
        <w:rPr>
          <w:rFonts w:ascii="Arial" w:cs="Arial" w:eastAsia="Arial" w:hAnsi="Arial"/>
          <w:sz w:val="16"/>
          <w:szCs w:val="16"/>
          <w:color w:val="auto"/>
        </w:rPr>
        <w:t>Our directors and executive officers are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permitted to pledge Martin Marietta shares as collateral for loans or any 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-381000</wp:posOffset>
            </wp:positionV>
            <wp:extent cx="111760" cy="1117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11760" cy="111760"/>
                    </a:xfrm>
                    <a:prstGeom prst="rect">
                      <a:avLst/>
                    </a:prstGeom>
                    <a:noFill/>
                  </pic:spPr>
                </pic:pic>
              </a:graphicData>
            </a:graphic>
          </wp:anchor>
        </w:drawing>
      </w:r>
    </w:p>
    <w:p>
      <w:pPr>
        <w:spacing w:after="0" w:line="10" w:lineRule="exact"/>
        <w:rPr>
          <w:sz w:val="20"/>
          <w:szCs w:val="20"/>
          <w:color w:val="auto"/>
        </w:rPr>
      </w:pPr>
    </w:p>
    <w:p>
      <w:pPr>
        <w:jc w:val="both"/>
        <w:ind w:left="380"/>
        <w:spacing w:after="0" w:line="261" w:lineRule="auto"/>
        <w:rPr>
          <w:sz w:val="20"/>
          <w:szCs w:val="20"/>
          <w:color w:val="auto"/>
        </w:rPr>
      </w:pPr>
      <w:r>
        <w:rPr>
          <w:rFonts w:ascii="Arial" w:cs="Arial" w:eastAsia="Arial" w:hAnsi="Arial"/>
          <w:sz w:val="16"/>
          <w:szCs w:val="16"/>
          <w:b w:val="1"/>
          <w:bCs w:val="1"/>
          <w:i w:val="1"/>
          <w:iCs w:val="1"/>
          <w:color w:val="auto"/>
        </w:rPr>
        <w:t xml:space="preserve">No hedging. </w:t>
      </w:r>
      <w:r>
        <w:rPr>
          <w:rFonts w:ascii="Arial" w:cs="Arial" w:eastAsia="Arial" w:hAnsi="Arial"/>
          <w:sz w:val="16"/>
          <w:szCs w:val="16"/>
          <w:color w:val="auto"/>
        </w:rPr>
        <w:t>We prohibit directors and executive officers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engaging in short sales of Martin Marietta stock or similar transactions intended to hedge or offset the market value of Martin Marietta stock owned by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-495935</wp:posOffset>
            </wp:positionV>
            <wp:extent cx="111760" cy="1117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11760" cy="111760"/>
                    </a:xfrm>
                    <a:prstGeom prst="rect">
                      <a:avLst/>
                    </a:prstGeom>
                    <a:noFill/>
                  </pic:spPr>
                </pic:pic>
              </a:graphicData>
            </a:graphic>
          </wp:anchor>
        </w:drawing>
      </w:r>
    </w:p>
    <w:p>
      <w:pPr>
        <w:spacing w:after="0" w:line="17" w:lineRule="exact"/>
        <w:rPr>
          <w:sz w:val="20"/>
          <w:szCs w:val="20"/>
          <w:color w:val="auto"/>
        </w:rPr>
      </w:pPr>
    </w:p>
    <w:p>
      <w:pPr>
        <w:jc w:val="both"/>
        <w:ind w:left="380"/>
        <w:spacing w:after="0" w:line="269" w:lineRule="auto"/>
        <w:rPr>
          <w:sz w:val="20"/>
          <w:szCs w:val="20"/>
          <w:color w:val="auto"/>
        </w:rPr>
      </w:pPr>
      <w:r>
        <w:rPr>
          <w:rFonts w:ascii="Arial" w:cs="Arial" w:eastAsia="Arial" w:hAnsi="Arial"/>
          <w:sz w:val="16"/>
          <w:szCs w:val="16"/>
          <w:b w:val="1"/>
          <w:bCs w:val="1"/>
          <w:i w:val="1"/>
          <w:iCs w:val="1"/>
          <w:color w:val="auto"/>
        </w:rPr>
        <w:t xml:space="preserve">Minimal executive perquisites. </w:t>
      </w:r>
      <w:r>
        <w:rPr>
          <w:rFonts w:ascii="Arial" w:cs="Arial" w:eastAsia="Arial" w:hAnsi="Arial"/>
          <w:sz w:val="16"/>
          <w:szCs w:val="16"/>
          <w:color w:val="auto"/>
        </w:rPr>
        <w:t>We do not provide NEOs country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club reimbursements, personal use of the Company aircraft unrelated to business travel, or other excessive perks.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1471295</wp:posOffset>
            </wp:positionV>
            <wp:extent cx="411480" cy="2489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11480" cy="24892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-381000</wp:posOffset>
            </wp:positionV>
            <wp:extent cx="111760" cy="1117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11760" cy="111760"/>
                    </a:xfrm>
                    <a:prstGeom prst="rect">
                      <a:avLst/>
                    </a:prstGeom>
                    <a:noFill/>
                  </pic:spPr>
                </pic:pic>
              </a:graphicData>
            </a:graphic>
          </wp:anchor>
        </w:drawing>
      </w:r>
    </w:p>
    <w:p>
      <w:pPr>
        <w:spacing w:after="0" w:line="2252" w:lineRule="exact"/>
        <w:rPr>
          <w:sz w:val="20"/>
          <w:szCs w:val="20"/>
          <w:color w:val="auto"/>
        </w:rPr>
      </w:pPr>
    </w:p>
    <w:p>
      <w:pPr>
        <w:sectPr>
          <w:pgSz w:w="11900" w:h="16838" w:orient="portrait"/>
          <w:cols w:equalWidth="0" w:num="2">
            <w:col w:w="5480" w:space="460"/>
            <w:col w:w="5280"/>
          </w:cols>
          <w:pgMar w:left="240" w:top="455" w:right="439" w:bottom="1440" w:gutter="0" w:footer="0" w:header="0"/>
          <w:type w:val="continuous"/>
        </w:sectPr>
      </w:pPr>
    </w:p>
    <w:p>
      <w:pPr>
        <w:spacing w:after="0" w:line="82" w:lineRule="exact"/>
        <w:rPr>
          <w:sz w:val="20"/>
          <w:szCs w:val="20"/>
          <w:color w:val="auto"/>
        </w:rPr>
      </w:pPr>
    </w:p>
    <w:p>
      <w:pPr>
        <w:ind w:left="640" w:hanging="436"/>
        <w:spacing w:after="0"/>
        <w:tabs>
          <w:tab w:leader="none" w:pos="640" w:val="left"/>
        </w:tabs>
        <w:numPr>
          <w:ilvl w:val="0"/>
          <w:numId w:val="69"/>
        </w:numPr>
        <w:rPr>
          <w:rFonts w:ascii="Arial" w:cs="Arial" w:eastAsia="Arial" w:hAnsi="Arial"/>
          <w:sz w:val="12"/>
          <w:szCs w:val="12"/>
          <w:b w:val="1"/>
          <w:bCs w:val="1"/>
          <w:color w:val="auto"/>
        </w:rPr>
      </w:pPr>
      <w:r>
        <w:rPr>
          <w:rFonts w:ascii="Arial" w:cs="Arial" w:eastAsia="Arial" w:hAnsi="Arial"/>
          <w:sz w:val="12"/>
          <w:szCs w:val="12"/>
          <w:color w:val="007CBA"/>
        </w:rPr>
        <w:t>2018 PROXY STATEMENT</w:t>
      </w:r>
    </w:p>
    <w:p>
      <w:pPr>
        <w:sectPr>
          <w:pgSz w:w="11900" w:h="16838" w:orient="portrait"/>
          <w:cols w:equalWidth="0" w:num="1">
            <w:col w:w="11220"/>
          </w:cols>
          <w:pgMar w:left="240" w:top="455" w:right="439" w:bottom="1440" w:gutter="0" w:footer="0" w:header="0"/>
          <w:type w:val="continuous"/>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64" w:lineRule="exact"/>
        <w:rPr>
          <w:sz w:val="20"/>
          <w:szCs w:val="20"/>
          <w:color w:val="auto"/>
        </w:rPr>
      </w:pPr>
    </w:p>
    <w:p>
      <w:pPr>
        <w:ind w:left="5440"/>
        <w:spacing w:after="0" w:line="276" w:lineRule="exact"/>
        <w:rPr>
          <w:sz w:val="20"/>
          <w:szCs w:val="20"/>
          <w:color w:val="auto"/>
        </w:rPr>
      </w:pPr>
      <w:r>
        <w:rPr>
          <w:rFonts w:ascii="Arial" w:cs="Arial" w:eastAsia="Arial" w:hAnsi="Arial"/>
          <w:sz w:val="13"/>
          <w:szCs w:val="13"/>
          <w:color w:val="auto"/>
        </w:rPr>
        <w:t xml:space="preserve">2017 Chairman, President and CEO Compensation </w:t>
      </w:r>
      <w:r>
        <w:rPr>
          <w:rFonts w:ascii="MS PGothic" w:cs="MS PGothic" w:eastAsia="MS PGothic" w:hAnsi="MS PGothic"/>
          <w:sz w:val="24"/>
          <w:szCs w:val="24"/>
          <w:color w:val="007CBA"/>
        </w:rPr>
        <w:t>◆</w:t>
      </w:r>
      <w:r>
        <w:rPr>
          <w:rFonts w:ascii="Arial" w:cs="Arial" w:eastAsia="Arial" w:hAnsi="Arial"/>
          <w:sz w:val="13"/>
          <w:szCs w:val="13"/>
          <w:color w:val="auto"/>
        </w:rPr>
        <w:t xml:space="preserve"> </w:t>
      </w:r>
      <w:r>
        <w:rPr>
          <w:rFonts w:ascii="Arial" w:cs="Arial" w:eastAsia="Arial" w:hAnsi="Arial"/>
          <w:sz w:val="13"/>
          <w:szCs w:val="13"/>
          <w:color w:val="007CBA"/>
        </w:rPr>
        <w:t>Compensation Discussion and Analysis</w:t>
      </w:r>
    </w:p>
    <w:p>
      <w:pPr>
        <w:spacing w:after="0" w:line="216" w:lineRule="exact"/>
        <w:rPr>
          <w:sz w:val="20"/>
          <w:szCs w:val="20"/>
          <w:color w:val="auto"/>
        </w:rPr>
      </w:pPr>
    </w:p>
    <w:p>
      <w:pPr>
        <w:jc w:val="both"/>
        <w:ind w:left="200"/>
        <w:spacing w:after="0" w:line="269" w:lineRule="auto"/>
        <w:rPr>
          <w:sz w:val="20"/>
          <w:szCs w:val="20"/>
          <w:color w:val="auto"/>
        </w:rPr>
      </w:pPr>
      <w:r>
        <w:rPr>
          <w:rFonts w:ascii="Arial" w:cs="Arial" w:eastAsia="Arial" w:hAnsi="Arial"/>
          <w:sz w:val="16"/>
          <w:szCs w:val="16"/>
          <w:color w:val="auto"/>
        </w:rPr>
        <w:t>A number of key 2017 compensation-related decisions resulted from these significant events and accomplishments, which are discussed more fully below. The Committee believes that our executive compensation program continues to reflect a strong pay-for-performance philosophy and is well-aligned with the interests of shareholders</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007CBA"/>
        </w:rPr>
        <w:t>2017 Chairman, President and CEO Compensation</w:t>
      </w:r>
    </w:p>
    <w:p>
      <w:pPr>
        <w:sectPr>
          <w:pgSz w:w="11900" w:h="16838" w:orient="portrait"/>
          <w:cols w:equalWidth="0" w:num="1">
            <w:col w:w="11220"/>
          </w:cols>
          <w:pgMar w:left="240" w:top="455" w:right="439" w:bottom="1440" w:gutter="0" w:footer="0" w:header="0"/>
        </w:sectPr>
      </w:pPr>
    </w:p>
    <w:p>
      <w:pPr>
        <w:spacing w:after="0" w:line="202" w:lineRule="exact"/>
        <w:rPr>
          <w:sz w:val="20"/>
          <w:szCs w:val="20"/>
          <w:color w:val="auto"/>
        </w:rPr>
      </w:pPr>
    </w:p>
    <w:p>
      <w:pPr>
        <w:jc w:val="both"/>
        <w:ind w:left="220" w:right="20"/>
        <w:spacing w:after="0" w:line="291" w:lineRule="auto"/>
        <w:rPr>
          <w:sz w:val="20"/>
          <w:szCs w:val="20"/>
          <w:color w:val="auto"/>
        </w:rPr>
      </w:pPr>
      <w:r>
        <w:rPr>
          <w:rFonts w:ascii="Arial" w:cs="Arial" w:eastAsia="Arial" w:hAnsi="Arial"/>
          <w:sz w:val="16"/>
          <w:szCs w:val="16"/>
          <w:b w:val="1"/>
          <w:bCs w:val="1"/>
          <w:i w:val="1"/>
          <w:iCs w:val="1"/>
          <w:color w:val="007CBA"/>
        </w:rPr>
        <w:t xml:space="preserve">Base Salary. </w:t>
      </w:r>
      <w:r>
        <w:rPr>
          <w:rFonts w:ascii="Arial" w:cs="Arial" w:eastAsia="Arial" w:hAnsi="Arial"/>
          <w:sz w:val="16"/>
          <w:szCs w:val="16"/>
          <w:color w:val="000000"/>
        </w:rPr>
        <w:t>For 2017, Mr. Nye’s base salary was set at $1,045,000</w:t>
      </w:r>
      <w:r>
        <w:rPr>
          <w:rFonts w:ascii="Arial" w:cs="Arial" w:eastAsia="Arial" w:hAnsi="Arial"/>
          <w:sz w:val="16"/>
          <w:szCs w:val="16"/>
          <w:b w:val="1"/>
          <w:bCs w:val="1"/>
          <w:i w:val="1"/>
          <w:iCs w:val="1"/>
          <w:color w:val="007CBA"/>
        </w:rPr>
        <w:t xml:space="preserve"> </w:t>
      </w:r>
      <w:r>
        <w:rPr>
          <w:rFonts w:ascii="Arial" w:cs="Arial" w:eastAsia="Arial" w:hAnsi="Arial"/>
          <w:sz w:val="16"/>
          <w:szCs w:val="16"/>
          <w:color w:val="000000"/>
        </w:rPr>
        <w:t>(effective March 1, 2017).</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007CBA"/>
        </w:rPr>
        <w:t xml:space="preserve">2017 Annual Incentive. </w:t>
      </w:r>
      <w:r>
        <w:rPr>
          <w:rFonts w:ascii="Arial" w:cs="Arial" w:eastAsia="Arial" w:hAnsi="Arial"/>
          <w:sz w:val="16"/>
          <w:szCs w:val="16"/>
          <w:color w:val="000000"/>
        </w:rPr>
        <w:t>Mr. Nye’s target annual incentive amount for</w:t>
      </w:r>
    </w:p>
    <w:p>
      <w:pPr>
        <w:spacing w:after="0" w:line="2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2017 was $1,143,083 (110% of salary received for the year).</w:t>
      </w:r>
    </w:p>
    <w:p>
      <w:pPr>
        <w:spacing w:after="0" w:line="161" w:lineRule="exact"/>
        <w:rPr>
          <w:sz w:val="20"/>
          <w:szCs w:val="20"/>
          <w:color w:val="auto"/>
        </w:rPr>
      </w:pPr>
    </w:p>
    <w:p>
      <w:pPr>
        <w:jc w:val="both"/>
        <w:ind w:left="220"/>
        <w:spacing w:after="0" w:line="254" w:lineRule="auto"/>
        <w:rPr>
          <w:sz w:val="20"/>
          <w:szCs w:val="20"/>
          <w:color w:val="auto"/>
        </w:rPr>
      </w:pPr>
      <w:r>
        <w:rPr>
          <w:rFonts w:ascii="Arial" w:cs="Arial" w:eastAsia="Arial" w:hAnsi="Arial"/>
          <w:sz w:val="16"/>
          <w:szCs w:val="16"/>
          <w:b w:val="1"/>
          <w:bCs w:val="1"/>
          <w:i w:val="1"/>
          <w:iCs w:val="1"/>
          <w:color w:val="007CBA"/>
        </w:rPr>
        <w:t xml:space="preserve">2017-2019 Long-Term Incentives. </w:t>
      </w:r>
      <w:r>
        <w:rPr>
          <w:rFonts w:ascii="Arial" w:cs="Arial" w:eastAsia="Arial" w:hAnsi="Arial"/>
          <w:sz w:val="16"/>
          <w:szCs w:val="16"/>
          <w:color w:val="000000"/>
        </w:rPr>
        <w:t>In 2017, Mr. Nye was granted an LTI</w:t>
      </w:r>
      <w:r>
        <w:rPr>
          <w:rFonts w:ascii="Arial" w:cs="Arial" w:eastAsia="Arial" w:hAnsi="Arial"/>
          <w:sz w:val="16"/>
          <w:szCs w:val="16"/>
          <w:b w:val="1"/>
          <w:bCs w:val="1"/>
          <w:i w:val="1"/>
          <w:iCs w:val="1"/>
          <w:color w:val="007CBA"/>
        </w:rPr>
        <w:t xml:space="preserve"> </w:t>
      </w:r>
      <w:r>
        <w:rPr>
          <w:rFonts w:ascii="Arial" w:cs="Arial" w:eastAsia="Arial" w:hAnsi="Arial"/>
          <w:sz w:val="16"/>
          <w:szCs w:val="16"/>
          <w:color w:val="000000"/>
        </w:rPr>
        <w:t>award of approximately $4.6 million, which was allocated 55% or $2.53 million in PSUs and 45% or $2.07 million in performance-based RSUs. RSUs will pro rata vest over three years if the performance measure is satisfied, while the vesting of PSUs will be based upon our results relative to the three-year performance goals that were established in the beginning of 2017.</w:t>
      </w:r>
    </w:p>
    <w:p>
      <w:pPr>
        <w:spacing w:after="0" w:line="136" w:lineRule="exact"/>
        <w:rPr>
          <w:sz w:val="20"/>
          <w:szCs w:val="20"/>
          <w:color w:val="auto"/>
        </w:rPr>
      </w:pPr>
    </w:p>
    <w:p>
      <w:pPr>
        <w:jc w:val="both"/>
        <w:ind w:left="220"/>
        <w:spacing w:after="0" w:line="254" w:lineRule="auto"/>
        <w:rPr>
          <w:sz w:val="20"/>
          <w:szCs w:val="20"/>
          <w:color w:val="auto"/>
        </w:rPr>
      </w:pPr>
      <w:r>
        <w:rPr>
          <w:rFonts w:ascii="Arial" w:cs="Arial" w:eastAsia="Arial" w:hAnsi="Arial"/>
          <w:sz w:val="16"/>
          <w:szCs w:val="16"/>
          <w:b w:val="1"/>
          <w:bCs w:val="1"/>
          <w:i w:val="1"/>
          <w:iCs w:val="1"/>
          <w:color w:val="007CBA"/>
        </w:rPr>
        <w:t xml:space="preserve">Benefit and Retirement Plans. </w:t>
      </w:r>
      <w:r>
        <w:rPr>
          <w:rFonts w:ascii="Arial" w:cs="Arial" w:eastAsia="Arial" w:hAnsi="Arial"/>
          <w:sz w:val="16"/>
          <w:szCs w:val="16"/>
          <w:color w:val="000000"/>
        </w:rPr>
        <w:t>Mr. Nye is eligible for benefit and</w:t>
      </w:r>
      <w:r>
        <w:rPr>
          <w:rFonts w:ascii="Arial" w:cs="Arial" w:eastAsia="Arial" w:hAnsi="Arial"/>
          <w:sz w:val="16"/>
          <w:szCs w:val="16"/>
          <w:b w:val="1"/>
          <w:bCs w:val="1"/>
          <w:i w:val="1"/>
          <w:iCs w:val="1"/>
          <w:color w:val="007CBA"/>
        </w:rPr>
        <w:t xml:space="preserve"> </w:t>
      </w:r>
      <w:r>
        <w:rPr>
          <w:rFonts w:ascii="Arial" w:cs="Arial" w:eastAsia="Arial" w:hAnsi="Arial"/>
          <w:sz w:val="16"/>
          <w:szCs w:val="16"/>
          <w:color w:val="000000"/>
        </w:rPr>
        <w:t>retirement programs similar to other employees. None of our executives received additional years of service credits or other forms of formula enhancements under our benefit or retirement plans. Our pension formula is based on years of service and pension eligible compensation, which is a similar formula offered by other companies with defined benefit plans. Mr. Nye is not eligible for retiree health benefits.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b w:val="1"/>
          <w:bCs w:val="1"/>
          <w:i w:val="1"/>
          <w:iCs w:val="1"/>
          <w:color w:val="007CBA"/>
        </w:rPr>
        <w:t xml:space="preserve">Perquisites. </w:t>
      </w:r>
      <w:r>
        <w:rPr>
          <w:rFonts w:ascii="Arial" w:cs="Arial" w:eastAsia="Arial" w:hAnsi="Arial"/>
          <w:sz w:val="16"/>
          <w:szCs w:val="16"/>
          <w:color w:val="000000"/>
        </w:rPr>
        <w:t>Mr. Nye received limited executive perquisites. We provide</w:t>
      </w:r>
      <w:r>
        <w:rPr>
          <w:rFonts w:ascii="Arial" w:cs="Arial" w:eastAsia="Arial" w:hAnsi="Arial"/>
          <w:sz w:val="16"/>
          <w:szCs w:val="16"/>
          <w:b w:val="1"/>
          <w:bCs w:val="1"/>
          <w:i w:val="1"/>
          <w:iCs w:val="1"/>
          <w:color w:val="007CBA"/>
        </w:rPr>
        <w:t xml:space="preserve"> </w:t>
      </w:r>
      <w:r>
        <w:rPr>
          <w:rFonts w:ascii="Arial" w:cs="Arial" w:eastAsia="Arial" w:hAnsi="Arial"/>
          <w:sz w:val="16"/>
          <w:szCs w:val="16"/>
          <w:color w:val="000000"/>
        </w:rPr>
        <w:t>company-leased cars to the NEOs for their use. Additionally, we pay for the insurance, maintenance and fuel for such vehicles. Executives reimburse our Company for a portion of the expense associated with personal use of these vehicles. In addition, the value of personal mileage is charged to the NEO as imputed income. We make the company-owned aircraft available to the CEO and other senior executives for business travel. We do not provide other perquisites, such as country club memberships, to the NEOs. The Committee reviews our policies and determines whether and to what extent perquisites should be modified or continued.</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i w:val="1"/>
          <w:iCs w:val="1"/>
          <w:color w:val="007CBA"/>
        </w:rPr>
        <w:t>2017 Target Pay Mix</w:t>
      </w:r>
      <w:r>
        <w:rPr>
          <w:rFonts w:ascii="Arial" w:cs="Arial" w:eastAsia="Arial" w:hAnsi="Arial"/>
          <w:sz w:val="16"/>
          <w:szCs w:val="16"/>
          <w:i w:val="1"/>
          <w:iCs w:val="1"/>
          <w:color w:val="000000"/>
        </w:rPr>
        <w:t>.</w:t>
      </w:r>
      <w:r>
        <w:rPr>
          <w:rFonts w:ascii="Arial" w:cs="Arial" w:eastAsia="Arial" w:hAnsi="Arial"/>
          <w:sz w:val="16"/>
          <w:szCs w:val="16"/>
          <w:b w:val="1"/>
          <w:bCs w:val="1"/>
          <w:i w:val="1"/>
          <w:iCs w:val="1"/>
          <w:color w:val="007CBA"/>
        </w:rPr>
        <w:t xml:space="preserve"> </w:t>
      </w:r>
      <w:r>
        <w:rPr>
          <w:rFonts w:ascii="Arial" w:cs="Arial" w:eastAsia="Arial" w:hAnsi="Arial"/>
          <w:sz w:val="16"/>
          <w:szCs w:val="16"/>
          <w:color w:val="000000"/>
        </w:rPr>
        <w:t>We believe that, to the maximum extent possible,</w:t>
      </w:r>
      <w:r>
        <w:rPr>
          <w:rFonts w:ascii="Arial" w:cs="Arial" w:eastAsia="Arial" w:hAnsi="Arial"/>
          <w:sz w:val="16"/>
          <w:szCs w:val="16"/>
          <w:b w:val="1"/>
          <w:bCs w:val="1"/>
          <w:i w:val="1"/>
          <w:iCs w:val="1"/>
          <w:color w:val="007CBA"/>
        </w:rPr>
        <w:t xml:space="preserve"> </w:t>
      </w:r>
      <w:r>
        <w:rPr>
          <w:rFonts w:ascii="Arial" w:cs="Arial" w:eastAsia="Arial" w:hAnsi="Arial"/>
          <w:sz w:val="16"/>
          <w:szCs w:val="16"/>
          <w:color w:val="000000"/>
        </w:rPr>
        <w:t>the compensation opportunities of our CEO should be variable and the variable elements of the compensation package should tie to the Company’s long-term success and the achievement of sustainable long-term total return to our shareholders. As shown in the chart below, a significant portion of our CEO’s target compensation is variable and in the form of LTI, and more than half of total target pay is in the form of equity incentives.</w:t>
      </w:r>
    </w:p>
    <w:p>
      <w:pPr>
        <w:spacing w:after="0" w:line="745" w:lineRule="exact"/>
        <w:rPr>
          <w:sz w:val="20"/>
          <w:szCs w:val="20"/>
          <w:color w:val="auto"/>
        </w:rPr>
      </w:pPr>
    </w:p>
    <w:p>
      <w:pPr>
        <w:sectPr>
          <w:pgSz w:w="11900" w:h="16838" w:orient="portrait"/>
          <w:cols w:equalWidth="0" w:num="2">
            <w:col w:w="5500" w:space="320"/>
            <w:col w:w="5400"/>
          </w:cols>
          <w:pgMar w:left="240" w:top="455" w:right="439" w:bottom="1440" w:gutter="0" w:footer="0" w:header="0"/>
          <w:type w:val="continuous"/>
        </w:sectPr>
      </w:pPr>
    </w:p>
    <w:p>
      <w:pPr>
        <w:spacing w:after="0" w:line="136"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007CBA"/>
        </w:rPr>
        <w:t>CEO Target Opportunity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182245</wp:posOffset>
            </wp:positionV>
            <wp:extent cx="4039235" cy="10890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039235" cy="1089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20" w:hanging="116"/>
        <w:spacing w:after="0" w:line="291" w:lineRule="auto"/>
        <w:tabs>
          <w:tab w:leader="none" w:pos="3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We consider base salary and annual incentives as short-term pay and PSUs and RSUs as long-term pay. We do not include retirement or other compensation components in the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60960</wp:posOffset>
            </wp:positionV>
            <wp:extent cx="411480" cy="2489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92" w:lineRule="exact"/>
        <w:rPr>
          <w:sz w:val="20"/>
          <w:szCs w:val="20"/>
          <w:color w:val="auto"/>
        </w:rPr>
      </w:pPr>
    </w:p>
    <w:tbl>
      <w:tblPr>
        <w:tblLayout w:type="fixed"/>
        <w:tblInd w:w="9260" w:type="dxa"/>
        <w:tblCellMar>
          <w:top w:w="0" w:type="dxa"/>
          <w:left w:w="0" w:type="dxa"/>
          <w:bottom w:w="0" w:type="dxa"/>
          <w:right w:w="0" w:type="dxa"/>
        </w:tblCellMar>
      </w:tblPr>
      <w:tr>
        <w:trPr>
          <w:trHeight w:val="178"/>
        </w:trPr>
        <w:tc>
          <w:tcPr>
            <w:tcW w:w="1680" w:type="dxa"/>
            <w:vAlign w:val="bottom"/>
          </w:tcPr>
          <w:p>
            <w:pPr>
              <w:spacing w:after="0"/>
              <w:rPr>
                <w:sz w:val="20"/>
                <w:szCs w:val="20"/>
                <w:color w:val="auto"/>
              </w:rPr>
            </w:pPr>
            <w:r>
              <w:rPr>
                <w:rFonts w:ascii="Arial" w:cs="Arial" w:eastAsia="Arial" w:hAnsi="Arial"/>
                <w:sz w:val="13"/>
                <w:szCs w:val="13"/>
                <w:color w:val="007CBA"/>
              </w:rPr>
              <w:t>2018 PROXY STATEMENT</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rPr>
              <w:t>37</w:t>
            </w:r>
          </w:p>
        </w:tc>
      </w:tr>
    </w:tbl>
    <w:p>
      <w:pPr>
        <w:sectPr>
          <w:pgSz w:w="11900" w:h="16838" w:orient="portrait"/>
          <w:cols w:equalWidth="0" w:num="1">
            <w:col w:w="11220"/>
          </w:cols>
          <w:pgMar w:left="240" w:top="455" w:right="439" w:bottom="1440" w:gutter="0" w:footer="0" w:header="0"/>
          <w:type w:val="continuous"/>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64" w:lineRule="exact"/>
        <w:rPr>
          <w:sz w:val="20"/>
          <w:szCs w:val="20"/>
          <w:color w:val="auto"/>
        </w:rPr>
      </w:pPr>
    </w:p>
    <w:p>
      <w:pPr>
        <w:ind w:left="200"/>
        <w:spacing w:after="0" w:line="288" w:lineRule="exact"/>
        <w:rPr>
          <w:sz w:val="20"/>
          <w:szCs w:val="20"/>
          <w:color w:val="auto"/>
        </w:rPr>
      </w:pPr>
      <w:r>
        <w:rPr>
          <w:rFonts w:ascii="Arial" w:cs="Arial" w:eastAsia="Arial" w:hAnsi="Arial"/>
          <w:sz w:val="14"/>
          <w:szCs w:val="14"/>
          <w:color w:val="007CBA"/>
        </w:rPr>
        <w:t xml:space="preserve">Compensation Discussion and Analysis </w:t>
      </w:r>
      <w:r>
        <w:rPr>
          <w:rFonts w:ascii="MS PGothic" w:cs="MS PGothic" w:eastAsia="MS PGothic" w:hAnsi="MS PGothic"/>
          <w:sz w:val="25"/>
          <w:szCs w:val="25"/>
          <w:color w:val="007CBA"/>
        </w:rPr>
        <w:t>◆</w:t>
      </w:r>
      <w:r>
        <w:rPr>
          <w:rFonts w:ascii="Arial" w:cs="Arial" w:eastAsia="Arial" w:hAnsi="Arial"/>
          <w:sz w:val="14"/>
          <w:szCs w:val="14"/>
          <w:color w:val="007CBA"/>
        </w:rPr>
        <w:t xml:space="preserve"> </w:t>
      </w:r>
      <w:r>
        <w:rPr>
          <w:rFonts w:ascii="Arial" w:cs="Arial" w:eastAsia="Arial" w:hAnsi="Arial"/>
          <w:sz w:val="14"/>
          <w:szCs w:val="14"/>
          <w:color w:val="000000"/>
        </w:rPr>
        <w:t>Our Compensation Strategy</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007CBA"/>
        </w:rPr>
        <w:t>Our Compensation Strategy</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Our executive compensation program is specifically designed to:</w:t>
      </w:r>
    </w:p>
    <w:p>
      <w:pPr>
        <w:spacing w:after="0" w:line="125" w:lineRule="exact"/>
        <w:rPr>
          <w:sz w:val="20"/>
          <w:szCs w:val="20"/>
          <w:color w:val="auto"/>
        </w:rPr>
      </w:pPr>
    </w:p>
    <w:p>
      <w:pPr>
        <w:ind w:left="520" w:hanging="316"/>
        <w:spacing w:after="0"/>
        <w:tabs>
          <w:tab w:leader="none" w:pos="520" w:val="left"/>
        </w:tabs>
        <w:numPr>
          <w:ilvl w:val="0"/>
          <w:numId w:val="71"/>
        </w:numPr>
        <w:rPr>
          <w:rFonts w:ascii="Arial" w:cs="Arial" w:eastAsia="Arial" w:hAnsi="Arial"/>
          <w:sz w:val="16"/>
          <w:szCs w:val="16"/>
          <w:color w:val="007CBA"/>
        </w:rPr>
      </w:pPr>
      <w:r>
        <w:rPr>
          <w:rFonts w:ascii="Arial" w:cs="Arial" w:eastAsia="Arial" w:hAnsi="Arial"/>
          <w:sz w:val="16"/>
          <w:szCs w:val="16"/>
          <w:b w:val="1"/>
          <w:bCs w:val="1"/>
          <w:color w:val="auto"/>
        </w:rPr>
        <w:t xml:space="preserve">Attract and retain </w:t>
      </w:r>
      <w:r>
        <w:rPr>
          <w:rFonts w:ascii="Arial" w:cs="Arial" w:eastAsia="Arial" w:hAnsi="Arial"/>
          <w:sz w:val="16"/>
          <w:szCs w:val="16"/>
          <w:color w:val="auto"/>
        </w:rPr>
        <w:t>top-caliber, knowledgeable and experienced senior executives.</w:t>
      </w:r>
    </w:p>
    <w:p>
      <w:pPr>
        <w:spacing w:after="0" w:line="126" w:lineRule="exact"/>
        <w:rPr>
          <w:rFonts w:ascii="Arial" w:cs="Arial" w:eastAsia="Arial" w:hAnsi="Arial"/>
          <w:sz w:val="16"/>
          <w:szCs w:val="16"/>
          <w:color w:val="007CBA"/>
        </w:rPr>
      </w:pPr>
    </w:p>
    <w:p>
      <w:pPr>
        <w:ind w:left="520" w:hanging="316"/>
        <w:spacing w:after="0"/>
        <w:tabs>
          <w:tab w:leader="none" w:pos="520" w:val="left"/>
        </w:tabs>
        <w:numPr>
          <w:ilvl w:val="0"/>
          <w:numId w:val="71"/>
        </w:numPr>
        <w:rPr>
          <w:rFonts w:ascii="Arial" w:cs="Arial" w:eastAsia="Arial" w:hAnsi="Arial"/>
          <w:sz w:val="16"/>
          <w:szCs w:val="16"/>
          <w:color w:val="007CBA"/>
        </w:rPr>
      </w:pPr>
      <w:r>
        <w:rPr>
          <w:rFonts w:ascii="Arial" w:cs="Arial" w:eastAsia="Arial" w:hAnsi="Arial"/>
          <w:sz w:val="16"/>
          <w:szCs w:val="16"/>
          <w:b w:val="1"/>
          <w:bCs w:val="1"/>
          <w:color w:val="auto"/>
        </w:rPr>
        <w:t xml:space="preserve">Motivate </w:t>
      </w:r>
      <w:r>
        <w:rPr>
          <w:rFonts w:ascii="Arial" w:cs="Arial" w:eastAsia="Arial" w:hAnsi="Arial"/>
          <w:sz w:val="16"/>
          <w:szCs w:val="16"/>
          <w:color w:val="auto"/>
        </w:rPr>
        <w:t>our executives to achieve superior results and build long-term value for shareholders.</w:t>
      </w:r>
    </w:p>
    <w:p>
      <w:pPr>
        <w:spacing w:after="0" w:line="126" w:lineRule="exact"/>
        <w:rPr>
          <w:rFonts w:ascii="Arial" w:cs="Arial" w:eastAsia="Arial" w:hAnsi="Arial"/>
          <w:sz w:val="16"/>
          <w:szCs w:val="16"/>
          <w:color w:val="007CBA"/>
        </w:rPr>
      </w:pPr>
    </w:p>
    <w:p>
      <w:pPr>
        <w:ind w:left="520" w:hanging="316"/>
        <w:spacing w:after="0"/>
        <w:tabs>
          <w:tab w:leader="none" w:pos="520" w:val="left"/>
        </w:tabs>
        <w:numPr>
          <w:ilvl w:val="0"/>
          <w:numId w:val="71"/>
        </w:numPr>
        <w:rPr>
          <w:rFonts w:ascii="Arial" w:cs="Arial" w:eastAsia="Arial" w:hAnsi="Arial"/>
          <w:sz w:val="16"/>
          <w:szCs w:val="16"/>
          <w:color w:val="007CBA"/>
        </w:rPr>
      </w:pPr>
      <w:r>
        <w:rPr>
          <w:rFonts w:ascii="Arial" w:cs="Arial" w:eastAsia="Arial" w:hAnsi="Arial"/>
          <w:sz w:val="16"/>
          <w:szCs w:val="16"/>
          <w:b w:val="1"/>
          <w:bCs w:val="1"/>
          <w:color w:val="auto"/>
        </w:rPr>
        <w:t xml:space="preserve">Reward </w:t>
      </w:r>
      <w:r>
        <w:rPr>
          <w:rFonts w:ascii="Arial" w:cs="Arial" w:eastAsia="Arial" w:hAnsi="Arial"/>
          <w:sz w:val="16"/>
          <w:szCs w:val="16"/>
          <w:color w:val="auto"/>
        </w:rPr>
        <w:t>performance that meets or exceeds established goals consistent with our strategic aims and upholding integrity.</w:t>
      </w:r>
    </w:p>
    <w:p>
      <w:pPr>
        <w:spacing w:after="0" w:line="126" w:lineRule="exact"/>
        <w:rPr>
          <w:rFonts w:ascii="Arial" w:cs="Arial" w:eastAsia="Arial" w:hAnsi="Arial"/>
          <w:sz w:val="16"/>
          <w:szCs w:val="16"/>
          <w:color w:val="007CBA"/>
        </w:rPr>
      </w:pPr>
    </w:p>
    <w:p>
      <w:pPr>
        <w:ind w:left="520" w:hanging="316"/>
        <w:spacing w:after="0"/>
        <w:tabs>
          <w:tab w:leader="none" w:pos="520" w:val="left"/>
        </w:tabs>
        <w:numPr>
          <w:ilvl w:val="0"/>
          <w:numId w:val="71"/>
        </w:numPr>
        <w:rPr>
          <w:rFonts w:ascii="Arial" w:cs="Arial" w:eastAsia="Arial" w:hAnsi="Arial"/>
          <w:sz w:val="16"/>
          <w:szCs w:val="16"/>
          <w:color w:val="007CBA"/>
        </w:rPr>
      </w:pPr>
      <w:r>
        <w:rPr>
          <w:rFonts w:ascii="Arial" w:cs="Arial" w:eastAsia="Arial" w:hAnsi="Arial"/>
          <w:sz w:val="16"/>
          <w:szCs w:val="16"/>
          <w:b w:val="1"/>
          <w:bCs w:val="1"/>
          <w:color w:val="auto"/>
        </w:rPr>
        <w:t xml:space="preserve">Align individual objectives </w:t>
      </w:r>
      <w:r>
        <w:rPr>
          <w:rFonts w:ascii="Arial" w:cs="Arial" w:eastAsia="Arial" w:hAnsi="Arial"/>
          <w:sz w:val="16"/>
          <w:szCs w:val="16"/>
          <w:color w:val="auto"/>
        </w:rPr>
        <w:t>with the Company’s objectives without fostering excessive or inappropriate risk-taking.</w:t>
      </w:r>
    </w:p>
    <w:p>
      <w:pPr>
        <w:spacing w:after="0" w:line="126" w:lineRule="exact"/>
        <w:rPr>
          <w:rFonts w:ascii="Arial" w:cs="Arial" w:eastAsia="Arial" w:hAnsi="Arial"/>
          <w:sz w:val="16"/>
          <w:szCs w:val="16"/>
          <w:color w:val="007CBA"/>
        </w:rPr>
      </w:pPr>
    </w:p>
    <w:p>
      <w:pPr>
        <w:ind w:left="520" w:hanging="316"/>
        <w:spacing w:after="0"/>
        <w:tabs>
          <w:tab w:leader="none" w:pos="520" w:val="left"/>
        </w:tabs>
        <w:numPr>
          <w:ilvl w:val="0"/>
          <w:numId w:val="71"/>
        </w:numPr>
        <w:rPr>
          <w:rFonts w:ascii="Arial" w:cs="Arial" w:eastAsia="Arial" w:hAnsi="Arial"/>
          <w:sz w:val="16"/>
          <w:szCs w:val="16"/>
          <w:color w:val="007CBA"/>
        </w:rPr>
      </w:pPr>
      <w:r>
        <w:rPr>
          <w:rFonts w:ascii="Arial" w:cs="Arial" w:eastAsia="Arial" w:hAnsi="Arial"/>
          <w:sz w:val="16"/>
          <w:szCs w:val="16"/>
          <w:b w:val="1"/>
          <w:bCs w:val="1"/>
          <w:color w:val="auto"/>
        </w:rPr>
        <w:t xml:space="preserve">Encourage an ownership </w:t>
      </w:r>
      <w:r>
        <w:rPr>
          <w:rFonts w:ascii="Arial" w:cs="Arial" w:eastAsia="Arial" w:hAnsi="Arial"/>
          <w:sz w:val="16"/>
          <w:szCs w:val="16"/>
          <w:color w:val="auto"/>
        </w:rPr>
        <w:t>mentality and align the long-term financial interests of our executives with those of our shareholders.</w:t>
      </w:r>
    </w:p>
    <w:p>
      <w:pPr>
        <w:spacing w:after="0" w:line="126" w:lineRule="exact"/>
        <w:rPr>
          <w:rFonts w:ascii="Arial" w:cs="Arial" w:eastAsia="Arial" w:hAnsi="Arial"/>
          <w:sz w:val="16"/>
          <w:szCs w:val="16"/>
          <w:color w:val="007CBA"/>
        </w:rPr>
      </w:pPr>
    </w:p>
    <w:p>
      <w:pPr>
        <w:ind w:left="520" w:hanging="316"/>
        <w:spacing w:after="0"/>
        <w:tabs>
          <w:tab w:leader="none" w:pos="520" w:val="left"/>
        </w:tabs>
        <w:numPr>
          <w:ilvl w:val="0"/>
          <w:numId w:val="71"/>
        </w:numPr>
        <w:rPr>
          <w:rFonts w:ascii="Arial" w:cs="Arial" w:eastAsia="Arial" w:hAnsi="Arial"/>
          <w:sz w:val="16"/>
          <w:szCs w:val="16"/>
          <w:color w:val="007CBA"/>
        </w:rPr>
      </w:pPr>
      <w:r>
        <w:rPr>
          <w:rFonts w:ascii="Arial" w:cs="Arial" w:eastAsia="Arial" w:hAnsi="Arial"/>
          <w:sz w:val="16"/>
          <w:szCs w:val="16"/>
          <w:b w:val="1"/>
          <w:bCs w:val="1"/>
          <w:color w:val="auto"/>
        </w:rPr>
        <w:t xml:space="preserve">Be market competitive </w:t>
      </w:r>
      <w:r>
        <w:rPr>
          <w:rFonts w:ascii="Arial" w:cs="Arial" w:eastAsia="Arial" w:hAnsi="Arial"/>
          <w:sz w:val="16"/>
          <w:szCs w:val="16"/>
          <w:color w:val="auto"/>
        </w:rPr>
        <w:t>with our peers.</w:t>
      </w:r>
    </w:p>
    <w:p>
      <w:pPr>
        <w:spacing w:after="0" w:line="126" w:lineRule="exact"/>
        <w:rPr>
          <w:rFonts w:ascii="Arial" w:cs="Arial" w:eastAsia="Arial" w:hAnsi="Arial"/>
          <w:sz w:val="16"/>
          <w:szCs w:val="16"/>
          <w:color w:val="007CBA"/>
        </w:rPr>
      </w:pPr>
    </w:p>
    <w:p>
      <w:pPr>
        <w:ind w:left="520" w:hanging="316"/>
        <w:spacing w:after="0"/>
        <w:tabs>
          <w:tab w:leader="none" w:pos="520" w:val="left"/>
        </w:tabs>
        <w:numPr>
          <w:ilvl w:val="0"/>
          <w:numId w:val="71"/>
        </w:numPr>
        <w:rPr>
          <w:rFonts w:ascii="Arial" w:cs="Arial" w:eastAsia="Arial" w:hAnsi="Arial"/>
          <w:sz w:val="16"/>
          <w:szCs w:val="16"/>
          <w:color w:val="007CBA"/>
        </w:rPr>
      </w:pPr>
      <w:r>
        <w:rPr>
          <w:rFonts w:ascii="Arial" w:cs="Arial" w:eastAsia="Arial" w:hAnsi="Arial"/>
          <w:sz w:val="16"/>
          <w:szCs w:val="16"/>
          <w:b w:val="1"/>
          <w:bCs w:val="1"/>
          <w:color w:val="auto"/>
        </w:rPr>
        <w:t xml:space="preserve">Provide reward systems that are measurable and easily understood </w:t>
      </w:r>
      <w:r>
        <w:rPr>
          <w:rFonts w:ascii="Arial" w:cs="Arial" w:eastAsia="Arial" w:hAnsi="Arial"/>
          <w:sz w:val="16"/>
          <w:szCs w:val="16"/>
          <w:color w:val="auto"/>
        </w:rPr>
        <w:t>by our managers and shareholders.</w:t>
      </w:r>
    </w:p>
    <w:p>
      <w:pPr>
        <w:spacing w:after="0" w:line="126" w:lineRule="exact"/>
        <w:rPr>
          <w:rFonts w:ascii="Arial" w:cs="Arial" w:eastAsia="Arial" w:hAnsi="Arial"/>
          <w:sz w:val="16"/>
          <w:szCs w:val="16"/>
          <w:color w:val="007CBA"/>
        </w:rPr>
      </w:pPr>
    </w:p>
    <w:p>
      <w:pPr>
        <w:ind w:left="520" w:hanging="316"/>
        <w:spacing w:after="0" w:line="294" w:lineRule="auto"/>
        <w:tabs>
          <w:tab w:leader="none" w:pos="520" w:val="left"/>
        </w:tabs>
        <w:numPr>
          <w:ilvl w:val="0"/>
          <w:numId w:val="71"/>
        </w:numPr>
        <w:rPr>
          <w:rFonts w:ascii="Arial" w:cs="Arial" w:eastAsia="Arial" w:hAnsi="Arial"/>
          <w:sz w:val="16"/>
          <w:szCs w:val="16"/>
          <w:color w:val="007CBA"/>
        </w:rPr>
      </w:pPr>
      <w:r>
        <w:rPr>
          <w:rFonts w:ascii="Arial" w:cs="Arial" w:eastAsia="Arial" w:hAnsi="Arial"/>
          <w:sz w:val="16"/>
          <w:szCs w:val="16"/>
          <w:b w:val="1"/>
          <w:bCs w:val="1"/>
          <w:color w:val="auto"/>
        </w:rPr>
        <w:t xml:space="preserve">Reinforce the succession planning </w:t>
      </w:r>
      <w:r>
        <w:rPr>
          <w:rFonts w:ascii="Arial" w:cs="Arial" w:eastAsia="Arial" w:hAnsi="Arial"/>
          <w:sz w:val="16"/>
          <w:szCs w:val="16"/>
          <w:color w:val="auto"/>
        </w:rPr>
        <w:t>process undertaken on a company-wide basis by building bench strength and by identifying and retaining</w:t>
      </w:r>
      <w:r>
        <w:rPr>
          <w:rFonts w:ascii="Arial" w:cs="Arial" w:eastAsia="Arial" w:hAnsi="Arial"/>
          <w:sz w:val="16"/>
          <w:szCs w:val="16"/>
          <w:b w:val="1"/>
          <w:bCs w:val="1"/>
          <w:color w:val="auto"/>
        </w:rPr>
        <w:t xml:space="preserve"> </w:t>
      </w:r>
      <w:r>
        <w:rPr>
          <w:rFonts w:ascii="Arial" w:cs="Arial" w:eastAsia="Arial" w:hAnsi="Arial"/>
          <w:sz w:val="16"/>
          <w:szCs w:val="16"/>
          <w:color w:val="auto"/>
        </w:rPr>
        <w:t>senior leadership, both capable of achieving the Company’s growth, profitability and other objectives.</w:t>
      </w:r>
    </w:p>
    <w:p>
      <w:pPr>
        <w:spacing w:after="0" w:line="118"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In 2017, our executive compensation structure consisted of three primary components: base salary, annual incentives, and long-term incentives. Within the long-term incentive component, we utilized a balanced portfolio of PSUs and performance-based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105410</wp:posOffset>
            </wp:positionV>
            <wp:extent cx="5728335" cy="21437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728335" cy="2143760"/>
                    </a:xfrm>
                    <a:prstGeom prst="rect">
                      <a:avLst/>
                    </a:prstGeom>
                    <a:noFill/>
                  </pic:spPr>
                </pic:pic>
              </a:graphicData>
            </a:graphic>
          </wp:anchor>
        </w:drawing>
      </w:r>
    </w:p>
    <w:p>
      <w:pPr>
        <w:sectPr>
          <w:pgSz w:w="11900" w:h="16838" w:orient="portrait"/>
          <w:cols w:equalWidth="0" w:num="1">
            <w:col w:w="11220"/>
          </w:cols>
          <w:pgMar w:left="24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left="200"/>
        <w:spacing w:after="0" w:line="269" w:lineRule="auto"/>
        <w:rPr>
          <w:sz w:val="20"/>
          <w:szCs w:val="20"/>
          <w:color w:val="auto"/>
        </w:rPr>
      </w:pPr>
      <w:r>
        <w:rPr>
          <w:rFonts w:ascii="Arial" w:cs="Arial" w:eastAsia="Arial" w:hAnsi="Arial"/>
          <w:sz w:val="16"/>
          <w:szCs w:val="16"/>
          <w:color w:val="auto"/>
        </w:rPr>
        <w:t>Martin Marietta has a long-standing commitment to pay for performance. We fulfill that aim by providing a majority of compensation through programs in which the amounts</w:t>
      </w:r>
    </w:p>
    <w:p>
      <w:pPr>
        <w:spacing w:after="0" w:line="269" w:lineRule="exact"/>
        <w:rPr>
          <w:sz w:val="20"/>
          <w:szCs w:val="20"/>
          <w:color w:val="auto"/>
        </w:rPr>
      </w:pPr>
    </w:p>
    <w:p>
      <w:pPr>
        <w:ind w:left="640" w:hanging="436"/>
        <w:spacing w:after="0"/>
        <w:tabs>
          <w:tab w:leader="none" w:pos="640" w:val="left"/>
        </w:tabs>
        <w:numPr>
          <w:ilvl w:val="0"/>
          <w:numId w:val="72"/>
        </w:numPr>
        <w:rPr>
          <w:rFonts w:ascii="Arial" w:cs="Arial" w:eastAsia="Arial" w:hAnsi="Arial"/>
          <w:sz w:val="13"/>
          <w:szCs w:val="13"/>
          <w:b w:val="1"/>
          <w:bCs w:val="1"/>
          <w:color w:val="auto"/>
        </w:rPr>
      </w:pPr>
      <w:r>
        <w:rPr>
          <w:rFonts w:ascii="Arial" w:cs="Arial" w:eastAsia="Arial" w:hAnsi="Arial"/>
          <w:sz w:val="13"/>
          <w:szCs w:val="13"/>
          <w:color w:val="007CBA"/>
        </w:rPr>
        <w:t>2018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ultimately received vary in order to best reflect our financial, operational and strategic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268605</wp:posOffset>
            </wp:positionV>
            <wp:extent cx="411480" cy="2489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ectPr>
          <w:pgSz w:w="11900" w:h="16838" w:orient="portrait"/>
          <w:cols w:equalWidth="0" w:num="2">
            <w:col w:w="5480" w:space="340"/>
            <w:col w:w="5400"/>
          </w:cols>
          <w:pgMar w:left="240" w:top="455" w:right="439" w:bottom="1440" w:gutter="0" w:footer="0" w:header="0"/>
          <w:type w:val="continuous"/>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64" w:lineRule="exact"/>
        <w:rPr>
          <w:sz w:val="20"/>
          <w:szCs w:val="20"/>
          <w:color w:val="auto"/>
        </w:rPr>
      </w:pPr>
    </w:p>
    <w:tbl>
      <w:tblPr>
        <w:tblLayout w:type="fixed"/>
        <w:tblInd w:w="200" w:type="dxa"/>
        <w:tblCellMar>
          <w:top w:w="0" w:type="dxa"/>
          <w:left w:w="0" w:type="dxa"/>
          <w:bottom w:w="0" w:type="dxa"/>
          <w:right w:w="0" w:type="dxa"/>
        </w:tblCellMar>
      </w:tblPr>
      <w:tr>
        <w:trPr>
          <w:trHeight w:val="398"/>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8540" w:type="dxa"/>
            <w:vAlign w:val="bottom"/>
            <w:gridSpan w:val="2"/>
          </w:tcPr>
          <w:p>
            <w:pPr>
              <w:ind w:left="4140"/>
              <w:spacing w:after="0" w:line="288" w:lineRule="exact"/>
              <w:rPr>
                <w:sz w:val="20"/>
                <w:szCs w:val="20"/>
                <w:color w:val="auto"/>
              </w:rPr>
            </w:pPr>
            <w:r>
              <w:rPr>
                <w:rFonts w:ascii="Arial" w:cs="Arial" w:eastAsia="Arial" w:hAnsi="Arial"/>
                <w:sz w:val="14"/>
                <w:szCs w:val="14"/>
                <w:color w:val="auto"/>
                <w:w w:val="97"/>
              </w:rPr>
              <w:t xml:space="preserve">Our Compensation Strategy </w:t>
            </w:r>
            <w:r>
              <w:rPr>
                <w:rFonts w:ascii="MS PGothic" w:cs="MS PGothic" w:eastAsia="MS PGothic" w:hAnsi="MS PGothic"/>
                <w:sz w:val="25"/>
                <w:szCs w:val="25"/>
                <w:color w:val="007CBA"/>
                <w:w w:val="97"/>
              </w:rPr>
              <w:t>◆</w:t>
            </w:r>
            <w:r>
              <w:rPr>
                <w:rFonts w:ascii="Arial" w:cs="Arial" w:eastAsia="Arial" w:hAnsi="Arial"/>
                <w:sz w:val="14"/>
                <w:szCs w:val="14"/>
                <w:color w:val="auto"/>
                <w:w w:val="97"/>
              </w:rPr>
              <w:t xml:space="preserve"> </w:t>
            </w:r>
            <w:r>
              <w:rPr>
                <w:rFonts w:ascii="Arial" w:cs="Arial" w:eastAsia="Arial" w:hAnsi="Arial"/>
                <w:sz w:val="14"/>
                <w:szCs w:val="14"/>
                <w:color w:val="007CBA"/>
                <w:w w:val="97"/>
              </w:rPr>
              <w:t>Compensation Discussion and Analysis</w:t>
            </w:r>
          </w:p>
        </w:tc>
      </w:tr>
      <w:tr>
        <w:trPr>
          <w:trHeight w:val="313"/>
        </w:trPr>
        <w:tc>
          <w:tcPr>
            <w:tcW w:w="11040" w:type="dxa"/>
            <w:vAlign w:val="bottom"/>
            <w:gridSpan w:val="4"/>
          </w:tcPr>
          <w:p>
            <w:pPr>
              <w:spacing w:after="0"/>
              <w:rPr>
                <w:sz w:val="20"/>
                <w:szCs w:val="20"/>
                <w:color w:val="auto"/>
              </w:rPr>
            </w:pPr>
            <w:r>
              <w:rPr>
                <w:rFonts w:ascii="Arial" w:cs="Arial" w:eastAsia="Arial" w:hAnsi="Arial"/>
                <w:sz w:val="16"/>
                <w:szCs w:val="16"/>
                <w:color w:val="auto"/>
              </w:rPr>
              <w:t>The following table summarizes the key elements of our 2017 executive compensation program:</w:t>
            </w:r>
          </w:p>
        </w:tc>
      </w:tr>
      <w:tr>
        <w:trPr>
          <w:trHeight w:val="205"/>
        </w:trPr>
        <w:tc>
          <w:tcPr>
            <w:tcW w:w="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428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248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6"/>
                <w:szCs w:val="16"/>
                <w:b w:val="1"/>
                <w:bCs w:val="1"/>
                <w:color w:val="FFFFFF"/>
              </w:rPr>
              <w:t>Element</w:t>
            </w:r>
          </w:p>
        </w:tc>
        <w:tc>
          <w:tcPr>
            <w:tcW w:w="4260" w:type="dxa"/>
            <w:vAlign w:val="bottom"/>
            <w:tcBorders>
              <w:right w:val="single" w:sz="8" w:color="007CBA"/>
            </w:tcBorders>
            <w:shd w:val="clear" w:color="auto" w:fill="007CBA"/>
          </w:tcPr>
          <w:p>
            <w:pPr>
              <w:ind w:left="1520"/>
              <w:spacing w:after="0"/>
              <w:rPr>
                <w:sz w:val="20"/>
                <w:szCs w:val="20"/>
                <w:color w:val="auto"/>
              </w:rPr>
            </w:pPr>
            <w:r>
              <w:rPr>
                <w:rFonts w:ascii="Arial" w:cs="Arial" w:eastAsia="Arial" w:hAnsi="Arial"/>
                <w:sz w:val="16"/>
                <w:szCs w:val="16"/>
                <w:b w:val="1"/>
                <w:bCs w:val="1"/>
                <w:color w:val="FFFFFF"/>
              </w:rPr>
              <w:t>Primary Purpose</w:t>
            </w:r>
          </w:p>
        </w:tc>
        <w:tc>
          <w:tcPr>
            <w:tcW w:w="4280" w:type="dxa"/>
            <w:vAlign w:val="bottom"/>
            <w:shd w:val="clear" w:color="auto" w:fill="007CBA"/>
          </w:tcPr>
          <w:p>
            <w:pPr>
              <w:ind w:left="1420"/>
              <w:spacing w:after="0"/>
              <w:rPr>
                <w:sz w:val="20"/>
                <w:szCs w:val="20"/>
                <w:color w:val="auto"/>
              </w:rPr>
            </w:pPr>
            <w:r>
              <w:rPr>
                <w:rFonts w:ascii="Arial" w:cs="Arial" w:eastAsia="Arial" w:hAnsi="Arial"/>
                <w:sz w:val="16"/>
                <w:szCs w:val="16"/>
                <w:b w:val="1"/>
                <w:bCs w:val="1"/>
                <w:color w:val="FFFFFF"/>
              </w:rPr>
              <w:t>Key Characteristics</w:t>
            </w:r>
          </w:p>
        </w:tc>
      </w:tr>
      <w:tr>
        <w:trPr>
          <w:trHeight w:val="211"/>
        </w:trPr>
        <w:tc>
          <w:tcPr>
            <w:tcW w:w="20" w:type="dxa"/>
            <w:vAlign w:val="bottom"/>
          </w:tcPr>
          <w:p>
            <w:pPr>
              <w:spacing w:after="0"/>
              <w:rPr>
                <w:sz w:val="18"/>
                <w:szCs w:val="18"/>
                <w:color w:val="auto"/>
              </w:rPr>
            </w:pPr>
          </w:p>
        </w:tc>
        <w:tc>
          <w:tcPr>
            <w:tcW w:w="2480" w:type="dxa"/>
            <w:vAlign w:val="bottom"/>
            <w:tcBorders>
              <w:right w:val="single" w:sz="8" w:color="007CBA"/>
            </w:tcBorders>
          </w:tcPr>
          <w:p>
            <w:pPr>
              <w:ind w:left="60"/>
              <w:spacing w:after="0"/>
              <w:rPr>
                <w:sz w:val="20"/>
                <w:szCs w:val="20"/>
                <w:color w:val="auto"/>
              </w:rPr>
            </w:pPr>
            <w:r>
              <w:rPr>
                <w:rFonts w:ascii="Arial" w:cs="Arial" w:eastAsia="Arial" w:hAnsi="Arial"/>
                <w:sz w:val="16"/>
                <w:szCs w:val="16"/>
                <w:b w:val="1"/>
                <w:bCs w:val="1"/>
                <w:color w:val="auto"/>
              </w:rPr>
              <w:t>Base Salary</w:t>
            </w:r>
          </w:p>
        </w:tc>
        <w:tc>
          <w:tcPr>
            <w:tcW w:w="4260" w:type="dxa"/>
            <w:vAlign w:val="bottom"/>
            <w:tcBorders>
              <w:right w:val="single" w:sz="8" w:color="007CBA"/>
            </w:tcBorders>
          </w:tcPr>
          <w:p>
            <w:pPr>
              <w:ind w:left="80"/>
              <w:spacing w:after="0"/>
              <w:rPr>
                <w:sz w:val="20"/>
                <w:szCs w:val="20"/>
                <w:color w:val="auto"/>
              </w:rPr>
            </w:pPr>
            <w:r>
              <w:rPr>
                <w:rFonts w:ascii="Arial" w:cs="Arial" w:eastAsia="Arial" w:hAnsi="Arial"/>
                <w:sz w:val="16"/>
                <w:szCs w:val="16"/>
                <w:color w:val="auto"/>
              </w:rPr>
              <w:t>To compensate the executive fairly and competitively for</w:t>
            </w:r>
          </w:p>
        </w:tc>
        <w:tc>
          <w:tcPr>
            <w:tcW w:w="4280" w:type="dxa"/>
            <w:vAlign w:val="bottom"/>
          </w:tcPr>
          <w:p>
            <w:pPr>
              <w:ind w:left="100"/>
              <w:spacing w:after="0"/>
              <w:rPr>
                <w:sz w:val="20"/>
                <w:szCs w:val="20"/>
                <w:color w:val="auto"/>
              </w:rPr>
            </w:pPr>
            <w:r>
              <w:rPr>
                <w:rFonts w:ascii="Arial" w:cs="Arial" w:eastAsia="Arial" w:hAnsi="Arial"/>
                <w:sz w:val="16"/>
                <w:szCs w:val="16"/>
                <w:color w:val="auto"/>
              </w:rPr>
              <w:t>Fixed compensation that is reviewed annually.</w:t>
            </w:r>
          </w:p>
        </w:tc>
      </w:tr>
      <w:tr>
        <w:trPr>
          <w:trHeight w:val="226"/>
        </w:trPr>
        <w:tc>
          <w:tcPr>
            <w:tcW w:w="20" w:type="dxa"/>
            <w:vAlign w:val="bottom"/>
          </w:tcPr>
          <w:p>
            <w:pPr>
              <w:spacing w:after="0"/>
              <w:rPr>
                <w:sz w:val="19"/>
                <w:szCs w:val="19"/>
                <w:color w:val="auto"/>
              </w:rPr>
            </w:pPr>
          </w:p>
        </w:tc>
        <w:tc>
          <w:tcPr>
            <w:tcW w:w="2480" w:type="dxa"/>
            <w:vAlign w:val="bottom"/>
            <w:tcBorders>
              <w:right w:val="single" w:sz="8" w:color="007CBA"/>
            </w:tcBorders>
          </w:tcPr>
          <w:p>
            <w:pPr>
              <w:spacing w:after="0"/>
              <w:rPr>
                <w:sz w:val="19"/>
                <w:szCs w:val="19"/>
                <w:color w:val="auto"/>
              </w:rPr>
            </w:pPr>
          </w:p>
        </w:tc>
        <w:tc>
          <w:tcPr>
            <w:tcW w:w="4260" w:type="dxa"/>
            <w:vAlign w:val="bottom"/>
            <w:tcBorders>
              <w:right w:val="single" w:sz="8" w:color="007CBA"/>
            </w:tcBorders>
          </w:tcPr>
          <w:p>
            <w:pPr>
              <w:ind w:left="80"/>
              <w:spacing w:after="0"/>
              <w:rPr>
                <w:sz w:val="20"/>
                <w:szCs w:val="20"/>
                <w:color w:val="auto"/>
              </w:rPr>
            </w:pPr>
            <w:r>
              <w:rPr>
                <w:rFonts w:ascii="Arial" w:cs="Arial" w:eastAsia="Arial" w:hAnsi="Arial"/>
                <w:sz w:val="16"/>
                <w:szCs w:val="16"/>
                <w:color w:val="auto"/>
              </w:rPr>
              <w:t>the responsibility level of the position.</w:t>
            </w:r>
          </w:p>
        </w:tc>
        <w:tc>
          <w:tcPr>
            <w:tcW w:w="4280" w:type="dxa"/>
            <w:vAlign w:val="bottom"/>
          </w:tcPr>
          <w:p>
            <w:pPr>
              <w:spacing w:after="0"/>
              <w:rPr>
                <w:sz w:val="19"/>
                <w:szCs w:val="19"/>
                <w:color w:val="auto"/>
              </w:rPr>
            </w:pPr>
          </w:p>
        </w:tc>
      </w:tr>
      <w:tr>
        <w:trPr>
          <w:trHeight w:val="244"/>
        </w:trPr>
        <w:tc>
          <w:tcPr>
            <w:tcW w:w="20" w:type="dxa"/>
            <w:vAlign w:val="bottom"/>
          </w:tcPr>
          <w:p>
            <w:pPr>
              <w:spacing w:after="0"/>
              <w:rPr>
                <w:sz w:val="21"/>
                <w:szCs w:val="21"/>
                <w:color w:val="auto"/>
              </w:rPr>
            </w:pPr>
          </w:p>
        </w:tc>
        <w:tc>
          <w:tcPr>
            <w:tcW w:w="248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6"/>
                <w:szCs w:val="16"/>
                <w:b w:val="1"/>
                <w:bCs w:val="1"/>
                <w:color w:val="auto"/>
              </w:rPr>
              <w:t>Annual Performance-</w:t>
            </w:r>
          </w:p>
        </w:tc>
        <w:tc>
          <w:tcPr>
            <w:tcW w:w="426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6"/>
                <w:szCs w:val="16"/>
                <w:color w:val="auto"/>
              </w:rPr>
              <w:t>To motivate and reward organizational and individual</w:t>
            </w:r>
          </w:p>
        </w:tc>
        <w:tc>
          <w:tcPr>
            <w:tcW w:w="4280" w:type="dxa"/>
            <w:vAlign w:val="bottom"/>
            <w:shd w:val="clear" w:color="auto" w:fill="E5F1F8"/>
          </w:tcPr>
          <w:p>
            <w:pPr>
              <w:ind w:left="100"/>
              <w:spacing w:after="0"/>
              <w:rPr>
                <w:sz w:val="20"/>
                <w:szCs w:val="20"/>
                <w:color w:val="auto"/>
              </w:rPr>
            </w:pPr>
            <w:r>
              <w:rPr>
                <w:rFonts w:ascii="Arial" w:cs="Arial" w:eastAsia="Arial" w:hAnsi="Arial"/>
                <w:sz w:val="16"/>
                <w:szCs w:val="16"/>
                <w:color w:val="auto"/>
              </w:rPr>
              <w:t>Variable compensation component; based on</w:t>
            </w:r>
          </w:p>
        </w:tc>
      </w:tr>
      <w:tr>
        <w:trPr>
          <w:trHeight w:val="191"/>
        </w:trPr>
        <w:tc>
          <w:tcPr>
            <w:tcW w:w="20" w:type="dxa"/>
            <w:vAlign w:val="bottom"/>
          </w:tcPr>
          <w:p>
            <w:pPr>
              <w:spacing w:after="0"/>
              <w:rPr>
                <w:sz w:val="16"/>
                <w:szCs w:val="16"/>
                <w:color w:val="auto"/>
              </w:rPr>
            </w:pPr>
          </w:p>
        </w:tc>
        <w:tc>
          <w:tcPr>
            <w:tcW w:w="248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6"/>
                <w:szCs w:val="16"/>
                <w:b w:val="1"/>
                <w:bCs w:val="1"/>
                <w:color w:val="auto"/>
              </w:rPr>
              <w:t>Based Incentive Awards</w:t>
            </w:r>
          </w:p>
        </w:tc>
        <w:tc>
          <w:tcPr>
            <w:tcW w:w="426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6"/>
                <w:szCs w:val="16"/>
                <w:color w:val="auto"/>
              </w:rPr>
              <w:t>achievement of annual strategic, financial and individual</w:t>
            </w:r>
          </w:p>
        </w:tc>
        <w:tc>
          <w:tcPr>
            <w:tcW w:w="4280" w:type="dxa"/>
            <w:vAlign w:val="bottom"/>
            <w:shd w:val="clear" w:color="auto" w:fill="E5F1F8"/>
          </w:tcPr>
          <w:p>
            <w:pPr>
              <w:ind w:left="100"/>
              <w:spacing w:after="0"/>
              <w:rPr>
                <w:sz w:val="20"/>
                <w:szCs w:val="20"/>
                <w:color w:val="auto"/>
              </w:rPr>
            </w:pPr>
            <w:r>
              <w:rPr>
                <w:rFonts w:ascii="Arial" w:cs="Arial" w:eastAsia="Arial" w:hAnsi="Arial"/>
                <w:sz w:val="16"/>
                <w:szCs w:val="16"/>
                <w:color w:val="auto"/>
              </w:rPr>
              <w:t>pre-established Company and individual performance</w:t>
            </w:r>
          </w:p>
        </w:tc>
      </w:tr>
      <w:tr>
        <w:trPr>
          <w:trHeight w:val="219"/>
        </w:trPr>
        <w:tc>
          <w:tcPr>
            <w:tcW w:w="20" w:type="dxa"/>
            <w:vAlign w:val="bottom"/>
          </w:tcPr>
          <w:p>
            <w:pPr>
              <w:spacing w:after="0"/>
              <w:rPr>
                <w:sz w:val="19"/>
                <w:szCs w:val="19"/>
                <w:color w:val="auto"/>
              </w:rPr>
            </w:pPr>
          </w:p>
        </w:tc>
        <w:tc>
          <w:tcPr>
            <w:tcW w:w="2480" w:type="dxa"/>
            <w:vAlign w:val="bottom"/>
            <w:tcBorders>
              <w:right w:val="single" w:sz="8" w:color="007CBA"/>
            </w:tcBorders>
            <w:shd w:val="clear" w:color="auto" w:fill="E5F1F8"/>
          </w:tcPr>
          <w:p>
            <w:pPr>
              <w:spacing w:after="0"/>
              <w:rPr>
                <w:sz w:val="19"/>
                <w:szCs w:val="19"/>
                <w:color w:val="auto"/>
              </w:rPr>
            </w:pPr>
          </w:p>
        </w:tc>
        <w:tc>
          <w:tcPr>
            <w:tcW w:w="426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6"/>
                <w:szCs w:val="16"/>
                <w:color w:val="auto"/>
              </w:rPr>
              <w:t>objectives.</w:t>
            </w:r>
          </w:p>
        </w:tc>
        <w:tc>
          <w:tcPr>
            <w:tcW w:w="4280" w:type="dxa"/>
            <w:vAlign w:val="bottom"/>
            <w:shd w:val="clear" w:color="auto" w:fill="E5F1F8"/>
          </w:tcPr>
          <w:p>
            <w:pPr>
              <w:ind w:left="100"/>
              <w:spacing w:after="0"/>
              <w:rPr>
                <w:sz w:val="20"/>
                <w:szCs w:val="20"/>
                <w:color w:val="auto"/>
              </w:rPr>
            </w:pPr>
            <w:r>
              <w:rPr>
                <w:rFonts w:ascii="Arial" w:cs="Arial" w:eastAsia="Arial" w:hAnsi="Arial"/>
                <w:sz w:val="16"/>
                <w:szCs w:val="16"/>
                <w:color w:val="auto"/>
              </w:rPr>
              <w:t>goals.</w:t>
            </w:r>
          </w:p>
        </w:tc>
      </w:tr>
      <w:tr>
        <w:trPr>
          <w:trHeight w:val="281"/>
        </w:trPr>
        <w:tc>
          <w:tcPr>
            <w:tcW w:w="20" w:type="dxa"/>
            <w:vAlign w:val="bottom"/>
          </w:tcPr>
          <w:p>
            <w:pPr>
              <w:spacing w:after="0"/>
              <w:rPr>
                <w:sz w:val="24"/>
                <w:szCs w:val="24"/>
                <w:color w:val="auto"/>
              </w:rPr>
            </w:pPr>
          </w:p>
        </w:tc>
        <w:tc>
          <w:tcPr>
            <w:tcW w:w="2480" w:type="dxa"/>
            <w:vAlign w:val="bottom"/>
            <w:tcBorders>
              <w:right w:val="single" w:sz="8" w:color="007CBA"/>
            </w:tcBorders>
            <w:shd w:val="clear" w:color="auto" w:fill="E5F1F8"/>
          </w:tcPr>
          <w:p>
            <w:pPr>
              <w:ind w:left="280"/>
              <w:spacing w:after="0"/>
              <w:rPr>
                <w:sz w:val="20"/>
                <w:szCs w:val="20"/>
                <w:color w:val="auto"/>
              </w:rPr>
            </w:pPr>
            <w:r>
              <w:rPr>
                <w:rFonts w:ascii="Arial" w:cs="Arial" w:eastAsia="Arial" w:hAnsi="Arial"/>
                <w:sz w:val="16"/>
                <w:szCs w:val="16"/>
                <w:i w:val="1"/>
                <w:iCs w:val="1"/>
                <w:color w:val="auto"/>
              </w:rPr>
              <w:t>Incentive Stock Plan</w:t>
            </w:r>
          </w:p>
        </w:tc>
        <w:tc>
          <w:tcPr>
            <w:tcW w:w="426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6"/>
                <w:szCs w:val="16"/>
                <w:color w:val="auto"/>
              </w:rPr>
              <w:t>To ensure executives invest certain levels of their annual</w:t>
            </w:r>
          </w:p>
        </w:tc>
        <w:tc>
          <w:tcPr>
            <w:tcW w:w="4280" w:type="dxa"/>
            <w:vAlign w:val="bottom"/>
            <w:shd w:val="clear" w:color="auto" w:fill="E5F1F8"/>
          </w:tcPr>
          <w:p>
            <w:pPr>
              <w:ind w:left="100"/>
              <w:spacing w:after="0"/>
              <w:rPr>
                <w:sz w:val="20"/>
                <w:szCs w:val="20"/>
                <w:color w:val="auto"/>
              </w:rPr>
            </w:pPr>
            <w:r>
              <w:rPr>
                <w:rFonts w:ascii="Arial" w:cs="Arial" w:eastAsia="Arial" w:hAnsi="Arial"/>
                <w:sz w:val="16"/>
                <w:szCs w:val="16"/>
                <w:color w:val="auto"/>
              </w:rPr>
              <w:t>To promote sustainable performance results, a portion of</w:t>
            </w:r>
          </w:p>
        </w:tc>
      </w:tr>
      <w:tr>
        <w:trPr>
          <w:trHeight w:val="189"/>
        </w:trPr>
        <w:tc>
          <w:tcPr>
            <w:tcW w:w="20" w:type="dxa"/>
            <w:vAlign w:val="bottom"/>
          </w:tcPr>
          <w:p>
            <w:pPr>
              <w:spacing w:after="0"/>
              <w:rPr>
                <w:sz w:val="16"/>
                <w:szCs w:val="16"/>
                <w:color w:val="auto"/>
              </w:rPr>
            </w:pPr>
          </w:p>
        </w:tc>
        <w:tc>
          <w:tcPr>
            <w:tcW w:w="2480" w:type="dxa"/>
            <w:vAlign w:val="bottom"/>
            <w:tcBorders>
              <w:right w:val="single" w:sz="8" w:color="007CBA"/>
            </w:tcBorders>
            <w:shd w:val="clear" w:color="auto" w:fill="E5F1F8"/>
          </w:tcPr>
          <w:p>
            <w:pPr>
              <w:spacing w:after="0"/>
              <w:rPr>
                <w:sz w:val="16"/>
                <w:szCs w:val="16"/>
                <w:color w:val="auto"/>
              </w:rPr>
            </w:pPr>
          </w:p>
        </w:tc>
        <w:tc>
          <w:tcPr>
            <w:tcW w:w="426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6"/>
                <w:szCs w:val="16"/>
                <w:color w:val="auto"/>
              </w:rPr>
              <w:t>incentive compensation into Martin Marietta stock units.</w:t>
            </w:r>
          </w:p>
        </w:tc>
        <w:tc>
          <w:tcPr>
            <w:tcW w:w="4280" w:type="dxa"/>
            <w:vAlign w:val="bottom"/>
            <w:shd w:val="clear" w:color="auto" w:fill="E5F1F8"/>
          </w:tcPr>
          <w:p>
            <w:pPr>
              <w:ind w:left="100"/>
              <w:spacing w:after="0"/>
              <w:rPr>
                <w:sz w:val="20"/>
                <w:szCs w:val="20"/>
                <w:color w:val="auto"/>
              </w:rPr>
            </w:pPr>
            <w:r>
              <w:rPr>
                <w:rFonts w:ascii="Arial" w:cs="Arial" w:eastAsia="Arial" w:hAnsi="Arial"/>
                <w:sz w:val="16"/>
                <w:szCs w:val="16"/>
                <w:color w:val="auto"/>
              </w:rPr>
              <w:t>each NEO’s annual cash incentive compensation (35%</w:t>
            </w:r>
          </w:p>
        </w:tc>
      </w:tr>
      <w:tr>
        <w:trPr>
          <w:trHeight w:val="189"/>
        </w:trPr>
        <w:tc>
          <w:tcPr>
            <w:tcW w:w="20" w:type="dxa"/>
            <w:vAlign w:val="bottom"/>
          </w:tcPr>
          <w:p>
            <w:pPr>
              <w:spacing w:after="0"/>
              <w:rPr>
                <w:sz w:val="16"/>
                <w:szCs w:val="16"/>
                <w:color w:val="auto"/>
              </w:rPr>
            </w:pPr>
          </w:p>
        </w:tc>
        <w:tc>
          <w:tcPr>
            <w:tcW w:w="2480" w:type="dxa"/>
            <w:vAlign w:val="bottom"/>
            <w:tcBorders>
              <w:right w:val="single" w:sz="8" w:color="007CBA"/>
            </w:tcBorders>
            <w:shd w:val="clear" w:color="auto" w:fill="E5F1F8"/>
          </w:tcPr>
          <w:p>
            <w:pPr>
              <w:spacing w:after="0"/>
              <w:rPr>
                <w:sz w:val="16"/>
                <w:szCs w:val="16"/>
                <w:color w:val="auto"/>
              </w:rPr>
            </w:pPr>
          </w:p>
        </w:tc>
        <w:tc>
          <w:tcPr>
            <w:tcW w:w="4260" w:type="dxa"/>
            <w:vAlign w:val="bottom"/>
            <w:tcBorders>
              <w:right w:val="single" w:sz="8" w:color="007CBA"/>
            </w:tcBorders>
            <w:shd w:val="clear" w:color="auto" w:fill="E5F1F8"/>
          </w:tcPr>
          <w:p>
            <w:pPr>
              <w:spacing w:after="0"/>
              <w:rPr>
                <w:sz w:val="16"/>
                <w:szCs w:val="16"/>
                <w:color w:val="auto"/>
              </w:rPr>
            </w:pPr>
          </w:p>
        </w:tc>
        <w:tc>
          <w:tcPr>
            <w:tcW w:w="4280" w:type="dxa"/>
            <w:vAlign w:val="bottom"/>
            <w:shd w:val="clear" w:color="auto" w:fill="E5F1F8"/>
          </w:tcPr>
          <w:p>
            <w:pPr>
              <w:ind w:left="100"/>
              <w:spacing w:after="0"/>
              <w:rPr>
                <w:sz w:val="20"/>
                <w:szCs w:val="20"/>
                <w:color w:val="auto"/>
              </w:rPr>
            </w:pPr>
            <w:r>
              <w:rPr>
                <w:rFonts w:ascii="Arial" w:cs="Arial" w:eastAsia="Arial" w:hAnsi="Arial"/>
                <w:sz w:val="16"/>
                <w:szCs w:val="16"/>
                <w:color w:val="auto"/>
              </w:rPr>
              <w:t>for the CEO and 20% for the other NEOs) is automatically</w:t>
            </w:r>
          </w:p>
        </w:tc>
      </w:tr>
      <w:tr>
        <w:trPr>
          <w:trHeight w:val="189"/>
        </w:trPr>
        <w:tc>
          <w:tcPr>
            <w:tcW w:w="20" w:type="dxa"/>
            <w:vAlign w:val="bottom"/>
          </w:tcPr>
          <w:p>
            <w:pPr>
              <w:spacing w:after="0"/>
              <w:rPr>
                <w:sz w:val="16"/>
                <w:szCs w:val="16"/>
                <w:color w:val="auto"/>
              </w:rPr>
            </w:pPr>
          </w:p>
        </w:tc>
        <w:tc>
          <w:tcPr>
            <w:tcW w:w="2480" w:type="dxa"/>
            <w:vAlign w:val="bottom"/>
            <w:tcBorders>
              <w:right w:val="single" w:sz="8" w:color="007CBA"/>
            </w:tcBorders>
            <w:shd w:val="clear" w:color="auto" w:fill="E5F1F8"/>
          </w:tcPr>
          <w:p>
            <w:pPr>
              <w:spacing w:after="0"/>
              <w:rPr>
                <w:sz w:val="16"/>
                <w:szCs w:val="16"/>
                <w:color w:val="auto"/>
              </w:rPr>
            </w:pPr>
          </w:p>
        </w:tc>
        <w:tc>
          <w:tcPr>
            <w:tcW w:w="4260" w:type="dxa"/>
            <w:vAlign w:val="bottom"/>
            <w:tcBorders>
              <w:right w:val="single" w:sz="8" w:color="007CBA"/>
            </w:tcBorders>
            <w:shd w:val="clear" w:color="auto" w:fill="E5F1F8"/>
          </w:tcPr>
          <w:p>
            <w:pPr>
              <w:spacing w:after="0"/>
              <w:rPr>
                <w:sz w:val="16"/>
                <w:szCs w:val="16"/>
                <w:color w:val="auto"/>
              </w:rPr>
            </w:pPr>
          </w:p>
        </w:tc>
        <w:tc>
          <w:tcPr>
            <w:tcW w:w="4280" w:type="dxa"/>
            <w:vAlign w:val="bottom"/>
            <w:shd w:val="clear" w:color="auto" w:fill="E5F1F8"/>
          </w:tcPr>
          <w:p>
            <w:pPr>
              <w:ind w:left="100"/>
              <w:spacing w:after="0"/>
              <w:rPr>
                <w:sz w:val="20"/>
                <w:szCs w:val="20"/>
                <w:color w:val="auto"/>
              </w:rPr>
            </w:pPr>
            <w:r>
              <w:rPr>
                <w:rFonts w:ascii="Arial" w:cs="Arial" w:eastAsia="Arial" w:hAnsi="Arial"/>
                <w:sz w:val="16"/>
                <w:szCs w:val="16"/>
                <w:color w:val="auto"/>
              </w:rPr>
              <w:t>converted into common stock units. NEOs may elect to</w:t>
            </w:r>
          </w:p>
        </w:tc>
      </w:tr>
      <w:tr>
        <w:trPr>
          <w:trHeight w:val="189"/>
        </w:trPr>
        <w:tc>
          <w:tcPr>
            <w:tcW w:w="20" w:type="dxa"/>
            <w:vAlign w:val="bottom"/>
          </w:tcPr>
          <w:p>
            <w:pPr>
              <w:spacing w:after="0"/>
              <w:rPr>
                <w:sz w:val="16"/>
                <w:szCs w:val="16"/>
                <w:color w:val="auto"/>
              </w:rPr>
            </w:pPr>
          </w:p>
        </w:tc>
        <w:tc>
          <w:tcPr>
            <w:tcW w:w="2480" w:type="dxa"/>
            <w:vAlign w:val="bottom"/>
            <w:tcBorders>
              <w:right w:val="single" w:sz="8" w:color="007CBA"/>
            </w:tcBorders>
            <w:shd w:val="clear" w:color="auto" w:fill="E5F1F8"/>
          </w:tcPr>
          <w:p>
            <w:pPr>
              <w:spacing w:after="0"/>
              <w:rPr>
                <w:sz w:val="16"/>
                <w:szCs w:val="16"/>
                <w:color w:val="auto"/>
              </w:rPr>
            </w:pPr>
          </w:p>
        </w:tc>
        <w:tc>
          <w:tcPr>
            <w:tcW w:w="4260" w:type="dxa"/>
            <w:vAlign w:val="bottom"/>
            <w:tcBorders>
              <w:right w:val="single" w:sz="8" w:color="007CBA"/>
            </w:tcBorders>
            <w:shd w:val="clear" w:color="auto" w:fill="E5F1F8"/>
          </w:tcPr>
          <w:p>
            <w:pPr>
              <w:spacing w:after="0"/>
              <w:rPr>
                <w:sz w:val="16"/>
                <w:szCs w:val="16"/>
                <w:color w:val="auto"/>
              </w:rPr>
            </w:pPr>
          </w:p>
        </w:tc>
        <w:tc>
          <w:tcPr>
            <w:tcW w:w="4280" w:type="dxa"/>
            <w:vAlign w:val="bottom"/>
            <w:shd w:val="clear" w:color="auto" w:fill="E5F1F8"/>
          </w:tcPr>
          <w:p>
            <w:pPr>
              <w:ind w:left="100"/>
              <w:spacing w:after="0"/>
              <w:rPr>
                <w:sz w:val="20"/>
                <w:szCs w:val="20"/>
                <w:color w:val="auto"/>
              </w:rPr>
            </w:pPr>
            <w:r>
              <w:rPr>
                <w:rFonts w:ascii="Arial" w:cs="Arial" w:eastAsia="Arial" w:hAnsi="Arial"/>
                <w:sz w:val="16"/>
                <w:szCs w:val="16"/>
                <w:color w:val="auto"/>
              </w:rPr>
              <w:t>convert up to 50% of their annual cash incentive</w:t>
            </w:r>
          </w:p>
        </w:tc>
      </w:tr>
      <w:tr>
        <w:trPr>
          <w:trHeight w:val="241"/>
        </w:trPr>
        <w:tc>
          <w:tcPr>
            <w:tcW w:w="20" w:type="dxa"/>
            <w:vAlign w:val="bottom"/>
          </w:tcPr>
          <w:p>
            <w:pPr>
              <w:spacing w:after="0"/>
              <w:rPr>
                <w:sz w:val="20"/>
                <w:szCs w:val="20"/>
                <w:color w:val="auto"/>
              </w:rPr>
            </w:pPr>
          </w:p>
        </w:tc>
        <w:tc>
          <w:tcPr>
            <w:tcW w:w="2480" w:type="dxa"/>
            <w:vAlign w:val="bottom"/>
            <w:tcBorders>
              <w:bottom w:val="single" w:sz="8" w:color="E5F1F8"/>
              <w:right w:val="single" w:sz="8" w:color="007CBA"/>
            </w:tcBorders>
            <w:shd w:val="clear" w:color="auto" w:fill="E5F1F8"/>
          </w:tcPr>
          <w:p>
            <w:pPr>
              <w:spacing w:after="0"/>
              <w:rPr>
                <w:sz w:val="20"/>
                <w:szCs w:val="20"/>
                <w:color w:val="auto"/>
              </w:rPr>
            </w:pPr>
          </w:p>
        </w:tc>
        <w:tc>
          <w:tcPr>
            <w:tcW w:w="4260" w:type="dxa"/>
            <w:vAlign w:val="bottom"/>
            <w:tcBorders>
              <w:bottom w:val="single" w:sz="8" w:color="E5F1F8"/>
              <w:right w:val="single" w:sz="8" w:color="007CBA"/>
            </w:tcBorders>
            <w:shd w:val="clear" w:color="auto" w:fill="E5F1F8"/>
          </w:tcPr>
          <w:p>
            <w:pPr>
              <w:spacing w:after="0"/>
              <w:rPr>
                <w:sz w:val="20"/>
                <w:szCs w:val="20"/>
                <w:color w:val="auto"/>
              </w:rPr>
            </w:pPr>
          </w:p>
        </w:tc>
        <w:tc>
          <w:tcPr>
            <w:tcW w:w="4280" w:type="dxa"/>
            <w:vAlign w:val="bottom"/>
            <w:tcBorders>
              <w:bottom w:val="single" w:sz="8" w:color="E5F1F8"/>
            </w:tcBorders>
            <w:shd w:val="clear" w:color="auto" w:fill="E5F1F8"/>
          </w:tcPr>
          <w:p>
            <w:pPr>
              <w:ind w:left="100"/>
              <w:spacing w:after="0"/>
              <w:rPr>
                <w:sz w:val="20"/>
                <w:szCs w:val="20"/>
                <w:color w:val="auto"/>
              </w:rPr>
            </w:pPr>
            <w:r>
              <w:rPr>
                <w:rFonts w:ascii="Arial" w:cs="Arial" w:eastAsia="Arial" w:hAnsi="Arial"/>
                <w:sz w:val="16"/>
                <w:szCs w:val="16"/>
                <w:color w:val="auto"/>
              </w:rPr>
              <w:t>compensation into common stock units.</w:t>
            </w:r>
          </w:p>
        </w:tc>
      </w:tr>
      <w:tr>
        <w:trPr>
          <w:trHeight w:val="236"/>
        </w:trPr>
        <w:tc>
          <w:tcPr>
            <w:tcW w:w="20" w:type="dxa"/>
            <w:vAlign w:val="bottom"/>
          </w:tcPr>
          <w:p>
            <w:pPr>
              <w:spacing w:after="0"/>
              <w:rPr>
                <w:sz w:val="20"/>
                <w:szCs w:val="20"/>
                <w:color w:val="auto"/>
              </w:rPr>
            </w:pPr>
          </w:p>
        </w:tc>
        <w:tc>
          <w:tcPr>
            <w:tcW w:w="2480" w:type="dxa"/>
            <w:vAlign w:val="bottom"/>
            <w:tcBorders>
              <w:right w:val="single" w:sz="8" w:color="007CBA"/>
            </w:tcBorders>
          </w:tcPr>
          <w:p>
            <w:pPr>
              <w:ind w:left="60"/>
              <w:spacing w:after="0"/>
              <w:rPr>
                <w:sz w:val="20"/>
                <w:szCs w:val="20"/>
                <w:color w:val="auto"/>
              </w:rPr>
            </w:pPr>
            <w:r>
              <w:rPr>
                <w:rFonts w:ascii="Arial" w:cs="Arial" w:eastAsia="Arial" w:hAnsi="Arial"/>
                <w:sz w:val="16"/>
                <w:szCs w:val="16"/>
                <w:b w:val="1"/>
                <w:bCs w:val="1"/>
                <w:color w:val="auto"/>
              </w:rPr>
              <w:t>Long-Term</w:t>
            </w:r>
          </w:p>
        </w:tc>
        <w:tc>
          <w:tcPr>
            <w:tcW w:w="4260" w:type="dxa"/>
            <w:vAlign w:val="bottom"/>
            <w:tcBorders>
              <w:right w:val="single" w:sz="8" w:color="007CBA"/>
            </w:tcBorders>
          </w:tcPr>
          <w:p>
            <w:pPr>
              <w:ind w:left="80"/>
              <w:spacing w:after="0"/>
              <w:rPr>
                <w:sz w:val="20"/>
                <w:szCs w:val="20"/>
                <w:color w:val="auto"/>
              </w:rPr>
            </w:pPr>
            <w:r>
              <w:rPr>
                <w:rFonts w:ascii="Arial" w:cs="Arial" w:eastAsia="Arial" w:hAnsi="Arial"/>
                <w:sz w:val="16"/>
                <w:szCs w:val="16"/>
                <w:color w:val="auto"/>
              </w:rPr>
              <w:t>To align executives with shareholder interests, to</w:t>
            </w:r>
          </w:p>
        </w:tc>
        <w:tc>
          <w:tcPr>
            <w:tcW w:w="4280" w:type="dxa"/>
            <w:vAlign w:val="bottom"/>
          </w:tcPr>
          <w:p>
            <w:pPr>
              <w:ind w:left="100"/>
              <w:spacing w:after="0"/>
              <w:rPr>
                <w:sz w:val="20"/>
                <w:szCs w:val="20"/>
                <w:color w:val="auto"/>
              </w:rPr>
            </w:pPr>
            <w:r>
              <w:rPr>
                <w:rFonts w:ascii="Arial" w:cs="Arial" w:eastAsia="Arial" w:hAnsi="Arial"/>
                <w:sz w:val="16"/>
                <w:szCs w:val="16"/>
                <w:color w:val="auto"/>
              </w:rPr>
              <w:t>Variable compensation component. Reviewed and</w:t>
            </w:r>
          </w:p>
        </w:tc>
      </w:tr>
      <w:tr>
        <w:trPr>
          <w:trHeight w:val="191"/>
        </w:trPr>
        <w:tc>
          <w:tcPr>
            <w:tcW w:w="20" w:type="dxa"/>
            <w:vAlign w:val="bottom"/>
          </w:tcPr>
          <w:p>
            <w:pPr>
              <w:spacing w:after="0"/>
              <w:rPr>
                <w:sz w:val="16"/>
                <w:szCs w:val="16"/>
                <w:color w:val="auto"/>
              </w:rPr>
            </w:pPr>
          </w:p>
        </w:tc>
        <w:tc>
          <w:tcPr>
            <w:tcW w:w="2480" w:type="dxa"/>
            <w:vAlign w:val="bottom"/>
            <w:tcBorders>
              <w:right w:val="single" w:sz="8" w:color="007CBA"/>
            </w:tcBorders>
          </w:tcPr>
          <w:p>
            <w:pPr>
              <w:ind w:left="60"/>
              <w:spacing w:after="0"/>
              <w:rPr>
                <w:sz w:val="20"/>
                <w:szCs w:val="20"/>
                <w:color w:val="auto"/>
              </w:rPr>
            </w:pPr>
            <w:r>
              <w:rPr>
                <w:rFonts w:ascii="Arial" w:cs="Arial" w:eastAsia="Arial" w:hAnsi="Arial"/>
                <w:sz w:val="16"/>
                <w:szCs w:val="16"/>
                <w:b w:val="1"/>
                <w:bCs w:val="1"/>
                <w:color w:val="auto"/>
              </w:rPr>
              <w:t>Incentive Awards</w:t>
            </w:r>
          </w:p>
        </w:tc>
        <w:tc>
          <w:tcPr>
            <w:tcW w:w="4260" w:type="dxa"/>
            <w:vAlign w:val="bottom"/>
            <w:tcBorders>
              <w:right w:val="single" w:sz="8" w:color="007CBA"/>
            </w:tcBorders>
          </w:tcPr>
          <w:p>
            <w:pPr>
              <w:ind w:left="80"/>
              <w:spacing w:after="0"/>
              <w:rPr>
                <w:sz w:val="20"/>
                <w:szCs w:val="20"/>
                <w:color w:val="auto"/>
              </w:rPr>
            </w:pPr>
            <w:r>
              <w:rPr>
                <w:rFonts w:ascii="Arial" w:cs="Arial" w:eastAsia="Arial" w:hAnsi="Arial"/>
                <w:sz w:val="16"/>
                <w:szCs w:val="16"/>
                <w:color w:val="auto"/>
              </w:rPr>
              <w:t>reinforce long-term value creation, and to provide a</w:t>
            </w:r>
          </w:p>
        </w:tc>
        <w:tc>
          <w:tcPr>
            <w:tcW w:w="4280" w:type="dxa"/>
            <w:vAlign w:val="bottom"/>
          </w:tcPr>
          <w:p>
            <w:pPr>
              <w:ind w:left="100"/>
              <w:spacing w:after="0"/>
              <w:rPr>
                <w:sz w:val="20"/>
                <w:szCs w:val="20"/>
                <w:color w:val="auto"/>
              </w:rPr>
            </w:pPr>
            <w:r>
              <w:rPr>
                <w:rFonts w:ascii="Arial" w:cs="Arial" w:eastAsia="Arial" w:hAnsi="Arial"/>
                <w:sz w:val="16"/>
                <w:szCs w:val="16"/>
                <w:color w:val="auto"/>
              </w:rPr>
              <w:t>granted annually. New program in 2017 splits long-term</w:t>
            </w:r>
          </w:p>
        </w:tc>
      </w:tr>
      <w:tr>
        <w:trPr>
          <w:trHeight w:val="219"/>
        </w:trPr>
        <w:tc>
          <w:tcPr>
            <w:tcW w:w="20" w:type="dxa"/>
            <w:vAlign w:val="bottom"/>
          </w:tcPr>
          <w:p>
            <w:pPr>
              <w:spacing w:after="0"/>
              <w:rPr>
                <w:sz w:val="19"/>
                <w:szCs w:val="19"/>
                <w:color w:val="auto"/>
              </w:rPr>
            </w:pPr>
          </w:p>
        </w:tc>
        <w:tc>
          <w:tcPr>
            <w:tcW w:w="2480" w:type="dxa"/>
            <w:vAlign w:val="bottom"/>
            <w:tcBorders>
              <w:right w:val="single" w:sz="8" w:color="007CBA"/>
            </w:tcBorders>
          </w:tcPr>
          <w:p>
            <w:pPr>
              <w:spacing w:after="0"/>
              <w:rPr>
                <w:sz w:val="19"/>
                <w:szCs w:val="19"/>
                <w:color w:val="auto"/>
              </w:rPr>
            </w:pPr>
          </w:p>
        </w:tc>
        <w:tc>
          <w:tcPr>
            <w:tcW w:w="4260" w:type="dxa"/>
            <w:vAlign w:val="bottom"/>
            <w:tcBorders>
              <w:right w:val="single" w:sz="8" w:color="007CBA"/>
            </w:tcBorders>
          </w:tcPr>
          <w:p>
            <w:pPr>
              <w:ind w:left="80"/>
              <w:spacing w:after="0"/>
              <w:rPr>
                <w:sz w:val="20"/>
                <w:szCs w:val="20"/>
                <w:color w:val="auto"/>
              </w:rPr>
            </w:pPr>
            <w:r>
              <w:rPr>
                <w:rFonts w:ascii="Arial" w:cs="Arial" w:eastAsia="Arial" w:hAnsi="Arial"/>
                <w:sz w:val="16"/>
                <w:szCs w:val="16"/>
                <w:color w:val="auto"/>
              </w:rPr>
              <w:t>balanced portfolio of long-term incentive opportunities.</w:t>
            </w:r>
          </w:p>
        </w:tc>
        <w:tc>
          <w:tcPr>
            <w:tcW w:w="4280" w:type="dxa"/>
            <w:vAlign w:val="bottom"/>
          </w:tcPr>
          <w:p>
            <w:pPr>
              <w:ind w:left="100"/>
              <w:spacing w:after="0"/>
              <w:rPr>
                <w:sz w:val="20"/>
                <w:szCs w:val="20"/>
                <w:color w:val="auto"/>
              </w:rPr>
            </w:pPr>
            <w:r>
              <w:rPr>
                <w:rFonts w:ascii="Arial" w:cs="Arial" w:eastAsia="Arial" w:hAnsi="Arial"/>
                <w:sz w:val="16"/>
                <w:szCs w:val="16"/>
                <w:color w:val="auto"/>
              </w:rPr>
              <w:t>incentives for NEOs at 55% PSUs and 45% RSUs.</w:t>
            </w:r>
          </w:p>
        </w:tc>
      </w:tr>
      <w:tr>
        <w:trPr>
          <w:trHeight w:val="281"/>
        </w:trPr>
        <w:tc>
          <w:tcPr>
            <w:tcW w:w="20" w:type="dxa"/>
            <w:vAlign w:val="bottom"/>
          </w:tcPr>
          <w:p>
            <w:pPr>
              <w:spacing w:after="0"/>
              <w:rPr>
                <w:sz w:val="24"/>
                <w:szCs w:val="24"/>
                <w:color w:val="auto"/>
              </w:rPr>
            </w:pPr>
          </w:p>
        </w:tc>
        <w:tc>
          <w:tcPr>
            <w:tcW w:w="2480" w:type="dxa"/>
            <w:vAlign w:val="bottom"/>
            <w:tcBorders>
              <w:right w:val="single" w:sz="8" w:color="007CBA"/>
            </w:tcBorders>
          </w:tcPr>
          <w:p>
            <w:pPr>
              <w:ind w:left="280"/>
              <w:spacing w:after="0"/>
              <w:rPr>
                <w:sz w:val="20"/>
                <w:szCs w:val="20"/>
                <w:color w:val="auto"/>
              </w:rPr>
            </w:pPr>
            <w:r>
              <w:rPr>
                <w:rFonts w:ascii="Arial" w:cs="Arial" w:eastAsia="Arial" w:hAnsi="Arial"/>
                <w:sz w:val="16"/>
                <w:szCs w:val="16"/>
                <w:i w:val="1"/>
                <w:iCs w:val="1"/>
                <w:color w:val="auto"/>
              </w:rPr>
              <w:t>Performance Share</w:t>
            </w:r>
          </w:p>
        </w:tc>
        <w:tc>
          <w:tcPr>
            <w:tcW w:w="4260" w:type="dxa"/>
            <w:vAlign w:val="bottom"/>
            <w:tcBorders>
              <w:right w:val="single" w:sz="8" w:color="007CBA"/>
            </w:tcBorders>
          </w:tcPr>
          <w:p>
            <w:pPr>
              <w:ind w:left="80"/>
              <w:spacing w:after="0"/>
              <w:rPr>
                <w:sz w:val="20"/>
                <w:szCs w:val="20"/>
                <w:color w:val="auto"/>
              </w:rPr>
            </w:pPr>
            <w:r>
              <w:rPr>
                <w:rFonts w:ascii="Arial" w:cs="Arial" w:eastAsia="Arial" w:hAnsi="Arial"/>
                <w:sz w:val="16"/>
                <w:szCs w:val="16"/>
                <w:color w:val="auto"/>
              </w:rPr>
              <w:t>To motivate executives by tying incentives to our multi-</w:t>
            </w:r>
          </w:p>
        </w:tc>
        <w:tc>
          <w:tcPr>
            <w:tcW w:w="4280" w:type="dxa"/>
            <w:vAlign w:val="bottom"/>
          </w:tcPr>
          <w:p>
            <w:pPr>
              <w:ind w:left="100"/>
              <w:spacing w:after="0"/>
              <w:rPr>
                <w:sz w:val="20"/>
                <w:szCs w:val="20"/>
                <w:color w:val="auto"/>
              </w:rPr>
            </w:pPr>
            <w:r>
              <w:rPr>
                <w:rFonts w:ascii="Arial" w:cs="Arial" w:eastAsia="Arial" w:hAnsi="Arial"/>
                <w:sz w:val="16"/>
                <w:szCs w:val="16"/>
                <w:color w:val="auto"/>
              </w:rPr>
              <w:t>Grants based on three-year, EBITDA and Sales Growth,</w:t>
            </w:r>
          </w:p>
        </w:tc>
      </w:tr>
      <w:tr>
        <w:trPr>
          <w:trHeight w:val="189"/>
        </w:trPr>
        <w:tc>
          <w:tcPr>
            <w:tcW w:w="20" w:type="dxa"/>
            <w:vAlign w:val="bottom"/>
          </w:tcPr>
          <w:p>
            <w:pPr>
              <w:spacing w:after="0"/>
              <w:rPr>
                <w:sz w:val="16"/>
                <w:szCs w:val="16"/>
                <w:color w:val="auto"/>
              </w:rPr>
            </w:pPr>
          </w:p>
        </w:tc>
        <w:tc>
          <w:tcPr>
            <w:tcW w:w="2480" w:type="dxa"/>
            <w:vAlign w:val="bottom"/>
            <w:tcBorders>
              <w:right w:val="single" w:sz="8" w:color="007CBA"/>
            </w:tcBorders>
          </w:tcPr>
          <w:p>
            <w:pPr>
              <w:ind w:left="280"/>
              <w:spacing w:after="0"/>
              <w:rPr>
                <w:sz w:val="20"/>
                <w:szCs w:val="20"/>
                <w:color w:val="auto"/>
              </w:rPr>
            </w:pPr>
            <w:r>
              <w:rPr>
                <w:rFonts w:ascii="Arial" w:cs="Arial" w:eastAsia="Arial" w:hAnsi="Arial"/>
                <w:sz w:val="16"/>
                <w:szCs w:val="16"/>
                <w:i w:val="1"/>
                <w:iCs w:val="1"/>
                <w:color w:val="auto"/>
              </w:rPr>
              <w:t>Units (PSUs)</w:t>
            </w:r>
          </w:p>
        </w:tc>
        <w:tc>
          <w:tcPr>
            <w:tcW w:w="4260" w:type="dxa"/>
            <w:vAlign w:val="bottom"/>
            <w:tcBorders>
              <w:right w:val="single" w:sz="8" w:color="007CBA"/>
            </w:tcBorders>
          </w:tcPr>
          <w:p>
            <w:pPr>
              <w:ind w:left="80"/>
              <w:spacing w:after="0"/>
              <w:rPr>
                <w:sz w:val="20"/>
                <w:szCs w:val="20"/>
                <w:color w:val="auto"/>
              </w:rPr>
            </w:pPr>
            <w:r>
              <w:rPr>
                <w:rFonts w:ascii="Arial" w:cs="Arial" w:eastAsia="Arial" w:hAnsi="Arial"/>
                <w:sz w:val="16"/>
                <w:szCs w:val="16"/>
                <w:color w:val="auto"/>
              </w:rPr>
              <w:t>year financial goals and relative TSR reinforcing the link</w:t>
            </w:r>
          </w:p>
        </w:tc>
        <w:tc>
          <w:tcPr>
            <w:tcW w:w="4280" w:type="dxa"/>
            <w:vAlign w:val="bottom"/>
          </w:tcPr>
          <w:p>
            <w:pPr>
              <w:ind w:left="100"/>
              <w:spacing w:after="0"/>
              <w:rPr>
                <w:sz w:val="20"/>
                <w:szCs w:val="20"/>
                <w:color w:val="auto"/>
              </w:rPr>
            </w:pPr>
            <w:r>
              <w:rPr>
                <w:rFonts w:ascii="Arial" w:cs="Arial" w:eastAsia="Arial" w:hAnsi="Arial"/>
                <w:sz w:val="16"/>
                <w:szCs w:val="16"/>
                <w:color w:val="auto"/>
              </w:rPr>
              <w:t>with a modifier based on TSR performance relative to</w:t>
            </w:r>
          </w:p>
        </w:tc>
      </w:tr>
      <w:tr>
        <w:trPr>
          <w:trHeight w:val="219"/>
        </w:trPr>
        <w:tc>
          <w:tcPr>
            <w:tcW w:w="20" w:type="dxa"/>
            <w:vAlign w:val="bottom"/>
          </w:tcPr>
          <w:p>
            <w:pPr>
              <w:spacing w:after="0"/>
              <w:rPr>
                <w:sz w:val="19"/>
                <w:szCs w:val="19"/>
                <w:color w:val="auto"/>
              </w:rPr>
            </w:pPr>
          </w:p>
        </w:tc>
        <w:tc>
          <w:tcPr>
            <w:tcW w:w="2480" w:type="dxa"/>
            <w:vAlign w:val="bottom"/>
            <w:tcBorders>
              <w:right w:val="single" w:sz="8" w:color="007CBA"/>
            </w:tcBorders>
          </w:tcPr>
          <w:p>
            <w:pPr>
              <w:spacing w:after="0"/>
              <w:rPr>
                <w:sz w:val="19"/>
                <w:szCs w:val="19"/>
                <w:color w:val="auto"/>
              </w:rPr>
            </w:pPr>
          </w:p>
        </w:tc>
        <w:tc>
          <w:tcPr>
            <w:tcW w:w="4260" w:type="dxa"/>
            <w:vAlign w:val="bottom"/>
            <w:tcBorders>
              <w:right w:val="single" w:sz="8" w:color="007CBA"/>
            </w:tcBorders>
          </w:tcPr>
          <w:p>
            <w:pPr>
              <w:ind w:left="80"/>
              <w:spacing w:after="0"/>
              <w:rPr>
                <w:sz w:val="20"/>
                <w:szCs w:val="20"/>
                <w:color w:val="auto"/>
              </w:rPr>
            </w:pPr>
            <w:r>
              <w:rPr>
                <w:rFonts w:ascii="Arial" w:cs="Arial" w:eastAsia="Arial" w:hAnsi="Arial"/>
                <w:sz w:val="16"/>
                <w:szCs w:val="16"/>
                <w:color w:val="auto"/>
              </w:rPr>
              <w:t>between our executive officers and our shareholders.</w:t>
            </w:r>
          </w:p>
        </w:tc>
        <w:tc>
          <w:tcPr>
            <w:tcW w:w="4280" w:type="dxa"/>
            <w:vAlign w:val="bottom"/>
          </w:tcPr>
          <w:p>
            <w:pPr>
              <w:ind w:left="100"/>
              <w:spacing w:after="0"/>
              <w:rPr>
                <w:sz w:val="20"/>
                <w:szCs w:val="20"/>
                <w:color w:val="auto"/>
              </w:rPr>
            </w:pPr>
            <w:r>
              <w:rPr>
                <w:rFonts w:ascii="Arial" w:cs="Arial" w:eastAsia="Arial" w:hAnsi="Arial"/>
                <w:sz w:val="16"/>
                <w:szCs w:val="16"/>
                <w:color w:val="auto"/>
              </w:rPr>
              <w:t>peers.</w:t>
            </w:r>
          </w:p>
        </w:tc>
      </w:tr>
      <w:tr>
        <w:trPr>
          <w:trHeight w:val="281"/>
        </w:trPr>
        <w:tc>
          <w:tcPr>
            <w:tcW w:w="20" w:type="dxa"/>
            <w:vAlign w:val="bottom"/>
          </w:tcPr>
          <w:p>
            <w:pPr>
              <w:spacing w:after="0"/>
              <w:rPr>
                <w:sz w:val="24"/>
                <w:szCs w:val="24"/>
                <w:color w:val="auto"/>
              </w:rPr>
            </w:pPr>
          </w:p>
        </w:tc>
        <w:tc>
          <w:tcPr>
            <w:tcW w:w="2480" w:type="dxa"/>
            <w:vAlign w:val="bottom"/>
            <w:tcBorders>
              <w:right w:val="single" w:sz="8" w:color="007CBA"/>
            </w:tcBorders>
          </w:tcPr>
          <w:p>
            <w:pPr>
              <w:ind w:left="280"/>
              <w:spacing w:after="0"/>
              <w:rPr>
                <w:sz w:val="20"/>
                <w:szCs w:val="20"/>
                <w:color w:val="auto"/>
              </w:rPr>
            </w:pPr>
            <w:r>
              <w:rPr>
                <w:rFonts w:ascii="Arial" w:cs="Arial" w:eastAsia="Arial" w:hAnsi="Arial"/>
                <w:sz w:val="16"/>
                <w:szCs w:val="16"/>
                <w:i w:val="1"/>
                <w:iCs w:val="1"/>
                <w:color w:val="auto"/>
              </w:rPr>
              <w:t>Restricted Stock Units (RSUs)</w:t>
            </w:r>
          </w:p>
        </w:tc>
        <w:tc>
          <w:tcPr>
            <w:tcW w:w="4260" w:type="dxa"/>
            <w:vAlign w:val="bottom"/>
            <w:tcBorders>
              <w:right w:val="single" w:sz="8" w:color="007CBA"/>
            </w:tcBorders>
          </w:tcPr>
          <w:p>
            <w:pPr>
              <w:ind w:left="80"/>
              <w:spacing w:after="0"/>
              <w:rPr>
                <w:sz w:val="20"/>
                <w:szCs w:val="20"/>
                <w:color w:val="auto"/>
              </w:rPr>
            </w:pPr>
            <w:r>
              <w:rPr>
                <w:rFonts w:ascii="Arial" w:cs="Arial" w:eastAsia="Arial" w:hAnsi="Arial"/>
                <w:sz w:val="16"/>
                <w:szCs w:val="16"/>
                <w:color w:val="auto"/>
              </w:rPr>
              <w:t>To motivate the appropriate behaviors delivering superior</w:t>
            </w:r>
          </w:p>
        </w:tc>
        <w:tc>
          <w:tcPr>
            <w:tcW w:w="4280" w:type="dxa"/>
            <w:vAlign w:val="bottom"/>
          </w:tcPr>
          <w:p>
            <w:pPr>
              <w:ind w:left="100"/>
              <w:spacing w:after="0"/>
              <w:rPr>
                <w:sz w:val="20"/>
                <w:szCs w:val="20"/>
                <w:color w:val="auto"/>
              </w:rPr>
            </w:pPr>
            <w:r>
              <w:rPr>
                <w:rFonts w:ascii="Arial" w:cs="Arial" w:eastAsia="Arial" w:hAnsi="Arial"/>
                <w:sz w:val="16"/>
                <w:szCs w:val="16"/>
                <w:color w:val="auto"/>
              </w:rPr>
              <w:t>Stock price growth. Awards are subject to achievement of</w:t>
            </w:r>
          </w:p>
        </w:tc>
      </w:tr>
      <w:tr>
        <w:trPr>
          <w:trHeight w:val="189"/>
        </w:trPr>
        <w:tc>
          <w:tcPr>
            <w:tcW w:w="20" w:type="dxa"/>
            <w:vAlign w:val="bottom"/>
          </w:tcPr>
          <w:p>
            <w:pPr>
              <w:spacing w:after="0"/>
              <w:rPr>
                <w:sz w:val="16"/>
                <w:szCs w:val="16"/>
                <w:color w:val="auto"/>
              </w:rPr>
            </w:pPr>
          </w:p>
        </w:tc>
        <w:tc>
          <w:tcPr>
            <w:tcW w:w="2480" w:type="dxa"/>
            <w:vAlign w:val="bottom"/>
            <w:tcBorders>
              <w:right w:val="single" w:sz="8" w:color="007CBA"/>
            </w:tcBorders>
          </w:tcPr>
          <w:p>
            <w:pPr>
              <w:spacing w:after="0"/>
              <w:rPr>
                <w:sz w:val="16"/>
                <w:szCs w:val="16"/>
                <w:color w:val="auto"/>
              </w:rPr>
            </w:pPr>
          </w:p>
        </w:tc>
        <w:tc>
          <w:tcPr>
            <w:tcW w:w="4260" w:type="dxa"/>
            <w:vAlign w:val="bottom"/>
            <w:tcBorders>
              <w:right w:val="single" w:sz="8" w:color="007CBA"/>
            </w:tcBorders>
          </w:tcPr>
          <w:p>
            <w:pPr>
              <w:ind w:left="80"/>
              <w:spacing w:after="0"/>
              <w:rPr>
                <w:sz w:val="20"/>
                <w:szCs w:val="20"/>
                <w:color w:val="auto"/>
              </w:rPr>
            </w:pPr>
            <w:r>
              <w:rPr>
                <w:rFonts w:ascii="Arial" w:cs="Arial" w:eastAsia="Arial" w:hAnsi="Arial"/>
                <w:sz w:val="16"/>
                <w:szCs w:val="16"/>
                <w:color w:val="auto"/>
              </w:rPr>
              <w:t>long-term total shareholder return. Also promotes a base-</w:t>
            </w:r>
          </w:p>
        </w:tc>
        <w:tc>
          <w:tcPr>
            <w:tcW w:w="4280" w:type="dxa"/>
            <w:vAlign w:val="bottom"/>
          </w:tcPr>
          <w:p>
            <w:pPr>
              <w:ind w:left="100"/>
              <w:spacing w:after="0"/>
              <w:rPr>
                <w:sz w:val="20"/>
                <w:szCs w:val="20"/>
                <w:color w:val="auto"/>
              </w:rPr>
            </w:pPr>
            <w:r>
              <w:rPr>
                <w:rFonts w:ascii="Arial" w:cs="Arial" w:eastAsia="Arial" w:hAnsi="Arial"/>
                <w:sz w:val="16"/>
                <w:szCs w:val="16"/>
                <w:color w:val="auto"/>
              </w:rPr>
              <w:t>one-year EBITDA.</w:t>
            </w:r>
          </w:p>
        </w:tc>
      </w:tr>
      <w:tr>
        <w:trPr>
          <w:trHeight w:val="219"/>
        </w:trPr>
        <w:tc>
          <w:tcPr>
            <w:tcW w:w="20" w:type="dxa"/>
            <w:vAlign w:val="bottom"/>
          </w:tcPr>
          <w:p>
            <w:pPr>
              <w:spacing w:after="0"/>
              <w:rPr>
                <w:sz w:val="19"/>
                <w:szCs w:val="19"/>
                <w:color w:val="auto"/>
              </w:rPr>
            </w:pPr>
          </w:p>
        </w:tc>
        <w:tc>
          <w:tcPr>
            <w:tcW w:w="2480" w:type="dxa"/>
            <w:vAlign w:val="bottom"/>
            <w:tcBorders>
              <w:right w:val="single" w:sz="8" w:color="007CBA"/>
            </w:tcBorders>
          </w:tcPr>
          <w:p>
            <w:pPr>
              <w:spacing w:after="0"/>
              <w:rPr>
                <w:sz w:val="19"/>
                <w:szCs w:val="19"/>
                <w:color w:val="auto"/>
              </w:rPr>
            </w:pPr>
          </w:p>
        </w:tc>
        <w:tc>
          <w:tcPr>
            <w:tcW w:w="4260" w:type="dxa"/>
            <w:vAlign w:val="bottom"/>
            <w:tcBorders>
              <w:right w:val="single" w:sz="8" w:color="007CBA"/>
            </w:tcBorders>
          </w:tcPr>
          <w:p>
            <w:pPr>
              <w:ind w:left="80"/>
              <w:spacing w:after="0"/>
              <w:rPr>
                <w:sz w:val="20"/>
                <w:szCs w:val="20"/>
                <w:color w:val="auto"/>
              </w:rPr>
            </w:pPr>
            <w:r>
              <w:rPr>
                <w:rFonts w:ascii="Arial" w:cs="Arial" w:eastAsia="Arial" w:hAnsi="Arial"/>
                <w:sz w:val="16"/>
                <w:szCs w:val="16"/>
                <w:color w:val="auto"/>
              </w:rPr>
              <w:t>level of executive retention.</w:t>
            </w:r>
          </w:p>
        </w:tc>
        <w:tc>
          <w:tcPr>
            <w:tcW w:w="4280" w:type="dxa"/>
            <w:vAlign w:val="bottom"/>
          </w:tcPr>
          <w:p>
            <w:pPr>
              <w:spacing w:after="0"/>
              <w:rPr>
                <w:sz w:val="19"/>
                <w:szCs w:val="19"/>
                <w:color w:val="auto"/>
              </w:rPr>
            </w:pPr>
          </w:p>
        </w:tc>
      </w:tr>
      <w:tr>
        <w:trPr>
          <w:trHeight w:val="43"/>
        </w:trPr>
        <w:tc>
          <w:tcPr>
            <w:tcW w:w="20" w:type="dxa"/>
            <w:vAlign w:val="bottom"/>
          </w:tcPr>
          <w:p>
            <w:pPr>
              <w:spacing w:after="0"/>
              <w:rPr>
                <w:sz w:val="3"/>
                <w:szCs w:val="3"/>
                <w:color w:val="auto"/>
              </w:rPr>
            </w:pPr>
          </w:p>
        </w:tc>
        <w:tc>
          <w:tcPr>
            <w:tcW w:w="2480" w:type="dxa"/>
            <w:vAlign w:val="bottom"/>
            <w:tcBorders>
              <w:right w:val="single" w:sz="8" w:color="007CBA"/>
            </w:tcBorders>
          </w:tcPr>
          <w:p>
            <w:pPr>
              <w:spacing w:after="0"/>
              <w:rPr>
                <w:sz w:val="3"/>
                <w:szCs w:val="3"/>
                <w:color w:val="auto"/>
              </w:rPr>
            </w:pPr>
          </w:p>
        </w:tc>
        <w:tc>
          <w:tcPr>
            <w:tcW w:w="4260" w:type="dxa"/>
            <w:vAlign w:val="bottom"/>
            <w:tcBorders>
              <w:right w:val="single" w:sz="8" w:color="007CBA"/>
            </w:tcBorders>
          </w:tcPr>
          <w:p>
            <w:pPr>
              <w:spacing w:after="0"/>
              <w:rPr>
                <w:sz w:val="3"/>
                <w:szCs w:val="3"/>
                <w:color w:val="auto"/>
              </w:rPr>
            </w:pPr>
          </w:p>
        </w:tc>
        <w:tc>
          <w:tcPr>
            <w:tcW w:w="4280" w:type="dxa"/>
            <w:vAlign w:val="bottom"/>
          </w:tcPr>
          <w:p>
            <w:pPr>
              <w:spacing w:after="0"/>
              <w:rPr>
                <w:sz w:val="3"/>
                <w:szCs w:val="3"/>
                <w:color w:val="auto"/>
              </w:rPr>
            </w:pPr>
          </w:p>
        </w:tc>
      </w:tr>
      <w:tr>
        <w:trPr>
          <w:trHeight w:val="236"/>
        </w:trPr>
        <w:tc>
          <w:tcPr>
            <w:tcW w:w="20" w:type="dxa"/>
            <w:vAlign w:val="bottom"/>
          </w:tcPr>
          <w:p>
            <w:pPr>
              <w:spacing w:after="0"/>
              <w:rPr>
                <w:sz w:val="20"/>
                <w:szCs w:val="20"/>
                <w:color w:val="auto"/>
              </w:rPr>
            </w:pPr>
          </w:p>
        </w:tc>
        <w:tc>
          <w:tcPr>
            <w:tcW w:w="248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6"/>
                <w:szCs w:val="16"/>
                <w:b w:val="1"/>
                <w:bCs w:val="1"/>
                <w:color w:val="auto"/>
              </w:rPr>
              <w:t>Health/Welfare Plan and</w:t>
            </w:r>
          </w:p>
        </w:tc>
        <w:tc>
          <w:tcPr>
            <w:tcW w:w="426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6"/>
                <w:szCs w:val="16"/>
                <w:color w:val="auto"/>
              </w:rPr>
              <w:t>To provide competitive benefits promoting employee</w:t>
            </w:r>
          </w:p>
        </w:tc>
        <w:tc>
          <w:tcPr>
            <w:tcW w:w="4280" w:type="dxa"/>
            <w:vAlign w:val="bottom"/>
            <w:shd w:val="clear" w:color="auto" w:fill="E5F1F8"/>
          </w:tcPr>
          <w:p>
            <w:pPr>
              <w:ind w:left="100"/>
              <w:spacing w:after="0"/>
              <w:rPr>
                <w:sz w:val="20"/>
                <w:szCs w:val="20"/>
                <w:color w:val="auto"/>
              </w:rPr>
            </w:pPr>
            <w:r>
              <w:rPr>
                <w:rFonts w:ascii="Arial" w:cs="Arial" w:eastAsia="Arial" w:hAnsi="Arial"/>
                <w:sz w:val="16"/>
                <w:szCs w:val="16"/>
                <w:color w:val="auto"/>
              </w:rPr>
              <w:t>Fixed compensation component.</w:t>
            </w:r>
          </w:p>
        </w:tc>
      </w:tr>
      <w:tr>
        <w:trPr>
          <w:trHeight w:val="243"/>
        </w:trPr>
        <w:tc>
          <w:tcPr>
            <w:tcW w:w="20" w:type="dxa"/>
            <w:vAlign w:val="bottom"/>
          </w:tcPr>
          <w:p>
            <w:pPr>
              <w:spacing w:after="0"/>
              <w:rPr>
                <w:sz w:val="21"/>
                <w:szCs w:val="21"/>
                <w:color w:val="auto"/>
              </w:rPr>
            </w:pPr>
          </w:p>
        </w:tc>
        <w:tc>
          <w:tcPr>
            <w:tcW w:w="2480" w:type="dxa"/>
            <w:vAlign w:val="bottom"/>
            <w:tcBorders>
              <w:bottom w:val="single" w:sz="8" w:color="E5F1F8"/>
              <w:right w:val="single" w:sz="8" w:color="007CBA"/>
            </w:tcBorders>
            <w:shd w:val="clear" w:color="auto" w:fill="E5F1F8"/>
          </w:tcPr>
          <w:p>
            <w:pPr>
              <w:ind w:left="60"/>
              <w:spacing w:after="0"/>
              <w:rPr>
                <w:sz w:val="20"/>
                <w:szCs w:val="20"/>
                <w:color w:val="auto"/>
              </w:rPr>
            </w:pPr>
            <w:r>
              <w:rPr>
                <w:rFonts w:ascii="Arial" w:cs="Arial" w:eastAsia="Arial" w:hAnsi="Arial"/>
                <w:sz w:val="16"/>
                <w:szCs w:val="16"/>
                <w:b w:val="1"/>
                <w:bCs w:val="1"/>
                <w:color w:val="auto"/>
              </w:rPr>
              <w:t>Retirement Benefits</w:t>
            </w:r>
          </w:p>
        </w:tc>
        <w:tc>
          <w:tcPr>
            <w:tcW w:w="4260" w:type="dxa"/>
            <w:vAlign w:val="bottom"/>
            <w:tcBorders>
              <w:bottom w:val="single" w:sz="8" w:color="E5F1F8"/>
              <w:right w:val="single" w:sz="8" w:color="007CBA"/>
            </w:tcBorders>
            <w:shd w:val="clear" w:color="auto" w:fill="E5F1F8"/>
          </w:tcPr>
          <w:p>
            <w:pPr>
              <w:ind w:left="80"/>
              <w:spacing w:after="0"/>
              <w:rPr>
                <w:sz w:val="20"/>
                <w:szCs w:val="20"/>
                <w:color w:val="auto"/>
              </w:rPr>
            </w:pPr>
            <w:r>
              <w:rPr>
                <w:rFonts w:ascii="Arial" w:cs="Arial" w:eastAsia="Arial" w:hAnsi="Arial"/>
                <w:sz w:val="16"/>
                <w:szCs w:val="16"/>
                <w:color w:val="auto"/>
              </w:rPr>
              <w:t>health and productivity and support financial security.</w:t>
            </w:r>
          </w:p>
        </w:tc>
        <w:tc>
          <w:tcPr>
            <w:tcW w:w="4280" w:type="dxa"/>
            <w:vAlign w:val="bottom"/>
            <w:tcBorders>
              <w:bottom w:val="single" w:sz="8" w:color="E5F1F8"/>
            </w:tcBorders>
            <w:shd w:val="clear" w:color="auto" w:fill="E5F1F8"/>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2480" w:type="dxa"/>
            <w:vAlign w:val="bottom"/>
            <w:tcBorders>
              <w:right w:val="single" w:sz="8" w:color="007CBA"/>
            </w:tcBorders>
          </w:tcPr>
          <w:p>
            <w:pPr>
              <w:ind w:left="60"/>
              <w:spacing w:after="0"/>
              <w:rPr>
                <w:sz w:val="20"/>
                <w:szCs w:val="20"/>
                <w:color w:val="auto"/>
              </w:rPr>
            </w:pPr>
            <w:r>
              <w:rPr>
                <w:rFonts w:ascii="Arial" w:cs="Arial" w:eastAsia="Arial" w:hAnsi="Arial"/>
                <w:sz w:val="16"/>
                <w:szCs w:val="16"/>
                <w:b w:val="1"/>
                <w:bCs w:val="1"/>
                <w:color w:val="auto"/>
              </w:rPr>
              <w:t>Perquisites and Other Benefits</w:t>
            </w:r>
          </w:p>
        </w:tc>
        <w:tc>
          <w:tcPr>
            <w:tcW w:w="4260" w:type="dxa"/>
            <w:vAlign w:val="bottom"/>
            <w:tcBorders>
              <w:right w:val="single" w:sz="8" w:color="007CBA"/>
            </w:tcBorders>
          </w:tcPr>
          <w:p>
            <w:pPr>
              <w:ind w:left="80"/>
              <w:spacing w:after="0"/>
              <w:rPr>
                <w:sz w:val="20"/>
                <w:szCs w:val="20"/>
                <w:color w:val="auto"/>
              </w:rPr>
            </w:pPr>
            <w:r>
              <w:rPr>
                <w:rFonts w:ascii="Arial" w:cs="Arial" w:eastAsia="Arial" w:hAnsi="Arial"/>
                <w:sz w:val="16"/>
                <w:szCs w:val="16"/>
                <w:color w:val="auto"/>
              </w:rPr>
              <w:t>To provide limited business-related benefits, where</w:t>
            </w:r>
          </w:p>
        </w:tc>
        <w:tc>
          <w:tcPr>
            <w:tcW w:w="4280" w:type="dxa"/>
            <w:vAlign w:val="bottom"/>
          </w:tcPr>
          <w:p>
            <w:pPr>
              <w:ind w:left="100"/>
              <w:spacing w:after="0"/>
              <w:rPr>
                <w:sz w:val="20"/>
                <w:szCs w:val="20"/>
                <w:color w:val="auto"/>
              </w:rPr>
            </w:pPr>
            <w:r>
              <w:rPr>
                <w:rFonts w:ascii="Arial" w:cs="Arial" w:eastAsia="Arial" w:hAnsi="Arial"/>
                <w:sz w:val="16"/>
                <w:szCs w:val="16"/>
                <w:color w:val="auto"/>
              </w:rPr>
              <w:t>Fixed compensation component.</w:t>
            </w:r>
          </w:p>
        </w:tc>
      </w:tr>
      <w:tr>
        <w:trPr>
          <w:trHeight w:val="189"/>
        </w:trPr>
        <w:tc>
          <w:tcPr>
            <w:tcW w:w="20" w:type="dxa"/>
            <w:vAlign w:val="bottom"/>
          </w:tcPr>
          <w:p>
            <w:pPr>
              <w:spacing w:after="0"/>
              <w:rPr>
                <w:sz w:val="16"/>
                <w:szCs w:val="16"/>
                <w:color w:val="auto"/>
              </w:rPr>
            </w:pPr>
          </w:p>
        </w:tc>
        <w:tc>
          <w:tcPr>
            <w:tcW w:w="2480" w:type="dxa"/>
            <w:vAlign w:val="bottom"/>
            <w:tcBorders>
              <w:right w:val="single" w:sz="8" w:color="007CBA"/>
            </w:tcBorders>
          </w:tcPr>
          <w:p>
            <w:pPr>
              <w:spacing w:after="0"/>
              <w:rPr>
                <w:sz w:val="16"/>
                <w:szCs w:val="16"/>
                <w:color w:val="auto"/>
              </w:rPr>
            </w:pPr>
          </w:p>
        </w:tc>
        <w:tc>
          <w:tcPr>
            <w:tcW w:w="4260" w:type="dxa"/>
            <w:vAlign w:val="bottom"/>
            <w:tcBorders>
              <w:right w:val="single" w:sz="8" w:color="007CBA"/>
            </w:tcBorders>
          </w:tcPr>
          <w:p>
            <w:pPr>
              <w:ind w:left="80"/>
              <w:spacing w:after="0"/>
              <w:rPr>
                <w:sz w:val="20"/>
                <w:szCs w:val="20"/>
                <w:color w:val="auto"/>
              </w:rPr>
            </w:pPr>
            <w:r>
              <w:rPr>
                <w:rFonts w:ascii="Arial" w:cs="Arial" w:eastAsia="Arial" w:hAnsi="Arial"/>
                <w:sz w:val="16"/>
                <w:szCs w:val="16"/>
                <w:color w:val="auto"/>
              </w:rPr>
              <w:t>appropriate, and to assist in attracting and retaining</w:t>
            </w:r>
          </w:p>
        </w:tc>
        <w:tc>
          <w:tcPr>
            <w:tcW w:w="4280" w:type="dxa"/>
            <w:vAlign w:val="bottom"/>
          </w:tcPr>
          <w:p>
            <w:pPr>
              <w:spacing w:after="0"/>
              <w:rPr>
                <w:sz w:val="16"/>
                <w:szCs w:val="16"/>
                <w:color w:val="auto"/>
              </w:rPr>
            </w:pPr>
          </w:p>
        </w:tc>
      </w:tr>
      <w:tr>
        <w:trPr>
          <w:trHeight w:val="219"/>
        </w:trPr>
        <w:tc>
          <w:tcPr>
            <w:tcW w:w="20" w:type="dxa"/>
            <w:vAlign w:val="bottom"/>
          </w:tcPr>
          <w:p>
            <w:pPr>
              <w:spacing w:after="0"/>
              <w:rPr>
                <w:sz w:val="19"/>
                <w:szCs w:val="19"/>
                <w:color w:val="auto"/>
              </w:rPr>
            </w:pPr>
          </w:p>
        </w:tc>
        <w:tc>
          <w:tcPr>
            <w:tcW w:w="2480" w:type="dxa"/>
            <w:vAlign w:val="bottom"/>
            <w:tcBorders>
              <w:right w:val="single" w:sz="8" w:color="007CBA"/>
            </w:tcBorders>
          </w:tcPr>
          <w:p>
            <w:pPr>
              <w:spacing w:after="0"/>
              <w:rPr>
                <w:sz w:val="19"/>
                <w:szCs w:val="19"/>
                <w:color w:val="auto"/>
              </w:rPr>
            </w:pPr>
          </w:p>
        </w:tc>
        <w:tc>
          <w:tcPr>
            <w:tcW w:w="4260" w:type="dxa"/>
            <w:vAlign w:val="bottom"/>
            <w:tcBorders>
              <w:right w:val="single" w:sz="8" w:color="007CBA"/>
            </w:tcBorders>
          </w:tcPr>
          <w:p>
            <w:pPr>
              <w:ind w:left="80"/>
              <w:spacing w:after="0"/>
              <w:rPr>
                <w:sz w:val="20"/>
                <w:szCs w:val="20"/>
                <w:color w:val="auto"/>
              </w:rPr>
            </w:pPr>
            <w:r>
              <w:rPr>
                <w:rFonts w:ascii="Arial" w:cs="Arial" w:eastAsia="Arial" w:hAnsi="Arial"/>
                <w:sz w:val="16"/>
                <w:szCs w:val="16"/>
                <w:color w:val="auto"/>
              </w:rPr>
              <w:t>executive officers.</w:t>
            </w:r>
          </w:p>
        </w:tc>
        <w:tc>
          <w:tcPr>
            <w:tcW w:w="4280" w:type="dxa"/>
            <w:vAlign w:val="bottom"/>
          </w:tcPr>
          <w:p>
            <w:pPr>
              <w:spacing w:after="0"/>
              <w:rPr>
                <w:sz w:val="19"/>
                <w:szCs w:val="19"/>
                <w:color w:val="auto"/>
              </w:rPr>
            </w:pPr>
          </w:p>
        </w:tc>
      </w:tr>
      <w:tr>
        <w:trPr>
          <w:trHeight w:val="43"/>
        </w:trPr>
        <w:tc>
          <w:tcPr>
            <w:tcW w:w="20" w:type="dxa"/>
            <w:vAlign w:val="bottom"/>
          </w:tcPr>
          <w:p>
            <w:pPr>
              <w:spacing w:after="0"/>
              <w:rPr>
                <w:sz w:val="3"/>
                <w:szCs w:val="3"/>
                <w:color w:val="auto"/>
              </w:rPr>
            </w:pPr>
          </w:p>
        </w:tc>
        <w:tc>
          <w:tcPr>
            <w:tcW w:w="2480" w:type="dxa"/>
            <w:vAlign w:val="bottom"/>
            <w:tcBorders>
              <w:right w:val="single" w:sz="8" w:color="007CBA"/>
            </w:tcBorders>
          </w:tcPr>
          <w:p>
            <w:pPr>
              <w:spacing w:after="0"/>
              <w:rPr>
                <w:sz w:val="3"/>
                <w:szCs w:val="3"/>
                <w:color w:val="auto"/>
              </w:rPr>
            </w:pPr>
          </w:p>
        </w:tc>
        <w:tc>
          <w:tcPr>
            <w:tcW w:w="4260" w:type="dxa"/>
            <w:vAlign w:val="bottom"/>
            <w:tcBorders>
              <w:right w:val="single" w:sz="8" w:color="007CBA"/>
            </w:tcBorders>
          </w:tcPr>
          <w:p>
            <w:pPr>
              <w:spacing w:after="0"/>
              <w:rPr>
                <w:sz w:val="3"/>
                <w:szCs w:val="3"/>
                <w:color w:val="auto"/>
              </w:rPr>
            </w:pPr>
          </w:p>
        </w:tc>
        <w:tc>
          <w:tcPr>
            <w:tcW w:w="4280" w:type="dxa"/>
            <w:vAlign w:val="bottom"/>
          </w:tcPr>
          <w:p>
            <w:pPr>
              <w:spacing w:after="0"/>
              <w:rPr>
                <w:sz w:val="3"/>
                <w:szCs w:val="3"/>
                <w:color w:val="auto"/>
              </w:rPr>
            </w:pPr>
          </w:p>
        </w:tc>
      </w:tr>
      <w:tr>
        <w:trPr>
          <w:trHeight w:val="238"/>
        </w:trPr>
        <w:tc>
          <w:tcPr>
            <w:tcW w:w="20" w:type="dxa"/>
            <w:vAlign w:val="bottom"/>
          </w:tcPr>
          <w:p>
            <w:pPr>
              <w:spacing w:after="0"/>
              <w:rPr>
                <w:sz w:val="20"/>
                <w:szCs w:val="20"/>
                <w:color w:val="auto"/>
              </w:rPr>
            </w:pPr>
          </w:p>
        </w:tc>
        <w:tc>
          <w:tcPr>
            <w:tcW w:w="248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6"/>
                <w:szCs w:val="16"/>
                <w:b w:val="1"/>
                <w:bCs w:val="1"/>
                <w:color w:val="auto"/>
              </w:rPr>
              <w:t>Change-in-Control Protection</w:t>
            </w:r>
          </w:p>
        </w:tc>
        <w:tc>
          <w:tcPr>
            <w:tcW w:w="426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6"/>
                <w:szCs w:val="16"/>
                <w:color w:val="auto"/>
              </w:rPr>
              <w:t>To provide continuity of management and bridge future</w:t>
            </w:r>
          </w:p>
        </w:tc>
        <w:tc>
          <w:tcPr>
            <w:tcW w:w="4280" w:type="dxa"/>
            <w:vAlign w:val="bottom"/>
            <w:shd w:val="clear" w:color="auto" w:fill="E5F1F8"/>
          </w:tcPr>
          <w:p>
            <w:pPr>
              <w:ind w:left="100"/>
              <w:spacing w:after="0"/>
              <w:rPr>
                <w:sz w:val="20"/>
                <w:szCs w:val="20"/>
                <w:color w:val="auto"/>
              </w:rPr>
            </w:pPr>
            <w:r>
              <w:rPr>
                <w:rFonts w:ascii="Arial" w:cs="Arial" w:eastAsia="Arial" w:hAnsi="Arial"/>
                <w:sz w:val="16"/>
                <w:szCs w:val="16"/>
                <w:color w:val="auto"/>
              </w:rPr>
              <w:t>Fixed compensation component; only paid in the event</w:t>
            </w:r>
          </w:p>
        </w:tc>
      </w:tr>
      <w:tr>
        <w:trPr>
          <w:trHeight w:val="189"/>
        </w:trPr>
        <w:tc>
          <w:tcPr>
            <w:tcW w:w="20" w:type="dxa"/>
            <w:vAlign w:val="bottom"/>
          </w:tcPr>
          <w:p>
            <w:pPr>
              <w:spacing w:after="0"/>
              <w:rPr>
                <w:sz w:val="16"/>
                <w:szCs w:val="16"/>
                <w:color w:val="auto"/>
              </w:rPr>
            </w:pPr>
          </w:p>
        </w:tc>
        <w:tc>
          <w:tcPr>
            <w:tcW w:w="2480" w:type="dxa"/>
            <w:vAlign w:val="bottom"/>
            <w:tcBorders>
              <w:right w:val="single" w:sz="8" w:color="007CBA"/>
            </w:tcBorders>
            <w:shd w:val="clear" w:color="auto" w:fill="E5F1F8"/>
          </w:tcPr>
          <w:p>
            <w:pPr>
              <w:spacing w:after="0"/>
              <w:rPr>
                <w:sz w:val="16"/>
                <w:szCs w:val="16"/>
                <w:color w:val="auto"/>
              </w:rPr>
            </w:pPr>
          </w:p>
        </w:tc>
        <w:tc>
          <w:tcPr>
            <w:tcW w:w="426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6"/>
                <w:szCs w:val="16"/>
                <w:color w:val="auto"/>
              </w:rPr>
              <w:t>employment if terminated following a change-in-control.</w:t>
            </w:r>
          </w:p>
        </w:tc>
        <w:tc>
          <w:tcPr>
            <w:tcW w:w="4280" w:type="dxa"/>
            <w:vAlign w:val="bottom"/>
            <w:shd w:val="clear" w:color="auto" w:fill="E5F1F8"/>
          </w:tcPr>
          <w:p>
            <w:pPr>
              <w:ind w:left="100"/>
              <w:spacing w:after="0"/>
              <w:rPr>
                <w:sz w:val="20"/>
                <w:szCs w:val="20"/>
                <w:color w:val="auto"/>
              </w:rPr>
            </w:pPr>
            <w:r>
              <w:rPr>
                <w:rFonts w:ascii="Arial" w:cs="Arial" w:eastAsia="Arial" w:hAnsi="Arial"/>
                <w:sz w:val="16"/>
                <w:szCs w:val="16"/>
                <w:color w:val="auto"/>
              </w:rPr>
              <w:t>the executive’s employment is terminated other than “for</w:t>
            </w:r>
          </w:p>
        </w:tc>
      </w:tr>
      <w:tr>
        <w:trPr>
          <w:trHeight w:val="189"/>
        </w:trPr>
        <w:tc>
          <w:tcPr>
            <w:tcW w:w="20" w:type="dxa"/>
            <w:vAlign w:val="bottom"/>
          </w:tcPr>
          <w:p>
            <w:pPr>
              <w:spacing w:after="0"/>
              <w:rPr>
                <w:sz w:val="16"/>
                <w:szCs w:val="16"/>
                <w:color w:val="auto"/>
              </w:rPr>
            </w:pPr>
          </w:p>
        </w:tc>
        <w:tc>
          <w:tcPr>
            <w:tcW w:w="2480" w:type="dxa"/>
            <w:vAlign w:val="bottom"/>
            <w:tcBorders>
              <w:right w:val="single" w:sz="8" w:color="007CBA"/>
            </w:tcBorders>
            <w:shd w:val="clear" w:color="auto" w:fill="E5F1F8"/>
          </w:tcPr>
          <w:p>
            <w:pPr>
              <w:spacing w:after="0"/>
              <w:rPr>
                <w:sz w:val="16"/>
                <w:szCs w:val="16"/>
                <w:color w:val="auto"/>
              </w:rPr>
            </w:pPr>
          </w:p>
        </w:tc>
        <w:tc>
          <w:tcPr>
            <w:tcW w:w="4260" w:type="dxa"/>
            <w:vAlign w:val="bottom"/>
            <w:tcBorders>
              <w:right w:val="single" w:sz="8" w:color="007CBA"/>
            </w:tcBorders>
            <w:shd w:val="clear" w:color="auto" w:fill="E5F1F8"/>
          </w:tcPr>
          <w:p>
            <w:pPr>
              <w:spacing w:after="0"/>
              <w:rPr>
                <w:sz w:val="16"/>
                <w:szCs w:val="16"/>
                <w:color w:val="auto"/>
              </w:rPr>
            </w:pPr>
          </w:p>
        </w:tc>
        <w:tc>
          <w:tcPr>
            <w:tcW w:w="4280" w:type="dxa"/>
            <w:vAlign w:val="bottom"/>
            <w:shd w:val="clear" w:color="auto" w:fill="E5F1F8"/>
          </w:tcPr>
          <w:p>
            <w:pPr>
              <w:ind w:left="100"/>
              <w:spacing w:after="0"/>
              <w:rPr>
                <w:sz w:val="20"/>
                <w:szCs w:val="20"/>
                <w:color w:val="auto"/>
              </w:rPr>
            </w:pPr>
            <w:r>
              <w:rPr>
                <w:rFonts w:ascii="Arial" w:cs="Arial" w:eastAsia="Arial" w:hAnsi="Arial"/>
                <w:sz w:val="16"/>
                <w:szCs w:val="16"/>
                <w:color w:val="auto"/>
              </w:rPr>
              <w:t>cause” or for “good reason”, in either case, in connection</w:t>
            </w:r>
          </w:p>
        </w:tc>
      </w:tr>
      <w:tr>
        <w:trPr>
          <w:trHeight w:val="241"/>
        </w:trPr>
        <w:tc>
          <w:tcPr>
            <w:tcW w:w="20" w:type="dxa"/>
            <w:vAlign w:val="bottom"/>
          </w:tcPr>
          <w:p>
            <w:pPr>
              <w:spacing w:after="0"/>
              <w:rPr>
                <w:sz w:val="20"/>
                <w:szCs w:val="20"/>
                <w:color w:val="auto"/>
              </w:rPr>
            </w:pPr>
          </w:p>
        </w:tc>
        <w:tc>
          <w:tcPr>
            <w:tcW w:w="2480" w:type="dxa"/>
            <w:vAlign w:val="bottom"/>
            <w:tcBorders>
              <w:bottom w:val="single" w:sz="8" w:color="E5F1F8"/>
              <w:right w:val="single" w:sz="8" w:color="007CBA"/>
            </w:tcBorders>
            <w:shd w:val="clear" w:color="auto" w:fill="E5F1F8"/>
          </w:tcPr>
          <w:p>
            <w:pPr>
              <w:spacing w:after="0"/>
              <w:rPr>
                <w:sz w:val="20"/>
                <w:szCs w:val="20"/>
                <w:color w:val="auto"/>
              </w:rPr>
            </w:pPr>
          </w:p>
        </w:tc>
        <w:tc>
          <w:tcPr>
            <w:tcW w:w="4260" w:type="dxa"/>
            <w:vAlign w:val="bottom"/>
            <w:tcBorders>
              <w:bottom w:val="single" w:sz="8" w:color="E5F1F8"/>
              <w:right w:val="single" w:sz="8" w:color="007CBA"/>
            </w:tcBorders>
            <w:shd w:val="clear" w:color="auto" w:fill="E5F1F8"/>
          </w:tcPr>
          <w:p>
            <w:pPr>
              <w:spacing w:after="0"/>
              <w:rPr>
                <w:sz w:val="20"/>
                <w:szCs w:val="20"/>
                <w:color w:val="auto"/>
              </w:rPr>
            </w:pPr>
          </w:p>
        </w:tc>
        <w:tc>
          <w:tcPr>
            <w:tcW w:w="4280" w:type="dxa"/>
            <w:vAlign w:val="bottom"/>
            <w:tcBorders>
              <w:bottom w:val="single" w:sz="8" w:color="E5F1F8"/>
            </w:tcBorders>
            <w:shd w:val="clear" w:color="auto" w:fill="E5F1F8"/>
          </w:tcPr>
          <w:p>
            <w:pPr>
              <w:ind w:left="100"/>
              <w:spacing w:after="0"/>
              <w:rPr>
                <w:sz w:val="20"/>
                <w:szCs w:val="20"/>
                <w:color w:val="auto"/>
              </w:rPr>
            </w:pPr>
            <w:r>
              <w:rPr>
                <w:rFonts w:ascii="Arial" w:cs="Arial" w:eastAsia="Arial" w:hAnsi="Arial"/>
                <w:sz w:val="16"/>
                <w:szCs w:val="16"/>
                <w:color w:val="auto"/>
              </w:rPr>
              <w:t>with a change in control</w:t>
            </w:r>
          </w:p>
        </w:tc>
      </w:tr>
      <w:tr>
        <w:trPr>
          <w:trHeight w:val="20"/>
        </w:trPr>
        <w:tc>
          <w:tcPr>
            <w:tcW w:w="20" w:type="dxa"/>
            <w:vAlign w:val="bottom"/>
          </w:tcPr>
          <w:p>
            <w:pPr>
              <w:spacing w:after="0" w:line="20" w:lineRule="exact"/>
              <w:rPr>
                <w:sz w:val="1"/>
                <w:szCs w:val="1"/>
                <w:color w:val="auto"/>
              </w:rPr>
            </w:pPr>
          </w:p>
        </w:tc>
        <w:tc>
          <w:tcPr>
            <w:tcW w:w="2480" w:type="dxa"/>
            <w:vAlign w:val="bottom"/>
            <w:tcBorders>
              <w:right w:val="single" w:sz="8" w:color="007CBA"/>
            </w:tcBorders>
            <w:shd w:val="clear" w:color="auto" w:fill="007CBA"/>
          </w:tcPr>
          <w:p>
            <w:pPr>
              <w:spacing w:after="0" w:line="20" w:lineRule="exact"/>
              <w:rPr>
                <w:sz w:val="1"/>
                <w:szCs w:val="1"/>
                <w:color w:val="auto"/>
              </w:rPr>
            </w:pPr>
          </w:p>
        </w:tc>
        <w:tc>
          <w:tcPr>
            <w:tcW w:w="4260" w:type="dxa"/>
            <w:vAlign w:val="bottom"/>
            <w:tcBorders>
              <w:right w:val="single" w:sz="8" w:color="007CBA"/>
            </w:tcBorders>
            <w:shd w:val="clear" w:color="auto" w:fill="007CBA"/>
          </w:tcPr>
          <w:p>
            <w:pPr>
              <w:spacing w:after="0" w:line="20" w:lineRule="exact"/>
              <w:rPr>
                <w:sz w:val="1"/>
                <w:szCs w:val="1"/>
                <w:color w:val="auto"/>
              </w:rPr>
            </w:pPr>
          </w:p>
        </w:tc>
        <w:tc>
          <w:tcPr>
            <w:tcW w:w="4280" w:type="dxa"/>
            <w:vAlign w:val="bottom"/>
            <w:shd w:val="clear" w:color="auto" w:fill="007CBA"/>
          </w:tcPr>
          <w:p>
            <w:pPr>
              <w:spacing w:after="0" w:line="20" w:lineRule="exact"/>
              <w:rPr>
                <w:sz w:val="1"/>
                <w:szCs w:val="1"/>
                <w:color w:val="auto"/>
              </w:rPr>
            </w:pPr>
          </w:p>
        </w:tc>
      </w:tr>
    </w:tbl>
    <w:p>
      <w:pPr>
        <w:spacing w:after="0" w:line="182" w:lineRule="exact"/>
        <w:rPr>
          <w:sz w:val="20"/>
          <w:szCs w:val="20"/>
          <w:color w:val="auto"/>
        </w:rPr>
      </w:pPr>
    </w:p>
    <w:p>
      <w:pPr>
        <w:sectPr>
          <w:pgSz w:w="11900" w:h="16838" w:orient="portrait"/>
          <w:cols w:equalWidth="0" w:num="1">
            <w:col w:w="11240"/>
          </w:cols>
          <w:pgMar w:left="240" w:top="455" w:right="419" w:bottom="1440" w:gutter="0" w:footer="0" w:header="0"/>
        </w:sectPr>
      </w:pPr>
    </w:p>
    <w:p>
      <w:pPr>
        <w:ind w:left="200"/>
        <w:spacing w:after="0"/>
        <w:rPr>
          <w:sz w:val="20"/>
          <w:szCs w:val="20"/>
          <w:color w:val="auto"/>
        </w:rPr>
      </w:pPr>
      <w:r>
        <w:rPr>
          <w:rFonts w:ascii="Arial" w:cs="Arial" w:eastAsia="Arial" w:hAnsi="Arial"/>
          <w:sz w:val="25"/>
          <w:szCs w:val="25"/>
          <w:b w:val="1"/>
          <w:bCs w:val="1"/>
          <w:color w:val="007CBA"/>
        </w:rPr>
        <w:t>Ongoing Corporate Governance Policies</w:t>
      </w:r>
    </w:p>
    <w:p>
      <w:pPr>
        <w:spacing w:after="0" w:line="202" w:lineRule="exact"/>
        <w:rPr>
          <w:sz w:val="20"/>
          <w:szCs w:val="20"/>
          <w:color w:val="auto"/>
        </w:rPr>
      </w:pPr>
    </w:p>
    <w:p>
      <w:pPr>
        <w:jc w:val="both"/>
        <w:ind w:left="220"/>
        <w:spacing w:after="0" w:line="261" w:lineRule="auto"/>
        <w:rPr>
          <w:sz w:val="20"/>
          <w:szCs w:val="20"/>
          <w:color w:val="auto"/>
        </w:rPr>
      </w:pPr>
      <w:r>
        <w:rPr>
          <w:rFonts w:ascii="Arial" w:cs="Arial" w:eastAsia="Arial" w:hAnsi="Arial"/>
          <w:sz w:val="16"/>
          <w:szCs w:val="16"/>
          <w:color w:val="auto"/>
        </w:rPr>
        <w:t>We endeavor to maintain good corporate governance standards relating to our executive compensation policies and practices, including the following that were in effect during 2017 that directly impacted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jc w:val="both"/>
        <w:ind w:left="275" w:right="20" w:hanging="275"/>
        <w:spacing w:after="0" w:line="269" w:lineRule="auto"/>
        <w:tabs>
          <w:tab w:leader="none" w:pos="275" w:val="left"/>
        </w:tabs>
        <w:numPr>
          <w:ilvl w:val="0"/>
          <w:numId w:val="73"/>
        </w:numPr>
        <w:rPr>
          <w:rFonts w:ascii="Arial" w:cs="Arial" w:eastAsia="Arial" w:hAnsi="Arial"/>
          <w:sz w:val="16"/>
          <w:szCs w:val="16"/>
          <w:color w:val="007CBA"/>
        </w:rPr>
      </w:pPr>
      <w:r>
        <w:rPr>
          <w:rFonts w:ascii="Arial" w:cs="Arial" w:eastAsia="Arial" w:hAnsi="Arial"/>
          <w:sz w:val="16"/>
          <w:szCs w:val="16"/>
          <w:color w:val="auto"/>
        </w:rPr>
        <w:t>The Committee is comprised solely of independent Directors who regularly schedule and meet in executive sessions without management present.</w:t>
      </w:r>
    </w:p>
    <w:p>
      <w:pPr>
        <w:spacing w:after="0" w:line="29" w:lineRule="exact"/>
        <w:rPr>
          <w:rFonts w:ascii="Arial" w:cs="Arial" w:eastAsia="Arial" w:hAnsi="Arial"/>
          <w:sz w:val="16"/>
          <w:szCs w:val="16"/>
          <w:color w:val="007CBA"/>
        </w:rPr>
      </w:pPr>
    </w:p>
    <w:p>
      <w:pPr>
        <w:ind w:left="275" w:right="40" w:hanging="275"/>
        <w:spacing w:after="0" w:line="291" w:lineRule="auto"/>
        <w:tabs>
          <w:tab w:leader="none" w:pos="275" w:val="left"/>
        </w:tabs>
        <w:numPr>
          <w:ilvl w:val="0"/>
          <w:numId w:val="73"/>
        </w:numPr>
        <w:rPr>
          <w:rFonts w:ascii="Arial" w:cs="Arial" w:eastAsia="Arial" w:hAnsi="Arial"/>
          <w:sz w:val="16"/>
          <w:szCs w:val="16"/>
          <w:color w:val="007CBA"/>
        </w:rPr>
      </w:pPr>
      <w:r>
        <w:rPr>
          <w:rFonts w:ascii="Arial" w:cs="Arial" w:eastAsia="Arial" w:hAnsi="Arial"/>
          <w:sz w:val="16"/>
          <w:szCs w:val="16"/>
          <w:color w:val="auto"/>
        </w:rPr>
        <w:t>The Committee’s independent compensation consultant is retained directly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208280</wp:posOffset>
            </wp:positionV>
            <wp:extent cx="411480" cy="2489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80" w:space="425"/>
            <w:col w:w="5335"/>
          </w:cols>
          <w:pgMar w:left="240" w:top="455" w:right="419" w:bottom="1440" w:gutter="0" w:footer="0" w:header="0"/>
          <w:type w:val="continuous"/>
        </w:sectPr>
      </w:pPr>
    </w:p>
    <w:p>
      <w:pPr>
        <w:spacing w:after="0" w:line="145" w:lineRule="exact"/>
        <w:rPr>
          <w:sz w:val="20"/>
          <w:szCs w:val="20"/>
          <w:color w:val="auto"/>
        </w:rPr>
      </w:pPr>
    </w:p>
    <w:tbl>
      <w:tblPr>
        <w:tblLayout w:type="fixed"/>
        <w:tblInd w:w="9260" w:type="dxa"/>
        <w:tblCellMar>
          <w:top w:w="0" w:type="dxa"/>
          <w:left w:w="0" w:type="dxa"/>
          <w:bottom w:w="0" w:type="dxa"/>
          <w:right w:w="0" w:type="dxa"/>
        </w:tblCellMar>
      </w:tblPr>
      <w:tr>
        <w:trPr>
          <w:trHeight w:val="178"/>
        </w:trPr>
        <w:tc>
          <w:tcPr>
            <w:tcW w:w="1680" w:type="dxa"/>
            <w:vAlign w:val="bottom"/>
          </w:tcPr>
          <w:p>
            <w:pPr>
              <w:spacing w:after="0"/>
              <w:rPr>
                <w:sz w:val="20"/>
                <w:szCs w:val="20"/>
                <w:color w:val="auto"/>
              </w:rPr>
            </w:pPr>
            <w:r>
              <w:rPr>
                <w:rFonts w:ascii="Arial" w:cs="Arial" w:eastAsia="Arial" w:hAnsi="Arial"/>
                <w:sz w:val="13"/>
                <w:szCs w:val="13"/>
                <w:color w:val="007CBA"/>
              </w:rPr>
              <w:t>2018 PROXY STATEMENT</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rPr>
              <w:t>39</w:t>
            </w:r>
          </w:p>
        </w:tc>
      </w:tr>
    </w:tbl>
    <w:p>
      <w:pPr>
        <w:sectPr>
          <w:pgSz w:w="11900" w:h="16838" w:orient="portrait"/>
          <w:cols w:equalWidth="0" w:num="1">
            <w:col w:w="11240"/>
          </w:cols>
          <w:pgMar w:left="240" w:top="455" w:right="419" w:bottom="1440" w:gutter="0" w:footer="0" w:header="0"/>
          <w:type w:val="continuous"/>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64" w:lineRule="exact"/>
        <w:rPr>
          <w:sz w:val="20"/>
          <w:szCs w:val="20"/>
          <w:color w:val="auto"/>
        </w:rPr>
      </w:pPr>
    </w:p>
    <w:p>
      <w:pPr>
        <w:ind w:left="200"/>
        <w:spacing w:after="0" w:line="288" w:lineRule="exact"/>
        <w:rPr>
          <w:sz w:val="20"/>
          <w:szCs w:val="20"/>
          <w:color w:val="auto"/>
        </w:rPr>
      </w:pPr>
      <w:r>
        <w:rPr>
          <w:rFonts w:ascii="Arial" w:cs="Arial" w:eastAsia="Arial" w:hAnsi="Arial"/>
          <w:sz w:val="14"/>
          <w:szCs w:val="14"/>
          <w:color w:val="007CBA"/>
        </w:rPr>
        <w:t xml:space="preserve">Compensation Discussion and Analysis </w:t>
      </w:r>
      <w:r>
        <w:rPr>
          <w:rFonts w:ascii="MS PGothic" w:cs="MS PGothic" w:eastAsia="MS PGothic" w:hAnsi="MS PGothic"/>
          <w:sz w:val="25"/>
          <w:szCs w:val="25"/>
          <w:color w:val="007CBA"/>
        </w:rPr>
        <w:t>◆</w:t>
      </w:r>
      <w:r>
        <w:rPr>
          <w:rFonts w:ascii="Arial" w:cs="Arial" w:eastAsia="Arial" w:hAnsi="Arial"/>
          <w:sz w:val="14"/>
          <w:szCs w:val="14"/>
          <w:color w:val="007CBA"/>
        </w:rPr>
        <w:t xml:space="preserve"> </w:t>
      </w:r>
      <w:r>
        <w:rPr>
          <w:rFonts w:ascii="Arial" w:cs="Arial" w:eastAsia="Arial" w:hAnsi="Arial"/>
          <w:sz w:val="14"/>
          <w:szCs w:val="14"/>
          <w:color w:val="000000"/>
        </w:rPr>
        <w:t>Ongoing Corporate Governance Policies</w:t>
      </w:r>
    </w:p>
    <w:p>
      <w:pPr>
        <w:spacing w:after="0" w:line="258" w:lineRule="exact"/>
        <w:rPr>
          <w:sz w:val="20"/>
          <w:szCs w:val="20"/>
          <w:color w:val="auto"/>
        </w:rPr>
      </w:pPr>
    </w:p>
    <w:p>
      <w:pPr>
        <w:jc w:val="both"/>
        <w:ind w:left="560" w:right="20" w:hanging="275"/>
        <w:spacing w:after="0" w:line="257" w:lineRule="auto"/>
        <w:tabs>
          <w:tab w:leader="none" w:pos="560" w:val="left"/>
        </w:tabs>
        <w:numPr>
          <w:ilvl w:val="0"/>
          <w:numId w:val="74"/>
        </w:numPr>
        <w:rPr>
          <w:rFonts w:ascii="Arial" w:cs="Arial" w:eastAsia="Arial" w:hAnsi="Arial"/>
          <w:sz w:val="16"/>
          <w:szCs w:val="16"/>
          <w:color w:val="007CBA"/>
        </w:rPr>
      </w:pPr>
      <w:r>
        <w:rPr>
          <w:rFonts w:ascii="Arial" w:cs="Arial" w:eastAsia="Arial" w:hAnsi="Arial"/>
          <w:sz w:val="16"/>
          <w:szCs w:val="16"/>
          <w:color w:val="auto"/>
        </w:rPr>
        <w:t>The Committee conducts an annual review and approval of our compensation strategy, including a review of our compensation-related risk profile, to ensure that our compensation-related risks are not reasonably likely to have a material adverse effect on the Company.</w:t>
      </w:r>
    </w:p>
    <w:p>
      <w:pPr>
        <w:spacing w:after="0" w:line="41" w:lineRule="exact"/>
        <w:rPr>
          <w:rFonts w:ascii="Arial" w:cs="Arial" w:eastAsia="Arial" w:hAnsi="Arial"/>
          <w:sz w:val="16"/>
          <w:szCs w:val="16"/>
          <w:color w:val="007CBA"/>
        </w:rPr>
      </w:pPr>
    </w:p>
    <w:p>
      <w:pPr>
        <w:jc w:val="both"/>
        <w:ind w:left="560" w:right="20" w:hanging="275"/>
        <w:spacing w:after="0" w:line="269" w:lineRule="auto"/>
        <w:tabs>
          <w:tab w:leader="none" w:pos="560" w:val="left"/>
        </w:tabs>
        <w:numPr>
          <w:ilvl w:val="0"/>
          <w:numId w:val="74"/>
        </w:numPr>
        <w:rPr>
          <w:rFonts w:ascii="Arial" w:cs="Arial" w:eastAsia="Arial" w:hAnsi="Arial"/>
          <w:sz w:val="16"/>
          <w:szCs w:val="16"/>
          <w:color w:val="007CBA"/>
        </w:rPr>
      </w:pPr>
      <w:r>
        <w:rPr>
          <w:rFonts w:ascii="Arial" w:cs="Arial" w:eastAsia="Arial" w:hAnsi="Arial"/>
          <w:sz w:val="16"/>
          <w:szCs w:val="16"/>
          <w:color w:val="auto"/>
        </w:rPr>
        <w:t>We pay for performance, with approximately 86% of our CEO’s total target pay opportunity being performance-based “at-risk” compensation.</w:t>
      </w:r>
    </w:p>
    <w:p>
      <w:pPr>
        <w:spacing w:after="0" w:line="29" w:lineRule="exact"/>
        <w:rPr>
          <w:rFonts w:ascii="Arial" w:cs="Arial" w:eastAsia="Arial" w:hAnsi="Arial"/>
          <w:sz w:val="16"/>
          <w:szCs w:val="16"/>
          <w:color w:val="007CBA"/>
        </w:rPr>
      </w:pPr>
    </w:p>
    <w:p>
      <w:pPr>
        <w:ind w:left="560" w:right="20" w:hanging="275"/>
        <w:spacing w:after="0" w:line="291" w:lineRule="auto"/>
        <w:tabs>
          <w:tab w:leader="none" w:pos="560" w:val="left"/>
        </w:tabs>
        <w:numPr>
          <w:ilvl w:val="0"/>
          <w:numId w:val="74"/>
        </w:numPr>
        <w:rPr>
          <w:rFonts w:ascii="Arial" w:cs="Arial" w:eastAsia="Arial" w:hAnsi="Arial"/>
          <w:sz w:val="16"/>
          <w:szCs w:val="16"/>
          <w:color w:val="007CBA"/>
        </w:rPr>
      </w:pPr>
      <w:r>
        <w:rPr>
          <w:rFonts w:ascii="Arial" w:cs="Arial" w:eastAsia="Arial" w:hAnsi="Arial"/>
          <w:sz w:val="16"/>
          <w:szCs w:val="16"/>
          <w:color w:val="auto"/>
        </w:rPr>
        <w:t>We cap PSU payments at target if three-year TSR is negative, regardless of our ranking.</w:t>
      </w:r>
    </w:p>
    <w:p>
      <w:pPr>
        <w:spacing w:after="0" w:line="13" w:lineRule="exact"/>
        <w:rPr>
          <w:rFonts w:ascii="Arial" w:cs="Arial" w:eastAsia="Arial" w:hAnsi="Arial"/>
          <w:sz w:val="16"/>
          <w:szCs w:val="16"/>
          <w:color w:val="007CBA"/>
        </w:rPr>
      </w:pPr>
    </w:p>
    <w:p>
      <w:pPr>
        <w:ind w:left="560" w:hanging="275"/>
        <w:spacing w:after="0"/>
        <w:tabs>
          <w:tab w:leader="none" w:pos="560" w:val="left"/>
        </w:tabs>
        <w:numPr>
          <w:ilvl w:val="0"/>
          <w:numId w:val="74"/>
        </w:numPr>
        <w:rPr>
          <w:rFonts w:ascii="Arial" w:cs="Arial" w:eastAsia="Arial" w:hAnsi="Arial"/>
          <w:sz w:val="16"/>
          <w:szCs w:val="16"/>
          <w:color w:val="007CBA"/>
        </w:rPr>
      </w:pPr>
      <w:r>
        <w:rPr>
          <w:rFonts w:ascii="Arial" w:cs="Arial" w:eastAsia="Arial" w:hAnsi="Arial"/>
          <w:sz w:val="16"/>
          <w:szCs w:val="16"/>
          <w:color w:val="auto"/>
        </w:rPr>
        <w:t>We limit perquisites and other benefits.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007CBA"/>
        </w:rPr>
        <w:t>Compensation Decision Process</w:t>
      </w:r>
    </w:p>
    <w:p>
      <w:pPr>
        <w:spacing w:after="0" w:line="122"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Role of Management and the Committee</w:t>
      </w:r>
    </w:p>
    <w:p>
      <w:pPr>
        <w:spacing w:after="0" w:line="26" w:lineRule="exact"/>
        <w:rPr>
          <w:sz w:val="20"/>
          <w:szCs w:val="20"/>
          <w:color w:val="auto"/>
        </w:rPr>
      </w:pPr>
    </w:p>
    <w:p>
      <w:pPr>
        <w:jc w:val="both"/>
        <w:ind w:left="220"/>
        <w:spacing w:after="0" w:line="248" w:lineRule="auto"/>
        <w:rPr>
          <w:sz w:val="20"/>
          <w:szCs w:val="20"/>
          <w:color w:val="auto"/>
        </w:rPr>
      </w:pPr>
      <w:r>
        <w:rPr>
          <w:rFonts w:ascii="Arial" w:cs="Arial" w:eastAsia="Arial" w:hAnsi="Arial"/>
          <w:sz w:val="16"/>
          <w:szCs w:val="16"/>
          <w:color w:val="auto"/>
        </w:rPr>
        <w:t xml:space="preserve">The Committee is responsible for carrying out the philosophy and objectives of the Board of Directors related to executive compensation in addition to its responsibilities of overseeing the development and succession of executive management of Martin Marietta. The Committee has the authority to determine compensation and benefits for Martin Marietta’s executive officers. The Committee members are each non-employee, independent Board members pursuant to the New York Stock Exchange rules, and the Committee operates pursuant to a written charter, a copy of which can be viewed on Martin Marietta’s website at </w:t>
      </w:r>
      <w:r>
        <w:rPr>
          <w:rFonts w:ascii="Arial" w:cs="Arial" w:eastAsia="Arial" w:hAnsi="Arial"/>
          <w:sz w:val="16"/>
          <w:szCs w:val="16"/>
          <w:i w:val="1"/>
          <w:iCs w:val="1"/>
          <w:color w:val="auto"/>
        </w:rPr>
        <w:t>www.martinmarietta.com.</w:t>
      </w:r>
    </w:p>
    <w:p>
      <w:pPr>
        <w:spacing w:after="0" w:line="145" w:lineRule="exact"/>
        <w:rPr>
          <w:sz w:val="20"/>
          <w:szCs w:val="20"/>
          <w:color w:val="auto"/>
        </w:rPr>
      </w:pPr>
    </w:p>
    <w:p>
      <w:pPr>
        <w:jc w:val="both"/>
        <w:ind w:left="220"/>
        <w:spacing w:after="0" w:line="250" w:lineRule="auto"/>
        <w:rPr>
          <w:sz w:val="20"/>
          <w:szCs w:val="20"/>
          <w:color w:val="auto"/>
        </w:rPr>
      </w:pPr>
      <w:r>
        <w:rPr>
          <w:rFonts w:ascii="Arial" w:cs="Arial" w:eastAsia="Arial" w:hAnsi="Arial"/>
          <w:sz w:val="16"/>
          <w:szCs w:val="16"/>
          <w:color w:val="auto"/>
        </w:rPr>
        <w:t>The performance of the CEO and each other executive officer is reviewed regularly by the Committee. Based on this review, the Committee sets compensation for all executive officers. Compensation decisions with respect to the executive officers other than the CEO are based in part on recommendations by the CEO, with input from the Senior Vice President– Human Resources, with respect to salary adjustments and annual cash and equity awards. The Committee can accept, reject or modify any recommended adjustments or awards to executive officers. For the CEO, the Committee sets the levels of annual adjustments and awards based on the criteria it deems to be appropriate under the circumstances with input from the independent compensation consultant. There are no employment agreements between Martin Marietta and any executive officer of Martin Marietta, including the CEO.</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Role of the Independent Compensation Consultant</w:t>
      </w:r>
    </w:p>
    <w:p>
      <w:pPr>
        <w:spacing w:after="0" w:line="26"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The Committee retained an independent compensation consultant in accordance with the Committee’s charter. The consultant reports directly to the Committee. The Committee retains sole authority to hire or terminate the consultant, approve its compensation, determine the nature and scope of services, and evaluate performance. A representative of the compensation consultant attends Committee meetings, either in person or by telephone, as requested, and communicates with the Committee Chair between meetings. The Committee makes all final decisions.</w:t>
      </w:r>
    </w:p>
    <w:p>
      <w:pPr>
        <w:spacing w:after="0" w:line="299" w:lineRule="exact"/>
        <w:rPr>
          <w:sz w:val="20"/>
          <w:szCs w:val="20"/>
          <w:color w:val="auto"/>
        </w:rPr>
      </w:pPr>
    </w:p>
    <w:p>
      <w:pPr>
        <w:ind w:left="640" w:hanging="436"/>
        <w:spacing w:after="0"/>
        <w:tabs>
          <w:tab w:leader="none" w:pos="640" w:val="left"/>
        </w:tabs>
        <w:numPr>
          <w:ilvl w:val="0"/>
          <w:numId w:val="75"/>
        </w:numPr>
        <w:rPr>
          <w:rFonts w:ascii="Arial" w:cs="Arial" w:eastAsia="Arial" w:hAnsi="Arial"/>
          <w:sz w:val="13"/>
          <w:szCs w:val="13"/>
          <w:b w:val="1"/>
          <w:bCs w:val="1"/>
          <w:color w:val="auto"/>
        </w:rPr>
      </w:pPr>
      <w:r>
        <w:rPr>
          <w:rFonts w:ascii="Arial" w:cs="Arial" w:eastAsia="Arial" w:hAnsi="Arial"/>
          <w:sz w:val="13"/>
          <w:szCs w:val="13"/>
          <w:color w:val="007CBA"/>
        </w:rPr>
        <w:t>2018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compensation consultant’s specific compensation consultation roles include, but are not limited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-1129030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360" w:right="20" w:hanging="275"/>
        <w:spacing w:after="0" w:line="291" w:lineRule="auto"/>
        <w:tabs>
          <w:tab w:leader="none" w:pos="360" w:val="left"/>
        </w:tabs>
        <w:numPr>
          <w:ilvl w:val="0"/>
          <w:numId w:val="76"/>
        </w:numPr>
        <w:rPr>
          <w:rFonts w:ascii="Arial" w:cs="Arial" w:eastAsia="Arial" w:hAnsi="Arial"/>
          <w:sz w:val="16"/>
          <w:szCs w:val="16"/>
          <w:color w:val="007CBA"/>
        </w:rPr>
      </w:pPr>
      <w:r>
        <w:rPr>
          <w:rFonts w:ascii="Arial" w:cs="Arial" w:eastAsia="Arial" w:hAnsi="Arial"/>
          <w:sz w:val="16"/>
          <w:szCs w:val="16"/>
          <w:color w:val="auto"/>
        </w:rPr>
        <w:t>Advise the Committee on executive compensation trends and regulatory developments.</w:t>
      </w:r>
    </w:p>
    <w:p>
      <w:pPr>
        <w:spacing w:after="0" w:line="13" w:lineRule="exact"/>
        <w:rPr>
          <w:rFonts w:ascii="Arial" w:cs="Arial" w:eastAsia="Arial" w:hAnsi="Arial"/>
          <w:sz w:val="16"/>
          <w:szCs w:val="16"/>
          <w:color w:val="007CBA"/>
        </w:rPr>
      </w:pPr>
    </w:p>
    <w:p>
      <w:pPr>
        <w:ind w:left="360" w:right="20" w:hanging="275"/>
        <w:spacing w:after="0" w:line="291" w:lineRule="auto"/>
        <w:tabs>
          <w:tab w:leader="none" w:pos="360" w:val="left"/>
        </w:tabs>
        <w:numPr>
          <w:ilvl w:val="0"/>
          <w:numId w:val="76"/>
        </w:numPr>
        <w:rPr>
          <w:rFonts w:ascii="Arial" w:cs="Arial" w:eastAsia="Arial" w:hAnsi="Arial"/>
          <w:sz w:val="16"/>
          <w:szCs w:val="16"/>
          <w:color w:val="007CBA"/>
        </w:rPr>
      </w:pPr>
      <w:r>
        <w:rPr>
          <w:rFonts w:ascii="Arial" w:cs="Arial" w:eastAsia="Arial" w:hAnsi="Arial"/>
          <w:sz w:val="16"/>
          <w:szCs w:val="16"/>
          <w:color w:val="auto"/>
        </w:rPr>
        <w:t>Provide a total compensation assessment for executives compared to peer companies and recommendations for executive pay.</w:t>
      </w:r>
    </w:p>
    <w:p>
      <w:pPr>
        <w:spacing w:after="0" w:line="13" w:lineRule="exact"/>
        <w:rPr>
          <w:rFonts w:ascii="Arial" w:cs="Arial" w:eastAsia="Arial" w:hAnsi="Arial"/>
          <w:sz w:val="16"/>
          <w:szCs w:val="16"/>
          <w:color w:val="007CBA"/>
        </w:rPr>
      </w:pPr>
    </w:p>
    <w:p>
      <w:pPr>
        <w:jc w:val="both"/>
        <w:ind w:left="360" w:hanging="275"/>
        <w:spacing w:after="0" w:line="269" w:lineRule="auto"/>
        <w:tabs>
          <w:tab w:leader="none" w:pos="360" w:val="left"/>
        </w:tabs>
        <w:numPr>
          <w:ilvl w:val="0"/>
          <w:numId w:val="76"/>
        </w:numPr>
        <w:rPr>
          <w:rFonts w:ascii="Arial" w:cs="Arial" w:eastAsia="Arial" w:hAnsi="Arial"/>
          <w:sz w:val="16"/>
          <w:szCs w:val="16"/>
          <w:color w:val="007CBA"/>
        </w:rPr>
      </w:pPr>
      <w:r>
        <w:rPr>
          <w:rFonts w:ascii="Arial" w:cs="Arial" w:eastAsia="Arial" w:hAnsi="Arial"/>
          <w:sz w:val="16"/>
          <w:szCs w:val="16"/>
          <w:color w:val="auto"/>
        </w:rPr>
        <w:t>Summarize and report to the Committee on trends, regulatory developments and other factors affecting executive officer compensation, as well as any other areas of concern or risk.</w:t>
      </w:r>
    </w:p>
    <w:p>
      <w:pPr>
        <w:spacing w:after="0" w:line="29" w:lineRule="exact"/>
        <w:rPr>
          <w:rFonts w:ascii="Arial" w:cs="Arial" w:eastAsia="Arial" w:hAnsi="Arial"/>
          <w:sz w:val="16"/>
          <w:szCs w:val="16"/>
          <w:color w:val="007CBA"/>
        </w:rPr>
      </w:pPr>
    </w:p>
    <w:p>
      <w:pPr>
        <w:ind w:left="360" w:right="20" w:hanging="275"/>
        <w:spacing w:after="0" w:line="291" w:lineRule="auto"/>
        <w:tabs>
          <w:tab w:leader="none" w:pos="360" w:val="left"/>
        </w:tabs>
        <w:numPr>
          <w:ilvl w:val="0"/>
          <w:numId w:val="76"/>
        </w:numPr>
        <w:rPr>
          <w:rFonts w:ascii="Arial" w:cs="Arial" w:eastAsia="Arial" w:hAnsi="Arial"/>
          <w:sz w:val="16"/>
          <w:szCs w:val="16"/>
          <w:color w:val="007CBA"/>
        </w:rPr>
      </w:pPr>
      <w:r>
        <w:rPr>
          <w:rFonts w:ascii="Arial" w:cs="Arial" w:eastAsia="Arial" w:hAnsi="Arial"/>
          <w:sz w:val="16"/>
          <w:szCs w:val="16"/>
          <w:color w:val="auto"/>
        </w:rPr>
        <w:t>Serve as a resource to the Committee Chair for meeting agendas and supporting materials in advance of each meeting.</w:t>
      </w:r>
    </w:p>
    <w:p>
      <w:pPr>
        <w:spacing w:after="0" w:line="13" w:lineRule="exact"/>
        <w:rPr>
          <w:rFonts w:ascii="Arial" w:cs="Arial" w:eastAsia="Arial" w:hAnsi="Arial"/>
          <w:sz w:val="16"/>
          <w:szCs w:val="16"/>
          <w:color w:val="007CBA"/>
        </w:rPr>
      </w:pPr>
    </w:p>
    <w:p>
      <w:pPr>
        <w:ind w:left="360" w:hanging="275"/>
        <w:spacing w:after="0"/>
        <w:tabs>
          <w:tab w:leader="none" w:pos="360" w:val="left"/>
        </w:tabs>
        <w:numPr>
          <w:ilvl w:val="0"/>
          <w:numId w:val="76"/>
        </w:numPr>
        <w:rPr>
          <w:rFonts w:ascii="Arial" w:cs="Arial" w:eastAsia="Arial" w:hAnsi="Arial"/>
          <w:sz w:val="16"/>
          <w:szCs w:val="16"/>
          <w:color w:val="007CBA"/>
        </w:rPr>
      </w:pPr>
      <w:r>
        <w:rPr>
          <w:rFonts w:ascii="Arial" w:cs="Arial" w:eastAsia="Arial" w:hAnsi="Arial"/>
          <w:sz w:val="16"/>
          <w:szCs w:val="16"/>
          <w:color w:val="auto"/>
        </w:rPr>
        <w:t>Review and comment on proxy disclosure items, including this CD&amp;A.</w:t>
      </w:r>
    </w:p>
    <w:p>
      <w:pPr>
        <w:spacing w:after="0" w:line="86" w:lineRule="exact"/>
        <w:rPr>
          <w:rFonts w:ascii="Arial" w:cs="Arial" w:eastAsia="Arial" w:hAnsi="Arial"/>
          <w:sz w:val="16"/>
          <w:szCs w:val="16"/>
          <w:color w:val="007CBA"/>
        </w:rPr>
      </w:pPr>
    </w:p>
    <w:p>
      <w:pPr>
        <w:ind w:left="360" w:hanging="275"/>
        <w:spacing w:after="0"/>
        <w:tabs>
          <w:tab w:leader="none" w:pos="360" w:val="left"/>
        </w:tabs>
        <w:numPr>
          <w:ilvl w:val="0"/>
          <w:numId w:val="76"/>
        </w:numPr>
        <w:rPr>
          <w:rFonts w:ascii="Arial" w:cs="Arial" w:eastAsia="Arial" w:hAnsi="Arial"/>
          <w:sz w:val="16"/>
          <w:szCs w:val="16"/>
          <w:color w:val="007CBA"/>
        </w:rPr>
      </w:pPr>
      <w:r>
        <w:rPr>
          <w:rFonts w:ascii="Arial" w:cs="Arial" w:eastAsia="Arial" w:hAnsi="Arial"/>
          <w:sz w:val="16"/>
          <w:szCs w:val="16"/>
          <w:color w:val="auto"/>
        </w:rPr>
        <w:t>Advise the Committee on management’s pay recommendations.</w:t>
      </w:r>
    </w:p>
    <w:p>
      <w:pPr>
        <w:spacing w:after="0" w:line="194"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Based on these activities, the compensation consultant makes recommendations regarding, and proposes adjustments to, our executive officer compensation program as it deems appropriate. While the consultant works closely with the appropriate members of our executive management team in performing these activities, the consultant reports directly to and is retained by the Committee on all executive compensation matters, and speaks to the Committee and the Chair of the Committee on a regular basis without management present. The compensation consultant periodically attends Committee meetings.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Mercer was paid $150,758 for its compensation advisory services in 2017. During 2017, Mercer and its Marsh &amp; McLennan affiliates were also retained by management to provide services unrelated to executive compensation, including property/casualty insurance brokerage services and administration of a risk management information system. The aggregate fees paid for those other services for 2017 were $312,943. The Committee and the Board did not review or approve the other services provided to us by Mercer and its Marsh &amp; McLennan affiliates as those services are approved by management in the normal course of business.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We have been advised by Mercer that the reporting relationship and compensation of the individual Mercer consultants who perform executive compensation consulting services for our Committee is separate from, and is not determined by reference to, Mercer’s or Marsh &amp; McLennan’s other lines of business or their other work for us. The Committee considered these separate reporting relationships and compensation structures, the provision of other services to the Company by Mercer and Marsh &amp; McLennan, the absence of any business or personal relationship between our officers and Directors and the specific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760095</wp:posOffset>
            </wp:positionV>
            <wp:extent cx="411480" cy="2489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ectPr>
          <w:pgSz w:w="11900" w:h="16838" w:orient="portrait"/>
          <w:cols w:equalWidth="0" w:num="2">
            <w:col w:w="5500" w:space="320"/>
            <w:col w:w="5400"/>
          </w:cols>
          <w:pgMar w:left="240" w:top="455" w:right="4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64" w:lineRule="exact"/>
        <w:rPr>
          <w:sz w:val="20"/>
          <w:szCs w:val="20"/>
          <w:color w:val="auto"/>
        </w:rPr>
      </w:pPr>
    </w:p>
    <w:p>
      <w:pPr>
        <w:jc w:val="right"/>
        <w:spacing w:after="0" w:line="288" w:lineRule="exact"/>
        <w:rPr>
          <w:sz w:val="20"/>
          <w:szCs w:val="20"/>
          <w:color w:val="auto"/>
        </w:rPr>
      </w:pPr>
      <w:r>
        <w:rPr>
          <w:rFonts w:ascii="Arial" w:cs="Arial" w:eastAsia="Arial" w:hAnsi="Arial"/>
          <w:sz w:val="14"/>
          <w:szCs w:val="14"/>
          <w:color w:val="auto"/>
        </w:rPr>
        <w:t xml:space="preserve">Compensation Decision Process </w:t>
      </w:r>
      <w:r>
        <w:rPr>
          <w:rFonts w:ascii="MS PGothic" w:cs="MS PGothic" w:eastAsia="MS PGothic" w:hAnsi="MS PGothic"/>
          <w:sz w:val="25"/>
          <w:szCs w:val="25"/>
          <w:color w:val="007CBA"/>
        </w:rPr>
        <w:t>◆</w:t>
      </w:r>
      <w:r>
        <w:rPr>
          <w:rFonts w:ascii="Arial" w:cs="Arial" w:eastAsia="Arial" w:hAnsi="Arial"/>
          <w:sz w:val="14"/>
          <w:szCs w:val="14"/>
          <w:color w:val="auto"/>
        </w:rPr>
        <w:t xml:space="preserve"> </w:t>
      </w:r>
      <w:r>
        <w:rPr>
          <w:rFonts w:ascii="Arial" w:cs="Arial" w:eastAsia="Arial" w:hAnsi="Arial"/>
          <w:sz w:val="14"/>
          <w:szCs w:val="14"/>
          <w:color w:val="007CBA"/>
        </w:rPr>
        <w:t>Compensation Discussion and Analysis</w:t>
      </w:r>
    </w:p>
    <w:p>
      <w:pPr>
        <w:sectPr>
          <w:pgSz w:w="11900" w:h="16838" w:orient="portrait"/>
          <w:cols w:equalWidth="0" w:num="1">
            <w:col w:w="11220"/>
          </w:cols>
          <w:pgMar w:left="240" w:top="455" w:right="439" w:bottom="1440" w:gutter="0" w:footer="0" w:header="0"/>
        </w:sectPr>
      </w:pPr>
    </w:p>
    <w:p>
      <w:pPr>
        <w:spacing w:after="0" w:line="258" w:lineRule="exact"/>
        <w:rPr>
          <w:sz w:val="20"/>
          <w:szCs w:val="20"/>
          <w:color w:val="auto"/>
        </w:rPr>
      </w:pPr>
    </w:p>
    <w:p>
      <w:pPr>
        <w:jc w:val="both"/>
        <w:ind w:left="220"/>
        <w:spacing w:after="0" w:line="252" w:lineRule="auto"/>
        <w:rPr>
          <w:sz w:val="20"/>
          <w:szCs w:val="20"/>
          <w:color w:val="auto"/>
        </w:rPr>
      </w:pPr>
      <w:r>
        <w:rPr>
          <w:rFonts w:ascii="Arial" w:cs="Arial" w:eastAsia="Arial" w:hAnsi="Arial"/>
          <w:sz w:val="16"/>
          <w:szCs w:val="16"/>
          <w:color w:val="auto"/>
        </w:rPr>
        <w:t>Mercer consultants advising the Company (other than the consulting relationship with the Committee), Mercer’s Global Business Standards intended to address potential conflict of interests with respect to their executive compensation consulting services, and the other factors required to be considered by applicable SEC and stock exchange rules, in approving the Committee’s engagement of Mercer for fiscal 2017. Based on this review, the Committee did not identify that Mercer had any conflicts of interest that would prevent Mercer from independently advising the Committee.</w:t>
      </w:r>
    </w:p>
    <w:p>
      <w:pPr>
        <w:spacing w:after="0" w:line="152" w:lineRule="exact"/>
        <w:rPr>
          <w:sz w:val="20"/>
          <w:szCs w:val="20"/>
          <w:color w:val="auto"/>
        </w:rPr>
      </w:pPr>
    </w:p>
    <w:p>
      <w:pPr>
        <w:jc w:val="both"/>
        <w:ind w:left="220" w:right="20"/>
        <w:spacing w:after="0" w:line="259" w:lineRule="auto"/>
        <w:rPr>
          <w:sz w:val="20"/>
          <w:szCs w:val="20"/>
          <w:color w:val="auto"/>
        </w:rPr>
      </w:pPr>
      <w:r>
        <w:rPr>
          <w:rFonts w:ascii="Arial" w:cs="Arial" w:eastAsia="Arial" w:hAnsi="Arial"/>
          <w:sz w:val="16"/>
          <w:szCs w:val="16"/>
          <w:color w:val="auto"/>
        </w:rPr>
        <w:t>The Committee has considered and assessed all relevant factors, including but not limited to those set forth in Rule 10C-1(b)(4)(i) through</w:t>
      </w:r>
    </w:p>
    <w:p>
      <w:pPr>
        <w:spacing w:after="0" w:line="1" w:lineRule="exact"/>
        <w:rPr>
          <w:sz w:val="20"/>
          <w:szCs w:val="20"/>
          <w:color w:val="auto"/>
        </w:rPr>
      </w:pPr>
    </w:p>
    <w:p>
      <w:pPr>
        <w:jc w:val="both"/>
        <w:ind w:left="220" w:hanging="9"/>
        <w:spacing w:after="0" w:line="251" w:lineRule="auto"/>
        <w:tabs>
          <w:tab w:leader="none" w:pos="498" w:val="left"/>
        </w:tabs>
        <w:numPr>
          <w:ilvl w:val="0"/>
          <w:numId w:val="77"/>
        </w:numPr>
        <w:rPr>
          <w:rFonts w:ascii="Arial" w:cs="Arial" w:eastAsia="Arial" w:hAnsi="Arial"/>
          <w:sz w:val="16"/>
          <w:szCs w:val="16"/>
          <w:color w:val="auto"/>
        </w:rPr>
      </w:pPr>
      <w:r>
        <w:rPr>
          <w:rFonts w:ascii="Arial" w:cs="Arial" w:eastAsia="Arial" w:hAnsi="Arial"/>
          <w:sz w:val="16"/>
          <w:szCs w:val="16"/>
          <w:color w:val="auto"/>
        </w:rPr>
        <w:t>under the Securities Exchange Act of 1934, that could give rise to a potential conflict of interest with respect to the individual independent compensation consultants that provided services in 2017. Based on this review, there are no conflicts of interest raised by the work performed by Mercer.</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Role of Peer Companies and Competitive Market Data</w:t>
      </w:r>
    </w:p>
    <w:p>
      <w:pPr>
        <w:spacing w:after="0" w:line="26" w:lineRule="exact"/>
        <w:rPr>
          <w:sz w:val="20"/>
          <w:szCs w:val="20"/>
          <w:color w:val="auto"/>
        </w:rPr>
      </w:pPr>
    </w:p>
    <w:p>
      <w:pPr>
        <w:jc w:val="both"/>
        <w:ind w:left="220" w:right="20"/>
        <w:spacing w:after="0" w:line="253" w:lineRule="auto"/>
        <w:rPr>
          <w:sz w:val="20"/>
          <w:szCs w:val="20"/>
          <w:color w:val="auto"/>
        </w:rPr>
      </w:pPr>
      <w:r>
        <w:rPr>
          <w:rFonts w:ascii="Arial" w:cs="Arial" w:eastAsia="Arial" w:hAnsi="Arial"/>
          <w:sz w:val="16"/>
          <w:szCs w:val="16"/>
          <w:color w:val="auto"/>
        </w:rPr>
        <w:t xml:space="preserve">The Committee considered peer groups for two elements of the executive compensation program in 2017: the </w:t>
      </w:r>
      <w:r>
        <w:rPr>
          <w:rFonts w:ascii="Arial" w:cs="Arial" w:eastAsia="Arial" w:hAnsi="Arial"/>
          <w:sz w:val="16"/>
          <w:szCs w:val="16"/>
          <w:i w:val="1"/>
          <w:iCs w:val="1"/>
          <w:color w:val="auto"/>
        </w:rPr>
        <w:t>Compensation Peer Group</w:t>
      </w:r>
      <w:r>
        <w:rPr>
          <w:rFonts w:ascii="Arial" w:cs="Arial" w:eastAsia="Arial" w:hAnsi="Arial"/>
          <w:sz w:val="16"/>
          <w:szCs w:val="16"/>
          <w:color w:val="auto"/>
        </w:rPr>
        <w:t xml:space="preserve">, consisting of 17 companies that the Committee believes compete with us for talent, and the </w:t>
      </w:r>
      <w:r>
        <w:rPr>
          <w:rFonts w:ascii="Arial" w:cs="Arial" w:eastAsia="Arial" w:hAnsi="Arial"/>
          <w:sz w:val="16"/>
          <w:szCs w:val="16"/>
          <w:i w:val="1"/>
          <w:iCs w:val="1"/>
          <w:color w:val="auto"/>
        </w:rPr>
        <w:t>TSR Peer Group</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consisting of a group of 25 companies that the Committee believes compete with us for investors and is used to assess the achievement of TSR measured for the PSU awards.</w:t>
      </w:r>
    </w:p>
    <w:p>
      <w:pPr>
        <w:spacing w:after="0" w:line="13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This section only describes the Compensation Peer Group. The TSR peer group is discussed below in the descriptions of the other elements of our compensation program.</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Annually, the Committee studies competitive total compensation market data provided by its independent compensation consultant. To assess competitive pay levels, the Committee reviews and approves the composition of our Compensation Peer Group. The following peer group criteria are considered:</w:t>
      </w:r>
    </w:p>
    <w:p>
      <w:pPr>
        <w:spacing w:after="0" w:line="41" w:lineRule="exact"/>
        <w:rPr>
          <w:sz w:val="20"/>
          <w:szCs w:val="20"/>
          <w:color w:val="auto"/>
        </w:rPr>
      </w:pPr>
    </w:p>
    <w:p>
      <w:pPr>
        <w:ind w:left="360" w:right="20" w:hanging="275"/>
        <w:spacing w:after="0" w:line="291" w:lineRule="auto"/>
        <w:tabs>
          <w:tab w:leader="none" w:pos="360" w:val="left"/>
        </w:tabs>
        <w:numPr>
          <w:ilvl w:val="0"/>
          <w:numId w:val="78"/>
        </w:numPr>
        <w:rPr>
          <w:rFonts w:ascii="Arial" w:cs="Arial" w:eastAsia="Arial" w:hAnsi="Arial"/>
          <w:sz w:val="16"/>
          <w:szCs w:val="16"/>
          <w:color w:val="007CBA"/>
        </w:rPr>
      </w:pPr>
      <w:r>
        <w:rPr>
          <w:rFonts w:ascii="Arial" w:cs="Arial" w:eastAsia="Arial" w:hAnsi="Arial"/>
          <w:sz w:val="16"/>
          <w:szCs w:val="16"/>
          <w:color w:val="auto"/>
        </w:rPr>
        <w:t>Company size (approximately 0.4 times to 2.5 times Martin Marietta’s annual revenues);</w:t>
      </w:r>
    </w:p>
    <w:p>
      <w:pPr>
        <w:spacing w:after="0" w:line="13" w:lineRule="exact"/>
        <w:rPr>
          <w:rFonts w:ascii="Arial" w:cs="Arial" w:eastAsia="Arial" w:hAnsi="Arial"/>
          <w:sz w:val="16"/>
          <w:szCs w:val="16"/>
          <w:color w:val="007CBA"/>
        </w:rPr>
      </w:pPr>
    </w:p>
    <w:p>
      <w:pPr>
        <w:ind w:left="360" w:hanging="275"/>
        <w:spacing w:after="0"/>
        <w:tabs>
          <w:tab w:leader="none" w:pos="360" w:val="left"/>
        </w:tabs>
        <w:numPr>
          <w:ilvl w:val="0"/>
          <w:numId w:val="78"/>
        </w:numPr>
        <w:rPr>
          <w:rFonts w:ascii="Arial" w:cs="Arial" w:eastAsia="Arial" w:hAnsi="Arial"/>
          <w:sz w:val="16"/>
          <w:szCs w:val="16"/>
          <w:color w:val="007CBA"/>
        </w:rPr>
      </w:pPr>
      <w:r>
        <w:rPr>
          <w:rFonts w:ascii="Arial" w:cs="Arial" w:eastAsia="Arial" w:hAnsi="Arial"/>
          <w:sz w:val="16"/>
          <w:szCs w:val="16"/>
          <w:color w:val="auto"/>
        </w:rPr>
        <w:t>Companies in similar industries based on GICS code classifications;</w:t>
      </w:r>
    </w:p>
    <w:p>
      <w:pPr>
        <w:spacing w:after="0" w:line="86" w:lineRule="exact"/>
        <w:rPr>
          <w:rFonts w:ascii="Arial" w:cs="Arial" w:eastAsia="Arial" w:hAnsi="Arial"/>
          <w:sz w:val="16"/>
          <w:szCs w:val="16"/>
          <w:color w:val="007CBA"/>
        </w:rPr>
      </w:pPr>
    </w:p>
    <w:p>
      <w:pPr>
        <w:ind w:left="360" w:hanging="275"/>
        <w:spacing w:after="0"/>
        <w:tabs>
          <w:tab w:leader="none" w:pos="360" w:val="left"/>
        </w:tabs>
        <w:numPr>
          <w:ilvl w:val="0"/>
          <w:numId w:val="78"/>
        </w:numPr>
        <w:rPr>
          <w:rFonts w:ascii="Arial" w:cs="Arial" w:eastAsia="Arial" w:hAnsi="Arial"/>
          <w:sz w:val="16"/>
          <w:szCs w:val="16"/>
          <w:color w:val="007CBA"/>
        </w:rPr>
      </w:pPr>
      <w:r>
        <w:rPr>
          <w:rFonts w:ascii="Arial" w:cs="Arial" w:eastAsia="Arial" w:hAnsi="Arial"/>
          <w:sz w:val="16"/>
          <w:szCs w:val="16"/>
          <w:color w:val="auto"/>
        </w:rPr>
        <w:t>Direct competitors for business and management talent;</w:t>
      </w:r>
    </w:p>
    <w:p>
      <w:pPr>
        <w:spacing w:after="0" w:line="86" w:lineRule="exact"/>
        <w:rPr>
          <w:rFonts w:ascii="Arial" w:cs="Arial" w:eastAsia="Arial" w:hAnsi="Arial"/>
          <w:sz w:val="16"/>
          <w:szCs w:val="16"/>
          <w:color w:val="007CBA"/>
        </w:rPr>
      </w:pPr>
    </w:p>
    <w:p>
      <w:pPr>
        <w:ind w:left="360" w:hanging="275"/>
        <w:spacing w:after="0" w:line="291" w:lineRule="auto"/>
        <w:tabs>
          <w:tab w:leader="none" w:pos="360" w:val="left"/>
        </w:tabs>
        <w:numPr>
          <w:ilvl w:val="0"/>
          <w:numId w:val="78"/>
        </w:numPr>
        <w:rPr>
          <w:rFonts w:ascii="Arial" w:cs="Arial" w:eastAsia="Arial" w:hAnsi="Arial"/>
          <w:sz w:val="16"/>
          <w:szCs w:val="16"/>
          <w:color w:val="007CBA"/>
        </w:rPr>
      </w:pPr>
      <w:r>
        <w:rPr>
          <w:rFonts w:ascii="Arial" w:cs="Arial" w:eastAsia="Arial" w:hAnsi="Arial"/>
          <w:sz w:val="16"/>
          <w:szCs w:val="16"/>
          <w:color w:val="auto"/>
        </w:rPr>
        <w:t>Companies covered by the investment analysts that track Martin Marietta; and</w:t>
      </w:r>
    </w:p>
    <w:p>
      <w:pPr>
        <w:spacing w:after="0" w:line="13" w:lineRule="exact"/>
        <w:rPr>
          <w:rFonts w:ascii="Arial" w:cs="Arial" w:eastAsia="Arial" w:hAnsi="Arial"/>
          <w:sz w:val="16"/>
          <w:szCs w:val="16"/>
          <w:color w:val="007CBA"/>
        </w:rPr>
      </w:pPr>
    </w:p>
    <w:p>
      <w:pPr>
        <w:ind w:left="360" w:right="20" w:hanging="275"/>
        <w:spacing w:after="0" w:line="291" w:lineRule="auto"/>
        <w:tabs>
          <w:tab w:leader="none" w:pos="360" w:val="left"/>
        </w:tabs>
        <w:numPr>
          <w:ilvl w:val="0"/>
          <w:numId w:val="78"/>
        </w:numPr>
        <w:rPr>
          <w:rFonts w:ascii="Arial" w:cs="Arial" w:eastAsia="Arial" w:hAnsi="Arial"/>
          <w:sz w:val="16"/>
          <w:szCs w:val="16"/>
          <w:color w:val="007CBA"/>
        </w:rPr>
      </w:pPr>
      <w:r>
        <w:rPr>
          <w:rFonts w:ascii="Arial" w:cs="Arial" w:eastAsia="Arial" w:hAnsi="Arial"/>
          <w:sz w:val="16"/>
          <w:szCs w:val="16"/>
          <w:color w:val="auto"/>
        </w:rPr>
        <w:t>Companies that include Martin Marietta in their compensation peer group.</w:t>
      </w:r>
    </w:p>
    <w:p>
      <w:pPr>
        <w:spacing w:after="0" w:line="200" w:lineRule="exact"/>
        <w:rPr>
          <w:sz w:val="20"/>
          <w:szCs w:val="20"/>
          <w:color w:val="auto"/>
        </w:rPr>
      </w:pPr>
    </w:p>
    <w:p>
      <w:pPr>
        <w:sectPr>
          <w:pgSz w:w="11900" w:h="16838" w:orient="portrait"/>
          <w:cols w:equalWidth="0" w:num="2">
            <w:col w:w="5500" w:space="320"/>
            <w:col w:w="5400"/>
          </w:cols>
          <w:pgMar w:left="240" w:top="455" w:right="439" w:bottom="1440"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following companies comprised our Compensation Peer Group for 2017 base salary and long-term incentive pay decisions:</w:t>
      </w:r>
    </w:p>
    <w:p>
      <w:pPr>
        <w:spacing w:after="0" w:line="221"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2800" w:type="dxa"/>
            <w:vAlign w:val="bottom"/>
          </w:tcPr>
          <w:p>
            <w:pPr>
              <w:spacing w:after="0"/>
              <w:rPr>
                <w:sz w:val="20"/>
                <w:szCs w:val="20"/>
                <w:color w:val="auto"/>
              </w:rPr>
            </w:pPr>
            <w:r>
              <w:rPr>
                <w:rFonts w:ascii="Arial" w:cs="Arial" w:eastAsia="Arial" w:hAnsi="Arial"/>
                <w:sz w:val="16"/>
                <w:szCs w:val="16"/>
                <w:color w:val="auto"/>
              </w:rPr>
              <w:t>Albermarle Corporation</w:t>
            </w:r>
          </w:p>
        </w:tc>
        <w:tc>
          <w:tcPr>
            <w:tcW w:w="2900" w:type="dxa"/>
            <w:vAlign w:val="bottom"/>
          </w:tcPr>
          <w:p>
            <w:pPr>
              <w:ind w:left="520"/>
              <w:spacing w:after="0"/>
              <w:rPr>
                <w:sz w:val="20"/>
                <w:szCs w:val="20"/>
                <w:color w:val="auto"/>
              </w:rPr>
            </w:pPr>
            <w:r>
              <w:rPr>
                <w:rFonts w:ascii="Arial" w:cs="Arial" w:eastAsia="Arial" w:hAnsi="Arial"/>
                <w:sz w:val="16"/>
                <w:szCs w:val="16"/>
                <w:color w:val="auto"/>
              </w:rPr>
              <w:t>Granite Construction Inc.</w:t>
            </w:r>
          </w:p>
        </w:tc>
        <w:tc>
          <w:tcPr>
            <w:tcW w:w="2360" w:type="dxa"/>
            <w:vAlign w:val="bottom"/>
          </w:tcPr>
          <w:p>
            <w:pPr>
              <w:ind w:left="280"/>
              <w:spacing w:after="0"/>
              <w:rPr>
                <w:sz w:val="20"/>
                <w:szCs w:val="20"/>
                <w:color w:val="auto"/>
              </w:rPr>
            </w:pPr>
            <w:r>
              <w:rPr>
                <w:rFonts w:ascii="Arial" w:cs="Arial" w:eastAsia="Arial" w:hAnsi="Arial"/>
                <w:sz w:val="16"/>
                <w:szCs w:val="16"/>
                <w:color w:val="auto"/>
              </w:rPr>
              <w:t>Owens Corning</w:t>
            </w:r>
          </w:p>
        </w:tc>
        <w:tc>
          <w:tcPr>
            <w:tcW w:w="2600" w:type="dxa"/>
            <w:vAlign w:val="bottom"/>
          </w:tcPr>
          <w:p>
            <w:pPr>
              <w:ind w:left="340"/>
              <w:spacing w:after="0"/>
              <w:rPr>
                <w:sz w:val="20"/>
                <w:szCs w:val="20"/>
                <w:color w:val="auto"/>
              </w:rPr>
            </w:pPr>
            <w:r>
              <w:rPr>
                <w:rFonts w:ascii="Arial" w:cs="Arial" w:eastAsia="Arial" w:hAnsi="Arial"/>
                <w:sz w:val="16"/>
                <w:szCs w:val="16"/>
                <w:color w:val="auto"/>
              </w:rPr>
              <w:t>Vulcan Materials Company</w:t>
            </w:r>
          </w:p>
        </w:tc>
      </w:tr>
      <w:tr>
        <w:trPr>
          <w:trHeight w:val="189"/>
        </w:trPr>
        <w:tc>
          <w:tcPr>
            <w:tcW w:w="2800" w:type="dxa"/>
            <w:vAlign w:val="bottom"/>
          </w:tcPr>
          <w:p>
            <w:pPr>
              <w:spacing w:after="0"/>
              <w:rPr>
                <w:sz w:val="20"/>
                <w:szCs w:val="20"/>
                <w:color w:val="auto"/>
              </w:rPr>
            </w:pPr>
            <w:r>
              <w:rPr>
                <w:rFonts w:ascii="Arial" w:cs="Arial" w:eastAsia="Arial" w:hAnsi="Arial"/>
                <w:sz w:val="16"/>
                <w:szCs w:val="16"/>
                <w:color w:val="auto"/>
              </w:rPr>
              <w:t>Armstrong World Industries</w:t>
            </w:r>
          </w:p>
        </w:tc>
        <w:tc>
          <w:tcPr>
            <w:tcW w:w="2900" w:type="dxa"/>
            <w:vAlign w:val="bottom"/>
          </w:tcPr>
          <w:p>
            <w:pPr>
              <w:ind w:left="520"/>
              <w:spacing w:after="0"/>
              <w:rPr>
                <w:sz w:val="20"/>
                <w:szCs w:val="20"/>
                <w:color w:val="auto"/>
              </w:rPr>
            </w:pPr>
            <w:r>
              <w:rPr>
                <w:rFonts w:ascii="Arial" w:cs="Arial" w:eastAsia="Arial" w:hAnsi="Arial"/>
                <w:sz w:val="16"/>
                <w:szCs w:val="16"/>
                <w:color w:val="auto"/>
              </w:rPr>
              <w:t>Louisiana-Pacific Corporation</w:t>
            </w:r>
          </w:p>
        </w:tc>
        <w:tc>
          <w:tcPr>
            <w:tcW w:w="2360" w:type="dxa"/>
            <w:vAlign w:val="bottom"/>
          </w:tcPr>
          <w:p>
            <w:pPr>
              <w:ind w:left="280"/>
              <w:spacing w:after="0"/>
              <w:rPr>
                <w:sz w:val="20"/>
                <w:szCs w:val="20"/>
                <w:color w:val="auto"/>
              </w:rPr>
            </w:pPr>
            <w:r>
              <w:rPr>
                <w:rFonts w:ascii="Arial" w:cs="Arial" w:eastAsia="Arial" w:hAnsi="Arial"/>
                <w:sz w:val="16"/>
                <w:szCs w:val="16"/>
                <w:color w:val="auto"/>
              </w:rPr>
              <w:t>Peabody Energy Corp.</w:t>
            </w:r>
          </w:p>
        </w:tc>
        <w:tc>
          <w:tcPr>
            <w:tcW w:w="2600" w:type="dxa"/>
            <w:vAlign w:val="bottom"/>
          </w:tcPr>
          <w:p>
            <w:pPr>
              <w:ind w:left="340"/>
              <w:spacing w:after="0"/>
              <w:rPr>
                <w:sz w:val="20"/>
                <w:szCs w:val="20"/>
                <w:color w:val="auto"/>
              </w:rPr>
            </w:pPr>
            <w:r>
              <w:rPr>
                <w:rFonts w:ascii="Arial" w:cs="Arial" w:eastAsia="Arial" w:hAnsi="Arial"/>
                <w:sz w:val="16"/>
                <w:szCs w:val="16"/>
                <w:color w:val="auto"/>
              </w:rPr>
              <w:t>W. R. Grace &amp; Co.</w:t>
            </w:r>
          </w:p>
        </w:tc>
      </w:tr>
      <w:tr>
        <w:trPr>
          <w:trHeight w:val="189"/>
        </w:trPr>
        <w:tc>
          <w:tcPr>
            <w:tcW w:w="2800" w:type="dxa"/>
            <w:vAlign w:val="bottom"/>
          </w:tcPr>
          <w:p>
            <w:pPr>
              <w:spacing w:after="0"/>
              <w:rPr>
                <w:sz w:val="20"/>
                <w:szCs w:val="20"/>
                <w:color w:val="auto"/>
              </w:rPr>
            </w:pPr>
            <w:r>
              <w:rPr>
                <w:rFonts w:ascii="Arial" w:cs="Arial" w:eastAsia="Arial" w:hAnsi="Arial"/>
                <w:sz w:val="16"/>
                <w:szCs w:val="16"/>
                <w:color w:val="auto"/>
              </w:rPr>
              <w:t>Compass Minerals International</w:t>
            </w:r>
          </w:p>
        </w:tc>
        <w:tc>
          <w:tcPr>
            <w:tcW w:w="2900" w:type="dxa"/>
            <w:vAlign w:val="bottom"/>
          </w:tcPr>
          <w:p>
            <w:pPr>
              <w:ind w:left="520"/>
              <w:spacing w:after="0"/>
              <w:rPr>
                <w:sz w:val="20"/>
                <w:szCs w:val="20"/>
                <w:color w:val="auto"/>
              </w:rPr>
            </w:pPr>
            <w:r>
              <w:rPr>
                <w:rFonts w:ascii="Arial" w:cs="Arial" w:eastAsia="Arial" w:hAnsi="Arial"/>
                <w:sz w:val="16"/>
                <w:szCs w:val="16"/>
                <w:color w:val="auto"/>
              </w:rPr>
              <w:t>Masco Corporation</w:t>
            </w:r>
          </w:p>
        </w:tc>
        <w:tc>
          <w:tcPr>
            <w:tcW w:w="2360" w:type="dxa"/>
            <w:vAlign w:val="bottom"/>
          </w:tcPr>
          <w:p>
            <w:pPr>
              <w:ind w:left="280"/>
              <w:spacing w:after="0"/>
              <w:rPr>
                <w:sz w:val="20"/>
                <w:szCs w:val="20"/>
                <w:color w:val="auto"/>
              </w:rPr>
            </w:pPr>
            <w:r>
              <w:rPr>
                <w:rFonts w:ascii="Arial" w:cs="Arial" w:eastAsia="Arial" w:hAnsi="Arial"/>
                <w:sz w:val="16"/>
                <w:szCs w:val="16"/>
                <w:color w:val="auto"/>
              </w:rPr>
              <w:t>USG Corp.</w:t>
            </w:r>
          </w:p>
        </w:tc>
        <w:tc>
          <w:tcPr>
            <w:tcW w:w="2600" w:type="dxa"/>
            <w:vAlign w:val="bottom"/>
          </w:tcPr>
          <w:p>
            <w:pPr>
              <w:ind w:left="340"/>
              <w:spacing w:after="0"/>
              <w:rPr>
                <w:sz w:val="20"/>
                <w:szCs w:val="20"/>
                <w:color w:val="auto"/>
              </w:rPr>
            </w:pPr>
            <w:r>
              <w:rPr>
                <w:rFonts w:ascii="Arial" w:cs="Arial" w:eastAsia="Arial" w:hAnsi="Arial"/>
                <w:sz w:val="16"/>
                <w:szCs w:val="16"/>
                <w:color w:val="auto"/>
                <w:w w:val="99"/>
              </w:rPr>
              <w:t>Westlake Chemical Corporation</w:t>
            </w:r>
          </w:p>
        </w:tc>
      </w:tr>
      <w:tr>
        <w:trPr>
          <w:trHeight w:val="189"/>
        </w:trPr>
        <w:tc>
          <w:tcPr>
            <w:tcW w:w="2800" w:type="dxa"/>
            <w:vAlign w:val="bottom"/>
          </w:tcPr>
          <w:p>
            <w:pPr>
              <w:spacing w:after="0"/>
              <w:rPr>
                <w:sz w:val="20"/>
                <w:szCs w:val="20"/>
                <w:color w:val="auto"/>
              </w:rPr>
            </w:pPr>
            <w:r>
              <w:rPr>
                <w:rFonts w:ascii="Arial" w:cs="Arial" w:eastAsia="Arial" w:hAnsi="Arial"/>
                <w:sz w:val="16"/>
                <w:szCs w:val="16"/>
                <w:color w:val="auto"/>
              </w:rPr>
              <w:t>CONSOL Energy, Inc.</w:t>
            </w:r>
          </w:p>
        </w:tc>
        <w:tc>
          <w:tcPr>
            <w:tcW w:w="2900" w:type="dxa"/>
            <w:vAlign w:val="bottom"/>
          </w:tcPr>
          <w:p>
            <w:pPr>
              <w:ind w:left="520"/>
              <w:spacing w:after="0"/>
              <w:rPr>
                <w:sz w:val="20"/>
                <w:szCs w:val="20"/>
                <w:color w:val="auto"/>
              </w:rPr>
            </w:pPr>
            <w:r>
              <w:rPr>
                <w:rFonts w:ascii="Arial" w:cs="Arial" w:eastAsia="Arial" w:hAnsi="Arial"/>
                <w:sz w:val="16"/>
                <w:szCs w:val="16"/>
                <w:color w:val="auto"/>
              </w:rPr>
              <w:t>Nucor Corporation</w:t>
            </w:r>
          </w:p>
        </w:tc>
        <w:tc>
          <w:tcPr>
            <w:tcW w:w="2360" w:type="dxa"/>
            <w:vAlign w:val="bottom"/>
          </w:tcPr>
          <w:p>
            <w:pPr>
              <w:ind w:left="280"/>
              <w:spacing w:after="0"/>
              <w:rPr>
                <w:sz w:val="20"/>
                <w:szCs w:val="20"/>
                <w:color w:val="auto"/>
              </w:rPr>
            </w:pPr>
            <w:r>
              <w:rPr>
                <w:rFonts w:ascii="Arial" w:cs="Arial" w:eastAsia="Arial" w:hAnsi="Arial"/>
                <w:sz w:val="16"/>
                <w:szCs w:val="16"/>
                <w:color w:val="auto"/>
              </w:rPr>
              <w:t>The Valspar Corporation</w:t>
            </w:r>
          </w:p>
        </w:tc>
        <w:tc>
          <w:tcPr>
            <w:tcW w:w="2600" w:type="dxa"/>
            <w:vAlign w:val="bottom"/>
          </w:tcPr>
          <w:p>
            <w:pPr>
              <w:ind w:left="340"/>
              <w:spacing w:after="0"/>
              <w:rPr>
                <w:sz w:val="20"/>
                <w:szCs w:val="20"/>
                <w:color w:val="auto"/>
              </w:rPr>
            </w:pPr>
            <w:r>
              <w:rPr>
                <w:rFonts w:ascii="Arial" w:cs="Arial" w:eastAsia="Arial" w:hAnsi="Arial"/>
                <w:sz w:val="16"/>
                <w:szCs w:val="16"/>
                <w:color w:val="auto"/>
              </w:rPr>
              <w:t>Weyerhaeuser Company</w:t>
            </w:r>
          </w:p>
        </w:tc>
      </w:tr>
      <w:tr>
        <w:trPr>
          <w:trHeight w:val="219"/>
        </w:trPr>
        <w:tc>
          <w:tcPr>
            <w:tcW w:w="2800" w:type="dxa"/>
            <w:vAlign w:val="bottom"/>
          </w:tcPr>
          <w:p>
            <w:pPr>
              <w:spacing w:after="0"/>
              <w:rPr>
                <w:sz w:val="20"/>
                <w:szCs w:val="20"/>
                <w:color w:val="auto"/>
              </w:rPr>
            </w:pPr>
            <w:r>
              <w:rPr>
                <w:rFonts w:ascii="Arial" w:cs="Arial" w:eastAsia="Arial" w:hAnsi="Arial"/>
                <w:sz w:val="16"/>
                <w:szCs w:val="16"/>
                <w:color w:val="auto"/>
              </w:rPr>
              <w:t>FMC Corporation</w:t>
            </w:r>
          </w:p>
        </w:tc>
        <w:tc>
          <w:tcPr>
            <w:tcW w:w="29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60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20"/>
          </w:cols>
          <w:pgMar w:left="240" w:top="455" w:right="439" w:bottom="1440" w:gutter="0" w:footer="0" w:header="0"/>
          <w:type w:val="continuous"/>
        </w:sectPr>
      </w:pPr>
    </w:p>
    <w:p>
      <w:pPr>
        <w:spacing w:after="0" w:line="41"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The Committee studies competitive total compensation data from various sources, including proxy statements of the peer group. Since proxy statements do not provide precise comparisons by position to our executive officers, the Committee also in 2017 took into consideration published independent compensation surveys of companies with revenue in the range of $3.0 billion to $4.0 billion as to median levels for each executive officer as well as private compensation survey data. Where available, size-adjusted market values were developed using regression analysis. This statistical technique accounts for revenue size differences within the peer group and develops an estimated market value for a similar-size company as Martin Marietta. The size-adjusted 50th percentile for total compensation is a key reference point for the Committee. On average, the target for our NEO total compensation opportunities is competitively positioned within a reasonable range of the size-adjusted 50th percentile.</w:t>
      </w:r>
    </w:p>
    <w:p>
      <w:pPr>
        <w:spacing w:after="0" w:line="148" w:lineRule="exact"/>
        <w:rPr>
          <w:sz w:val="20"/>
          <w:szCs w:val="20"/>
          <w:color w:val="auto"/>
        </w:rPr>
      </w:pPr>
    </w:p>
    <w:p>
      <w:pPr>
        <w:jc w:val="both"/>
        <w:ind w:left="220"/>
        <w:spacing w:after="0" w:line="257" w:lineRule="auto"/>
        <w:rPr>
          <w:sz w:val="20"/>
          <w:szCs w:val="20"/>
          <w:color w:val="auto"/>
        </w:rPr>
      </w:pPr>
      <w:r>
        <w:rPr>
          <w:rFonts w:ascii="Arial" w:cs="Arial" w:eastAsia="Arial" w:hAnsi="Arial"/>
          <w:sz w:val="16"/>
          <w:szCs w:val="16"/>
          <w:color w:val="auto"/>
        </w:rPr>
        <w:t>Although the Committee uses the size-adjusted 50th percentile as its starting point in setting compensation levels, the compensation packages for executive officers may vary materially from it based on several factors. Market data, position, tenure, individual and organization performance, retention needs and internal pay equity have been the primary</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factors considered in decisions to increase or decrease compensation opportunities. Specifically, the Committee typically sets compensation levels below the size-adjusted 50th percentile for executive officers with relatively less relevant experience, less responsibility, less tenure with Martin Marietta and/or lower performance ratings. Conversely, if an officer consistently receives favorable performance ratings, accumulates years of service and expertise in relevant areas, has more responsibility and/or has significant other achievements, his or her compensation will typically be above the size-adjusted 50th percentile.</w:t>
      </w:r>
    </w:p>
    <w:p>
      <w:pPr>
        <w:spacing w:after="0" w:line="122"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Determination of CEO Compensation</w:t>
      </w:r>
    </w:p>
    <w:p>
      <w:pPr>
        <w:spacing w:after="0" w:line="134"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At each February Committee meeting, without the CEO present, the Committee reviews and evaluates CEO performance, and determines achievement levels for the prior year. The Committee also reviews competitive compensation data. At this meeting, the Committee discusses salary and annual incentive pay recommendations for the CEO, as well as an evaluation of the CEO’s performance, with the independent members of the Board. The Committee also reviews and discusses an award of RSUs and the target PSU grant size for the CEO at that meeting, which is also discussed with the independent members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-259715</wp:posOffset>
            </wp:positionH>
            <wp:positionV relativeFrom="paragraph">
              <wp:posOffset>176530</wp:posOffset>
            </wp:positionV>
            <wp:extent cx="411480" cy="2489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00" w:space="320"/>
            <w:col w:w="5400"/>
          </w:cols>
          <w:pgMar w:left="240" w:top="455" w:right="439" w:bottom="1440" w:gutter="0" w:footer="0" w:header="0"/>
          <w:type w:val="continuous"/>
        </w:sectPr>
      </w:pPr>
    </w:p>
    <w:p>
      <w:pPr>
        <w:spacing w:after="0" w:line="95" w:lineRule="exact"/>
        <w:rPr>
          <w:sz w:val="20"/>
          <w:szCs w:val="20"/>
          <w:color w:val="auto"/>
        </w:rPr>
      </w:pPr>
    </w:p>
    <w:tbl>
      <w:tblPr>
        <w:tblLayout w:type="fixed"/>
        <w:tblInd w:w="9260" w:type="dxa"/>
        <w:tblCellMar>
          <w:top w:w="0" w:type="dxa"/>
          <w:left w:w="0" w:type="dxa"/>
          <w:bottom w:w="0" w:type="dxa"/>
          <w:right w:w="0" w:type="dxa"/>
        </w:tblCellMar>
      </w:tblPr>
      <w:tr>
        <w:trPr>
          <w:trHeight w:val="178"/>
        </w:trPr>
        <w:tc>
          <w:tcPr>
            <w:tcW w:w="1680" w:type="dxa"/>
            <w:vAlign w:val="bottom"/>
          </w:tcPr>
          <w:p>
            <w:pPr>
              <w:spacing w:after="0"/>
              <w:rPr>
                <w:sz w:val="20"/>
                <w:szCs w:val="20"/>
                <w:color w:val="auto"/>
              </w:rPr>
            </w:pPr>
            <w:r>
              <w:rPr>
                <w:rFonts w:ascii="Arial" w:cs="Arial" w:eastAsia="Arial" w:hAnsi="Arial"/>
                <w:sz w:val="13"/>
                <w:szCs w:val="13"/>
                <w:color w:val="007CBA"/>
              </w:rPr>
              <w:t>2018 PROXY STATEMENT</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rPr>
              <w:t>41</w:t>
            </w:r>
          </w:p>
        </w:tc>
      </w:tr>
    </w:tbl>
    <w:p>
      <w:pPr>
        <w:sectPr>
          <w:pgSz w:w="11900" w:h="16838" w:orient="portrait"/>
          <w:cols w:equalWidth="0" w:num="1">
            <w:col w:w="11220"/>
          </w:cols>
          <w:pgMar w:left="240" w:top="455" w:right="439" w:bottom="1440" w:gutter="0" w:footer="0" w:header="0"/>
          <w:type w:val="continuous"/>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64" w:lineRule="exact"/>
        <w:rPr>
          <w:sz w:val="20"/>
          <w:szCs w:val="20"/>
          <w:color w:val="auto"/>
        </w:rPr>
      </w:pPr>
    </w:p>
    <w:p>
      <w:pPr>
        <w:ind w:left="200"/>
        <w:spacing w:after="0" w:line="276" w:lineRule="exact"/>
        <w:rPr>
          <w:sz w:val="20"/>
          <w:szCs w:val="20"/>
          <w:color w:val="auto"/>
        </w:rPr>
      </w:pPr>
      <w:r>
        <w:rPr>
          <w:rFonts w:ascii="Arial" w:cs="Arial" w:eastAsia="Arial" w:hAnsi="Arial"/>
          <w:sz w:val="13"/>
          <w:szCs w:val="13"/>
          <w:color w:val="007CBA"/>
        </w:rPr>
        <w:t xml:space="preserve">Compensation Discussion and Analysis </w:t>
      </w:r>
      <w:r>
        <w:rPr>
          <w:rFonts w:ascii="MS PGothic" w:cs="MS PGothic" w:eastAsia="MS PGothic" w:hAnsi="MS PGothic"/>
          <w:sz w:val="24"/>
          <w:szCs w:val="24"/>
          <w:color w:val="007CBA"/>
        </w:rPr>
        <w:t>◆</w:t>
      </w:r>
      <w:r>
        <w:rPr>
          <w:rFonts w:ascii="Arial" w:cs="Arial" w:eastAsia="Arial" w:hAnsi="Arial"/>
          <w:sz w:val="13"/>
          <w:szCs w:val="13"/>
          <w:color w:val="007CBA"/>
        </w:rPr>
        <w:t xml:space="preserve"> </w:t>
      </w:r>
      <w:r>
        <w:rPr>
          <w:rFonts w:ascii="Arial" w:cs="Arial" w:eastAsia="Arial" w:hAnsi="Arial"/>
          <w:sz w:val="13"/>
          <w:szCs w:val="13"/>
          <w:color w:val="000000"/>
        </w:rPr>
        <w:t>Compensation Program Risk Assessment</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007CBA"/>
        </w:rPr>
        <w:t>Compensation Program Risk Assessment</w:t>
      </w:r>
    </w:p>
    <w:p>
      <w:pPr>
        <w:spacing w:after="0" w:line="202" w:lineRule="exact"/>
        <w:rPr>
          <w:sz w:val="20"/>
          <w:szCs w:val="20"/>
          <w:color w:val="auto"/>
        </w:rPr>
      </w:pPr>
    </w:p>
    <w:p>
      <w:pPr>
        <w:jc w:val="both"/>
        <w:ind w:left="220"/>
        <w:spacing w:after="0" w:line="252" w:lineRule="auto"/>
        <w:rPr>
          <w:sz w:val="20"/>
          <w:szCs w:val="20"/>
          <w:color w:val="auto"/>
        </w:rPr>
      </w:pPr>
      <w:r>
        <w:rPr>
          <w:rFonts w:ascii="Arial" w:cs="Arial" w:eastAsia="Arial" w:hAnsi="Arial"/>
          <w:sz w:val="16"/>
          <w:szCs w:val="16"/>
          <w:color w:val="auto"/>
        </w:rPr>
        <w:t>We perform a thorough annual review of our compensation program structure and all compensation programs, which are also reviewed in detail with the Committee. We believe our executive pay is reasonable and provides appropriate incentives to our executives to achieve our financial and strategic goals without encouraging them to take excessive risks in their business decisions. Our compensation structure does not include features that are reasonably likely to have a material adverse effect on the Company. Compensation program features that mitigate against risks include the following:</w:t>
      </w:r>
    </w:p>
    <w:p>
      <w:pPr>
        <w:spacing w:after="0" w:line="44" w:lineRule="exact"/>
        <w:rPr>
          <w:sz w:val="20"/>
          <w:szCs w:val="20"/>
          <w:color w:val="auto"/>
        </w:rPr>
      </w:pPr>
    </w:p>
    <w:p>
      <w:pPr>
        <w:jc w:val="both"/>
        <w:ind w:left="560" w:right="20" w:hanging="275"/>
        <w:spacing w:after="0" w:line="269" w:lineRule="auto"/>
        <w:tabs>
          <w:tab w:leader="none" w:pos="560" w:val="left"/>
        </w:tabs>
        <w:numPr>
          <w:ilvl w:val="0"/>
          <w:numId w:val="79"/>
        </w:numPr>
        <w:rPr>
          <w:rFonts w:ascii="Arial" w:cs="Arial" w:eastAsia="Arial" w:hAnsi="Arial"/>
          <w:sz w:val="16"/>
          <w:szCs w:val="16"/>
          <w:color w:val="007CBA"/>
        </w:rPr>
      </w:pPr>
      <w:r>
        <w:rPr>
          <w:rFonts w:ascii="Arial" w:cs="Arial" w:eastAsia="Arial" w:hAnsi="Arial"/>
          <w:sz w:val="16"/>
          <w:szCs w:val="16"/>
          <w:color w:val="auto"/>
        </w:rPr>
        <w:t>Our annual incentive compensation plan does not provide payment for poor individual or corporate performance, regardless of whether the failure to achieve target was outside management’s control.</w:t>
      </w:r>
    </w:p>
    <w:p>
      <w:pPr>
        <w:spacing w:after="0" w:line="29" w:lineRule="exact"/>
        <w:rPr>
          <w:rFonts w:ascii="Arial" w:cs="Arial" w:eastAsia="Arial" w:hAnsi="Arial"/>
          <w:sz w:val="16"/>
          <w:szCs w:val="16"/>
          <w:color w:val="007CBA"/>
        </w:rPr>
      </w:pPr>
    </w:p>
    <w:p>
      <w:pPr>
        <w:ind w:left="560" w:right="20" w:hanging="275"/>
        <w:spacing w:after="0" w:line="291" w:lineRule="auto"/>
        <w:tabs>
          <w:tab w:leader="none" w:pos="560" w:val="left"/>
        </w:tabs>
        <w:numPr>
          <w:ilvl w:val="0"/>
          <w:numId w:val="79"/>
        </w:numPr>
        <w:rPr>
          <w:rFonts w:ascii="Arial" w:cs="Arial" w:eastAsia="Arial" w:hAnsi="Arial"/>
          <w:sz w:val="16"/>
          <w:szCs w:val="16"/>
          <w:color w:val="007CBA"/>
        </w:rPr>
      </w:pPr>
      <w:r>
        <w:rPr>
          <w:rFonts w:ascii="Arial" w:cs="Arial" w:eastAsia="Arial" w:hAnsi="Arial"/>
          <w:sz w:val="16"/>
          <w:szCs w:val="16"/>
          <w:color w:val="auto"/>
        </w:rPr>
        <w:t>There are caps on the long-term equity awards, even if the required performance-related criteria are exceeded.</w:t>
      </w:r>
    </w:p>
    <w:p>
      <w:pPr>
        <w:spacing w:after="0" w:line="200" w:lineRule="exact"/>
        <w:rPr>
          <w:sz w:val="20"/>
          <w:szCs w:val="20"/>
          <w:color w:val="auto"/>
        </w:rPr>
      </w:pPr>
    </w:p>
    <w:p>
      <w:pPr>
        <w:spacing w:after="0" w:line="309" w:lineRule="exact"/>
        <w:rPr>
          <w:sz w:val="20"/>
          <w:szCs w:val="20"/>
          <w:color w:val="auto"/>
        </w:rPr>
      </w:pPr>
    </w:p>
    <w:p>
      <w:pPr>
        <w:ind w:left="640" w:hanging="436"/>
        <w:spacing w:after="0"/>
        <w:tabs>
          <w:tab w:leader="none" w:pos="640" w:val="left"/>
        </w:tabs>
        <w:numPr>
          <w:ilvl w:val="0"/>
          <w:numId w:val="80"/>
        </w:numPr>
        <w:rPr>
          <w:rFonts w:ascii="Arial" w:cs="Arial" w:eastAsia="Arial" w:hAnsi="Arial"/>
          <w:sz w:val="13"/>
          <w:szCs w:val="13"/>
          <w:b w:val="1"/>
          <w:bCs w:val="1"/>
          <w:color w:val="auto"/>
        </w:rPr>
      </w:pPr>
      <w:r>
        <w:rPr>
          <w:rFonts w:ascii="Arial" w:cs="Arial" w:eastAsia="Arial" w:hAnsi="Arial"/>
          <w:sz w:val="13"/>
          <w:szCs w:val="13"/>
          <w:color w:val="007CBA"/>
        </w:rPr>
        <w:t>2018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75" w:hanging="275"/>
        <w:spacing w:after="0" w:line="291" w:lineRule="auto"/>
        <w:tabs>
          <w:tab w:leader="none" w:pos="275" w:val="left"/>
        </w:tabs>
        <w:numPr>
          <w:ilvl w:val="0"/>
          <w:numId w:val="81"/>
        </w:numPr>
        <w:rPr>
          <w:rFonts w:ascii="Arial" w:cs="Arial" w:eastAsia="Arial" w:hAnsi="Arial"/>
          <w:sz w:val="16"/>
          <w:szCs w:val="16"/>
          <w:color w:val="007CBA"/>
        </w:rPr>
      </w:pPr>
      <w:r>
        <w:rPr>
          <w:rFonts w:ascii="Arial" w:cs="Arial" w:eastAsia="Arial" w:hAnsi="Arial"/>
          <w:sz w:val="16"/>
          <w:szCs w:val="16"/>
          <w:color w:val="auto"/>
        </w:rPr>
        <w:t>A majority of the NEOs’ compensation is long-term, with equity grants vesting over three to five years, depending on the award.</w:t>
      </w:r>
    </w:p>
    <w:p>
      <w:pPr>
        <w:spacing w:after="0" w:line="13" w:lineRule="exact"/>
        <w:rPr>
          <w:rFonts w:ascii="Arial" w:cs="Arial" w:eastAsia="Arial" w:hAnsi="Arial"/>
          <w:sz w:val="16"/>
          <w:szCs w:val="16"/>
          <w:color w:val="007CBA"/>
        </w:rPr>
      </w:pPr>
    </w:p>
    <w:p>
      <w:pPr>
        <w:jc w:val="both"/>
        <w:ind w:left="275" w:right="20" w:hanging="275"/>
        <w:spacing w:after="0" w:line="269" w:lineRule="auto"/>
        <w:tabs>
          <w:tab w:leader="none" w:pos="275" w:val="left"/>
        </w:tabs>
        <w:numPr>
          <w:ilvl w:val="0"/>
          <w:numId w:val="81"/>
        </w:numPr>
        <w:rPr>
          <w:rFonts w:ascii="Arial" w:cs="Arial" w:eastAsia="Arial" w:hAnsi="Arial"/>
          <w:sz w:val="16"/>
          <w:szCs w:val="16"/>
          <w:color w:val="007CBA"/>
        </w:rPr>
      </w:pPr>
      <w:r>
        <w:rPr>
          <w:rFonts w:ascii="Arial" w:cs="Arial" w:eastAsia="Arial" w:hAnsi="Arial"/>
          <w:sz w:val="16"/>
          <w:szCs w:val="16"/>
          <w:color w:val="auto"/>
        </w:rPr>
        <w:t>Our compensation is not based on highly-leveraged short-term incentives that encourage high risk investments at the expense of long-term value.</w:t>
      </w:r>
    </w:p>
    <w:p>
      <w:pPr>
        <w:spacing w:after="0" w:line="29" w:lineRule="exact"/>
        <w:rPr>
          <w:rFonts w:ascii="Arial" w:cs="Arial" w:eastAsia="Arial" w:hAnsi="Arial"/>
          <w:sz w:val="16"/>
          <w:szCs w:val="16"/>
          <w:color w:val="007CBA"/>
        </w:rPr>
      </w:pPr>
    </w:p>
    <w:p>
      <w:pPr>
        <w:ind w:left="275" w:hanging="275"/>
        <w:spacing w:after="0" w:line="291" w:lineRule="auto"/>
        <w:tabs>
          <w:tab w:leader="none" w:pos="275" w:val="left"/>
        </w:tabs>
        <w:numPr>
          <w:ilvl w:val="0"/>
          <w:numId w:val="81"/>
        </w:numPr>
        <w:rPr>
          <w:rFonts w:ascii="Arial" w:cs="Arial" w:eastAsia="Arial" w:hAnsi="Arial"/>
          <w:sz w:val="16"/>
          <w:szCs w:val="16"/>
          <w:color w:val="007CBA"/>
        </w:rPr>
      </w:pPr>
      <w:r>
        <w:rPr>
          <w:rFonts w:ascii="Arial" w:cs="Arial" w:eastAsia="Arial" w:hAnsi="Arial"/>
          <w:sz w:val="16"/>
          <w:szCs w:val="16"/>
          <w:color w:val="auto"/>
        </w:rPr>
        <w:t>Long-term compensation to executive officers is based on specific performance measures that balance long-term growth and returns.</w:t>
      </w:r>
    </w:p>
    <w:p>
      <w:pPr>
        <w:spacing w:after="0" w:line="13" w:lineRule="exact"/>
        <w:rPr>
          <w:rFonts w:ascii="Arial" w:cs="Arial" w:eastAsia="Arial" w:hAnsi="Arial"/>
          <w:sz w:val="16"/>
          <w:szCs w:val="16"/>
          <w:color w:val="007CBA"/>
        </w:rPr>
      </w:pPr>
    </w:p>
    <w:p>
      <w:pPr>
        <w:jc w:val="both"/>
        <w:ind w:left="275" w:right="20" w:hanging="275"/>
        <w:spacing w:after="0" w:line="261" w:lineRule="auto"/>
        <w:tabs>
          <w:tab w:leader="none" w:pos="275" w:val="left"/>
        </w:tabs>
        <w:numPr>
          <w:ilvl w:val="0"/>
          <w:numId w:val="81"/>
        </w:numPr>
        <w:rPr>
          <w:rFonts w:ascii="Arial" w:cs="Arial" w:eastAsia="Arial" w:hAnsi="Arial"/>
          <w:sz w:val="16"/>
          <w:szCs w:val="16"/>
          <w:color w:val="007CBA"/>
        </w:rPr>
      </w:pPr>
      <w:r>
        <w:rPr>
          <w:rFonts w:ascii="Arial" w:cs="Arial" w:eastAsia="Arial" w:hAnsi="Arial"/>
          <w:sz w:val="16"/>
          <w:szCs w:val="16"/>
          <w:color w:val="auto"/>
        </w:rPr>
        <w:t>The Committee uses benchmarking data and the advice of its independent compensation consultant to keep compensation in line with typical market practices and appropriate to Martin Marietta’s needs.</w:t>
      </w:r>
    </w:p>
    <w:p>
      <w:pPr>
        <w:spacing w:after="0" w:line="36" w:lineRule="exact"/>
        <w:rPr>
          <w:rFonts w:ascii="Arial" w:cs="Arial" w:eastAsia="Arial" w:hAnsi="Arial"/>
          <w:sz w:val="16"/>
          <w:szCs w:val="16"/>
          <w:color w:val="007CBA"/>
        </w:rPr>
      </w:pPr>
    </w:p>
    <w:p>
      <w:pPr>
        <w:ind w:left="275" w:hanging="275"/>
        <w:spacing w:after="0"/>
        <w:tabs>
          <w:tab w:leader="none" w:pos="275" w:val="left"/>
        </w:tabs>
        <w:numPr>
          <w:ilvl w:val="0"/>
          <w:numId w:val="81"/>
        </w:numPr>
        <w:rPr>
          <w:rFonts w:ascii="Arial" w:cs="Arial" w:eastAsia="Arial" w:hAnsi="Arial"/>
          <w:sz w:val="16"/>
          <w:szCs w:val="16"/>
          <w:color w:val="007CBA"/>
        </w:rPr>
      </w:pPr>
      <w:r>
        <w:rPr>
          <w:rFonts w:ascii="Arial" w:cs="Arial" w:eastAsia="Arial" w:hAnsi="Arial"/>
          <w:sz w:val="16"/>
          <w:szCs w:val="16"/>
          <w:color w:val="auto"/>
        </w:rPr>
        <w:t>We use a balanced portfolio of long-term incentive programs.</w:t>
      </w:r>
    </w:p>
    <w:p>
      <w:pPr>
        <w:spacing w:after="0" w:line="86" w:lineRule="exact"/>
        <w:rPr>
          <w:rFonts w:ascii="Arial" w:cs="Arial" w:eastAsia="Arial" w:hAnsi="Arial"/>
          <w:sz w:val="16"/>
          <w:szCs w:val="16"/>
          <w:color w:val="007CBA"/>
        </w:rPr>
      </w:pPr>
    </w:p>
    <w:p>
      <w:pPr>
        <w:ind w:left="275" w:right="20" w:hanging="275"/>
        <w:spacing w:after="0" w:line="291" w:lineRule="auto"/>
        <w:tabs>
          <w:tab w:leader="none" w:pos="275" w:val="left"/>
        </w:tabs>
        <w:numPr>
          <w:ilvl w:val="0"/>
          <w:numId w:val="81"/>
        </w:numPr>
        <w:rPr>
          <w:rFonts w:ascii="Arial" w:cs="Arial" w:eastAsia="Arial" w:hAnsi="Arial"/>
          <w:sz w:val="16"/>
          <w:szCs w:val="16"/>
          <w:color w:val="007CBA"/>
        </w:rPr>
      </w:pPr>
      <w:r>
        <w:rPr>
          <w:rFonts w:ascii="Arial" w:cs="Arial" w:eastAsia="Arial" w:hAnsi="Arial"/>
          <w:sz w:val="16"/>
          <w:szCs w:val="16"/>
          <w:color w:val="auto"/>
        </w:rPr>
        <w:t>The Committee’s governance process requires review and approval of all compensation over a certain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-3756660</wp:posOffset>
            </wp:positionH>
            <wp:positionV relativeFrom="paragraph">
              <wp:posOffset>-3092450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-236220</wp:posOffset>
            </wp:positionH>
            <wp:positionV relativeFrom="paragraph">
              <wp:posOffset>156845</wp:posOffset>
            </wp:positionV>
            <wp:extent cx="411480" cy="2489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ectPr>
          <w:pgSz w:w="11900" w:h="16838" w:orient="portrait"/>
          <w:cols w:equalWidth="0" w:num="2">
            <w:col w:w="5500" w:space="405"/>
            <w:col w:w="5315"/>
          </w:cols>
          <w:pgMar w:left="240" w:top="455" w:right="4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64" w:lineRule="exact"/>
        <w:rPr>
          <w:sz w:val="20"/>
          <w:szCs w:val="20"/>
          <w:color w:val="auto"/>
        </w:rPr>
      </w:pPr>
    </w:p>
    <w:p>
      <w:pPr>
        <w:ind w:left="5700"/>
        <w:spacing w:after="0" w:line="276" w:lineRule="exact"/>
        <w:rPr>
          <w:sz w:val="20"/>
          <w:szCs w:val="20"/>
          <w:color w:val="auto"/>
        </w:rPr>
      </w:pPr>
      <w:r>
        <w:rPr>
          <w:rFonts w:ascii="Arial" w:cs="Arial" w:eastAsia="Arial" w:hAnsi="Arial"/>
          <w:sz w:val="13"/>
          <w:szCs w:val="13"/>
          <w:color w:val="auto"/>
        </w:rPr>
        <w:t xml:space="preserve">Considerations Regarding 2017 Compensation </w:t>
      </w:r>
      <w:r>
        <w:rPr>
          <w:rFonts w:ascii="MS PGothic" w:cs="MS PGothic" w:eastAsia="MS PGothic" w:hAnsi="MS PGothic"/>
          <w:sz w:val="24"/>
          <w:szCs w:val="24"/>
          <w:color w:val="007CBA"/>
        </w:rPr>
        <w:t>◆</w:t>
      </w:r>
      <w:r>
        <w:rPr>
          <w:rFonts w:ascii="Arial" w:cs="Arial" w:eastAsia="Arial" w:hAnsi="Arial"/>
          <w:sz w:val="13"/>
          <w:szCs w:val="13"/>
          <w:color w:val="auto"/>
        </w:rPr>
        <w:t xml:space="preserve"> </w:t>
      </w:r>
      <w:r>
        <w:rPr>
          <w:rFonts w:ascii="Arial" w:cs="Arial" w:eastAsia="Arial" w:hAnsi="Arial"/>
          <w:sz w:val="13"/>
          <w:szCs w:val="13"/>
          <w:color w:val="007CBA"/>
        </w:rPr>
        <w:t>Compensation Discussion and Analysis</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007CBA"/>
        </w:rPr>
        <w:t>Considerations Regarding 2017 Compensation</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xml:space="preserve">The following chart summarizes the </w:t>
      </w:r>
      <w:r>
        <w:rPr>
          <w:rFonts w:ascii="Arial" w:cs="Arial" w:eastAsia="Arial" w:hAnsi="Arial"/>
          <w:sz w:val="16"/>
          <w:szCs w:val="16"/>
          <w:b w:val="1"/>
          <w:bCs w:val="1"/>
          <w:color w:val="auto"/>
        </w:rPr>
        <w:t>target</w:t>
      </w:r>
      <w:r>
        <w:rPr>
          <w:rFonts w:ascii="Arial" w:cs="Arial" w:eastAsia="Arial" w:hAnsi="Arial"/>
          <w:sz w:val="16"/>
          <w:szCs w:val="16"/>
          <w:color w:val="auto"/>
        </w:rPr>
        <w:t xml:space="preserve"> compensation in our 2017 executive compensation program:</w:t>
      </w:r>
    </w:p>
    <w:p>
      <w:pPr>
        <w:spacing w:after="0" w:line="241" w:lineRule="exact"/>
        <w:rPr>
          <w:sz w:val="20"/>
          <w:szCs w:val="20"/>
          <w:color w:val="auto"/>
        </w:rPr>
      </w:pPr>
    </w:p>
    <w:tbl>
      <w:tblPr>
        <w:tblLayout w:type="fixed"/>
        <w:tblInd w:w="220" w:type="dxa"/>
        <w:tblCellMar>
          <w:top w:w="0" w:type="dxa"/>
          <w:left w:w="0" w:type="dxa"/>
          <w:bottom w:w="0" w:type="dxa"/>
          <w:right w:w="0" w:type="dxa"/>
        </w:tblCellMar>
      </w:tblPr>
      <w:tr>
        <w:trPr>
          <w:trHeight w:val="257"/>
        </w:trPr>
        <w:tc>
          <w:tcPr>
            <w:tcW w:w="1720" w:type="dxa"/>
            <w:vAlign w:val="bottom"/>
            <w:shd w:val="clear" w:color="auto" w:fill="007CBA"/>
          </w:tcPr>
          <w:p>
            <w:pPr>
              <w:ind w:left="60"/>
              <w:spacing w:after="0"/>
              <w:rPr>
                <w:sz w:val="20"/>
                <w:szCs w:val="20"/>
                <w:color w:val="auto"/>
              </w:rPr>
            </w:pPr>
            <w:r>
              <w:rPr>
                <w:rFonts w:ascii="Arial" w:cs="Arial" w:eastAsia="Arial" w:hAnsi="Arial"/>
                <w:sz w:val="16"/>
                <w:szCs w:val="16"/>
                <w:b w:val="1"/>
                <w:bCs w:val="1"/>
                <w:color w:val="FFFFFF"/>
              </w:rPr>
              <w:t>Pay Component</w:t>
            </w:r>
          </w:p>
        </w:tc>
        <w:tc>
          <w:tcPr>
            <w:tcW w:w="9300" w:type="dxa"/>
            <w:vAlign w:val="bottom"/>
            <w:shd w:val="clear" w:color="auto" w:fill="007CBA"/>
          </w:tcPr>
          <w:p>
            <w:pPr>
              <w:ind w:left="420"/>
              <w:spacing w:after="0"/>
              <w:rPr>
                <w:sz w:val="20"/>
                <w:szCs w:val="20"/>
                <w:color w:val="auto"/>
              </w:rPr>
            </w:pPr>
            <w:r>
              <w:rPr>
                <w:rFonts w:ascii="Arial" w:cs="Arial" w:eastAsia="Arial" w:hAnsi="Arial"/>
                <w:sz w:val="16"/>
                <w:szCs w:val="16"/>
                <w:b w:val="1"/>
                <w:bCs w:val="1"/>
                <w:color w:val="FFFFFF"/>
              </w:rPr>
              <w:t>Summary</w:t>
            </w:r>
          </w:p>
        </w:tc>
      </w:tr>
      <w:tr>
        <w:trPr>
          <w:trHeight w:val="211"/>
        </w:trPr>
        <w:tc>
          <w:tcPr>
            <w:tcW w:w="1720" w:type="dxa"/>
            <w:vAlign w:val="bottom"/>
          </w:tcPr>
          <w:p>
            <w:pPr>
              <w:ind w:left="60"/>
              <w:spacing w:after="0"/>
              <w:rPr>
                <w:sz w:val="20"/>
                <w:szCs w:val="20"/>
                <w:color w:val="auto"/>
              </w:rPr>
            </w:pPr>
            <w:r>
              <w:rPr>
                <w:rFonts w:ascii="Arial" w:cs="Arial" w:eastAsia="Arial" w:hAnsi="Arial"/>
                <w:sz w:val="16"/>
                <w:szCs w:val="16"/>
                <w:b w:val="1"/>
                <w:bCs w:val="1"/>
                <w:color w:val="auto"/>
              </w:rPr>
              <w:t>Base Salary</w:t>
            </w:r>
          </w:p>
        </w:tc>
        <w:tc>
          <w:tcPr>
            <w:tcW w:w="9300" w:type="dxa"/>
            <w:vAlign w:val="bottom"/>
          </w:tcPr>
          <w:p>
            <w:pPr>
              <w:ind w:left="500"/>
              <w:spacing w:after="0"/>
              <w:rPr>
                <w:sz w:val="20"/>
                <w:szCs w:val="20"/>
                <w:color w:val="auto"/>
              </w:rPr>
            </w:pPr>
            <w:r>
              <w:rPr>
                <w:rFonts w:ascii="Arial" w:cs="Arial" w:eastAsia="Arial" w:hAnsi="Arial"/>
                <w:sz w:val="16"/>
                <w:szCs w:val="16"/>
                <w:color w:val="007CBA"/>
              </w:rPr>
              <w:t xml:space="preserve">•   </w:t>
            </w:r>
            <w:r>
              <w:rPr>
                <w:rFonts w:ascii="Arial" w:cs="Arial" w:eastAsia="Arial" w:hAnsi="Arial"/>
                <w:sz w:val="16"/>
                <w:szCs w:val="16"/>
                <w:color w:val="000000"/>
              </w:rPr>
              <w:t>At the February 2017 meeting, the Committee reviewed competitive market data and individual performance</w:t>
            </w:r>
          </w:p>
        </w:tc>
      </w:tr>
      <w:tr>
        <w:trPr>
          <w:trHeight w:val="209"/>
        </w:trPr>
        <w:tc>
          <w:tcPr>
            <w:tcW w:w="1720" w:type="dxa"/>
            <w:vAlign w:val="bottom"/>
          </w:tcPr>
          <w:p>
            <w:pPr>
              <w:spacing w:after="0"/>
              <w:rPr>
                <w:sz w:val="18"/>
                <w:szCs w:val="18"/>
                <w:color w:val="auto"/>
              </w:rPr>
            </w:pPr>
          </w:p>
        </w:tc>
        <w:tc>
          <w:tcPr>
            <w:tcW w:w="9300" w:type="dxa"/>
            <w:vAlign w:val="bottom"/>
          </w:tcPr>
          <w:p>
            <w:pPr>
              <w:ind w:left="740"/>
              <w:spacing w:after="0"/>
              <w:rPr>
                <w:sz w:val="20"/>
                <w:szCs w:val="20"/>
                <w:color w:val="auto"/>
              </w:rPr>
            </w:pPr>
            <w:r>
              <w:rPr>
                <w:rFonts w:ascii="Arial" w:cs="Arial" w:eastAsia="Arial" w:hAnsi="Arial"/>
                <w:sz w:val="16"/>
                <w:szCs w:val="16"/>
                <w:color w:val="auto"/>
              </w:rPr>
              <w:t>evaluations.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-266700</wp:posOffset>
            </wp:positionV>
            <wp:extent cx="6997700" cy="35763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7700" cy="3576320"/>
                    </a:xfrm>
                    <a:prstGeom prst="rect">
                      <a:avLst/>
                    </a:prstGeom>
                    <a:noFill/>
                  </pic:spPr>
                </pic:pic>
              </a:graphicData>
            </a:graphic>
          </wp:anchor>
        </w:drawing>
      </w:r>
    </w:p>
    <w:p>
      <w:pPr>
        <w:ind w:left="2700" w:hanging="254"/>
        <w:spacing w:after="0"/>
        <w:tabs>
          <w:tab w:leader="none" w:pos="2700" w:val="left"/>
        </w:tabs>
        <w:numPr>
          <w:ilvl w:val="0"/>
          <w:numId w:val="82"/>
        </w:numPr>
        <w:rPr>
          <w:rFonts w:ascii="Arial" w:cs="Arial" w:eastAsia="Arial" w:hAnsi="Arial"/>
          <w:sz w:val="16"/>
          <w:szCs w:val="16"/>
          <w:color w:val="007CBA"/>
        </w:rPr>
      </w:pPr>
      <w:r>
        <w:rPr>
          <w:rFonts w:ascii="Arial" w:cs="Arial" w:eastAsia="Arial" w:hAnsi="Arial"/>
          <w:sz w:val="16"/>
          <w:szCs w:val="16"/>
          <w:color w:val="auto"/>
        </w:rPr>
        <w:t>The Committee approved base salary increases as follows:</w:t>
      </w:r>
    </w:p>
    <w:p>
      <w:pPr>
        <w:spacing w:after="0" w:line="5" w:lineRule="exact"/>
        <w:rPr>
          <w:rFonts w:ascii="Arial" w:cs="Arial" w:eastAsia="Arial" w:hAnsi="Arial"/>
          <w:sz w:val="16"/>
          <w:szCs w:val="16"/>
          <w:color w:val="007CBA"/>
        </w:rPr>
      </w:pPr>
    </w:p>
    <w:p>
      <w:pPr>
        <w:ind w:left="2940" w:right="180" w:hanging="251"/>
        <w:spacing w:after="0" w:line="246" w:lineRule="auto"/>
        <w:tabs>
          <w:tab w:leader="none" w:pos="2955" w:val="left"/>
        </w:tabs>
        <w:numPr>
          <w:ilvl w:val="1"/>
          <w:numId w:val="82"/>
        </w:numPr>
        <w:rPr>
          <w:rFonts w:ascii="Arial" w:cs="Arial" w:eastAsia="Arial" w:hAnsi="Arial"/>
          <w:sz w:val="16"/>
          <w:szCs w:val="16"/>
          <w:color w:val="007CBA"/>
        </w:rPr>
      </w:pPr>
      <w:r>
        <w:rPr>
          <w:rFonts w:ascii="Arial" w:cs="Arial" w:eastAsia="Arial" w:hAnsi="Arial"/>
          <w:sz w:val="16"/>
          <w:szCs w:val="16"/>
          <w:color w:val="auto"/>
        </w:rPr>
        <w:t>Mr. Nye: 3.5% increase, based on his excellent achievements as CEO since 2010 in an economic environment that resulted in muted shipment volume recovery, and specifically his performance in 2017.</w:t>
      </w:r>
    </w:p>
    <w:p>
      <w:pPr>
        <w:ind w:left="2940" w:right="180" w:hanging="251"/>
        <w:spacing w:after="0" w:line="265" w:lineRule="auto"/>
        <w:tabs>
          <w:tab w:leader="none" w:pos="2944" w:val="left"/>
        </w:tabs>
        <w:numPr>
          <w:ilvl w:val="1"/>
          <w:numId w:val="82"/>
        </w:numPr>
        <w:rPr>
          <w:rFonts w:ascii="Arial" w:cs="Arial" w:eastAsia="Arial" w:hAnsi="Arial"/>
          <w:sz w:val="16"/>
          <w:szCs w:val="16"/>
          <w:color w:val="007CBA"/>
        </w:rPr>
      </w:pPr>
      <w:r>
        <w:rPr>
          <w:rFonts w:ascii="Arial" w:cs="Arial" w:eastAsia="Arial" w:hAnsi="Arial"/>
          <w:sz w:val="16"/>
          <w:szCs w:val="16"/>
          <w:color w:val="auto"/>
        </w:rPr>
        <w:t>Other NEOs: approximately 3.0% to 3.3% increases, based on a review of competitive market data and individual performance evaluations.</w:t>
      </w:r>
    </w:p>
    <w:p>
      <w:pPr>
        <w:spacing w:after="0" w:line="44" w:lineRule="exact"/>
        <w:rPr>
          <w:sz w:val="20"/>
          <w:szCs w:val="20"/>
          <w:color w:val="auto"/>
        </w:rPr>
      </w:pPr>
    </w:p>
    <w:tbl>
      <w:tblPr>
        <w:tblLayout w:type="fixed"/>
        <w:tblInd w:w="220" w:type="dxa"/>
        <w:tblCellMar>
          <w:top w:w="0" w:type="dxa"/>
          <w:left w:w="0" w:type="dxa"/>
          <w:bottom w:w="0" w:type="dxa"/>
          <w:right w:w="0" w:type="dxa"/>
        </w:tblCellMar>
      </w:tblPr>
      <w:tr>
        <w:trPr>
          <w:trHeight w:val="189"/>
        </w:trPr>
        <w:tc>
          <w:tcPr>
            <w:tcW w:w="1880" w:type="dxa"/>
            <w:vAlign w:val="bottom"/>
          </w:tcPr>
          <w:p>
            <w:pPr>
              <w:ind w:left="60"/>
              <w:spacing w:after="0"/>
              <w:rPr>
                <w:sz w:val="20"/>
                <w:szCs w:val="20"/>
                <w:color w:val="auto"/>
              </w:rPr>
            </w:pPr>
            <w:r>
              <w:rPr>
                <w:rFonts w:ascii="Arial" w:cs="Arial" w:eastAsia="Arial" w:hAnsi="Arial"/>
                <w:sz w:val="16"/>
                <w:szCs w:val="16"/>
                <w:b w:val="1"/>
                <w:bCs w:val="1"/>
                <w:color w:val="auto"/>
              </w:rPr>
              <w:t>Target Annual</w:t>
            </w:r>
          </w:p>
        </w:tc>
        <w:tc>
          <w:tcPr>
            <w:tcW w:w="9140" w:type="dxa"/>
            <w:vAlign w:val="bottom"/>
          </w:tcPr>
          <w:p>
            <w:pPr>
              <w:ind w:left="340"/>
              <w:spacing w:after="0"/>
              <w:rPr>
                <w:sz w:val="20"/>
                <w:szCs w:val="20"/>
                <w:color w:val="auto"/>
              </w:rPr>
            </w:pPr>
            <w:r>
              <w:rPr>
                <w:rFonts w:ascii="Arial" w:cs="Arial" w:eastAsia="Arial" w:hAnsi="Arial"/>
                <w:sz w:val="16"/>
                <w:szCs w:val="16"/>
                <w:color w:val="007CBA"/>
              </w:rPr>
              <w:t xml:space="preserve">•   </w:t>
            </w:r>
            <w:r>
              <w:rPr>
                <w:rFonts w:ascii="Arial" w:cs="Arial" w:eastAsia="Arial" w:hAnsi="Arial"/>
                <w:sz w:val="16"/>
                <w:szCs w:val="16"/>
                <w:color w:val="000000"/>
              </w:rPr>
              <w:t>NEO target bonuses (as a percentage of base earnings) did not change in 2017 other than Ms. Bar, whose target</w:t>
            </w:r>
          </w:p>
        </w:tc>
      </w:tr>
      <w:tr>
        <w:trPr>
          <w:trHeight w:val="191"/>
        </w:trPr>
        <w:tc>
          <w:tcPr>
            <w:tcW w:w="1880" w:type="dxa"/>
            <w:vAlign w:val="bottom"/>
          </w:tcPr>
          <w:p>
            <w:pPr>
              <w:ind w:left="60"/>
              <w:spacing w:after="0"/>
              <w:rPr>
                <w:sz w:val="20"/>
                <w:szCs w:val="20"/>
                <w:color w:val="auto"/>
              </w:rPr>
            </w:pPr>
            <w:r>
              <w:rPr>
                <w:rFonts w:ascii="Arial" w:cs="Arial" w:eastAsia="Arial" w:hAnsi="Arial"/>
                <w:sz w:val="16"/>
                <w:szCs w:val="16"/>
                <w:b w:val="1"/>
                <w:bCs w:val="1"/>
                <w:color w:val="auto"/>
              </w:rPr>
              <w:t>Cash Incentives</w:t>
            </w:r>
          </w:p>
        </w:tc>
        <w:tc>
          <w:tcPr>
            <w:tcW w:w="9140" w:type="dxa"/>
            <w:vAlign w:val="bottom"/>
          </w:tcPr>
          <w:p>
            <w:pPr>
              <w:ind w:left="580"/>
              <w:spacing w:after="0"/>
              <w:rPr>
                <w:sz w:val="20"/>
                <w:szCs w:val="20"/>
                <w:color w:val="auto"/>
              </w:rPr>
            </w:pPr>
            <w:r>
              <w:rPr>
                <w:rFonts w:ascii="Arial" w:cs="Arial" w:eastAsia="Arial" w:hAnsi="Arial"/>
                <w:sz w:val="16"/>
                <w:szCs w:val="16"/>
                <w:color w:val="auto"/>
              </w:rPr>
              <w:t>increased in connection with a promotion in November 2016.</w:t>
            </w:r>
          </w:p>
        </w:tc>
      </w:tr>
      <w:tr>
        <w:trPr>
          <w:trHeight w:val="189"/>
        </w:trPr>
        <w:tc>
          <w:tcPr>
            <w:tcW w:w="1880" w:type="dxa"/>
            <w:vAlign w:val="bottom"/>
          </w:tcPr>
          <w:p>
            <w:pPr>
              <w:spacing w:after="0"/>
              <w:rPr>
                <w:sz w:val="16"/>
                <w:szCs w:val="16"/>
                <w:color w:val="auto"/>
              </w:rPr>
            </w:pPr>
          </w:p>
        </w:tc>
        <w:tc>
          <w:tcPr>
            <w:tcW w:w="9140" w:type="dxa"/>
            <w:vAlign w:val="bottom"/>
          </w:tcPr>
          <w:p>
            <w:pPr>
              <w:ind w:left="340"/>
              <w:spacing w:after="0"/>
              <w:rPr>
                <w:sz w:val="20"/>
                <w:szCs w:val="20"/>
                <w:color w:val="auto"/>
              </w:rPr>
            </w:pPr>
            <w:r>
              <w:rPr>
                <w:rFonts w:ascii="Arial" w:cs="Arial" w:eastAsia="Arial" w:hAnsi="Arial"/>
                <w:sz w:val="16"/>
                <w:szCs w:val="16"/>
                <w:color w:val="007CBA"/>
              </w:rPr>
              <w:t xml:space="preserve">•   </w:t>
            </w:r>
            <w:r>
              <w:rPr>
                <w:rFonts w:ascii="Arial" w:cs="Arial" w:eastAsia="Arial" w:hAnsi="Arial"/>
                <w:sz w:val="16"/>
                <w:szCs w:val="16"/>
                <w:color w:val="000000"/>
              </w:rPr>
              <w:t>Our shareholders in 2016 approved a new Cash Incentive Plan that fixed the bonus amounts based on certain</w:t>
            </w:r>
          </w:p>
        </w:tc>
      </w:tr>
      <w:tr>
        <w:trPr>
          <w:trHeight w:val="189"/>
        </w:trPr>
        <w:tc>
          <w:tcPr>
            <w:tcW w:w="1880" w:type="dxa"/>
            <w:vAlign w:val="bottom"/>
          </w:tcPr>
          <w:p>
            <w:pPr>
              <w:spacing w:after="0"/>
              <w:rPr>
                <w:sz w:val="16"/>
                <w:szCs w:val="16"/>
                <w:color w:val="auto"/>
              </w:rPr>
            </w:pPr>
          </w:p>
        </w:tc>
        <w:tc>
          <w:tcPr>
            <w:tcW w:w="9140" w:type="dxa"/>
            <w:vAlign w:val="bottom"/>
          </w:tcPr>
          <w:p>
            <w:pPr>
              <w:ind w:left="580"/>
              <w:spacing w:after="0"/>
              <w:rPr>
                <w:sz w:val="20"/>
                <w:szCs w:val="20"/>
                <w:color w:val="auto"/>
              </w:rPr>
            </w:pPr>
            <w:r>
              <w:rPr>
                <w:rFonts w:ascii="Arial" w:cs="Arial" w:eastAsia="Arial" w:hAnsi="Arial"/>
                <w:sz w:val="16"/>
                <w:szCs w:val="16"/>
                <w:color w:val="auto"/>
              </w:rPr>
              <w:t>objective criteria and allowed the Committee to reduce the award based on enumerated factors in the plan. The</w:t>
            </w:r>
          </w:p>
        </w:tc>
      </w:tr>
      <w:tr>
        <w:trPr>
          <w:trHeight w:val="189"/>
        </w:trPr>
        <w:tc>
          <w:tcPr>
            <w:tcW w:w="1880" w:type="dxa"/>
            <w:vAlign w:val="bottom"/>
          </w:tcPr>
          <w:p>
            <w:pPr>
              <w:spacing w:after="0"/>
              <w:rPr>
                <w:sz w:val="16"/>
                <w:szCs w:val="16"/>
                <w:color w:val="auto"/>
              </w:rPr>
            </w:pPr>
          </w:p>
        </w:tc>
        <w:tc>
          <w:tcPr>
            <w:tcW w:w="9140" w:type="dxa"/>
            <w:vAlign w:val="bottom"/>
          </w:tcPr>
          <w:p>
            <w:pPr>
              <w:ind w:left="580"/>
              <w:spacing w:after="0"/>
              <w:rPr>
                <w:sz w:val="20"/>
                <w:szCs w:val="20"/>
                <w:color w:val="auto"/>
              </w:rPr>
            </w:pPr>
            <w:r>
              <w:rPr>
                <w:rFonts w:ascii="Arial" w:cs="Arial" w:eastAsia="Arial" w:hAnsi="Arial"/>
                <w:sz w:val="16"/>
                <w:szCs w:val="16"/>
                <w:color w:val="auto"/>
              </w:rPr>
              <w:t>Committee implemented the Executive Cash Incentive Plan by reference to amounts payable under our Executive</w:t>
            </w:r>
          </w:p>
        </w:tc>
      </w:tr>
      <w:tr>
        <w:trPr>
          <w:trHeight w:val="189"/>
        </w:trPr>
        <w:tc>
          <w:tcPr>
            <w:tcW w:w="1880" w:type="dxa"/>
            <w:vAlign w:val="bottom"/>
          </w:tcPr>
          <w:p>
            <w:pPr>
              <w:spacing w:after="0"/>
              <w:rPr>
                <w:sz w:val="16"/>
                <w:szCs w:val="16"/>
                <w:color w:val="auto"/>
              </w:rPr>
            </w:pPr>
          </w:p>
        </w:tc>
        <w:tc>
          <w:tcPr>
            <w:tcW w:w="9140" w:type="dxa"/>
            <w:vAlign w:val="bottom"/>
          </w:tcPr>
          <w:p>
            <w:pPr>
              <w:ind w:left="580"/>
              <w:spacing w:after="0"/>
              <w:rPr>
                <w:sz w:val="20"/>
                <w:szCs w:val="20"/>
                <w:color w:val="auto"/>
              </w:rPr>
            </w:pPr>
            <w:r>
              <w:rPr>
                <w:rFonts w:ascii="Arial" w:cs="Arial" w:eastAsia="Arial" w:hAnsi="Arial"/>
                <w:sz w:val="16"/>
                <w:szCs w:val="16"/>
                <w:color w:val="auto"/>
              </w:rPr>
              <w:t>Incentive Plan.</w:t>
            </w:r>
          </w:p>
        </w:tc>
      </w:tr>
      <w:tr>
        <w:trPr>
          <w:trHeight w:val="189"/>
        </w:trPr>
        <w:tc>
          <w:tcPr>
            <w:tcW w:w="1880" w:type="dxa"/>
            <w:vAlign w:val="bottom"/>
          </w:tcPr>
          <w:p>
            <w:pPr>
              <w:spacing w:after="0"/>
              <w:rPr>
                <w:sz w:val="16"/>
                <w:szCs w:val="16"/>
                <w:color w:val="auto"/>
              </w:rPr>
            </w:pPr>
          </w:p>
        </w:tc>
        <w:tc>
          <w:tcPr>
            <w:tcW w:w="9140" w:type="dxa"/>
            <w:vAlign w:val="bottom"/>
          </w:tcPr>
          <w:p>
            <w:pPr>
              <w:ind w:left="340"/>
              <w:spacing w:after="0"/>
              <w:rPr>
                <w:sz w:val="20"/>
                <w:szCs w:val="20"/>
                <w:color w:val="auto"/>
              </w:rPr>
            </w:pPr>
            <w:r>
              <w:rPr>
                <w:rFonts w:ascii="Arial" w:cs="Arial" w:eastAsia="Arial" w:hAnsi="Arial"/>
                <w:sz w:val="16"/>
                <w:szCs w:val="16"/>
                <w:color w:val="007CBA"/>
              </w:rPr>
              <w:t xml:space="preserve">•  </w:t>
            </w:r>
            <w:r>
              <w:rPr>
                <w:rFonts w:ascii="Arial" w:cs="Arial" w:eastAsia="Arial" w:hAnsi="Arial"/>
                <w:sz w:val="16"/>
                <w:szCs w:val="16"/>
                <w:color w:val="000000"/>
              </w:rPr>
              <w:t>Our CEO is required to invest a minimum of 35% of his annual cash bonus into stock units, which are held generally</w:t>
            </w:r>
          </w:p>
        </w:tc>
      </w:tr>
      <w:tr>
        <w:trPr>
          <w:trHeight w:val="189"/>
        </w:trPr>
        <w:tc>
          <w:tcPr>
            <w:tcW w:w="1880" w:type="dxa"/>
            <w:vAlign w:val="bottom"/>
          </w:tcPr>
          <w:p>
            <w:pPr>
              <w:spacing w:after="0"/>
              <w:rPr>
                <w:sz w:val="16"/>
                <w:szCs w:val="16"/>
                <w:color w:val="auto"/>
              </w:rPr>
            </w:pPr>
          </w:p>
        </w:tc>
        <w:tc>
          <w:tcPr>
            <w:tcW w:w="9140" w:type="dxa"/>
            <w:vAlign w:val="bottom"/>
          </w:tcPr>
          <w:p>
            <w:pPr>
              <w:ind w:left="580"/>
              <w:spacing w:after="0"/>
              <w:rPr>
                <w:sz w:val="20"/>
                <w:szCs w:val="20"/>
                <w:color w:val="auto"/>
              </w:rPr>
            </w:pPr>
            <w:r>
              <w:rPr>
                <w:rFonts w:ascii="Arial" w:cs="Arial" w:eastAsia="Arial" w:hAnsi="Arial"/>
                <w:sz w:val="16"/>
                <w:szCs w:val="16"/>
                <w:color w:val="auto"/>
              </w:rPr>
              <w:t>for a period of three years.</w:t>
            </w:r>
          </w:p>
        </w:tc>
      </w:tr>
      <w:tr>
        <w:trPr>
          <w:trHeight w:val="189"/>
        </w:trPr>
        <w:tc>
          <w:tcPr>
            <w:tcW w:w="1880" w:type="dxa"/>
            <w:vAlign w:val="bottom"/>
          </w:tcPr>
          <w:p>
            <w:pPr>
              <w:spacing w:after="0"/>
              <w:rPr>
                <w:sz w:val="16"/>
                <w:szCs w:val="16"/>
                <w:color w:val="auto"/>
              </w:rPr>
            </w:pPr>
          </w:p>
        </w:tc>
        <w:tc>
          <w:tcPr>
            <w:tcW w:w="9140" w:type="dxa"/>
            <w:vAlign w:val="bottom"/>
          </w:tcPr>
          <w:p>
            <w:pPr>
              <w:ind w:left="340"/>
              <w:spacing w:after="0"/>
              <w:rPr>
                <w:sz w:val="20"/>
                <w:szCs w:val="20"/>
                <w:color w:val="auto"/>
              </w:rPr>
            </w:pPr>
            <w:r>
              <w:rPr>
                <w:rFonts w:ascii="Arial" w:cs="Arial" w:eastAsia="Arial" w:hAnsi="Arial"/>
                <w:sz w:val="16"/>
                <w:szCs w:val="16"/>
                <w:color w:val="007CBA"/>
              </w:rPr>
              <w:t xml:space="preserve">•   </w:t>
            </w:r>
            <w:r>
              <w:rPr>
                <w:rFonts w:ascii="Arial" w:cs="Arial" w:eastAsia="Arial" w:hAnsi="Arial"/>
                <w:sz w:val="16"/>
                <w:szCs w:val="16"/>
                <w:color w:val="000000"/>
              </w:rPr>
              <w:t>Other NEOs are required to invest a minimum of 20% of their annual cash bonus into stock units, which are held</w:t>
            </w:r>
          </w:p>
        </w:tc>
      </w:tr>
      <w:tr>
        <w:trPr>
          <w:trHeight w:val="219"/>
        </w:trPr>
        <w:tc>
          <w:tcPr>
            <w:tcW w:w="1880" w:type="dxa"/>
            <w:vAlign w:val="bottom"/>
          </w:tcPr>
          <w:p>
            <w:pPr>
              <w:spacing w:after="0"/>
              <w:rPr>
                <w:sz w:val="19"/>
                <w:szCs w:val="19"/>
                <w:color w:val="auto"/>
              </w:rPr>
            </w:pPr>
          </w:p>
        </w:tc>
        <w:tc>
          <w:tcPr>
            <w:tcW w:w="9140" w:type="dxa"/>
            <w:vAlign w:val="bottom"/>
          </w:tcPr>
          <w:p>
            <w:pPr>
              <w:ind w:left="580"/>
              <w:spacing w:after="0"/>
              <w:rPr>
                <w:sz w:val="20"/>
                <w:szCs w:val="20"/>
                <w:color w:val="auto"/>
              </w:rPr>
            </w:pPr>
            <w:r>
              <w:rPr>
                <w:rFonts w:ascii="Arial" w:cs="Arial" w:eastAsia="Arial" w:hAnsi="Arial"/>
                <w:sz w:val="16"/>
                <w:szCs w:val="16"/>
                <w:color w:val="auto"/>
              </w:rPr>
              <w:t>generally for a period of three years. Mr. Nickolas and Ms. Lloyd did not participate in this program in 2017.</w:t>
            </w:r>
          </w:p>
        </w:tc>
      </w:tr>
      <w:tr>
        <w:trPr>
          <w:trHeight w:val="43"/>
        </w:trPr>
        <w:tc>
          <w:tcPr>
            <w:tcW w:w="1880" w:type="dxa"/>
            <w:vAlign w:val="bottom"/>
          </w:tcPr>
          <w:p>
            <w:pPr>
              <w:spacing w:after="0"/>
              <w:rPr>
                <w:sz w:val="3"/>
                <w:szCs w:val="3"/>
                <w:color w:val="auto"/>
              </w:rPr>
            </w:pPr>
          </w:p>
        </w:tc>
        <w:tc>
          <w:tcPr>
            <w:tcW w:w="9140" w:type="dxa"/>
            <w:vAlign w:val="bottom"/>
          </w:tcPr>
          <w:p>
            <w:pPr>
              <w:spacing w:after="0"/>
              <w:rPr>
                <w:sz w:val="3"/>
                <w:szCs w:val="3"/>
                <w:color w:val="auto"/>
              </w:rPr>
            </w:pPr>
          </w:p>
        </w:tc>
      </w:tr>
      <w:tr>
        <w:trPr>
          <w:trHeight w:val="209"/>
        </w:trPr>
        <w:tc>
          <w:tcPr>
            <w:tcW w:w="1880" w:type="dxa"/>
            <w:vAlign w:val="bottom"/>
            <w:shd w:val="clear" w:color="auto" w:fill="E5F1F8"/>
          </w:tcPr>
          <w:p>
            <w:pPr>
              <w:ind w:left="60"/>
              <w:spacing w:after="0"/>
              <w:rPr>
                <w:sz w:val="20"/>
                <w:szCs w:val="20"/>
                <w:color w:val="auto"/>
              </w:rPr>
            </w:pPr>
            <w:r>
              <w:rPr>
                <w:rFonts w:ascii="Arial" w:cs="Arial" w:eastAsia="Arial" w:hAnsi="Arial"/>
                <w:sz w:val="16"/>
                <w:szCs w:val="16"/>
                <w:b w:val="1"/>
                <w:bCs w:val="1"/>
                <w:color w:val="auto"/>
              </w:rPr>
              <w:t>Long-Term</w:t>
            </w:r>
          </w:p>
        </w:tc>
        <w:tc>
          <w:tcPr>
            <w:tcW w:w="9140" w:type="dxa"/>
            <w:vAlign w:val="bottom"/>
            <w:shd w:val="clear" w:color="auto" w:fill="E5F1F8"/>
          </w:tcPr>
          <w:p>
            <w:pPr>
              <w:ind w:left="340"/>
              <w:spacing w:after="0"/>
              <w:rPr>
                <w:sz w:val="20"/>
                <w:szCs w:val="20"/>
                <w:color w:val="auto"/>
              </w:rPr>
            </w:pPr>
            <w:r>
              <w:rPr>
                <w:rFonts w:ascii="Arial" w:cs="Arial" w:eastAsia="Arial" w:hAnsi="Arial"/>
                <w:sz w:val="16"/>
                <w:szCs w:val="16"/>
                <w:color w:val="007CBA"/>
              </w:rPr>
              <w:t xml:space="preserve">•  </w:t>
            </w:r>
            <w:r>
              <w:rPr>
                <w:rFonts w:ascii="Arial" w:cs="Arial" w:eastAsia="Arial" w:hAnsi="Arial"/>
                <w:sz w:val="16"/>
                <w:szCs w:val="16"/>
                <w:color w:val="000000"/>
              </w:rPr>
              <w:t>Our LTI structure consisted of PSUs and performance-based RSUs.</w:t>
            </w:r>
          </w:p>
        </w:tc>
      </w:tr>
      <w:tr>
        <w:trPr>
          <w:trHeight w:val="191"/>
        </w:trPr>
        <w:tc>
          <w:tcPr>
            <w:tcW w:w="1880" w:type="dxa"/>
            <w:vAlign w:val="bottom"/>
            <w:shd w:val="clear" w:color="auto" w:fill="E5F1F8"/>
          </w:tcPr>
          <w:p>
            <w:pPr>
              <w:ind w:left="60"/>
              <w:spacing w:after="0"/>
              <w:rPr>
                <w:sz w:val="20"/>
                <w:szCs w:val="20"/>
                <w:color w:val="auto"/>
              </w:rPr>
            </w:pPr>
            <w:r>
              <w:rPr>
                <w:rFonts w:ascii="Arial" w:cs="Arial" w:eastAsia="Arial" w:hAnsi="Arial"/>
                <w:sz w:val="16"/>
                <w:szCs w:val="16"/>
                <w:b w:val="1"/>
                <w:bCs w:val="1"/>
                <w:color w:val="auto"/>
              </w:rPr>
              <w:t>Incentives</w:t>
            </w:r>
          </w:p>
        </w:tc>
        <w:tc>
          <w:tcPr>
            <w:tcW w:w="9140" w:type="dxa"/>
            <w:vAlign w:val="bottom"/>
            <w:shd w:val="clear" w:color="auto" w:fill="E5F1F8"/>
          </w:tcPr>
          <w:p>
            <w:pPr>
              <w:ind w:left="340"/>
              <w:spacing w:after="0"/>
              <w:rPr>
                <w:sz w:val="20"/>
                <w:szCs w:val="20"/>
                <w:color w:val="auto"/>
              </w:rPr>
            </w:pPr>
            <w:r>
              <w:rPr>
                <w:rFonts w:ascii="Arial" w:cs="Arial" w:eastAsia="Arial" w:hAnsi="Arial"/>
                <w:sz w:val="16"/>
                <w:szCs w:val="16"/>
                <w:color w:val="007CBA"/>
              </w:rPr>
              <w:t xml:space="preserve">•   </w:t>
            </w:r>
            <w:r>
              <w:rPr>
                <w:rFonts w:ascii="Arial" w:cs="Arial" w:eastAsia="Arial" w:hAnsi="Arial"/>
                <w:sz w:val="16"/>
                <w:szCs w:val="16"/>
                <w:color w:val="000000"/>
              </w:rPr>
              <w:t>The LTI awards for NEOs in 2017 were weighted 55% PSUs and 45% RSUs. The LTI grant size is based on</w:t>
            </w:r>
          </w:p>
        </w:tc>
      </w:tr>
      <w:tr>
        <w:trPr>
          <w:trHeight w:val="189"/>
        </w:trPr>
        <w:tc>
          <w:tcPr>
            <w:tcW w:w="1880" w:type="dxa"/>
            <w:vAlign w:val="bottom"/>
            <w:shd w:val="clear" w:color="auto" w:fill="E5F1F8"/>
          </w:tcPr>
          <w:p>
            <w:pPr>
              <w:spacing w:after="0"/>
              <w:rPr>
                <w:sz w:val="16"/>
                <w:szCs w:val="16"/>
                <w:color w:val="auto"/>
              </w:rPr>
            </w:pPr>
          </w:p>
        </w:tc>
        <w:tc>
          <w:tcPr>
            <w:tcW w:w="9140" w:type="dxa"/>
            <w:vAlign w:val="bottom"/>
            <w:shd w:val="clear" w:color="auto" w:fill="E5F1F8"/>
          </w:tcPr>
          <w:p>
            <w:pPr>
              <w:ind w:left="580"/>
              <w:spacing w:after="0"/>
              <w:rPr>
                <w:sz w:val="20"/>
                <w:szCs w:val="20"/>
                <w:color w:val="auto"/>
              </w:rPr>
            </w:pPr>
            <w:r>
              <w:rPr>
                <w:rFonts w:ascii="Arial" w:cs="Arial" w:eastAsia="Arial" w:hAnsi="Arial"/>
                <w:sz w:val="16"/>
                <w:szCs w:val="16"/>
                <w:color w:val="auto"/>
              </w:rPr>
              <w:t>competitive market data.</w:t>
            </w:r>
          </w:p>
        </w:tc>
      </w:tr>
      <w:tr>
        <w:trPr>
          <w:trHeight w:val="189"/>
        </w:trPr>
        <w:tc>
          <w:tcPr>
            <w:tcW w:w="1880" w:type="dxa"/>
            <w:vAlign w:val="bottom"/>
            <w:shd w:val="clear" w:color="auto" w:fill="E5F1F8"/>
          </w:tcPr>
          <w:p>
            <w:pPr>
              <w:spacing w:after="0"/>
              <w:rPr>
                <w:sz w:val="16"/>
                <w:szCs w:val="16"/>
                <w:color w:val="auto"/>
              </w:rPr>
            </w:pPr>
          </w:p>
        </w:tc>
        <w:tc>
          <w:tcPr>
            <w:tcW w:w="9140" w:type="dxa"/>
            <w:vAlign w:val="bottom"/>
            <w:shd w:val="clear" w:color="auto" w:fill="E5F1F8"/>
          </w:tcPr>
          <w:p>
            <w:pPr>
              <w:ind w:left="340"/>
              <w:spacing w:after="0"/>
              <w:rPr>
                <w:sz w:val="20"/>
                <w:szCs w:val="20"/>
                <w:color w:val="auto"/>
              </w:rPr>
            </w:pPr>
            <w:r>
              <w:rPr>
                <w:rFonts w:ascii="Arial" w:cs="Arial" w:eastAsia="Arial" w:hAnsi="Arial"/>
                <w:sz w:val="16"/>
                <w:szCs w:val="16"/>
                <w:color w:val="007CBA"/>
              </w:rPr>
              <w:t xml:space="preserve">•   </w:t>
            </w:r>
            <w:r>
              <w:rPr>
                <w:rFonts w:ascii="Arial" w:cs="Arial" w:eastAsia="Arial" w:hAnsi="Arial"/>
                <w:sz w:val="16"/>
                <w:szCs w:val="16"/>
                <w:color w:val="000000"/>
              </w:rPr>
              <w:t>PSU awards in 2017 are earned based on achievement of performance levels, with 33% based on three-year</w:t>
            </w:r>
          </w:p>
        </w:tc>
      </w:tr>
      <w:tr>
        <w:trPr>
          <w:trHeight w:val="189"/>
        </w:trPr>
        <w:tc>
          <w:tcPr>
            <w:tcW w:w="1880" w:type="dxa"/>
            <w:vAlign w:val="bottom"/>
            <w:shd w:val="clear" w:color="auto" w:fill="E5F1F8"/>
          </w:tcPr>
          <w:p>
            <w:pPr>
              <w:spacing w:after="0"/>
              <w:rPr>
                <w:sz w:val="16"/>
                <w:szCs w:val="16"/>
                <w:color w:val="auto"/>
              </w:rPr>
            </w:pPr>
          </w:p>
        </w:tc>
        <w:tc>
          <w:tcPr>
            <w:tcW w:w="9140" w:type="dxa"/>
            <w:vAlign w:val="bottom"/>
            <w:shd w:val="clear" w:color="auto" w:fill="E5F1F8"/>
          </w:tcPr>
          <w:p>
            <w:pPr>
              <w:ind w:left="580"/>
              <w:spacing w:after="0"/>
              <w:rPr>
                <w:sz w:val="20"/>
                <w:szCs w:val="20"/>
                <w:color w:val="auto"/>
              </w:rPr>
            </w:pPr>
            <w:r>
              <w:rPr>
                <w:rFonts w:ascii="Arial" w:cs="Arial" w:eastAsia="Arial" w:hAnsi="Arial"/>
                <w:sz w:val="16"/>
                <w:szCs w:val="16"/>
                <w:color w:val="auto"/>
              </w:rPr>
              <w:t>cumulative Sales Growth and 67% based on three-year cumulative EBITDA performance. The Company’s relative</w:t>
            </w:r>
          </w:p>
        </w:tc>
      </w:tr>
      <w:tr>
        <w:trPr>
          <w:trHeight w:val="189"/>
        </w:trPr>
        <w:tc>
          <w:tcPr>
            <w:tcW w:w="1880" w:type="dxa"/>
            <w:vAlign w:val="bottom"/>
            <w:shd w:val="clear" w:color="auto" w:fill="E5F1F8"/>
          </w:tcPr>
          <w:p>
            <w:pPr>
              <w:spacing w:after="0"/>
              <w:rPr>
                <w:sz w:val="16"/>
                <w:szCs w:val="16"/>
                <w:color w:val="auto"/>
              </w:rPr>
            </w:pPr>
          </w:p>
        </w:tc>
        <w:tc>
          <w:tcPr>
            <w:tcW w:w="9140" w:type="dxa"/>
            <w:vAlign w:val="bottom"/>
            <w:shd w:val="clear" w:color="auto" w:fill="E5F1F8"/>
          </w:tcPr>
          <w:p>
            <w:pPr>
              <w:ind w:left="580"/>
              <w:spacing w:after="0"/>
              <w:rPr>
                <w:sz w:val="20"/>
                <w:szCs w:val="20"/>
                <w:color w:val="auto"/>
              </w:rPr>
            </w:pPr>
            <w:r>
              <w:rPr>
                <w:rFonts w:ascii="Arial" w:cs="Arial" w:eastAsia="Arial" w:hAnsi="Arial"/>
                <w:sz w:val="16"/>
                <w:szCs w:val="16"/>
                <w:color w:val="auto"/>
              </w:rPr>
              <w:t>TSR ranking compared to major U.S. companies in similar industries provides a modifier to the award up to 20%.</w:t>
            </w:r>
          </w:p>
        </w:tc>
      </w:tr>
      <w:tr>
        <w:trPr>
          <w:trHeight w:val="241"/>
        </w:trPr>
        <w:tc>
          <w:tcPr>
            <w:tcW w:w="1880" w:type="dxa"/>
            <w:vAlign w:val="bottom"/>
            <w:tcBorders>
              <w:bottom w:val="single" w:sz="8" w:color="E5F1F8"/>
            </w:tcBorders>
            <w:shd w:val="clear" w:color="auto" w:fill="E5F1F8"/>
          </w:tcPr>
          <w:p>
            <w:pPr>
              <w:spacing w:after="0"/>
              <w:rPr>
                <w:sz w:val="20"/>
                <w:szCs w:val="20"/>
                <w:color w:val="auto"/>
              </w:rPr>
            </w:pPr>
          </w:p>
        </w:tc>
        <w:tc>
          <w:tcPr>
            <w:tcW w:w="9140" w:type="dxa"/>
            <w:vAlign w:val="bottom"/>
            <w:tcBorders>
              <w:bottom w:val="single" w:sz="8" w:color="E5F1F8"/>
            </w:tcBorders>
            <w:shd w:val="clear" w:color="auto" w:fill="E5F1F8"/>
          </w:tcPr>
          <w:p>
            <w:pPr>
              <w:ind w:left="340"/>
              <w:spacing w:after="0"/>
              <w:rPr>
                <w:sz w:val="20"/>
                <w:szCs w:val="20"/>
                <w:color w:val="auto"/>
              </w:rPr>
            </w:pPr>
            <w:r>
              <w:rPr>
                <w:rFonts w:ascii="Arial" w:cs="Arial" w:eastAsia="Arial" w:hAnsi="Arial"/>
                <w:sz w:val="16"/>
                <w:szCs w:val="16"/>
                <w:color w:val="007CBA"/>
              </w:rPr>
              <w:t xml:space="preserve">•  </w:t>
            </w:r>
            <w:r>
              <w:rPr>
                <w:rFonts w:ascii="Arial" w:cs="Arial" w:eastAsia="Arial" w:hAnsi="Arial"/>
                <w:sz w:val="16"/>
                <w:szCs w:val="16"/>
                <w:color w:val="000000"/>
              </w:rPr>
              <w:t>RSU awards to NEOs in 2017 are subject to the achievement of one-year EBITDA performance.</w:t>
            </w:r>
          </w:p>
        </w:tc>
      </w:tr>
      <w:tr>
        <w:trPr>
          <w:trHeight w:val="211"/>
        </w:trPr>
        <w:tc>
          <w:tcPr>
            <w:tcW w:w="1880" w:type="dxa"/>
            <w:vAlign w:val="bottom"/>
          </w:tcPr>
          <w:p>
            <w:pPr>
              <w:ind w:left="60"/>
              <w:spacing w:after="0"/>
              <w:rPr>
                <w:sz w:val="20"/>
                <w:szCs w:val="20"/>
                <w:color w:val="auto"/>
              </w:rPr>
            </w:pPr>
            <w:r>
              <w:rPr>
                <w:rFonts w:ascii="Arial" w:cs="Arial" w:eastAsia="Arial" w:hAnsi="Arial"/>
                <w:sz w:val="16"/>
                <w:szCs w:val="16"/>
                <w:b w:val="1"/>
                <w:bCs w:val="1"/>
                <w:color w:val="auto"/>
              </w:rPr>
              <w:t>Total Compensation</w:t>
            </w:r>
          </w:p>
        </w:tc>
        <w:tc>
          <w:tcPr>
            <w:tcW w:w="9140" w:type="dxa"/>
            <w:vAlign w:val="bottom"/>
          </w:tcPr>
          <w:p>
            <w:pPr>
              <w:ind w:left="260"/>
              <w:spacing w:after="0"/>
              <w:rPr>
                <w:sz w:val="20"/>
                <w:szCs w:val="20"/>
                <w:color w:val="auto"/>
              </w:rPr>
            </w:pPr>
            <w:r>
              <w:rPr>
                <w:rFonts w:ascii="Arial" w:cs="Arial" w:eastAsia="Arial" w:hAnsi="Arial"/>
                <w:sz w:val="16"/>
                <w:szCs w:val="16"/>
                <w:color w:val="auto"/>
              </w:rPr>
              <w:t>The Committee uses the size-adjusted 50th percentile of our Compensation Peer Group as a guidepost in setting the</w:t>
            </w:r>
          </w:p>
        </w:tc>
      </w:tr>
      <w:tr>
        <w:trPr>
          <w:trHeight w:val="189"/>
        </w:trPr>
        <w:tc>
          <w:tcPr>
            <w:tcW w:w="1880" w:type="dxa"/>
            <w:vAlign w:val="bottom"/>
          </w:tcPr>
          <w:p>
            <w:pPr>
              <w:spacing w:after="0"/>
              <w:rPr>
                <w:sz w:val="16"/>
                <w:szCs w:val="16"/>
                <w:color w:val="auto"/>
              </w:rPr>
            </w:pPr>
          </w:p>
        </w:tc>
        <w:tc>
          <w:tcPr>
            <w:tcW w:w="9140" w:type="dxa"/>
            <w:vAlign w:val="bottom"/>
          </w:tcPr>
          <w:p>
            <w:pPr>
              <w:ind w:left="260"/>
              <w:spacing w:after="0"/>
              <w:rPr>
                <w:sz w:val="20"/>
                <w:szCs w:val="20"/>
                <w:color w:val="auto"/>
              </w:rPr>
            </w:pPr>
            <w:r>
              <w:rPr>
                <w:rFonts w:ascii="Arial" w:cs="Arial" w:eastAsia="Arial" w:hAnsi="Arial"/>
                <w:sz w:val="16"/>
                <w:szCs w:val="16"/>
                <w:color w:val="auto"/>
              </w:rPr>
              <w:t>target for the total compensation opportunity, but considers a variety of factors in setting compensation. Overall, the</w:t>
            </w:r>
          </w:p>
        </w:tc>
      </w:tr>
      <w:tr>
        <w:trPr>
          <w:trHeight w:val="189"/>
        </w:trPr>
        <w:tc>
          <w:tcPr>
            <w:tcW w:w="1880" w:type="dxa"/>
            <w:vAlign w:val="bottom"/>
          </w:tcPr>
          <w:p>
            <w:pPr>
              <w:spacing w:after="0"/>
              <w:rPr>
                <w:sz w:val="16"/>
                <w:szCs w:val="16"/>
                <w:color w:val="auto"/>
              </w:rPr>
            </w:pPr>
          </w:p>
        </w:tc>
        <w:tc>
          <w:tcPr>
            <w:tcW w:w="9140" w:type="dxa"/>
            <w:vAlign w:val="bottom"/>
          </w:tcPr>
          <w:p>
            <w:pPr>
              <w:ind w:left="260"/>
              <w:spacing w:after="0"/>
              <w:rPr>
                <w:sz w:val="20"/>
                <w:szCs w:val="20"/>
                <w:color w:val="auto"/>
              </w:rPr>
            </w:pPr>
            <w:r>
              <w:rPr>
                <w:rFonts w:ascii="Arial" w:cs="Arial" w:eastAsia="Arial" w:hAnsi="Arial"/>
                <w:sz w:val="16"/>
                <w:szCs w:val="16"/>
                <w:color w:val="auto"/>
              </w:rPr>
              <w:t>Committee believes targeted compensation should be more heavily weighted on variable “at-risk” compensation and</w:t>
            </w:r>
          </w:p>
        </w:tc>
      </w:tr>
      <w:tr>
        <w:trPr>
          <w:trHeight w:val="219"/>
        </w:trPr>
        <w:tc>
          <w:tcPr>
            <w:tcW w:w="1880" w:type="dxa"/>
            <w:vAlign w:val="bottom"/>
          </w:tcPr>
          <w:p>
            <w:pPr>
              <w:spacing w:after="0"/>
              <w:rPr>
                <w:sz w:val="19"/>
                <w:szCs w:val="19"/>
                <w:color w:val="auto"/>
              </w:rPr>
            </w:pPr>
          </w:p>
        </w:tc>
        <w:tc>
          <w:tcPr>
            <w:tcW w:w="9140" w:type="dxa"/>
            <w:vAlign w:val="bottom"/>
          </w:tcPr>
          <w:p>
            <w:pPr>
              <w:ind w:left="260"/>
              <w:spacing w:after="0"/>
              <w:rPr>
                <w:sz w:val="20"/>
                <w:szCs w:val="20"/>
                <w:color w:val="auto"/>
              </w:rPr>
            </w:pPr>
            <w:r>
              <w:rPr>
                <w:rFonts w:ascii="Arial" w:cs="Arial" w:eastAsia="Arial" w:hAnsi="Arial"/>
                <w:sz w:val="16"/>
                <w:szCs w:val="16"/>
                <w:color w:val="auto"/>
              </w:rPr>
              <w:t>longer-term components.</w:t>
            </w:r>
          </w:p>
        </w:tc>
      </w:tr>
    </w:tbl>
    <w:p>
      <w:pPr>
        <w:spacing w:after="0" w:line="17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xml:space="preserve">The Committee approved the following </w:t>
      </w:r>
      <w:r>
        <w:rPr>
          <w:rFonts w:ascii="Arial" w:cs="Arial" w:eastAsia="Arial" w:hAnsi="Arial"/>
          <w:sz w:val="16"/>
          <w:szCs w:val="16"/>
          <w:b w:val="1"/>
          <w:bCs w:val="1"/>
          <w:color w:val="auto"/>
        </w:rPr>
        <w:t>actual</w:t>
      </w:r>
      <w:r>
        <w:rPr>
          <w:rFonts w:ascii="Arial" w:cs="Arial" w:eastAsia="Arial" w:hAnsi="Arial"/>
          <w:sz w:val="16"/>
          <w:szCs w:val="16"/>
          <w:color w:val="auto"/>
        </w:rPr>
        <w:t xml:space="preserve"> compensation items in 2017.</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Base Salary</w:t>
      </w:r>
    </w:p>
    <w:p>
      <w:pPr>
        <w:spacing w:after="0" w:line="26" w:lineRule="exact"/>
        <w:rPr>
          <w:sz w:val="20"/>
          <w:szCs w:val="20"/>
          <w:color w:val="auto"/>
        </w:rPr>
      </w:pPr>
    </w:p>
    <w:p>
      <w:pPr>
        <w:jc w:val="both"/>
        <w:ind w:left="200" w:right="20"/>
        <w:spacing w:after="0" w:line="253" w:lineRule="auto"/>
        <w:rPr>
          <w:sz w:val="20"/>
          <w:szCs w:val="20"/>
          <w:color w:val="auto"/>
        </w:rPr>
      </w:pPr>
      <w:r>
        <w:rPr>
          <w:rFonts w:ascii="Arial" w:cs="Arial" w:eastAsia="Arial" w:hAnsi="Arial"/>
          <w:sz w:val="16"/>
          <w:szCs w:val="16"/>
          <w:color w:val="auto"/>
        </w:rPr>
        <w:t>The Committee determines base salaries for the NEOs and other executives based on a number of factors, including but not limited to, market data, individual performance, the Company’s performance, and management recommendations (except for the CEO). At the February 2017 meeting (other than for Mr. Nickolas), based on a review of competitive market data and management’s recommendations based on individual performance (except for the CEO), and the Committee’s assessment of Mr. Nye’s performance, the Committee approved the following increases.</w:t>
      </w:r>
    </w:p>
    <w:p>
      <w:pPr>
        <w:spacing w:after="0" w:line="195" w:lineRule="exact"/>
        <w:rPr>
          <w:sz w:val="20"/>
          <w:szCs w:val="20"/>
          <w:color w:val="auto"/>
        </w:rPr>
      </w:pPr>
    </w:p>
    <w:tbl>
      <w:tblPr>
        <w:tblLayout w:type="fixed"/>
        <w:tblInd w:w="20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7340" w:type="dxa"/>
            <w:vAlign w:val="bottom"/>
            <w:tcBorders>
              <w:right w:val="single" w:sz="8" w:color="007CBA"/>
            </w:tcBorders>
            <w:shd w:val="clear" w:color="auto" w:fill="007CBA"/>
          </w:tcPr>
          <w:p>
            <w:pPr>
              <w:spacing w:after="0"/>
              <w:rPr>
                <w:sz w:val="18"/>
                <w:szCs w:val="18"/>
                <w:color w:val="auto"/>
              </w:rPr>
            </w:pPr>
          </w:p>
        </w:tc>
        <w:tc>
          <w:tcPr>
            <w:tcW w:w="220" w:type="dxa"/>
            <w:vAlign w:val="bottom"/>
            <w:shd w:val="clear" w:color="auto" w:fill="007CBA"/>
          </w:tcPr>
          <w:p>
            <w:pPr>
              <w:spacing w:after="0"/>
              <w:rPr>
                <w:sz w:val="18"/>
                <w:szCs w:val="18"/>
                <w:color w:val="auto"/>
              </w:rPr>
            </w:pPr>
          </w:p>
        </w:tc>
        <w:tc>
          <w:tcPr>
            <w:tcW w:w="980" w:type="dxa"/>
            <w:vAlign w:val="bottom"/>
            <w:tcBorders>
              <w:right w:val="single" w:sz="8" w:color="007CBA"/>
            </w:tcBorders>
            <w:shd w:val="clear" w:color="auto" w:fill="007CBA"/>
          </w:tcPr>
          <w:p>
            <w:pPr>
              <w:jc w:val="right"/>
              <w:ind w:right="399"/>
              <w:spacing w:after="0"/>
              <w:rPr>
                <w:sz w:val="20"/>
                <w:szCs w:val="20"/>
                <w:color w:val="auto"/>
              </w:rPr>
            </w:pPr>
            <w:r>
              <w:rPr>
                <w:rFonts w:ascii="Arial" w:cs="Arial" w:eastAsia="Arial" w:hAnsi="Arial"/>
                <w:sz w:val="16"/>
                <w:szCs w:val="16"/>
                <w:b w:val="1"/>
                <w:bCs w:val="1"/>
                <w:color w:val="FFFFFF"/>
              </w:rPr>
              <w:t>2017</w:t>
            </w:r>
          </w:p>
        </w:tc>
        <w:tc>
          <w:tcPr>
            <w:tcW w:w="10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6"/>
                <w:szCs w:val="16"/>
                <w:b w:val="1"/>
                <w:bCs w:val="1"/>
                <w:color w:val="FFFFFF"/>
              </w:rPr>
              <w:t>Effective</w:t>
            </w:r>
          </w:p>
        </w:tc>
        <w:tc>
          <w:tcPr>
            <w:tcW w:w="360" w:type="dxa"/>
            <w:vAlign w:val="bottom"/>
            <w:shd w:val="clear" w:color="auto" w:fill="007CBA"/>
          </w:tcPr>
          <w:p>
            <w:pPr>
              <w:spacing w:after="0"/>
              <w:rPr>
                <w:sz w:val="18"/>
                <w:szCs w:val="18"/>
                <w:color w:val="auto"/>
              </w:rPr>
            </w:pPr>
          </w:p>
        </w:tc>
        <w:tc>
          <w:tcPr>
            <w:tcW w:w="840" w:type="dxa"/>
            <w:vAlign w:val="bottom"/>
            <w:shd w:val="clear" w:color="auto" w:fill="007CBA"/>
          </w:tcPr>
          <w:p>
            <w:pPr>
              <w:jc w:val="right"/>
              <w:ind w:right="279"/>
              <w:spacing w:after="0"/>
              <w:rPr>
                <w:sz w:val="20"/>
                <w:szCs w:val="20"/>
                <w:color w:val="auto"/>
              </w:rPr>
            </w:pPr>
            <w:r>
              <w:rPr>
                <w:rFonts w:ascii="Arial" w:cs="Arial" w:eastAsia="Arial" w:hAnsi="Arial"/>
                <w:sz w:val="16"/>
                <w:szCs w:val="16"/>
                <w:b w:val="1"/>
                <w:bCs w:val="1"/>
                <w:color w:val="FFFFFF"/>
              </w:rPr>
              <w:t>2016</w:t>
            </w:r>
          </w:p>
        </w:tc>
        <w:tc>
          <w:tcPr>
            <w:tcW w:w="200" w:type="dxa"/>
            <w:vAlign w:val="bottom"/>
            <w:shd w:val="clear" w:color="auto" w:fill="007CBA"/>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734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6"/>
                <w:szCs w:val="16"/>
                <w:b w:val="1"/>
                <w:bCs w:val="1"/>
                <w:color w:val="FFFFFF"/>
              </w:rPr>
              <w:t>NEO</w:t>
            </w:r>
          </w:p>
        </w:tc>
        <w:tc>
          <w:tcPr>
            <w:tcW w:w="1200" w:type="dxa"/>
            <w:vAlign w:val="bottom"/>
            <w:tcBorders>
              <w:right w:val="single" w:sz="8" w:color="007CBA"/>
            </w:tcBorders>
            <w:gridSpan w:val="2"/>
            <w:shd w:val="clear" w:color="auto" w:fill="007CBA"/>
          </w:tcPr>
          <w:p>
            <w:pPr>
              <w:jc w:val="right"/>
              <w:ind w:right="119"/>
              <w:spacing w:after="0"/>
              <w:rPr>
                <w:sz w:val="20"/>
                <w:szCs w:val="20"/>
                <w:color w:val="auto"/>
              </w:rPr>
            </w:pPr>
            <w:r>
              <w:rPr>
                <w:rFonts w:ascii="Arial" w:cs="Arial" w:eastAsia="Arial" w:hAnsi="Arial"/>
                <w:sz w:val="16"/>
                <w:szCs w:val="16"/>
                <w:b w:val="1"/>
                <w:bCs w:val="1"/>
                <w:color w:val="FFFFFF"/>
              </w:rPr>
              <w:t>Base Salary</w:t>
            </w:r>
          </w:p>
        </w:tc>
        <w:tc>
          <w:tcPr>
            <w:tcW w:w="10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6"/>
                <w:szCs w:val="16"/>
                <w:b w:val="1"/>
                <w:bCs w:val="1"/>
                <w:color w:val="FFFFFF"/>
                <w:w w:val="97"/>
              </w:rPr>
              <w:t>Date*</w:t>
            </w:r>
          </w:p>
        </w:tc>
        <w:tc>
          <w:tcPr>
            <w:tcW w:w="1200" w:type="dxa"/>
            <w:vAlign w:val="bottom"/>
            <w:gridSpan w:val="2"/>
            <w:shd w:val="clear" w:color="auto" w:fill="007CBA"/>
          </w:tcPr>
          <w:p>
            <w:pPr>
              <w:ind w:left="200"/>
              <w:spacing w:after="0"/>
              <w:rPr>
                <w:sz w:val="20"/>
                <w:szCs w:val="20"/>
                <w:color w:val="auto"/>
              </w:rPr>
            </w:pPr>
            <w:r>
              <w:rPr>
                <w:rFonts w:ascii="Arial" w:cs="Arial" w:eastAsia="Arial" w:hAnsi="Arial"/>
                <w:sz w:val="16"/>
                <w:szCs w:val="16"/>
                <w:b w:val="1"/>
                <w:bCs w:val="1"/>
                <w:color w:val="FFFFFF"/>
              </w:rPr>
              <w:t>Base Salary</w:t>
            </w:r>
          </w:p>
        </w:tc>
        <w:tc>
          <w:tcPr>
            <w:tcW w:w="200" w:type="dxa"/>
            <w:vAlign w:val="bottom"/>
            <w:shd w:val="clear" w:color="auto" w:fill="007CBA"/>
          </w:tcPr>
          <w:p>
            <w:pPr>
              <w:spacing w:after="0"/>
              <w:rPr>
                <w:sz w:val="20"/>
                <w:szCs w:val="20"/>
                <w:color w:val="auto"/>
              </w:rPr>
            </w:pPr>
          </w:p>
        </w:tc>
      </w:tr>
      <w:tr>
        <w:trPr>
          <w:trHeight w:val="257"/>
        </w:trPr>
        <w:tc>
          <w:tcPr>
            <w:tcW w:w="20" w:type="dxa"/>
            <w:vAlign w:val="bottom"/>
          </w:tcPr>
          <w:p>
            <w:pPr>
              <w:spacing w:after="0"/>
              <w:rPr>
                <w:sz w:val="22"/>
                <w:szCs w:val="22"/>
                <w:color w:val="auto"/>
              </w:rPr>
            </w:pPr>
          </w:p>
        </w:tc>
        <w:tc>
          <w:tcPr>
            <w:tcW w:w="734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6"/>
                <w:szCs w:val="16"/>
                <w:color w:val="auto"/>
              </w:rPr>
              <w:t>C. Howard Nye</w:t>
            </w:r>
          </w:p>
        </w:tc>
        <w:tc>
          <w:tcPr>
            <w:tcW w:w="220" w:type="dxa"/>
            <w:vAlign w:val="bottom"/>
            <w:shd w:val="clear" w:color="auto" w:fill="E5F1F8"/>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right w:val="single" w:sz="8" w:color="007CBA"/>
            </w:tcBorders>
            <w:shd w:val="clear" w:color="auto" w:fill="E5F1F8"/>
          </w:tcPr>
          <w:p>
            <w:pPr>
              <w:jc w:val="right"/>
              <w:ind w:right="179"/>
              <w:spacing w:after="0"/>
              <w:rPr>
                <w:sz w:val="20"/>
                <w:szCs w:val="20"/>
                <w:color w:val="auto"/>
              </w:rPr>
            </w:pPr>
            <w:r>
              <w:rPr>
                <w:rFonts w:ascii="Arial" w:cs="Arial" w:eastAsia="Arial" w:hAnsi="Arial"/>
                <w:sz w:val="16"/>
                <w:szCs w:val="16"/>
                <w:color w:val="auto"/>
                <w:w w:val="98"/>
              </w:rPr>
              <w:t>1,045,000</w:t>
            </w:r>
          </w:p>
        </w:tc>
        <w:tc>
          <w:tcPr>
            <w:tcW w:w="10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6"/>
                <w:szCs w:val="16"/>
                <w:color w:val="auto"/>
                <w:w w:val="98"/>
              </w:rPr>
              <w:t>3/1/17</w:t>
            </w:r>
          </w:p>
        </w:tc>
        <w:tc>
          <w:tcPr>
            <w:tcW w:w="360" w:type="dxa"/>
            <w:vAlign w:val="bottom"/>
            <w:shd w:val="clear" w:color="auto" w:fill="E5F1F8"/>
          </w:tcPr>
          <w:p>
            <w:pPr>
              <w:ind w:left="200"/>
              <w:spacing w:after="0"/>
              <w:rPr>
                <w:sz w:val="20"/>
                <w:szCs w:val="20"/>
                <w:color w:val="auto"/>
              </w:rPr>
            </w:pPr>
            <w:r>
              <w:rPr>
                <w:rFonts w:ascii="Arial" w:cs="Arial" w:eastAsia="Arial" w:hAnsi="Arial"/>
                <w:sz w:val="16"/>
                <w:szCs w:val="16"/>
                <w:color w:val="auto"/>
              </w:rPr>
              <w:t>$</w:t>
            </w:r>
          </w:p>
        </w:tc>
        <w:tc>
          <w:tcPr>
            <w:tcW w:w="840" w:type="dxa"/>
            <w:vAlign w:val="bottom"/>
            <w:shd w:val="clear" w:color="auto" w:fill="E5F1F8"/>
          </w:tcPr>
          <w:p>
            <w:pPr>
              <w:jc w:val="right"/>
              <w:spacing w:after="0"/>
              <w:rPr>
                <w:sz w:val="20"/>
                <w:szCs w:val="20"/>
                <w:color w:val="auto"/>
              </w:rPr>
            </w:pPr>
            <w:r>
              <w:rPr>
                <w:rFonts w:ascii="Arial" w:cs="Arial" w:eastAsia="Arial" w:hAnsi="Arial"/>
                <w:sz w:val="16"/>
                <w:szCs w:val="16"/>
                <w:color w:val="auto"/>
              </w:rPr>
              <w:t>1,010,000</w:t>
            </w:r>
          </w:p>
        </w:tc>
        <w:tc>
          <w:tcPr>
            <w:tcW w:w="200" w:type="dxa"/>
            <w:vAlign w:val="bottom"/>
            <w:shd w:val="clear" w:color="auto" w:fill="E5F1F8"/>
          </w:tcPr>
          <w:p>
            <w:pPr>
              <w:spacing w:after="0"/>
              <w:rPr>
                <w:sz w:val="22"/>
                <w:szCs w:val="22"/>
                <w:color w:val="auto"/>
              </w:rPr>
            </w:pPr>
          </w:p>
        </w:tc>
      </w:tr>
      <w:tr>
        <w:trPr>
          <w:trHeight w:val="249"/>
        </w:trPr>
        <w:tc>
          <w:tcPr>
            <w:tcW w:w="20" w:type="dxa"/>
            <w:vAlign w:val="bottom"/>
          </w:tcPr>
          <w:p>
            <w:pPr>
              <w:spacing w:after="0"/>
              <w:rPr>
                <w:sz w:val="21"/>
                <w:szCs w:val="21"/>
                <w:color w:val="auto"/>
              </w:rPr>
            </w:pPr>
          </w:p>
        </w:tc>
        <w:tc>
          <w:tcPr>
            <w:tcW w:w="7340" w:type="dxa"/>
            <w:vAlign w:val="bottom"/>
            <w:tcBorders>
              <w:right w:val="single" w:sz="8" w:color="007CBA"/>
            </w:tcBorders>
          </w:tcPr>
          <w:p>
            <w:pPr>
              <w:ind w:left="60"/>
              <w:spacing w:after="0"/>
              <w:rPr>
                <w:sz w:val="20"/>
                <w:szCs w:val="20"/>
                <w:color w:val="auto"/>
              </w:rPr>
            </w:pPr>
            <w:r>
              <w:rPr>
                <w:rFonts w:ascii="Arial" w:cs="Arial" w:eastAsia="Arial" w:hAnsi="Arial"/>
                <w:sz w:val="16"/>
                <w:szCs w:val="16"/>
                <w:color w:val="auto"/>
              </w:rPr>
              <w:t>James A. J. Nickolas</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right w:val="single" w:sz="8" w:color="007CBA"/>
            </w:tcBorders>
          </w:tcPr>
          <w:p>
            <w:pPr>
              <w:jc w:val="right"/>
              <w:ind w:right="179"/>
              <w:spacing w:after="0"/>
              <w:rPr>
                <w:sz w:val="20"/>
                <w:szCs w:val="20"/>
                <w:color w:val="auto"/>
              </w:rPr>
            </w:pPr>
            <w:r>
              <w:rPr>
                <w:rFonts w:ascii="Arial" w:cs="Arial" w:eastAsia="Arial" w:hAnsi="Arial"/>
                <w:sz w:val="16"/>
                <w:szCs w:val="16"/>
                <w:color w:val="auto"/>
              </w:rPr>
              <w:t>470,000</w:t>
            </w:r>
          </w:p>
        </w:tc>
        <w:tc>
          <w:tcPr>
            <w:tcW w:w="1080" w:type="dxa"/>
            <w:vAlign w:val="bottom"/>
            <w:tcBorders>
              <w:right w:val="single" w:sz="8" w:color="007CBA"/>
            </w:tcBorders>
          </w:tcPr>
          <w:p>
            <w:pPr>
              <w:jc w:val="center"/>
              <w:spacing w:after="0"/>
              <w:rPr>
                <w:sz w:val="20"/>
                <w:szCs w:val="20"/>
                <w:color w:val="auto"/>
              </w:rPr>
            </w:pPr>
            <w:r>
              <w:rPr>
                <w:rFonts w:ascii="Arial" w:cs="Arial" w:eastAsia="Arial" w:hAnsi="Arial"/>
                <w:sz w:val="16"/>
                <w:szCs w:val="16"/>
                <w:color w:val="auto"/>
              </w:rPr>
              <w:t>8/21/17</w:t>
            </w:r>
          </w:p>
        </w:tc>
        <w:tc>
          <w:tcPr>
            <w:tcW w:w="360" w:type="dxa"/>
            <w:vAlign w:val="bottom"/>
          </w:tcPr>
          <w:p>
            <w:pPr>
              <w:spacing w:after="0"/>
              <w:rPr>
                <w:sz w:val="21"/>
                <w:szCs w:val="21"/>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r>
      <w:tr>
        <w:trPr>
          <w:trHeight w:val="264"/>
        </w:trPr>
        <w:tc>
          <w:tcPr>
            <w:tcW w:w="20" w:type="dxa"/>
            <w:vAlign w:val="bottom"/>
          </w:tcPr>
          <w:p>
            <w:pPr>
              <w:spacing w:after="0"/>
              <w:rPr>
                <w:sz w:val="22"/>
                <w:szCs w:val="22"/>
                <w:color w:val="auto"/>
              </w:rPr>
            </w:pPr>
          </w:p>
        </w:tc>
        <w:tc>
          <w:tcPr>
            <w:tcW w:w="734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6"/>
                <w:szCs w:val="16"/>
                <w:color w:val="auto"/>
              </w:rPr>
              <w:t>Roselyn R. Bar</w:t>
            </w:r>
          </w:p>
        </w:tc>
        <w:tc>
          <w:tcPr>
            <w:tcW w:w="220" w:type="dxa"/>
            <w:vAlign w:val="bottom"/>
            <w:shd w:val="clear" w:color="auto" w:fill="E5F1F8"/>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right w:val="single" w:sz="8" w:color="007CBA"/>
            </w:tcBorders>
            <w:shd w:val="clear" w:color="auto" w:fill="E5F1F8"/>
          </w:tcPr>
          <w:p>
            <w:pPr>
              <w:jc w:val="right"/>
              <w:ind w:right="179"/>
              <w:spacing w:after="0"/>
              <w:rPr>
                <w:sz w:val="20"/>
                <w:szCs w:val="20"/>
                <w:color w:val="auto"/>
              </w:rPr>
            </w:pPr>
            <w:r>
              <w:rPr>
                <w:rFonts w:ascii="Arial" w:cs="Arial" w:eastAsia="Arial" w:hAnsi="Arial"/>
                <w:sz w:val="16"/>
                <w:szCs w:val="16"/>
                <w:color w:val="auto"/>
              </w:rPr>
              <w:t>514,200</w:t>
            </w:r>
          </w:p>
        </w:tc>
        <w:tc>
          <w:tcPr>
            <w:tcW w:w="10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6"/>
                <w:szCs w:val="16"/>
                <w:color w:val="auto"/>
                <w:w w:val="98"/>
              </w:rPr>
              <w:t>3/1/17</w:t>
            </w:r>
          </w:p>
        </w:tc>
        <w:tc>
          <w:tcPr>
            <w:tcW w:w="360" w:type="dxa"/>
            <w:vAlign w:val="bottom"/>
            <w:shd w:val="clear" w:color="auto" w:fill="E5F1F8"/>
          </w:tcPr>
          <w:p>
            <w:pPr>
              <w:ind w:left="200"/>
              <w:spacing w:after="0"/>
              <w:rPr>
                <w:sz w:val="20"/>
                <w:szCs w:val="20"/>
                <w:color w:val="auto"/>
              </w:rPr>
            </w:pPr>
            <w:r>
              <w:rPr>
                <w:rFonts w:ascii="Arial" w:cs="Arial" w:eastAsia="Arial" w:hAnsi="Arial"/>
                <w:sz w:val="16"/>
                <w:szCs w:val="16"/>
                <w:color w:val="auto"/>
              </w:rPr>
              <w:t>$</w:t>
            </w:r>
          </w:p>
        </w:tc>
        <w:tc>
          <w:tcPr>
            <w:tcW w:w="840" w:type="dxa"/>
            <w:vAlign w:val="bottom"/>
            <w:shd w:val="clear" w:color="auto" w:fill="E5F1F8"/>
          </w:tcPr>
          <w:p>
            <w:pPr>
              <w:jc w:val="right"/>
              <w:spacing w:after="0"/>
              <w:rPr>
                <w:sz w:val="20"/>
                <w:szCs w:val="20"/>
                <w:color w:val="auto"/>
              </w:rPr>
            </w:pPr>
            <w:r>
              <w:rPr>
                <w:rFonts w:ascii="Arial" w:cs="Arial" w:eastAsia="Arial" w:hAnsi="Arial"/>
                <w:sz w:val="16"/>
                <w:szCs w:val="16"/>
                <w:color w:val="auto"/>
              </w:rPr>
              <w:t>497,300</w:t>
            </w:r>
          </w:p>
        </w:tc>
        <w:tc>
          <w:tcPr>
            <w:tcW w:w="200" w:type="dxa"/>
            <w:vAlign w:val="bottom"/>
            <w:shd w:val="clear" w:color="auto" w:fill="E5F1F8"/>
          </w:tcPr>
          <w:p>
            <w:pPr>
              <w:spacing w:after="0"/>
              <w:rPr>
                <w:sz w:val="22"/>
                <w:szCs w:val="22"/>
                <w:color w:val="auto"/>
              </w:rPr>
            </w:pPr>
          </w:p>
        </w:tc>
      </w:tr>
      <w:tr>
        <w:trPr>
          <w:trHeight w:val="249"/>
        </w:trPr>
        <w:tc>
          <w:tcPr>
            <w:tcW w:w="20" w:type="dxa"/>
            <w:vAlign w:val="bottom"/>
          </w:tcPr>
          <w:p>
            <w:pPr>
              <w:spacing w:after="0"/>
              <w:rPr>
                <w:sz w:val="21"/>
                <w:szCs w:val="21"/>
                <w:color w:val="auto"/>
              </w:rPr>
            </w:pPr>
          </w:p>
        </w:tc>
        <w:tc>
          <w:tcPr>
            <w:tcW w:w="7340" w:type="dxa"/>
            <w:vAlign w:val="bottom"/>
            <w:tcBorders>
              <w:right w:val="single" w:sz="8" w:color="007CBA"/>
            </w:tcBorders>
          </w:tcPr>
          <w:p>
            <w:pPr>
              <w:ind w:left="60"/>
              <w:spacing w:after="0"/>
              <w:rPr>
                <w:sz w:val="20"/>
                <w:szCs w:val="20"/>
                <w:color w:val="auto"/>
              </w:rPr>
            </w:pPr>
            <w:r>
              <w:rPr>
                <w:rFonts w:ascii="Arial" w:cs="Arial" w:eastAsia="Arial" w:hAnsi="Arial"/>
                <w:sz w:val="16"/>
                <w:szCs w:val="16"/>
                <w:color w:val="auto"/>
              </w:rPr>
              <w:t>Donald A. McCunniff</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right w:val="single" w:sz="8" w:color="007CBA"/>
            </w:tcBorders>
          </w:tcPr>
          <w:p>
            <w:pPr>
              <w:jc w:val="right"/>
              <w:ind w:right="179"/>
              <w:spacing w:after="0"/>
              <w:rPr>
                <w:sz w:val="20"/>
                <w:szCs w:val="20"/>
                <w:color w:val="auto"/>
              </w:rPr>
            </w:pPr>
            <w:r>
              <w:rPr>
                <w:rFonts w:ascii="Arial" w:cs="Arial" w:eastAsia="Arial" w:hAnsi="Arial"/>
                <w:sz w:val="16"/>
                <w:szCs w:val="16"/>
                <w:color w:val="auto"/>
              </w:rPr>
              <w:t>384,300</w:t>
            </w:r>
          </w:p>
        </w:tc>
        <w:tc>
          <w:tcPr>
            <w:tcW w:w="1080" w:type="dxa"/>
            <w:vAlign w:val="bottom"/>
            <w:tcBorders>
              <w:right w:val="single" w:sz="8" w:color="007CBA"/>
            </w:tcBorders>
          </w:tcPr>
          <w:p>
            <w:pPr>
              <w:jc w:val="center"/>
              <w:spacing w:after="0"/>
              <w:rPr>
                <w:sz w:val="20"/>
                <w:szCs w:val="20"/>
                <w:color w:val="auto"/>
              </w:rPr>
            </w:pPr>
            <w:r>
              <w:rPr>
                <w:rFonts w:ascii="Arial" w:cs="Arial" w:eastAsia="Arial" w:hAnsi="Arial"/>
                <w:sz w:val="16"/>
                <w:szCs w:val="16"/>
                <w:color w:val="auto"/>
                <w:w w:val="98"/>
              </w:rPr>
              <w:t>3/1/17</w:t>
            </w:r>
          </w:p>
        </w:tc>
        <w:tc>
          <w:tcPr>
            <w:tcW w:w="360" w:type="dxa"/>
            <w:vAlign w:val="bottom"/>
          </w:tcPr>
          <w:p>
            <w:pPr>
              <w:ind w:left="20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372,000</w:t>
            </w:r>
          </w:p>
        </w:tc>
        <w:tc>
          <w:tcPr>
            <w:tcW w:w="200" w:type="dxa"/>
            <w:vAlign w:val="bottom"/>
          </w:tcPr>
          <w:p>
            <w:pPr>
              <w:spacing w:after="0"/>
              <w:rPr>
                <w:sz w:val="21"/>
                <w:szCs w:val="21"/>
                <w:color w:val="auto"/>
              </w:rPr>
            </w:pPr>
          </w:p>
        </w:tc>
      </w:tr>
      <w:tr>
        <w:trPr>
          <w:trHeight w:val="258"/>
        </w:trPr>
        <w:tc>
          <w:tcPr>
            <w:tcW w:w="20" w:type="dxa"/>
            <w:vAlign w:val="bottom"/>
          </w:tcPr>
          <w:p>
            <w:pPr>
              <w:spacing w:after="0"/>
              <w:rPr>
                <w:sz w:val="22"/>
                <w:szCs w:val="22"/>
                <w:color w:val="auto"/>
              </w:rPr>
            </w:pPr>
          </w:p>
        </w:tc>
        <w:tc>
          <w:tcPr>
            <w:tcW w:w="7340" w:type="dxa"/>
            <w:vAlign w:val="bottom"/>
            <w:tcBorders>
              <w:bottom w:val="single" w:sz="8" w:color="007CBA"/>
              <w:right w:val="single" w:sz="8" w:color="007CBA"/>
            </w:tcBorders>
            <w:shd w:val="clear" w:color="auto" w:fill="E5F1F8"/>
          </w:tcPr>
          <w:p>
            <w:pPr>
              <w:ind w:left="60"/>
              <w:spacing w:after="0"/>
              <w:rPr>
                <w:sz w:val="20"/>
                <w:szCs w:val="20"/>
                <w:color w:val="auto"/>
              </w:rPr>
            </w:pPr>
            <w:r>
              <w:rPr>
                <w:rFonts w:ascii="Arial" w:cs="Arial" w:eastAsia="Arial" w:hAnsi="Arial"/>
                <w:sz w:val="16"/>
                <w:szCs w:val="16"/>
                <w:color w:val="auto"/>
              </w:rPr>
              <w:t>Daniel L. Grant</w:t>
            </w:r>
          </w:p>
        </w:tc>
        <w:tc>
          <w:tcPr>
            <w:tcW w:w="220" w:type="dxa"/>
            <w:vAlign w:val="bottom"/>
            <w:tcBorders>
              <w:bottom w:val="single" w:sz="8" w:color="007CBA"/>
            </w:tcBorders>
            <w:shd w:val="clear" w:color="auto" w:fill="E5F1F8"/>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007CBA"/>
              <w:right w:val="single" w:sz="8" w:color="007CBA"/>
            </w:tcBorders>
            <w:shd w:val="clear" w:color="auto" w:fill="E5F1F8"/>
          </w:tcPr>
          <w:p>
            <w:pPr>
              <w:jc w:val="right"/>
              <w:ind w:right="179"/>
              <w:spacing w:after="0"/>
              <w:rPr>
                <w:sz w:val="20"/>
                <w:szCs w:val="20"/>
                <w:color w:val="auto"/>
              </w:rPr>
            </w:pPr>
            <w:r>
              <w:rPr>
                <w:rFonts w:ascii="Arial" w:cs="Arial" w:eastAsia="Arial" w:hAnsi="Arial"/>
                <w:sz w:val="16"/>
                <w:szCs w:val="16"/>
                <w:color w:val="auto"/>
              </w:rPr>
              <w:t>362,300</w:t>
            </w:r>
          </w:p>
        </w:tc>
        <w:tc>
          <w:tcPr>
            <w:tcW w:w="1080" w:type="dxa"/>
            <w:vAlign w:val="bottom"/>
            <w:tcBorders>
              <w:bottom w:val="single" w:sz="8" w:color="007CBA"/>
              <w:right w:val="single" w:sz="8" w:color="007CBA"/>
            </w:tcBorders>
            <w:shd w:val="clear" w:color="auto" w:fill="E5F1F8"/>
          </w:tcPr>
          <w:p>
            <w:pPr>
              <w:jc w:val="center"/>
              <w:spacing w:after="0"/>
              <w:rPr>
                <w:sz w:val="20"/>
                <w:szCs w:val="20"/>
                <w:color w:val="auto"/>
              </w:rPr>
            </w:pPr>
            <w:r>
              <w:rPr>
                <w:rFonts w:ascii="Arial" w:cs="Arial" w:eastAsia="Arial" w:hAnsi="Arial"/>
                <w:sz w:val="16"/>
                <w:szCs w:val="16"/>
                <w:color w:val="auto"/>
                <w:w w:val="98"/>
              </w:rPr>
              <w:t>3/1/17</w:t>
            </w:r>
          </w:p>
        </w:tc>
        <w:tc>
          <w:tcPr>
            <w:tcW w:w="360" w:type="dxa"/>
            <w:vAlign w:val="bottom"/>
            <w:tcBorders>
              <w:bottom w:val="single" w:sz="8" w:color="007CBA"/>
            </w:tcBorders>
            <w:shd w:val="clear" w:color="auto" w:fill="E5F1F8"/>
          </w:tcPr>
          <w:p>
            <w:pPr>
              <w:ind w:left="20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007CBA"/>
            </w:tcBorders>
            <w:shd w:val="clear" w:color="auto" w:fill="E5F1F8"/>
          </w:tcPr>
          <w:p>
            <w:pPr>
              <w:jc w:val="right"/>
              <w:spacing w:after="0"/>
              <w:rPr>
                <w:sz w:val="20"/>
                <w:szCs w:val="20"/>
                <w:color w:val="auto"/>
              </w:rPr>
            </w:pPr>
            <w:r>
              <w:rPr>
                <w:rFonts w:ascii="Arial" w:cs="Arial" w:eastAsia="Arial" w:hAnsi="Arial"/>
                <w:sz w:val="16"/>
                <w:szCs w:val="16"/>
                <w:color w:val="auto"/>
              </w:rPr>
              <w:t>351,100</w:t>
            </w:r>
          </w:p>
        </w:tc>
        <w:tc>
          <w:tcPr>
            <w:tcW w:w="200" w:type="dxa"/>
            <w:vAlign w:val="bottom"/>
            <w:tcBorders>
              <w:bottom w:val="single" w:sz="8" w:color="007CBA"/>
            </w:tcBorders>
            <w:shd w:val="clear" w:color="auto" w:fill="E5F1F8"/>
          </w:tcPr>
          <w:p>
            <w:pPr>
              <w:spacing w:after="0"/>
              <w:rPr>
                <w:sz w:val="22"/>
                <w:szCs w:val="22"/>
                <w:color w:val="auto"/>
              </w:rPr>
            </w:pPr>
          </w:p>
        </w:tc>
      </w:tr>
      <w:tr>
        <w:trPr>
          <w:trHeight w:val="262"/>
        </w:trPr>
        <w:tc>
          <w:tcPr>
            <w:tcW w:w="8560" w:type="dxa"/>
            <w:vAlign w:val="bottom"/>
            <w:gridSpan w:val="4"/>
          </w:tcPr>
          <w:p>
            <w:pPr>
              <w:jc w:val="right"/>
              <w:ind w:right="239"/>
              <w:spacing w:after="0"/>
              <w:rPr>
                <w:sz w:val="20"/>
                <w:szCs w:val="20"/>
                <w:color w:val="auto"/>
              </w:rPr>
            </w:pPr>
            <w:r>
              <w:rPr>
                <w:rFonts w:ascii="Arial" w:cs="Arial" w:eastAsia="Arial" w:hAnsi="Arial"/>
                <w:sz w:val="14"/>
                <w:szCs w:val="14"/>
                <w:color w:val="auto"/>
              </w:rPr>
              <w:t>* NEO base salaries were increased on March 1, 2017. Mr. Nickolas commenced employment with the Company in August 2017.</w:t>
            </w:r>
          </w:p>
        </w:tc>
        <w:tc>
          <w:tcPr>
            <w:tcW w:w="10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324"/>
        </w:trPr>
        <w:tc>
          <w:tcPr>
            <w:tcW w:w="2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80" w:type="dxa"/>
            <w:vAlign w:val="bottom"/>
            <w:gridSpan w:val="3"/>
          </w:tcPr>
          <w:p>
            <w:pPr>
              <w:jc w:val="right"/>
              <w:ind w:right="159"/>
              <w:spacing w:after="0"/>
              <w:rPr>
                <w:sz w:val="20"/>
                <w:szCs w:val="20"/>
                <w:color w:val="auto"/>
              </w:rPr>
            </w:pPr>
            <w:r>
              <w:rPr>
                <w:rFonts w:ascii="Arial" w:cs="Arial" w:eastAsia="Arial" w:hAnsi="Arial"/>
                <w:sz w:val="13"/>
                <w:szCs w:val="13"/>
                <w:color w:val="007CBA"/>
              </w:rPr>
              <w:t>2018 PROXY STATEMENT</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auto"/>
              </w:rPr>
              <w:t>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-123190</wp:posOffset>
            </wp:positionV>
            <wp:extent cx="411480" cy="2489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ectPr>
          <w:pgSz w:w="11900" w:h="16838" w:orient="portrait"/>
          <w:cols w:equalWidth="0" w:num="1">
            <w:col w:w="11240"/>
          </w:cols>
          <w:pgMar w:left="240" w:top="455" w:right="419" w:bottom="1440" w:gutter="0" w:footer="0" w:header="0"/>
        </w:sectPr>
      </w:pPr>
    </w:p>
    <w:bookmarkStart w:id="48" w:name="page49"/>
    <w:bookmarkEnd w:id="48"/>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ectPr>
          <w:pgSz w:w="11900" w:h="16838" w:orient="portrait"/>
          <w:cols w:equalWidth="0" w:num="1">
            <w:col w:w="11220"/>
          </w:cols>
          <w:pgMar w:left="240" w:top="455" w:right="439" w:bottom="1440" w:gutter="0" w:footer="0" w:header="0"/>
        </w:sectPr>
      </w:pPr>
    </w:p>
    <w:p>
      <w:pPr>
        <w:spacing w:after="0" w:line="275" w:lineRule="exact"/>
        <w:rPr>
          <w:sz w:val="20"/>
          <w:szCs w:val="20"/>
          <w:color w:val="auto"/>
        </w:rPr>
      </w:pPr>
    </w:p>
    <w:p>
      <w:pPr>
        <w:ind w:left="200"/>
        <w:spacing w:after="0" w:line="276" w:lineRule="exact"/>
        <w:rPr>
          <w:sz w:val="20"/>
          <w:szCs w:val="20"/>
          <w:color w:val="auto"/>
        </w:rPr>
      </w:pPr>
      <w:r>
        <w:rPr>
          <w:rFonts w:ascii="Arial" w:cs="Arial" w:eastAsia="Arial" w:hAnsi="Arial"/>
          <w:sz w:val="13"/>
          <w:szCs w:val="13"/>
          <w:color w:val="007CBA"/>
        </w:rPr>
        <w:t xml:space="preserve">Compensation Discussion and Analysis </w:t>
      </w:r>
      <w:r>
        <w:rPr>
          <w:rFonts w:ascii="MS PGothic" w:cs="MS PGothic" w:eastAsia="MS PGothic" w:hAnsi="MS PGothic"/>
          <w:sz w:val="24"/>
          <w:szCs w:val="24"/>
          <w:color w:val="007CBA"/>
        </w:rPr>
        <w:t>◆</w:t>
      </w:r>
      <w:r>
        <w:rPr>
          <w:rFonts w:ascii="Arial" w:cs="Arial" w:eastAsia="Arial" w:hAnsi="Arial"/>
          <w:sz w:val="13"/>
          <w:szCs w:val="13"/>
          <w:color w:val="007CBA"/>
        </w:rPr>
        <w:t xml:space="preserve"> </w:t>
      </w:r>
      <w:r>
        <w:rPr>
          <w:rFonts w:ascii="Arial" w:cs="Arial" w:eastAsia="Arial" w:hAnsi="Arial"/>
          <w:sz w:val="13"/>
          <w:szCs w:val="13"/>
          <w:color w:val="000000"/>
        </w:rPr>
        <w:t>Considerations Regarding 2017 Compensation</w:t>
      </w:r>
    </w:p>
    <w:p>
      <w:pPr>
        <w:spacing w:after="0" w:line="258"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Annual Cash Incentive: Executive Cash Incentive Plan</w:t>
      </w:r>
    </w:p>
    <w:p>
      <w:pPr>
        <w:spacing w:after="0" w:line="26" w:lineRule="exact"/>
        <w:rPr>
          <w:sz w:val="20"/>
          <w:szCs w:val="20"/>
          <w:color w:val="auto"/>
        </w:rPr>
      </w:pPr>
    </w:p>
    <w:p>
      <w:pPr>
        <w:jc w:val="both"/>
        <w:ind w:left="220" w:right="220"/>
        <w:spacing w:after="0" w:line="250" w:lineRule="auto"/>
        <w:rPr>
          <w:sz w:val="20"/>
          <w:szCs w:val="20"/>
          <w:color w:val="auto"/>
        </w:rPr>
      </w:pPr>
      <w:r>
        <w:rPr>
          <w:rFonts w:ascii="Arial" w:cs="Arial" w:eastAsia="Arial" w:hAnsi="Arial"/>
          <w:sz w:val="16"/>
          <w:szCs w:val="16"/>
          <w:color w:val="auto"/>
        </w:rPr>
        <w:t>NEOs and other executives are eligible to earn annual incentive compensation under our Executive Cash Incentive Plan based on the achievement of various performance metrics. Individual NEO targets (as a percent of base salary) are approved by the Committee at the beginning of the year based on a review of competitive market data and internal pay equity.</w:t>
      </w:r>
    </w:p>
    <w:p>
      <w:pPr>
        <w:spacing w:after="0" w:line="154" w:lineRule="exact"/>
        <w:rPr>
          <w:sz w:val="20"/>
          <w:szCs w:val="20"/>
          <w:color w:val="auto"/>
        </w:rPr>
      </w:pPr>
    </w:p>
    <w:p>
      <w:pPr>
        <w:jc w:val="both"/>
        <w:ind w:left="220" w:right="220"/>
        <w:spacing w:after="0" w:line="252" w:lineRule="auto"/>
        <w:rPr>
          <w:sz w:val="20"/>
          <w:szCs w:val="20"/>
          <w:color w:val="auto"/>
        </w:rPr>
      </w:pPr>
      <w:r>
        <w:rPr>
          <w:rFonts w:ascii="Arial" w:cs="Arial" w:eastAsia="Arial" w:hAnsi="Arial"/>
          <w:sz w:val="16"/>
          <w:szCs w:val="16"/>
          <w:color w:val="auto"/>
        </w:rPr>
        <w:t>The Committee awards actual annual cash incentive compensation based on achievement against corporate performance objectives and individualized targeted goals. This furthers Martin Marietta’s compensation philosophy to encourage superior performance and reward the achievement of Martin Marietta’s annual goals. In 2017, all of the executive officers participated in the plan. The annual incentive compensation level for 2017 for the NEOs other than Mr. Nye was 100% to 155% of target. The annual incentive compensation level for 2017 for Mr. Nye was 175%.</w:t>
      </w:r>
    </w:p>
    <w:p>
      <w:pPr>
        <w:spacing w:after="0" w:line="139" w:lineRule="exact"/>
        <w:rPr>
          <w:sz w:val="20"/>
          <w:szCs w:val="20"/>
          <w:color w:val="auto"/>
        </w:rPr>
      </w:pPr>
    </w:p>
    <w:p>
      <w:pPr>
        <w:jc w:val="both"/>
        <w:ind w:left="220" w:right="220"/>
        <w:spacing w:after="0" w:line="269" w:lineRule="auto"/>
        <w:rPr>
          <w:sz w:val="20"/>
          <w:szCs w:val="20"/>
          <w:color w:val="auto"/>
        </w:rPr>
      </w:pPr>
      <w:r>
        <w:rPr>
          <w:rFonts w:ascii="Arial" w:cs="Arial" w:eastAsia="Arial" w:hAnsi="Arial"/>
          <w:sz w:val="16"/>
          <w:szCs w:val="16"/>
          <w:color w:val="auto"/>
        </w:rPr>
        <w:t>In determining the incentive payments, the Committee first reviews the achievements of Martin Marietta for the past year as compared to its targeted goals set at the end of the previous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210185</wp:posOffset>
            </wp:positionV>
            <wp:extent cx="4819650" cy="25641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819650" cy="25641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year. The maximum incentive compensation is fixed based on objective criteria as described in the Executive Cash Incentive Plan, and the Committee then determines an appropriate award payout beneath the maximum amount after considering the following:</w:t>
      </w:r>
    </w:p>
    <w:p>
      <w:pPr>
        <w:spacing w:after="0" w:line="37" w:lineRule="exact"/>
        <w:rPr>
          <w:sz w:val="20"/>
          <w:szCs w:val="20"/>
          <w:color w:val="auto"/>
        </w:rPr>
      </w:pPr>
    </w:p>
    <w:p>
      <w:pPr>
        <w:ind w:left="360" w:hanging="275"/>
        <w:spacing w:after="0" w:line="291" w:lineRule="auto"/>
        <w:tabs>
          <w:tab w:leader="none" w:pos="360" w:val="left"/>
        </w:tabs>
        <w:numPr>
          <w:ilvl w:val="0"/>
          <w:numId w:val="83"/>
        </w:numPr>
        <w:rPr>
          <w:rFonts w:ascii="Arial" w:cs="Arial" w:eastAsia="Arial" w:hAnsi="Arial"/>
          <w:sz w:val="16"/>
          <w:szCs w:val="16"/>
          <w:color w:val="007CBA"/>
        </w:rPr>
      </w:pPr>
      <w:r>
        <w:rPr>
          <w:rFonts w:ascii="Arial" w:cs="Arial" w:eastAsia="Arial" w:hAnsi="Arial"/>
          <w:sz w:val="16"/>
          <w:szCs w:val="16"/>
          <w:color w:val="auto"/>
        </w:rPr>
        <w:t>A detailed assessment of Martin Marietta’s overall financial performance and each segment’s financial performance.</w:t>
      </w:r>
    </w:p>
    <w:p>
      <w:pPr>
        <w:spacing w:after="0" w:line="13" w:lineRule="exact"/>
        <w:rPr>
          <w:rFonts w:ascii="Arial" w:cs="Arial" w:eastAsia="Arial" w:hAnsi="Arial"/>
          <w:sz w:val="16"/>
          <w:szCs w:val="16"/>
          <w:color w:val="007CBA"/>
        </w:rPr>
      </w:pPr>
    </w:p>
    <w:p>
      <w:pPr>
        <w:ind w:left="360" w:hanging="275"/>
        <w:spacing w:after="0" w:line="291" w:lineRule="auto"/>
        <w:tabs>
          <w:tab w:leader="none" w:pos="360" w:val="left"/>
        </w:tabs>
        <w:numPr>
          <w:ilvl w:val="0"/>
          <w:numId w:val="83"/>
        </w:numPr>
        <w:rPr>
          <w:rFonts w:ascii="Arial" w:cs="Arial" w:eastAsia="Arial" w:hAnsi="Arial"/>
          <w:sz w:val="16"/>
          <w:szCs w:val="16"/>
          <w:color w:val="007CBA"/>
        </w:rPr>
      </w:pPr>
      <w:r>
        <w:rPr>
          <w:rFonts w:ascii="Arial" w:cs="Arial" w:eastAsia="Arial" w:hAnsi="Arial"/>
          <w:sz w:val="16"/>
          <w:szCs w:val="16"/>
          <w:color w:val="auto"/>
        </w:rPr>
        <w:t>Shareholder returns, including the consistent delivery of value to Martin Marietta’s shareholders.</w:t>
      </w:r>
    </w:p>
    <w:p>
      <w:pPr>
        <w:spacing w:after="0" w:line="13" w:lineRule="exact"/>
        <w:rPr>
          <w:rFonts w:ascii="Arial" w:cs="Arial" w:eastAsia="Arial" w:hAnsi="Arial"/>
          <w:sz w:val="16"/>
          <w:szCs w:val="16"/>
          <w:color w:val="007CBA"/>
        </w:rPr>
      </w:pPr>
    </w:p>
    <w:p>
      <w:pPr>
        <w:jc w:val="both"/>
        <w:ind w:left="360" w:hanging="275"/>
        <w:spacing w:after="0" w:line="269" w:lineRule="auto"/>
        <w:tabs>
          <w:tab w:leader="none" w:pos="360" w:val="left"/>
        </w:tabs>
        <w:numPr>
          <w:ilvl w:val="0"/>
          <w:numId w:val="83"/>
        </w:numPr>
        <w:rPr>
          <w:rFonts w:ascii="Arial" w:cs="Arial" w:eastAsia="Arial" w:hAnsi="Arial"/>
          <w:sz w:val="16"/>
          <w:szCs w:val="16"/>
          <w:color w:val="007CBA"/>
        </w:rPr>
      </w:pPr>
      <w:r>
        <w:rPr>
          <w:rFonts w:ascii="Arial" w:cs="Arial" w:eastAsia="Arial" w:hAnsi="Arial"/>
          <w:sz w:val="16"/>
          <w:szCs w:val="16"/>
          <w:color w:val="auto"/>
        </w:rPr>
        <w:t>Our safety performance, which continues to be industry leading even though we increased hourly headcount and trained new employees hired through our acquisitions made during the year.</w:t>
      </w:r>
    </w:p>
    <w:p>
      <w:pPr>
        <w:spacing w:after="0" w:line="29" w:lineRule="exact"/>
        <w:rPr>
          <w:rFonts w:ascii="Arial" w:cs="Arial" w:eastAsia="Arial" w:hAnsi="Arial"/>
          <w:sz w:val="16"/>
          <w:szCs w:val="16"/>
          <w:color w:val="007CBA"/>
        </w:rPr>
      </w:pPr>
    </w:p>
    <w:p>
      <w:pPr>
        <w:ind w:left="360" w:hanging="275"/>
        <w:spacing w:after="0"/>
        <w:tabs>
          <w:tab w:leader="none" w:pos="360" w:val="left"/>
        </w:tabs>
        <w:numPr>
          <w:ilvl w:val="0"/>
          <w:numId w:val="83"/>
        </w:numPr>
        <w:rPr>
          <w:rFonts w:ascii="Arial" w:cs="Arial" w:eastAsia="Arial" w:hAnsi="Arial"/>
          <w:sz w:val="16"/>
          <w:szCs w:val="16"/>
          <w:color w:val="007CBA"/>
        </w:rPr>
      </w:pPr>
      <w:r>
        <w:rPr>
          <w:rFonts w:ascii="Arial" w:cs="Arial" w:eastAsia="Arial" w:hAnsi="Arial"/>
          <w:sz w:val="16"/>
          <w:szCs w:val="16"/>
          <w:color w:val="auto"/>
        </w:rPr>
        <w:t>Outstanding environmental and regulatory compliance results.</w:t>
      </w:r>
    </w:p>
    <w:p>
      <w:pPr>
        <w:spacing w:after="0" w:line="86" w:lineRule="exact"/>
        <w:rPr>
          <w:rFonts w:ascii="Arial" w:cs="Arial" w:eastAsia="Arial" w:hAnsi="Arial"/>
          <w:sz w:val="16"/>
          <w:szCs w:val="16"/>
          <w:color w:val="007CBA"/>
        </w:rPr>
      </w:pPr>
    </w:p>
    <w:p>
      <w:pPr>
        <w:ind w:left="360" w:hanging="275"/>
        <w:spacing w:after="0"/>
        <w:tabs>
          <w:tab w:leader="none" w:pos="360" w:val="left"/>
        </w:tabs>
        <w:numPr>
          <w:ilvl w:val="0"/>
          <w:numId w:val="83"/>
        </w:numPr>
        <w:rPr>
          <w:rFonts w:ascii="Arial" w:cs="Arial" w:eastAsia="Arial" w:hAnsi="Arial"/>
          <w:sz w:val="16"/>
          <w:szCs w:val="16"/>
          <w:color w:val="007CBA"/>
        </w:rPr>
      </w:pPr>
      <w:r>
        <w:rPr>
          <w:rFonts w:ascii="Arial" w:cs="Arial" w:eastAsia="Arial" w:hAnsi="Arial"/>
          <w:sz w:val="16"/>
          <w:szCs w:val="16"/>
          <w:color w:val="auto"/>
        </w:rPr>
        <w:t>Continuing achievement of excellent management of working capital.</w:t>
      </w:r>
    </w:p>
    <w:p>
      <w:pPr>
        <w:spacing w:after="0" w:line="86" w:lineRule="exact"/>
        <w:rPr>
          <w:rFonts w:ascii="Arial" w:cs="Arial" w:eastAsia="Arial" w:hAnsi="Arial"/>
          <w:sz w:val="16"/>
          <w:szCs w:val="16"/>
          <w:color w:val="007CBA"/>
        </w:rPr>
      </w:pPr>
    </w:p>
    <w:p>
      <w:pPr>
        <w:ind w:left="360" w:hanging="275"/>
        <w:spacing w:after="0"/>
        <w:tabs>
          <w:tab w:leader="none" w:pos="360" w:val="left"/>
        </w:tabs>
        <w:numPr>
          <w:ilvl w:val="0"/>
          <w:numId w:val="83"/>
        </w:numPr>
        <w:rPr>
          <w:rFonts w:ascii="Arial" w:cs="Arial" w:eastAsia="Arial" w:hAnsi="Arial"/>
          <w:sz w:val="16"/>
          <w:szCs w:val="16"/>
          <w:color w:val="007CBA"/>
        </w:rPr>
      </w:pPr>
      <w:r>
        <w:rPr>
          <w:rFonts w:ascii="Arial" w:cs="Arial" w:eastAsia="Arial" w:hAnsi="Arial"/>
          <w:sz w:val="16"/>
          <w:szCs w:val="16"/>
          <w:color w:val="auto"/>
        </w:rPr>
        <w:t>The successful organic and inorganic growth of Martin Marietta.</w:t>
      </w:r>
    </w:p>
    <w:p>
      <w:pPr>
        <w:spacing w:after="0" w:line="1080" w:lineRule="exact"/>
        <w:rPr>
          <w:sz w:val="20"/>
          <w:szCs w:val="20"/>
          <w:color w:val="auto"/>
        </w:rPr>
      </w:pPr>
    </w:p>
    <w:p>
      <w:pPr>
        <w:sectPr>
          <w:pgSz w:w="11900" w:h="16838" w:orient="portrait"/>
          <w:cols w:equalWidth="0" w:num="2">
            <w:col w:w="5720" w:space="100"/>
            <w:col w:w="5400"/>
          </w:cols>
          <w:pgMar w:left="240" w:top="455"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00"/>
        <w:spacing w:after="0"/>
        <w:rPr>
          <w:sz w:val="20"/>
          <w:szCs w:val="20"/>
          <w:color w:val="auto"/>
        </w:rPr>
      </w:pPr>
      <w:r>
        <w:rPr>
          <w:rFonts w:ascii="Arial" w:cs="Arial" w:eastAsia="Arial" w:hAnsi="Arial"/>
          <w:sz w:val="14"/>
          <w:szCs w:val="14"/>
          <w:color w:val="auto"/>
        </w:rPr>
        <w:t>¹ Total Injury Incident Rate per 200,000 hours worked</w:t>
      </w:r>
    </w:p>
    <w:p>
      <w:pPr>
        <w:spacing w:after="0" w:line="19" w:lineRule="exact"/>
        <w:rPr>
          <w:sz w:val="20"/>
          <w:szCs w:val="20"/>
          <w:color w:val="auto"/>
        </w:rPr>
      </w:pPr>
    </w:p>
    <w:p>
      <w:pPr>
        <w:ind w:left="320" w:hanging="116"/>
        <w:spacing w:after="0"/>
        <w:tabs>
          <w:tab w:leader="none" w:pos="320" w:val="left"/>
        </w:tabs>
        <w:numPr>
          <w:ilvl w:val="0"/>
          <w:numId w:val="84"/>
        </w:numPr>
        <w:rPr>
          <w:rFonts w:ascii="Arial" w:cs="Arial" w:eastAsia="Arial" w:hAnsi="Arial"/>
          <w:sz w:val="14"/>
          <w:szCs w:val="14"/>
          <w:color w:val="auto"/>
        </w:rPr>
      </w:pPr>
      <w:r>
        <w:rPr>
          <w:rFonts w:ascii="Arial" w:cs="Arial" w:eastAsia="Arial" w:hAnsi="Arial"/>
          <w:sz w:val="14"/>
          <w:szCs w:val="14"/>
          <w:color w:val="auto"/>
        </w:rPr>
        <w:t>General Industry, Asphalt Paving, Cement and Ready Mix reported via BLS through 2016</w:t>
      </w:r>
    </w:p>
    <w:p>
      <w:pPr>
        <w:spacing w:after="0" w:line="1" w:lineRule="exact"/>
        <w:rPr>
          <w:rFonts w:ascii="Arial" w:cs="Arial" w:eastAsia="Arial" w:hAnsi="Arial"/>
          <w:sz w:val="14"/>
          <w:szCs w:val="14"/>
          <w:color w:val="auto"/>
        </w:rPr>
      </w:pPr>
    </w:p>
    <w:p>
      <w:pPr>
        <w:ind w:left="200" w:right="6280"/>
        <w:spacing w:after="0" w:line="185" w:lineRule="auto"/>
        <w:rPr>
          <w:rFonts w:ascii="Arial" w:cs="Arial" w:eastAsia="Arial" w:hAnsi="Arial"/>
          <w:sz w:val="14"/>
          <w:szCs w:val="14"/>
          <w:color w:val="auto"/>
        </w:rPr>
      </w:pPr>
      <w:r>
        <w:rPr>
          <w:rFonts w:ascii="Arial" w:cs="Arial" w:eastAsia="Arial" w:hAnsi="Arial"/>
          <w:sz w:val="24"/>
          <w:szCs w:val="24"/>
          <w:color w:val="auto"/>
          <w:vertAlign w:val="superscript"/>
        </w:rPr>
        <w:t>3</w:t>
      </w:r>
      <w:r>
        <w:rPr>
          <w:rFonts w:ascii="Arial" w:cs="Arial" w:eastAsia="Arial" w:hAnsi="Arial"/>
          <w:sz w:val="14"/>
          <w:szCs w:val="14"/>
          <w:color w:val="auto"/>
        </w:rPr>
        <w:t xml:space="preserve"> Aggregates Industry reported per MSHA website - Stone, Sand &amp; Gravel * Martin Marietta Year End 2017 performance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These safety metrics are ones that we are proud of:</w:t>
      </w:r>
    </w:p>
    <w:p>
      <w:pPr>
        <w:spacing w:after="0" w:line="84" w:lineRule="exact"/>
        <w:rPr>
          <w:sz w:val="20"/>
          <w:szCs w:val="20"/>
          <w:color w:val="auto"/>
        </w:rPr>
      </w:pPr>
    </w:p>
    <w:p>
      <w:pPr>
        <w:ind w:left="520" w:hanging="316"/>
        <w:spacing w:after="0"/>
        <w:tabs>
          <w:tab w:leader="none" w:pos="520" w:val="left"/>
        </w:tabs>
        <w:numPr>
          <w:ilvl w:val="0"/>
          <w:numId w:val="85"/>
        </w:numPr>
        <w:rPr>
          <w:rFonts w:ascii="Arial" w:cs="Arial" w:eastAsia="Arial" w:hAnsi="Arial"/>
          <w:sz w:val="16"/>
          <w:szCs w:val="16"/>
          <w:b w:val="1"/>
          <w:bCs w:val="1"/>
          <w:color w:val="007CBA"/>
        </w:rPr>
      </w:pPr>
      <w:r>
        <w:rPr>
          <w:rFonts w:ascii="Arial" w:cs="Arial" w:eastAsia="Arial" w:hAnsi="Arial"/>
          <w:sz w:val="16"/>
          <w:szCs w:val="16"/>
          <w:color w:val="auto"/>
        </w:rPr>
        <w:t xml:space="preserve">More than </w:t>
      </w:r>
      <w:r>
        <w:rPr>
          <w:rFonts w:ascii="Arial" w:cs="Arial" w:eastAsia="Arial" w:hAnsi="Arial"/>
          <w:sz w:val="16"/>
          <w:szCs w:val="16"/>
          <w:b w:val="1"/>
          <w:bCs w:val="1"/>
          <w:color w:val="auto"/>
        </w:rPr>
        <w:t>90%</w:t>
      </w:r>
      <w:r>
        <w:rPr>
          <w:rFonts w:ascii="Arial" w:cs="Arial" w:eastAsia="Arial" w:hAnsi="Arial"/>
          <w:sz w:val="16"/>
          <w:szCs w:val="16"/>
          <w:color w:val="auto"/>
        </w:rPr>
        <w:t xml:space="preserve"> of our 400+ facilities had </w:t>
      </w:r>
      <w:r>
        <w:rPr>
          <w:rFonts w:ascii="Arial" w:cs="Arial" w:eastAsia="Arial" w:hAnsi="Arial"/>
          <w:sz w:val="16"/>
          <w:szCs w:val="16"/>
          <w:b w:val="1"/>
          <w:bCs w:val="1"/>
          <w:color w:val="auto"/>
        </w:rPr>
        <w:t>no reportable incidents</w:t>
      </w:r>
    </w:p>
    <w:p>
      <w:pPr>
        <w:spacing w:after="0" w:line="86" w:lineRule="exact"/>
        <w:rPr>
          <w:rFonts w:ascii="Arial" w:cs="Arial" w:eastAsia="Arial" w:hAnsi="Arial"/>
          <w:sz w:val="16"/>
          <w:szCs w:val="16"/>
          <w:b w:val="1"/>
          <w:bCs w:val="1"/>
          <w:color w:val="007CBA"/>
        </w:rPr>
      </w:pPr>
    </w:p>
    <w:p>
      <w:pPr>
        <w:ind w:left="520" w:hanging="316"/>
        <w:spacing w:after="0"/>
        <w:tabs>
          <w:tab w:leader="none" w:pos="520" w:val="left"/>
        </w:tabs>
        <w:numPr>
          <w:ilvl w:val="0"/>
          <w:numId w:val="85"/>
        </w:numPr>
        <w:rPr>
          <w:rFonts w:ascii="Arial" w:cs="Arial" w:eastAsia="Arial" w:hAnsi="Arial"/>
          <w:sz w:val="16"/>
          <w:szCs w:val="16"/>
          <w:b w:val="1"/>
          <w:bCs w:val="1"/>
          <w:color w:val="007CBA"/>
        </w:rPr>
      </w:pPr>
      <w:r>
        <w:rPr>
          <w:rFonts w:ascii="Arial" w:cs="Arial" w:eastAsia="Arial" w:hAnsi="Arial"/>
          <w:sz w:val="16"/>
          <w:szCs w:val="16"/>
          <w:color w:val="auto"/>
        </w:rPr>
        <w:t xml:space="preserve">19 sites reached </w:t>
      </w:r>
      <w:r>
        <w:rPr>
          <w:rFonts w:ascii="Arial" w:cs="Arial" w:eastAsia="Arial" w:hAnsi="Arial"/>
          <w:sz w:val="16"/>
          <w:szCs w:val="16"/>
          <w:b w:val="1"/>
          <w:bCs w:val="1"/>
          <w:color w:val="auto"/>
        </w:rPr>
        <w:t>500,000 hours without any incidents</w:t>
      </w:r>
      <w:r>
        <w:rPr>
          <w:rFonts w:ascii="Arial" w:cs="Arial" w:eastAsia="Arial" w:hAnsi="Arial"/>
          <w:sz w:val="16"/>
          <w:szCs w:val="16"/>
          <w:color w:val="auto"/>
        </w:rPr>
        <w:t xml:space="preserve"> and 11 surpassed one million hours of incident-free work</w:t>
      </w:r>
    </w:p>
    <w:p>
      <w:pPr>
        <w:spacing w:after="0" w:line="86" w:lineRule="exact"/>
        <w:rPr>
          <w:rFonts w:ascii="Arial" w:cs="Arial" w:eastAsia="Arial" w:hAnsi="Arial"/>
          <w:sz w:val="16"/>
          <w:szCs w:val="16"/>
          <w:b w:val="1"/>
          <w:bCs w:val="1"/>
          <w:color w:val="007CBA"/>
        </w:rPr>
      </w:pPr>
    </w:p>
    <w:p>
      <w:pPr>
        <w:ind w:left="520" w:hanging="316"/>
        <w:spacing w:after="0"/>
        <w:tabs>
          <w:tab w:leader="none" w:pos="520" w:val="left"/>
        </w:tabs>
        <w:numPr>
          <w:ilvl w:val="0"/>
          <w:numId w:val="85"/>
        </w:numPr>
        <w:rPr>
          <w:rFonts w:ascii="Arial" w:cs="Arial" w:eastAsia="Arial" w:hAnsi="Arial"/>
          <w:sz w:val="16"/>
          <w:szCs w:val="16"/>
          <w:b w:val="1"/>
          <w:bCs w:val="1"/>
          <w:color w:val="007CBA"/>
        </w:rPr>
      </w:pPr>
      <w:r>
        <w:rPr>
          <w:rFonts w:ascii="Arial" w:cs="Arial" w:eastAsia="Arial" w:hAnsi="Arial"/>
          <w:sz w:val="16"/>
          <w:szCs w:val="16"/>
          <w:color w:val="auto"/>
        </w:rPr>
        <w:t xml:space="preserve">64 sites surpassed 500,000 hours without a lost time incident and </w:t>
      </w:r>
      <w:r>
        <w:rPr>
          <w:rFonts w:ascii="Arial" w:cs="Arial" w:eastAsia="Arial" w:hAnsi="Arial"/>
          <w:sz w:val="16"/>
          <w:szCs w:val="16"/>
          <w:b w:val="1"/>
          <w:bCs w:val="1"/>
          <w:color w:val="auto"/>
        </w:rPr>
        <w:t>11 exceeded the million-hour mark</w:t>
      </w:r>
      <w:r>
        <w:rPr>
          <w:rFonts w:ascii="Arial" w:cs="Arial" w:eastAsia="Arial" w:hAnsi="Arial"/>
          <w:sz w:val="16"/>
          <w:szCs w:val="16"/>
          <w:color w:val="auto"/>
        </w:rPr>
        <w:t xml:space="preserve"> in that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3512820</wp:posOffset>
            </wp:positionH>
            <wp:positionV relativeFrom="paragraph">
              <wp:posOffset>110490</wp:posOffset>
            </wp:positionV>
            <wp:extent cx="411480" cy="2489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172" w:lineRule="exact"/>
        <w:rPr>
          <w:sz w:val="20"/>
          <w:szCs w:val="20"/>
          <w:color w:val="auto"/>
        </w:rPr>
      </w:pPr>
    </w:p>
    <w:p>
      <w:pPr>
        <w:ind w:left="640" w:hanging="436"/>
        <w:spacing w:after="0"/>
        <w:tabs>
          <w:tab w:leader="none" w:pos="640" w:val="left"/>
        </w:tabs>
        <w:numPr>
          <w:ilvl w:val="0"/>
          <w:numId w:val="86"/>
        </w:numPr>
        <w:rPr>
          <w:rFonts w:ascii="Arial" w:cs="Arial" w:eastAsia="Arial" w:hAnsi="Arial"/>
          <w:sz w:val="13"/>
          <w:szCs w:val="13"/>
          <w:b w:val="1"/>
          <w:bCs w:val="1"/>
          <w:color w:val="auto"/>
        </w:rPr>
      </w:pPr>
      <w:r>
        <w:rPr>
          <w:rFonts w:ascii="Arial" w:cs="Arial" w:eastAsia="Arial" w:hAnsi="Arial"/>
          <w:sz w:val="13"/>
          <w:szCs w:val="13"/>
          <w:color w:val="007CBA"/>
        </w:rPr>
        <w:t>2018 PROXY STATEMENT</w:t>
      </w:r>
    </w:p>
    <w:p>
      <w:pPr>
        <w:sectPr>
          <w:pgSz w:w="11900" w:h="16838" w:orient="portrait"/>
          <w:cols w:equalWidth="0" w:num="1">
            <w:col w:w="11220"/>
          </w:cols>
          <w:pgMar w:left="240" w:top="455" w:right="439" w:bottom="1440" w:gutter="0" w:footer="0" w:header="0"/>
          <w:type w:val="continuous"/>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64" w:lineRule="exact"/>
        <w:rPr>
          <w:sz w:val="20"/>
          <w:szCs w:val="20"/>
          <w:color w:val="auto"/>
        </w:rPr>
      </w:pPr>
    </w:p>
    <w:p>
      <w:pPr>
        <w:ind w:left="5700"/>
        <w:spacing w:after="0" w:line="276" w:lineRule="exact"/>
        <w:rPr>
          <w:sz w:val="20"/>
          <w:szCs w:val="20"/>
          <w:color w:val="auto"/>
        </w:rPr>
      </w:pPr>
      <w:r>
        <w:rPr>
          <w:rFonts w:ascii="Arial" w:cs="Arial" w:eastAsia="Arial" w:hAnsi="Arial"/>
          <w:sz w:val="13"/>
          <w:szCs w:val="13"/>
          <w:color w:val="auto"/>
        </w:rPr>
        <w:t xml:space="preserve">Considerations Regarding 2017 Compensation </w:t>
      </w:r>
      <w:r>
        <w:rPr>
          <w:rFonts w:ascii="MS PGothic" w:cs="MS PGothic" w:eastAsia="MS PGothic" w:hAnsi="MS PGothic"/>
          <w:sz w:val="24"/>
          <w:szCs w:val="24"/>
          <w:color w:val="007CBA"/>
        </w:rPr>
        <w:t>◆</w:t>
      </w:r>
      <w:r>
        <w:rPr>
          <w:rFonts w:ascii="Arial" w:cs="Arial" w:eastAsia="Arial" w:hAnsi="Arial"/>
          <w:sz w:val="13"/>
          <w:szCs w:val="13"/>
          <w:color w:val="auto"/>
        </w:rPr>
        <w:t xml:space="preserve"> </w:t>
      </w:r>
      <w:r>
        <w:rPr>
          <w:rFonts w:ascii="Arial" w:cs="Arial" w:eastAsia="Arial" w:hAnsi="Arial"/>
          <w:sz w:val="13"/>
          <w:szCs w:val="13"/>
          <w:color w:val="007CBA"/>
        </w:rPr>
        <w:t>Compensation Discussion and Analysis</w:t>
      </w:r>
    </w:p>
    <w:p>
      <w:pPr>
        <w:spacing w:after="0" w:line="216" w:lineRule="exact"/>
        <w:rPr>
          <w:sz w:val="20"/>
          <w:szCs w:val="20"/>
          <w:color w:val="auto"/>
        </w:rPr>
      </w:pPr>
    </w:p>
    <w:p>
      <w:pPr>
        <w:jc w:val="both"/>
        <w:ind w:left="200"/>
        <w:spacing w:after="0" w:line="259" w:lineRule="auto"/>
        <w:rPr>
          <w:sz w:val="20"/>
          <w:szCs w:val="20"/>
          <w:color w:val="auto"/>
        </w:rPr>
      </w:pPr>
      <w:r>
        <w:rPr>
          <w:rFonts w:ascii="Arial" w:cs="Arial" w:eastAsia="Arial" w:hAnsi="Arial"/>
          <w:sz w:val="16"/>
          <w:szCs w:val="16"/>
          <w:color w:val="auto"/>
        </w:rPr>
        <w:t>The Committee also considered our efforts to tell our sustainability story, which is part of our core strategy. We completed and issued the Company’s third annual sustainability report. “</w:t>
      </w:r>
      <w:r>
        <w:rPr>
          <w:rFonts w:ascii="Arial" w:cs="Arial" w:eastAsia="Arial" w:hAnsi="Arial"/>
          <w:sz w:val="16"/>
          <w:szCs w:val="16"/>
          <w:i w:val="1"/>
          <w:iCs w:val="1"/>
          <w:color w:val="auto"/>
        </w:rPr>
        <w:t>Building. Caring. Growing.</w:t>
      </w:r>
      <w:r>
        <w:rPr>
          <w:rFonts w:ascii="Arial" w:cs="Arial" w:eastAsia="Arial" w:hAnsi="Arial"/>
          <w:sz w:val="16"/>
          <w:szCs w:val="16"/>
          <w:color w:val="auto"/>
        </w:rPr>
        <w:t>” represents our latest publication sharing Martin Marietta’s sustainability story – in 2017 from the perspective of our employees. From our world-class safety programs and performance, to our targeted and intentional support of housing, hunger reduction and healthcare, to environmental programs that ensure operational excellence, we have a solid foundation and an exciting opportunity to build upon.</w:t>
      </w:r>
    </w:p>
    <w:p>
      <w:pPr>
        <w:sectPr>
          <w:pgSz w:w="11900" w:h="16838" w:orient="portrait"/>
          <w:cols w:equalWidth="0" w:num="1">
            <w:col w:w="11220"/>
          </w:cols>
          <w:pgMar w:left="24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220"/>
        <w:spacing w:after="0" w:line="261" w:lineRule="auto"/>
        <w:rPr>
          <w:sz w:val="20"/>
          <w:szCs w:val="20"/>
          <w:color w:val="auto"/>
        </w:rPr>
      </w:pPr>
      <w:r>
        <w:rPr>
          <w:rFonts w:ascii="Arial" w:cs="Arial" w:eastAsia="Arial" w:hAnsi="Arial"/>
          <w:sz w:val="16"/>
          <w:szCs w:val="16"/>
          <w:color w:val="auto"/>
        </w:rPr>
        <w:t>The Committee also reviewed and considered management’s furtherance of its strategic plan, including a primary objective of value-enhancing growth, and the adoption of Mission, Vision, and Values of the Company to unify management with the same objectives.</w:t>
      </w:r>
    </w:p>
    <w:p>
      <w:pPr>
        <w:spacing w:after="0" w:line="145" w:lineRule="exact"/>
        <w:rPr>
          <w:sz w:val="20"/>
          <w:szCs w:val="20"/>
          <w:color w:val="auto"/>
        </w:rPr>
      </w:pPr>
    </w:p>
    <w:p>
      <w:pPr>
        <w:jc w:val="both"/>
        <w:ind w:left="220"/>
        <w:spacing w:after="0" w:line="255" w:lineRule="auto"/>
        <w:rPr>
          <w:sz w:val="20"/>
          <w:szCs w:val="20"/>
          <w:color w:val="auto"/>
        </w:rPr>
      </w:pPr>
      <w:r>
        <w:rPr>
          <w:rFonts w:ascii="Arial" w:cs="Arial" w:eastAsia="Arial" w:hAnsi="Arial"/>
          <w:sz w:val="16"/>
          <w:szCs w:val="16"/>
          <w:color w:val="auto"/>
        </w:rPr>
        <w:t xml:space="preserve">The Committee then conducted a comparative review of the individual contributions of each of the executive officers towards achieving these goals. The Committee also considered qualitative measures of performance for the executive officers, such as adherence to and implementation of Martin Marietta’s </w:t>
      </w:r>
      <w:r>
        <w:rPr>
          <w:rFonts w:ascii="Arial" w:cs="Arial" w:eastAsia="Arial" w:hAnsi="Arial"/>
          <w:sz w:val="16"/>
          <w:szCs w:val="16"/>
          <w:i w:val="1"/>
          <w:iCs w:val="1"/>
          <w:color w:val="auto"/>
        </w:rPr>
        <w:t>Code of Ethical Business Conduct</w:t>
      </w:r>
      <w:r>
        <w:rPr>
          <w:rFonts w:ascii="Arial" w:cs="Arial" w:eastAsia="Arial" w:hAnsi="Arial"/>
          <w:sz w:val="16"/>
          <w:szCs w:val="16"/>
          <w:color w:val="auto"/>
        </w:rPr>
        <w:t>, safety, customer satisfaction, and product quality.</w:t>
      </w:r>
    </w:p>
    <w:p>
      <w:pPr>
        <w:spacing w:after="0" w:line="137" w:lineRule="exact"/>
        <w:rPr>
          <w:sz w:val="20"/>
          <w:szCs w:val="20"/>
          <w:color w:val="auto"/>
        </w:rPr>
      </w:pPr>
    </w:p>
    <w:p>
      <w:pPr>
        <w:jc w:val="both"/>
        <w:ind w:left="220"/>
        <w:spacing w:after="0" w:line="253" w:lineRule="auto"/>
        <w:rPr>
          <w:sz w:val="20"/>
          <w:szCs w:val="20"/>
          <w:color w:val="auto"/>
        </w:rPr>
      </w:pPr>
      <w:r>
        <w:rPr>
          <w:rFonts w:ascii="Arial" w:cs="Arial" w:eastAsia="Arial" w:hAnsi="Arial"/>
          <w:sz w:val="16"/>
          <w:szCs w:val="16"/>
          <w:color w:val="auto"/>
        </w:rPr>
        <w:t>Key individual performance criteria are established for each NEO, which are intended to drive strategic and support operational results in the Company and the functional groups. These performance metrics are established at the beginning of each plan year and are based upon Martin Marietta’s Long-Range Operating Plan, which is set at the end of the previous year. For executives in corporate staff positions, 50% of the determination is made with respect to Martin Marietta’s performance and 50% is based on the individual’s performance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against established objectives. Similar to the Committee’s assessment of financial goals, the Committee’s assessment of individual performance goals generally excludes certain non-recurring or extraordinary items. We do not disclose specific individual performance goals due to the potential for competitive harm. Our targeted individual goals are “stretch but reasonable.”</w:t>
      </w:r>
    </w:p>
    <w:p>
      <w:pPr>
        <w:spacing w:after="0" w:line="34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individualized target goals are tailored for each executive, his or her specific areas of responsibility and the then-current and longer-term goals of Martin Marietta. In addition, achievement of the goals typically is in part dependent on conditions outside the control of each of the named executive officers. For example, our business may be adversely affected by hurricanes or other weather-related conditions, which could have the result of impeding the achievement of certain performance-based goals.</w:t>
      </w:r>
    </w:p>
    <w:p>
      <w:pPr>
        <w:spacing w:after="0" w:line="13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Although there is substantial uncertainty with respect to achieving the target levels at the time the goals are set and communicated, our NEOs have a reasonable expectation of receiving a cash incentive award at a level that is at least near their target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-259715</wp:posOffset>
            </wp:positionH>
            <wp:positionV relativeFrom="paragraph">
              <wp:posOffset>292100</wp:posOffset>
            </wp:positionV>
            <wp:extent cx="411480" cy="2489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384" w:lineRule="exact"/>
        <w:rPr>
          <w:sz w:val="20"/>
          <w:szCs w:val="20"/>
          <w:color w:val="auto"/>
        </w:rPr>
      </w:pPr>
    </w:p>
    <w:p>
      <w:pPr>
        <w:sectPr>
          <w:pgSz w:w="11900" w:h="16838" w:orient="portrait"/>
          <w:cols w:equalWidth="0" w:num="2">
            <w:col w:w="5500" w:space="320"/>
            <w:col w:w="5400"/>
          </w:cols>
          <w:pgMar w:left="240" w:top="455" w:right="439" w:bottom="1440" w:gutter="0" w:footer="0" w:header="0"/>
          <w:type w:val="continuous"/>
        </w:sectPr>
      </w:pPr>
    </w:p>
    <w:p>
      <w:pPr>
        <w:spacing w:after="0" w:line="93" w:lineRule="exact"/>
        <w:rPr>
          <w:sz w:val="20"/>
          <w:szCs w:val="20"/>
          <w:color w:val="auto"/>
        </w:rPr>
      </w:pPr>
    </w:p>
    <w:tbl>
      <w:tblPr>
        <w:tblLayout w:type="fixed"/>
        <w:tblInd w:w="9260" w:type="dxa"/>
        <w:tblCellMar>
          <w:top w:w="0" w:type="dxa"/>
          <w:left w:w="0" w:type="dxa"/>
          <w:bottom w:w="0" w:type="dxa"/>
          <w:right w:w="0" w:type="dxa"/>
        </w:tblCellMar>
      </w:tblPr>
      <w:tr>
        <w:trPr>
          <w:trHeight w:val="178"/>
        </w:trPr>
        <w:tc>
          <w:tcPr>
            <w:tcW w:w="1680" w:type="dxa"/>
            <w:vAlign w:val="bottom"/>
          </w:tcPr>
          <w:p>
            <w:pPr>
              <w:spacing w:after="0"/>
              <w:rPr>
                <w:sz w:val="20"/>
                <w:szCs w:val="20"/>
                <w:color w:val="auto"/>
              </w:rPr>
            </w:pPr>
            <w:r>
              <w:rPr>
                <w:rFonts w:ascii="Arial" w:cs="Arial" w:eastAsia="Arial" w:hAnsi="Arial"/>
                <w:sz w:val="13"/>
                <w:szCs w:val="13"/>
                <w:color w:val="007CBA"/>
              </w:rPr>
              <w:t>2018 PROXY STATEMENT</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rPr>
              <w:t>45</w:t>
            </w:r>
          </w:p>
        </w:tc>
      </w:tr>
    </w:tbl>
    <w:p>
      <w:pPr>
        <w:sectPr>
          <w:pgSz w:w="11900" w:h="16838" w:orient="portrait"/>
          <w:cols w:equalWidth="0" w:num="1">
            <w:col w:w="11220"/>
          </w:cols>
          <w:pgMar w:left="240" w:top="455" w:right="439" w:bottom="1440" w:gutter="0" w:footer="0" w:header="0"/>
          <w:type w:val="continuous"/>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64" w:lineRule="exact"/>
        <w:rPr>
          <w:sz w:val="20"/>
          <w:szCs w:val="20"/>
          <w:color w:val="auto"/>
        </w:rPr>
      </w:pPr>
    </w:p>
    <w:p>
      <w:pPr>
        <w:ind w:left="200"/>
        <w:spacing w:after="0" w:line="288" w:lineRule="exact"/>
        <w:rPr>
          <w:sz w:val="20"/>
          <w:szCs w:val="20"/>
          <w:color w:val="auto"/>
        </w:rPr>
      </w:pPr>
      <w:r>
        <w:rPr>
          <w:rFonts w:ascii="Arial" w:cs="Arial" w:eastAsia="Arial" w:hAnsi="Arial"/>
          <w:sz w:val="14"/>
          <w:szCs w:val="14"/>
          <w:color w:val="007CBA"/>
        </w:rPr>
        <w:t xml:space="preserve">Compensation Discussion and Analysis </w:t>
      </w:r>
      <w:r>
        <w:rPr>
          <w:rFonts w:ascii="MS PGothic" w:cs="MS PGothic" w:eastAsia="MS PGothic" w:hAnsi="MS PGothic"/>
          <w:sz w:val="25"/>
          <w:szCs w:val="25"/>
          <w:color w:val="007CBA"/>
        </w:rPr>
        <w:t>◆</w:t>
      </w:r>
      <w:r>
        <w:rPr>
          <w:rFonts w:ascii="Arial" w:cs="Arial" w:eastAsia="Arial" w:hAnsi="Arial"/>
          <w:sz w:val="14"/>
          <w:szCs w:val="14"/>
          <w:color w:val="007CBA"/>
        </w:rPr>
        <w:t xml:space="preserve"> </w:t>
      </w:r>
      <w:r>
        <w:rPr>
          <w:rFonts w:ascii="Arial" w:cs="Arial" w:eastAsia="Arial" w:hAnsi="Arial"/>
          <w:sz w:val="14"/>
          <w:szCs w:val="14"/>
          <w:color w:val="000000"/>
        </w:rPr>
        <w:t>Considerations Regarding 2017 Compensation</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2017 Actual Incentive Cash Earned</w:t>
      </w:r>
    </w:p>
    <w:p>
      <w:pPr>
        <w:spacing w:after="0" w:line="2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table below summarizes the targets for 2017 and annual incentive award earned by each NEO:</w:t>
      </w:r>
    </w:p>
    <w:p>
      <w:pPr>
        <w:spacing w:after="0" w:line="219" w:lineRule="exact"/>
        <w:rPr>
          <w:sz w:val="20"/>
          <w:szCs w:val="20"/>
          <w:color w:val="auto"/>
        </w:rPr>
      </w:pPr>
    </w:p>
    <w:tbl>
      <w:tblPr>
        <w:tblLayout w:type="fixed"/>
        <w:tblInd w:w="220" w:type="dxa"/>
        <w:tblCellMar>
          <w:top w:w="0" w:type="dxa"/>
          <w:left w:w="0" w:type="dxa"/>
          <w:bottom w:w="0" w:type="dxa"/>
          <w:right w:w="0" w:type="dxa"/>
        </w:tblCellMar>
      </w:tblPr>
      <w:tr>
        <w:trPr>
          <w:trHeight w:val="209"/>
        </w:trPr>
        <w:tc>
          <w:tcPr>
            <w:tcW w:w="6100" w:type="dxa"/>
            <w:vAlign w:val="bottom"/>
            <w:tcBorders>
              <w:right w:val="single" w:sz="8" w:color="007CBA"/>
            </w:tcBorders>
            <w:shd w:val="clear" w:color="auto" w:fill="007CBA"/>
          </w:tcPr>
          <w:p>
            <w:pPr>
              <w:spacing w:after="0"/>
              <w:rPr>
                <w:sz w:val="18"/>
                <w:szCs w:val="18"/>
                <w:color w:val="auto"/>
              </w:rPr>
            </w:pPr>
          </w:p>
        </w:tc>
        <w:tc>
          <w:tcPr>
            <w:tcW w:w="18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6"/>
                <w:szCs w:val="16"/>
                <w:b w:val="1"/>
                <w:bCs w:val="1"/>
                <w:color w:val="FFFFFF"/>
              </w:rPr>
              <w:t>Target Annual</w:t>
            </w:r>
          </w:p>
        </w:tc>
        <w:tc>
          <w:tcPr>
            <w:tcW w:w="1480" w:type="dxa"/>
            <w:vAlign w:val="bottom"/>
            <w:tcBorders>
              <w:right w:val="single" w:sz="8" w:color="007CBA"/>
            </w:tcBorders>
            <w:gridSpan w:val="2"/>
            <w:shd w:val="clear" w:color="auto" w:fill="007CBA"/>
          </w:tcPr>
          <w:p>
            <w:pPr>
              <w:ind w:left="260"/>
              <w:spacing w:after="0"/>
              <w:rPr>
                <w:sz w:val="20"/>
                <w:szCs w:val="20"/>
                <w:color w:val="auto"/>
              </w:rPr>
            </w:pPr>
            <w:r>
              <w:rPr>
                <w:rFonts w:ascii="Arial" w:cs="Arial" w:eastAsia="Arial" w:hAnsi="Arial"/>
                <w:sz w:val="16"/>
                <w:szCs w:val="16"/>
                <w:b w:val="1"/>
                <w:bCs w:val="1"/>
                <w:color w:val="FFFFFF"/>
              </w:rPr>
              <w:t>2017 Target</w:t>
            </w:r>
          </w:p>
        </w:tc>
        <w:tc>
          <w:tcPr>
            <w:tcW w:w="1580" w:type="dxa"/>
            <w:vAlign w:val="bottom"/>
            <w:gridSpan w:val="2"/>
            <w:shd w:val="clear" w:color="auto" w:fill="007CBA"/>
          </w:tcPr>
          <w:p>
            <w:pPr>
              <w:ind w:left="280"/>
              <w:spacing w:after="0"/>
              <w:rPr>
                <w:sz w:val="20"/>
                <w:szCs w:val="20"/>
                <w:color w:val="auto"/>
              </w:rPr>
            </w:pPr>
            <w:r>
              <w:rPr>
                <w:rFonts w:ascii="Arial" w:cs="Arial" w:eastAsia="Arial" w:hAnsi="Arial"/>
                <w:sz w:val="16"/>
                <w:szCs w:val="16"/>
                <w:b w:val="1"/>
                <w:bCs w:val="1"/>
                <w:color w:val="FFFFFF"/>
              </w:rPr>
              <w:t>2017 Actual</w:t>
            </w:r>
          </w:p>
        </w:tc>
      </w:tr>
      <w:tr>
        <w:trPr>
          <w:trHeight w:val="189"/>
        </w:trPr>
        <w:tc>
          <w:tcPr>
            <w:tcW w:w="6100" w:type="dxa"/>
            <w:vAlign w:val="bottom"/>
            <w:tcBorders>
              <w:right w:val="single" w:sz="8" w:color="007CBA"/>
            </w:tcBorders>
            <w:shd w:val="clear" w:color="auto" w:fill="007CBA"/>
          </w:tcPr>
          <w:p>
            <w:pPr>
              <w:spacing w:after="0"/>
              <w:rPr>
                <w:sz w:val="16"/>
                <w:szCs w:val="16"/>
                <w:color w:val="auto"/>
              </w:rPr>
            </w:pPr>
          </w:p>
        </w:tc>
        <w:tc>
          <w:tcPr>
            <w:tcW w:w="18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6"/>
                <w:szCs w:val="16"/>
                <w:b w:val="1"/>
                <w:bCs w:val="1"/>
                <w:color w:val="FFFFFF"/>
              </w:rPr>
              <w:t>Incentive Bonus</w:t>
            </w:r>
          </w:p>
        </w:tc>
        <w:tc>
          <w:tcPr>
            <w:tcW w:w="400" w:type="dxa"/>
            <w:vAlign w:val="bottom"/>
            <w:shd w:val="clear" w:color="auto" w:fill="007CBA"/>
          </w:tcPr>
          <w:p>
            <w:pPr>
              <w:spacing w:after="0"/>
              <w:rPr>
                <w:sz w:val="16"/>
                <w:szCs w:val="16"/>
                <w:color w:val="auto"/>
              </w:rPr>
            </w:pPr>
          </w:p>
        </w:tc>
        <w:tc>
          <w:tcPr>
            <w:tcW w:w="1080" w:type="dxa"/>
            <w:vAlign w:val="bottom"/>
            <w:tcBorders>
              <w:right w:val="single" w:sz="8" w:color="007CBA"/>
            </w:tcBorders>
            <w:shd w:val="clear" w:color="auto" w:fill="007CBA"/>
          </w:tcPr>
          <w:p>
            <w:pPr>
              <w:jc w:val="right"/>
              <w:ind w:right="419"/>
              <w:spacing w:after="0"/>
              <w:rPr>
                <w:sz w:val="20"/>
                <w:szCs w:val="20"/>
                <w:color w:val="auto"/>
              </w:rPr>
            </w:pPr>
            <w:r>
              <w:rPr>
                <w:rFonts w:ascii="Arial" w:cs="Arial" w:eastAsia="Arial" w:hAnsi="Arial"/>
                <w:sz w:val="16"/>
                <w:szCs w:val="16"/>
                <w:b w:val="1"/>
                <w:bCs w:val="1"/>
                <w:color w:val="FFFFFF"/>
              </w:rPr>
              <w:t>Annual</w:t>
            </w:r>
          </w:p>
        </w:tc>
        <w:tc>
          <w:tcPr>
            <w:tcW w:w="360" w:type="dxa"/>
            <w:vAlign w:val="bottom"/>
            <w:shd w:val="clear" w:color="auto" w:fill="007CBA"/>
          </w:tcPr>
          <w:p>
            <w:pPr>
              <w:spacing w:after="0"/>
              <w:rPr>
                <w:sz w:val="16"/>
                <w:szCs w:val="16"/>
                <w:color w:val="auto"/>
              </w:rPr>
            </w:pPr>
          </w:p>
        </w:tc>
        <w:tc>
          <w:tcPr>
            <w:tcW w:w="1220" w:type="dxa"/>
            <w:vAlign w:val="bottom"/>
            <w:shd w:val="clear" w:color="auto" w:fill="007CBA"/>
          </w:tcPr>
          <w:p>
            <w:pPr>
              <w:jc w:val="right"/>
              <w:ind w:right="499"/>
              <w:spacing w:after="0"/>
              <w:rPr>
                <w:sz w:val="20"/>
                <w:szCs w:val="20"/>
                <w:color w:val="auto"/>
              </w:rPr>
            </w:pPr>
            <w:r>
              <w:rPr>
                <w:rFonts w:ascii="Arial" w:cs="Arial" w:eastAsia="Arial" w:hAnsi="Arial"/>
                <w:sz w:val="16"/>
                <w:szCs w:val="16"/>
                <w:b w:val="1"/>
                <w:bCs w:val="1"/>
                <w:color w:val="FFFFFF"/>
              </w:rPr>
              <w:t>Annual</w:t>
            </w:r>
          </w:p>
        </w:tc>
      </w:tr>
      <w:tr>
        <w:trPr>
          <w:trHeight w:val="243"/>
        </w:trPr>
        <w:tc>
          <w:tcPr>
            <w:tcW w:w="6100" w:type="dxa"/>
            <w:vAlign w:val="bottom"/>
            <w:tcBorders>
              <w:bottom w:val="single" w:sz="8" w:color="007CBA"/>
              <w:right w:val="single" w:sz="8" w:color="007CBA"/>
            </w:tcBorders>
            <w:shd w:val="clear" w:color="auto" w:fill="007CBA"/>
          </w:tcPr>
          <w:p>
            <w:pPr>
              <w:ind w:left="60"/>
              <w:spacing w:after="0"/>
              <w:rPr>
                <w:sz w:val="20"/>
                <w:szCs w:val="20"/>
                <w:color w:val="auto"/>
              </w:rPr>
            </w:pPr>
            <w:r>
              <w:rPr>
                <w:rFonts w:ascii="Arial" w:cs="Arial" w:eastAsia="Arial" w:hAnsi="Arial"/>
                <w:sz w:val="16"/>
                <w:szCs w:val="16"/>
                <w:b w:val="1"/>
                <w:bCs w:val="1"/>
                <w:color w:val="FFFFFF"/>
              </w:rPr>
              <w:t>NEO</w:t>
            </w:r>
          </w:p>
        </w:tc>
        <w:tc>
          <w:tcPr>
            <w:tcW w:w="186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6"/>
                <w:szCs w:val="16"/>
                <w:b w:val="1"/>
                <w:bCs w:val="1"/>
                <w:color w:val="FFFFFF"/>
              </w:rPr>
              <w:t>(% of Salary)</w:t>
            </w:r>
          </w:p>
        </w:tc>
        <w:tc>
          <w:tcPr>
            <w:tcW w:w="1480" w:type="dxa"/>
            <w:vAlign w:val="bottom"/>
            <w:tcBorders>
              <w:bottom w:val="single" w:sz="8" w:color="007CBA"/>
              <w:right w:val="single" w:sz="8" w:color="007CBA"/>
            </w:tcBorders>
            <w:gridSpan w:val="2"/>
            <w:shd w:val="clear" w:color="auto" w:fill="007CBA"/>
          </w:tcPr>
          <w:p>
            <w:pPr>
              <w:ind w:left="320"/>
              <w:spacing w:after="0"/>
              <w:rPr>
                <w:sz w:val="20"/>
                <w:szCs w:val="20"/>
                <w:color w:val="auto"/>
              </w:rPr>
            </w:pPr>
            <w:r>
              <w:rPr>
                <w:rFonts w:ascii="Arial" w:cs="Arial" w:eastAsia="Arial" w:hAnsi="Arial"/>
                <w:sz w:val="16"/>
                <w:szCs w:val="16"/>
                <w:b w:val="1"/>
                <w:bCs w:val="1"/>
                <w:color w:val="FFFFFF"/>
              </w:rPr>
              <w:t>Incentive*</w:t>
            </w:r>
          </w:p>
        </w:tc>
        <w:tc>
          <w:tcPr>
            <w:tcW w:w="360" w:type="dxa"/>
            <w:vAlign w:val="bottom"/>
            <w:tcBorders>
              <w:bottom w:val="single" w:sz="8" w:color="007CBA"/>
            </w:tcBorders>
            <w:shd w:val="clear" w:color="auto" w:fill="007CBA"/>
          </w:tcPr>
          <w:p>
            <w:pPr>
              <w:spacing w:after="0"/>
              <w:rPr>
                <w:sz w:val="21"/>
                <w:szCs w:val="21"/>
                <w:color w:val="auto"/>
              </w:rPr>
            </w:pPr>
          </w:p>
        </w:tc>
        <w:tc>
          <w:tcPr>
            <w:tcW w:w="1220" w:type="dxa"/>
            <w:vAlign w:val="bottom"/>
            <w:tcBorders>
              <w:bottom w:val="single" w:sz="8" w:color="007CBA"/>
            </w:tcBorders>
            <w:shd w:val="clear" w:color="auto" w:fill="007CBA"/>
          </w:tcPr>
          <w:p>
            <w:pPr>
              <w:jc w:val="right"/>
              <w:ind w:right="419"/>
              <w:spacing w:after="0"/>
              <w:rPr>
                <w:sz w:val="20"/>
                <w:szCs w:val="20"/>
                <w:color w:val="auto"/>
              </w:rPr>
            </w:pPr>
            <w:r>
              <w:rPr>
                <w:rFonts w:ascii="Arial" w:cs="Arial" w:eastAsia="Arial" w:hAnsi="Arial"/>
                <w:sz w:val="16"/>
                <w:szCs w:val="16"/>
                <w:b w:val="1"/>
                <w:bCs w:val="1"/>
                <w:color w:val="FFFFFF"/>
              </w:rPr>
              <w:t>Incentive</w:t>
            </w:r>
          </w:p>
        </w:tc>
      </w:tr>
      <w:tr>
        <w:trPr>
          <w:trHeight w:val="257"/>
        </w:trPr>
        <w:tc>
          <w:tcPr>
            <w:tcW w:w="610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6"/>
                <w:szCs w:val="16"/>
                <w:color w:val="auto"/>
              </w:rPr>
              <w:t>C. Howard Nye</w:t>
            </w:r>
          </w:p>
        </w:tc>
        <w:tc>
          <w:tcPr>
            <w:tcW w:w="1860" w:type="dxa"/>
            <w:vAlign w:val="bottom"/>
            <w:tcBorders>
              <w:right w:val="single" w:sz="8" w:color="007CBA"/>
            </w:tcBorders>
            <w:shd w:val="clear" w:color="auto" w:fill="E5F1F8"/>
          </w:tcPr>
          <w:p>
            <w:pPr>
              <w:jc w:val="center"/>
              <w:ind w:left="99"/>
              <w:spacing w:after="0"/>
              <w:rPr>
                <w:sz w:val="20"/>
                <w:szCs w:val="20"/>
                <w:color w:val="auto"/>
              </w:rPr>
            </w:pPr>
            <w:r>
              <w:rPr>
                <w:rFonts w:ascii="Arial" w:cs="Arial" w:eastAsia="Arial" w:hAnsi="Arial"/>
                <w:sz w:val="16"/>
                <w:szCs w:val="16"/>
                <w:color w:val="auto"/>
                <w:w w:val="97"/>
              </w:rPr>
              <w:t>110%</w:t>
            </w:r>
          </w:p>
        </w:tc>
        <w:tc>
          <w:tcPr>
            <w:tcW w:w="400" w:type="dxa"/>
            <w:vAlign w:val="bottom"/>
            <w:shd w:val="clear" w:color="auto" w:fill="E5F1F8"/>
          </w:tcPr>
          <w:p>
            <w:pPr>
              <w:ind w:left="260"/>
              <w:spacing w:after="0"/>
              <w:rPr>
                <w:sz w:val="20"/>
                <w:szCs w:val="20"/>
                <w:color w:val="auto"/>
              </w:rPr>
            </w:pPr>
            <w:r>
              <w:rPr>
                <w:rFonts w:ascii="Arial" w:cs="Arial" w:eastAsia="Arial" w:hAnsi="Arial"/>
                <w:sz w:val="16"/>
                <w:szCs w:val="16"/>
                <w:color w:val="auto"/>
              </w:rPr>
              <w:t>$</w:t>
            </w:r>
          </w:p>
        </w:tc>
        <w:tc>
          <w:tcPr>
            <w:tcW w:w="1080" w:type="dxa"/>
            <w:vAlign w:val="bottom"/>
            <w:tcBorders>
              <w:right w:val="single" w:sz="8" w:color="007CBA"/>
            </w:tcBorders>
            <w:shd w:val="clear" w:color="auto" w:fill="E5F1F8"/>
          </w:tcPr>
          <w:p>
            <w:pPr>
              <w:jc w:val="right"/>
              <w:ind w:right="239"/>
              <w:spacing w:after="0"/>
              <w:rPr>
                <w:sz w:val="20"/>
                <w:szCs w:val="20"/>
                <w:color w:val="auto"/>
              </w:rPr>
            </w:pPr>
            <w:r>
              <w:rPr>
                <w:rFonts w:ascii="Arial" w:cs="Arial" w:eastAsia="Arial" w:hAnsi="Arial"/>
                <w:sz w:val="16"/>
                <w:szCs w:val="16"/>
                <w:color w:val="auto"/>
              </w:rPr>
              <w:t>1,143,083</w:t>
            </w:r>
          </w:p>
        </w:tc>
        <w:tc>
          <w:tcPr>
            <w:tcW w:w="360" w:type="dxa"/>
            <w:vAlign w:val="bottom"/>
            <w:shd w:val="clear" w:color="auto" w:fill="E5F1F8"/>
          </w:tcPr>
          <w:p>
            <w:pPr>
              <w:ind w:left="260"/>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E5F1F8"/>
          </w:tcPr>
          <w:p>
            <w:pPr>
              <w:jc w:val="right"/>
              <w:ind w:right="319"/>
              <w:spacing w:after="0"/>
              <w:rPr>
                <w:sz w:val="20"/>
                <w:szCs w:val="20"/>
                <w:color w:val="auto"/>
              </w:rPr>
            </w:pPr>
            <w:r>
              <w:rPr>
                <w:rFonts w:ascii="Arial" w:cs="Arial" w:eastAsia="Arial" w:hAnsi="Arial"/>
                <w:sz w:val="16"/>
                <w:szCs w:val="16"/>
                <w:color w:val="auto"/>
              </w:rPr>
              <w:t>2,000,000</w:t>
            </w:r>
          </w:p>
        </w:tc>
      </w:tr>
      <w:tr>
        <w:trPr>
          <w:trHeight w:val="249"/>
        </w:trPr>
        <w:tc>
          <w:tcPr>
            <w:tcW w:w="6100" w:type="dxa"/>
            <w:vAlign w:val="bottom"/>
            <w:tcBorders>
              <w:right w:val="single" w:sz="8" w:color="007CBA"/>
            </w:tcBorders>
          </w:tcPr>
          <w:p>
            <w:pPr>
              <w:ind w:left="60"/>
              <w:spacing w:after="0"/>
              <w:rPr>
                <w:sz w:val="20"/>
                <w:szCs w:val="20"/>
                <w:color w:val="auto"/>
              </w:rPr>
            </w:pPr>
            <w:r>
              <w:rPr>
                <w:rFonts w:ascii="Arial" w:cs="Arial" w:eastAsia="Arial" w:hAnsi="Arial"/>
                <w:sz w:val="16"/>
                <w:szCs w:val="16"/>
                <w:color w:val="auto"/>
              </w:rPr>
              <w:t>James A. J. Nickolas</w:t>
            </w:r>
          </w:p>
        </w:tc>
        <w:tc>
          <w:tcPr>
            <w:tcW w:w="1860" w:type="dxa"/>
            <w:vAlign w:val="bottom"/>
            <w:tcBorders>
              <w:right w:val="single" w:sz="8" w:color="007CBA"/>
            </w:tcBorders>
          </w:tcPr>
          <w:p>
            <w:pPr>
              <w:jc w:val="center"/>
              <w:ind w:left="59"/>
              <w:spacing w:after="0"/>
              <w:rPr>
                <w:sz w:val="20"/>
                <w:szCs w:val="20"/>
                <w:color w:val="auto"/>
              </w:rPr>
            </w:pPr>
            <w:r>
              <w:rPr>
                <w:rFonts w:ascii="Arial" w:cs="Arial" w:eastAsia="Arial" w:hAnsi="Arial"/>
                <w:sz w:val="16"/>
                <w:szCs w:val="16"/>
                <w:color w:val="auto"/>
                <w:w w:val="99"/>
              </w:rPr>
              <w:t>75%</w:t>
            </w:r>
          </w:p>
        </w:tc>
        <w:tc>
          <w:tcPr>
            <w:tcW w:w="400" w:type="dxa"/>
            <w:vAlign w:val="bottom"/>
          </w:tcPr>
          <w:p>
            <w:pPr>
              <w:ind w:left="260"/>
              <w:spacing w:after="0"/>
              <w:rPr>
                <w:sz w:val="20"/>
                <w:szCs w:val="20"/>
                <w:color w:val="auto"/>
              </w:rPr>
            </w:pPr>
            <w:r>
              <w:rPr>
                <w:rFonts w:ascii="Arial" w:cs="Arial" w:eastAsia="Arial" w:hAnsi="Arial"/>
                <w:sz w:val="16"/>
                <w:szCs w:val="16"/>
                <w:color w:val="auto"/>
              </w:rPr>
              <w:t>$</w:t>
            </w:r>
          </w:p>
        </w:tc>
        <w:tc>
          <w:tcPr>
            <w:tcW w:w="1080" w:type="dxa"/>
            <w:vAlign w:val="bottom"/>
            <w:tcBorders>
              <w:right w:val="single" w:sz="8" w:color="007CBA"/>
            </w:tcBorders>
          </w:tcPr>
          <w:p>
            <w:pPr>
              <w:jc w:val="right"/>
              <w:ind w:right="239"/>
              <w:spacing w:after="0"/>
              <w:rPr>
                <w:sz w:val="20"/>
                <w:szCs w:val="20"/>
                <w:color w:val="auto"/>
              </w:rPr>
            </w:pPr>
            <w:r>
              <w:rPr>
                <w:rFonts w:ascii="Arial" w:cs="Arial" w:eastAsia="Arial" w:hAnsi="Arial"/>
                <w:sz w:val="16"/>
                <w:szCs w:val="16"/>
                <w:color w:val="auto"/>
              </w:rPr>
              <w:t>129,702</w:t>
            </w:r>
          </w:p>
        </w:tc>
        <w:tc>
          <w:tcPr>
            <w:tcW w:w="360" w:type="dxa"/>
            <w:vAlign w:val="bottom"/>
          </w:tcPr>
          <w:p>
            <w:pPr>
              <w:ind w:left="260"/>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19"/>
              <w:spacing w:after="0"/>
              <w:rPr>
                <w:sz w:val="20"/>
                <w:szCs w:val="20"/>
                <w:color w:val="auto"/>
              </w:rPr>
            </w:pPr>
            <w:r>
              <w:rPr>
                <w:rFonts w:ascii="Arial" w:cs="Arial" w:eastAsia="Arial" w:hAnsi="Arial"/>
                <w:sz w:val="16"/>
                <w:szCs w:val="16"/>
                <w:color w:val="auto"/>
              </w:rPr>
              <w:t>162,127</w:t>
            </w:r>
          </w:p>
        </w:tc>
      </w:tr>
      <w:tr>
        <w:trPr>
          <w:trHeight w:val="264"/>
        </w:trPr>
        <w:tc>
          <w:tcPr>
            <w:tcW w:w="610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6"/>
                <w:szCs w:val="16"/>
                <w:color w:val="auto"/>
              </w:rPr>
              <w:t>Roselyn R. Bar</w:t>
            </w:r>
          </w:p>
        </w:tc>
        <w:tc>
          <w:tcPr>
            <w:tcW w:w="1860" w:type="dxa"/>
            <w:vAlign w:val="bottom"/>
            <w:tcBorders>
              <w:right w:val="single" w:sz="8" w:color="007CBA"/>
            </w:tcBorders>
            <w:shd w:val="clear" w:color="auto" w:fill="E5F1F8"/>
          </w:tcPr>
          <w:p>
            <w:pPr>
              <w:jc w:val="center"/>
              <w:ind w:left="59"/>
              <w:spacing w:after="0"/>
              <w:rPr>
                <w:sz w:val="20"/>
                <w:szCs w:val="20"/>
                <w:color w:val="auto"/>
              </w:rPr>
            </w:pPr>
            <w:r>
              <w:rPr>
                <w:rFonts w:ascii="Arial" w:cs="Arial" w:eastAsia="Arial" w:hAnsi="Arial"/>
                <w:sz w:val="16"/>
                <w:szCs w:val="16"/>
                <w:color w:val="auto"/>
                <w:w w:val="99"/>
              </w:rPr>
              <w:t>80%</w:t>
            </w:r>
          </w:p>
        </w:tc>
        <w:tc>
          <w:tcPr>
            <w:tcW w:w="400" w:type="dxa"/>
            <w:vAlign w:val="bottom"/>
            <w:shd w:val="clear" w:color="auto" w:fill="E5F1F8"/>
          </w:tcPr>
          <w:p>
            <w:pPr>
              <w:ind w:left="260"/>
              <w:spacing w:after="0"/>
              <w:rPr>
                <w:sz w:val="20"/>
                <w:szCs w:val="20"/>
                <w:color w:val="auto"/>
              </w:rPr>
            </w:pPr>
            <w:r>
              <w:rPr>
                <w:rFonts w:ascii="Arial" w:cs="Arial" w:eastAsia="Arial" w:hAnsi="Arial"/>
                <w:sz w:val="16"/>
                <w:szCs w:val="16"/>
                <w:color w:val="auto"/>
              </w:rPr>
              <w:t>$</w:t>
            </w:r>
          </w:p>
        </w:tc>
        <w:tc>
          <w:tcPr>
            <w:tcW w:w="1080" w:type="dxa"/>
            <w:vAlign w:val="bottom"/>
            <w:tcBorders>
              <w:right w:val="single" w:sz="8" w:color="007CBA"/>
            </w:tcBorders>
            <w:shd w:val="clear" w:color="auto" w:fill="E5F1F8"/>
          </w:tcPr>
          <w:p>
            <w:pPr>
              <w:jc w:val="right"/>
              <w:ind w:right="239"/>
              <w:spacing w:after="0"/>
              <w:rPr>
                <w:sz w:val="20"/>
                <w:szCs w:val="20"/>
                <w:color w:val="auto"/>
              </w:rPr>
            </w:pPr>
            <w:r>
              <w:rPr>
                <w:rFonts w:ascii="Arial" w:cs="Arial" w:eastAsia="Arial" w:hAnsi="Arial"/>
                <w:sz w:val="16"/>
                <w:szCs w:val="16"/>
                <w:color w:val="auto"/>
              </w:rPr>
              <w:t>409,107</w:t>
            </w:r>
          </w:p>
        </w:tc>
        <w:tc>
          <w:tcPr>
            <w:tcW w:w="360" w:type="dxa"/>
            <w:vAlign w:val="bottom"/>
            <w:shd w:val="clear" w:color="auto" w:fill="E5F1F8"/>
          </w:tcPr>
          <w:p>
            <w:pPr>
              <w:ind w:left="260"/>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E5F1F8"/>
          </w:tcPr>
          <w:p>
            <w:pPr>
              <w:jc w:val="right"/>
              <w:ind w:right="319"/>
              <w:spacing w:after="0"/>
              <w:rPr>
                <w:sz w:val="20"/>
                <w:szCs w:val="20"/>
                <w:color w:val="auto"/>
              </w:rPr>
            </w:pPr>
            <w:r>
              <w:rPr>
                <w:rFonts w:ascii="Arial" w:cs="Arial" w:eastAsia="Arial" w:hAnsi="Arial"/>
                <w:sz w:val="16"/>
                <w:szCs w:val="16"/>
                <w:color w:val="auto"/>
              </w:rPr>
              <w:t>634,115</w:t>
            </w:r>
          </w:p>
        </w:tc>
      </w:tr>
      <w:tr>
        <w:trPr>
          <w:trHeight w:val="249"/>
        </w:trPr>
        <w:tc>
          <w:tcPr>
            <w:tcW w:w="6100" w:type="dxa"/>
            <w:vAlign w:val="bottom"/>
            <w:tcBorders>
              <w:right w:val="single" w:sz="8" w:color="007CBA"/>
            </w:tcBorders>
          </w:tcPr>
          <w:p>
            <w:pPr>
              <w:ind w:left="60"/>
              <w:spacing w:after="0"/>
              <w:rPr>
                <w:sz w:val="20"/>
                <w:szCs w:val="20"/>
                <w:color w:val="auto"/>
              </w:rPr>
            </w:pPr>
            <w:r>
              <w:rPr>
                <w:rFonts w:ascii="Arial" w:cs="Arial" w:eastAsia="Arial" w:hAnsi="Arial"/>
                <w:sz w:val="16"/>
                <w:szCs w:val="16"/>
                <w:color w:val="auto"/>
              </w:rPr>
              <w:t>Donald A. McCunniff</w:t>
            </w:r>
          </w:p>
        </w:tc>
        <w:tc>
          <w:tcPr>
            <w:tcW w:w="1860" w:type="dxa"/>
            <w:vAlign w:val="bottom"/>
            <w:tcBorders>
              <w:right w:val="single" w:sz="8" w:color="007CBA"/>
            </w:tcBorders>
          </w:tcPr>
          <w:p>
            <w:pPr>
              <w:jc w:val="center"/>
              <w:ind w:left="59"/>
              <w:spacing w:after="0"/>
              <w:rPr>
                <w:sz w:val="20"/>
                <w:szCs w:val="20"/>
                <w:color w:val="auto"/>
              </w:rPr>
            </w:pPr>
            <w:r>
              <w:rPr>
                <w:rFonts w:ascii="Arial" w:cs="Arial" w:eastAsia="Arial" w:hAnsi="Arial"/>
                <w:sz w:val="16"/>
                <w:szCs w:val="16"/>
                <w:color w:val="auto"/>
                <w:w w:val="99"/>
              </w:rPr>
              <w:t>70%</w:t>
            </w:r>
          </w:p>
        </w:tc>
        <w:tc>
          <w:tcPr>
            <w:tcW w:w="400" w:type="dxa"/>
            <w:vAlign w:val="bottom"/>
          </w:tcPr>
          <w:p>
            <w:pPr>
              <w:ind w:left="260"/>
              <w:spacing w:after="0"/>
              <w:rPr>
                <w:sz w:val="20"/>
                <w:szCs w:val="20"/>
                <w:color w:val="auto"/>
              </w:rPr>
            </w:pPr>
            <w:r>
              <w:rPr>
                <w:rFonts w:ascii="Arial" w:cs="Arial" w:eastAsia="Arial" w:hAnsi="Arial"/>
                <w:sz w:val="16"/>
                <w:szCs w:val="16"/>
                <w:color w:val="auto"/>
              </w:rPr>
              <w:t>$</w:t>
            </w:r>
          </w:p>
        </w:tc>
        <w:tc>
          <w:tcPr>
            <w:tcW w:w="1080" w:type="dxa"/>
            <w:vAlign w:val="bottom"/>
            <w:tcBorders>
              <w:right w:val="single" w:sz="8" w:color="007CBA"/>
            </w:tcBorders>
          </w:tcPr>
          <w:p>
            <w:pPr>
              <w:jc w:val="right"/>
              <w:ind w:right="239"/>
              <w:spacing w:after="0"/>
              <w:rPr>
                <w:sz w:val="20"/>
                <w:szCs w:val="20"/>
                <w:color w:val="auto"/>
              </w:rPr>
            </w:pPr>
            <w:r>
              <w:rPr>
                <w:rFonts w:ascii="Arial" w:cs="Arial" w:eastAsia="Arial" w:hAnsi="Arial"/>
                <w:sz w:val="16"/>
                <w:szCs w:val="16"/>
                <w:color w:val="auto"/>
              </w:rPr>
              <w:t>267,575</w:t>
            </w:r>
          </w:p>
        </w:tc>
        <w:tc>
          <w:tcPr>
            <w:tcW w:w="360" w:type="dxa"/>
            <w:vAlign w:val="bottom"/>
          </w:tcPr>
          <w:p>
            <w:pPr>
              <w:ind w:left="260"/>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19"/>
              <w:spacing w:after="0"/>
              <w:rPr>
                <w:sz w:val="20"/>
                <w:szCs w:val="20"/>
                <w:color w:val="auto"/>
              </w:rPr>
            </w:pPr>
            <w:r>
              <w:rPr>
                <w:rFonts w:ascii="Arial" w:cs="Arial" w:eastAsia="Arial" w:hAnsi="Arial"/>
                <w:sz w:val="16"/>
                <w:szCs w:val="16"/>
                <w:color w:val="auto"/>
              </w:rPr>
              <w:t>401,363</w:t>
            </w:r>
          </w:p>
        </w:tc>
      </w:tr>
      <w:tr>
        <w:trPr>
          <w:trHeight w:val="258"/>
        </w:trPr>
        <w:tc>
          <w:tcPr>
            <w:tcW w:w="6100" w:type="dxa"/>
            <w:vAlign w:val="bottom"/>
            <w:tcBorders>
              <w:bottom w:val="single" w:sz="8" w:color="007CBA"/>
              <w:right w:val="single" w:sz="8" w:color="007CBA"/>
            </w:tcBorders>
            <w:shd w:val="clear" w:color="auto" w:fill="E5F1F8"/>
          </w:tcPr>
          <w:p>
            <w:pPr>
              <w:ind w:left="60"/>
              <w:spacing w:after="0"/>
              <w:rPr>
                <w:sz w:val="20"/>
                <w:szCs w:val="20"/>
                <w:color w:val="auto"/>
              </w:rPr>
            </w:pPr>
            <w:r>
              <w:rPr>
                <w:rFonts w:ascii="Arial" w:cs="Arial" w:eastAsia="Arial" w:hAnsi="Arial"/>
                <w:sz w:val="16"/>
                <w:szCs w:val="16"/>
                <w:color w:val="auto"/>
              </w:rPr>
              <w:t>Daniel L. Grant</w:t>
            </w:r>
          </w:p>
        </w:tc>
        <w:tc>
          <w:tcPr>
            <w:tcW w:w="1860" w:type="dxa"/>
            <w:vAlign w:val="bottom"/>
            <w:tcBorders>
              <w:bottom w:val="single" w:sz="8" w:color="007CBA"/>
              <w:right w:val="single" w:sz="8" w:color="007CBA"/>
            </w:tcBorders>
            <w:shd w:val="clear" w:color="auto" w:fill="E5F1F8"/>
          </w:tcPr>
          <w:p>
            <w:pPr>
              <w:jc w:val="center"/>
              <w:ind w:left="59"/>
              <w:spacing w:after="0"/>
              <w:rPr>
                <w:sz w:val="20"/>
                <w:szCs w:val="20"/>
                <w:color w:val="auto"/>
              </w:rPr>
            </w:pPr>
            <w:r>
              <w:rPr>
                <w:rFonts w:ascii="Arial" w:cs="Arial" w:eastAsia="Arial" w:hAnsi="Arial"/>
                <w:sz w:val="16"/>
                <w:szCs w:val="16"/>
                <w:color w:val="auto"/>
                <w:w w:val="99"/>
              </w:rPr>
              <w:t>70%</w:t>
            </w:r>
          </w:p>
        </w:tc>
        <w:tc>
          <w:tcPr>
            <w:tcW w:w="400" w:type="dxa"/>
            <w:vAlign w:val="bottom"/>
            <w:tcBorders>
              <w:bottom w:val="single" w:sz="8" w:color="007CBA"/>
            </w:tcBorders>
            <w:shd w:val="clear" w:color="auto" w:fill="E5F1F8"/>
          </w:tcPr>
          <w:p>
            <w:pPr>
              <w:ind w:left="26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007CBA"/>
              <w:right w:val="single" w:sz="8" w:color="007CBA"/>
            </w:tcBorders>
            <w:shd w:val="clear" w:color="auto" w:fill="E5F1F8"/>
          </w:tcPr>
          <w:p>
            <w:pPr>
              <w:jc w:val="right"/>
              <w:ind w:right="239"/>
              <w:spacing w:after="0"/>
              <w:rPr>
                <w:sz w:val="20"/>
                <w:szCs w:val="20"/>
                <w:color w:val="auto"/>
              </w:rPr>
            </w:pPr>
            <w:r>
              <w:rPr>
                <w:rFonts w:ascii="Arial" w:cs="Arial" w:eastAsia="Arial" w:hAnsi="Arial"/>
                <w:sz w:val="16"/>
                <w:szCs w:val="16"/>
                <w:color w:val="auto"/>
              </w:rPr>
              <w:t>252,303</w:t>
            </w:r>
          </w:p>
        </w:tc>
        <w:tc>
          <w:tcPr>
            <w:tcW w:w="360" w:type="dxa"/>
            <w:vAlign w:val="bottom"/>
            <w:tcBorders>
              <w:bottom w:val="single" w:sz="8" w:color="007CBA"/>
            </w:tcBorders>
            <w:shd w:val="clear" w:color="auto" w:fill="E5F1F8"/>
          </w:tcPr>
          <w:p>
            <w:pPr>
              <w:ind w:left="26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007CBA"/>
            </w:tcBorders>
            <w:shd w:val="clear" w:color="auto" w:fill="E5F1F8"/>
          </w:tcPr>
          <w:p>
            <w:pPr>
              <w:jc w:val="right"/>
              <w:ind w:right="319"/>
              <w:spacing w:after="0"/>
              <w:rPr>
                <w:sz w:val="20"/>
                <w:szCs w:val="20"/>
                <w:color w:val="auto"/>
              </w:rPr>
            </w:pPr>
            <w:r>
              <w:rPr>
                <w:rFonts w:ascii="Arial" w:cs="Arial" w:eastAsia="Arial" w:hAnsi="Arial"/>
                <w:sz w:val="16"/>
                <w:szCs w:val="16"/>
                <w:color w:val="auto"/>
              </w:rPr>
              <w:t>340,609</w:t>
            </w:r>
          </w:p>
        </w:tc>
      </w:tr>
    </w:tbl>
    <w:p>
      <w:pPr>
        <w:spacing w:after="0" w:line="68"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Based on actual base earnings in 2017.</w:t>
      </w:r>
    </w:p>
    <w:p>
      <w:pPr>
        <w:sectPr>
          <w:pgSz w:w="11900" w:h="16838" w:orient="portrait"/>
          <w:cols w:equalWidth="0" w:num="1">
            <w:col w:w="11240"/>
          </w:cols>
          <w:pgMar w:left="240" w:top="455" w:right="419" w:bottom="1440" w:gutter="0" w:footer="0" w:header="0"/>
        </w:sectPr>
      </w:pPr>
    </w:p>
    <w:p>
      <w:pPr>
        <w:spacing w:after="0" w:line="254" w:lineRule="exact"/>
        <w:rPr>
          <w:sz w:val="20"/>
          <w:szCs w:val="20"/>
          <w:color w:val="auto"/>
        </w:rPr>
      </w:pPr>
    </w:p>
    <w:p>
      <w:pPr>
        <w:ind w:left="220" w:right="220"/>
        <w:spacing w:after="0" w:line="251" w:lineRule="auto"/>
        <w:rPr>
          <w:sz w:val="20"/>
          <w:szCs w:val="20"/>
          <w:color w:val="auto"/>
        </w:rPr>
      </w:pPr>
      <w:r>
        <w:rPr>
          <w:rFonts w:ascii="Arial" w:cs="Arial" w:eastAsia="Arial" w:hAnsi="Arial"/>
          <w:sz w:val="17"/>
          <w:szCs w:val="17"/>
          <w:b w:val="1"/>
          <w:bCs w:val="1"/>
          <w:color w:val="auto"/>
        </w:rPr>
        <w:t>Annual Incentive Feature: Performance-Based Stock Purchase Plan</w:t>
      </w:r>
    </w:p>
    <w:p>
      <w:pPr>
        <w:spacing w:after="0" w:line="1" w:lineRule="exact"/>
        <w:rPr>
          <w:sz w:val="20"/>
          <w:szCs w:val="20"/>
          <w:color w:val="auto"/>
        </w:rPr>
      </w:pPr>
    </w:p>
    <w:p>
      <w:pPr>
        <w:jc w:val="both"/>
        <w:ind w:left="220"/>
        <w:spacing w:after="0" w:line="256" w:lineRule="auto"/>
        <w:rPr>
          <w:sz w:val="20"/>
          <w:szCs w:val="20"/>
          <w:color w:val="auto"/>
        </w:rPr>
      </w:pPr>
      <w:r>
        <w:rPr>
          <w:rFonts w:ascii="Arial" w:cs="Arial" w:eastAsia="Arial" w:hAnsi="Arial"/>
          <w:sz w:val="16"/>
          <w:szCs w:val="16"/>
          <w:color w:val="auto"/>
        </w:rPr>
        <w:t>The Incentive Stock Plan provides an executive the opportunity to invest a portion of his or her annual incentive compensation in Martin Marietta stock. There are both voluntary and mandatory deferrals under the plan.</w:t>
      </w:r>
    </w:p>
    <w:p>
      <w:pPr>
        <w:spacing w:after="0" w:line="148" w:lineRule="exact"/>
        <w:rPr>
          <w:sz w:val="20"/>
          <w:szCs w:val="20"/>
          <w:color w:val="auto"/>
        </w:rPr>
      </w:pPr>
    </w:p>
    <w:p>
      <w:pPr>
        <w:jc w:val="both"/>
        <w:ind w:left="220"/>
        <w:spacing w:after="0" w:line="253" w:lineRule="auto"/>
        <w:rPr>
          <w:sz w:val="20"/>
          <w:szCs w:val="20"/>
          <w:color w:val="auto"/>
        </w:rPr>
      </w:pPr>
      <w:r>
        <w:rPr>
          <w:rFonts w:ascii="Arial" w:cs="Arial" w:eastAsia="Arial" w:hAnsi="Arial"/>
          <w:sz w:val="16"/>
          <w:szCs w:val="16"/>
          <w:color w:val="auto"/>
        </w:rPr>
        <w:t>The voluntary election allows executives to invest up to 50% of their annual cash incentive compensation to purchase units that are subsequently converted into shares of common stock pursuant to the terms of the plan at a 20% discount from the market price of Martin Marietta’s common stock on the date the amount of the incentive compensation is determined. The discount is used to account for the risk of trading current cash compensation for “at-risk” shares which may decline in value.</w:t>
      </w:r>
    </w:p>
    <w:p>
      <w:pPr>
        <w:spacing w:after="0" w:line="137" w:lineRule="exact"/>
        <w:rPr>
          <w:sz w:val="20"/>
          <w:szCs w:val="20"/>
          <w:color w:val="auto"/>
        </w:rPr>
      </w:pPr>
    </w:p>
    <w:p>
      <w:pPr>
        <w:jc w:val="both"/>
        <w:ind w:left="220"/>
        <w:spacing w:after="0" w:line="255" w:lineRule="auto"/>
        <w:rPr>
          <w:sz w:val="20"/>
          <w:szCs w:val="20"/>
          <w:color w:val="auto"/>
        </w:rPr>
      </w:pPr>
      <w:r>
        <w:rPr>
          <w:rFonts w:ascii="Arial" w:cs="Arial" w:eastAsia="Arial" w:hAnsi="Arial"/>
          <w:sz w:val="16"/>
          <w:szCs w:val="16"/>
          <w:color w:val="auto"/>
        </w:rPr>
        <w:t>The mandatory portion requires executives to invest a minimum of 20% of their cash incentive compensation towards the crediting of units under the plan (other than Mr. Nickolas, who was not hired until after the deferral deadline under the Incentive Stock Plan, and Ms. Lloyd, who retired as of December 31, 2017). The CEO is required to invest a minimum of 35% of his cash incentive compensation towards the crediting of such units.</w:t>
      </w:r>
    </w:p>
    <w:p>
      <w:pPr>
        <w:spacing w:after="0" w:line="137" w:lineRule="exact"/>
        <w:rPr>
          <w:sz w:val="20"/>
          <w:szCs w:val="20"/>
          <w:color w:val="auto"/>
        </w:rPr>
      </w:pPr>
    </w:p>
    <w:p>
      <w:pPr>
        <w:jc w:val="both"/>
        <w:ind w:left="220"/>
        <w:spacing w:after="0" w:line="255" w:lineRule="auto"/>
        <w:rPr>
          <w:sz w:val="20"/>
          <w:szCs w:val="20"/>
          <w:color w:val="auto"/>
        </w:rPr>
      </w:pPr>
      <w:r>
        <w:rPr>
          <w:rFonts w:ascii="Arial" w:cs="Arial" w:eastAsia="Arial" w:hAnsi="Arial"/>
          <w:sz w:val="16"/>
          <w:szCs w:val="16"/>
          <w:color w:val="auto"/>
        </w:rPr>
        <w:t>The units generally vest in three years from the date of the award and are distributed in shares of common stock. If an executive officer voluntarily terminates employment before the units vest, the stock units are forfeited and the executive officer receives a cash payment equal to the lesser of the cash that was invested or the fair value of the share units on the day of termination.</w:t>
      </w:r>
    </w:p>
    <w:p>
      <w:pPr>
        <w:spacing w:after="0" w:line="151" w:lineRule="exact"/>
        <w:rPr>
          <w:sz w:val="20"/>
          <w:szCs w:val="20"/>
          <w:color w:val="auto"/>
        </w:rPr>
      </w:pPr>
    </w:p>
    <w:p>
      <w:pPr>
        <w:jc w:val="both"/>
        <w:ind w:left="220"/>
        <w:spacing w:after="0" w:line="253" w:lineRule="auto"/>
        <w:rPr>
          <w:sz w:val="20"/>
          <w:szCs w:val="20"/>
          <w:color w:val="auto"/>
        </w:rPr>
      </w:pPr>
      <w:r>
        <w:rPr>
          <w:rFonts w:ascii="Arial" w:cs="Arial" w:eastAsia="Arial" w:hAnsi="Arial"/>
          <w:sz w:val="16"/>
          <w:szCs w:val="16"/>
          <w:color w:val="auto"/>
        </w:rPr>
        <w:t>The mandatory contribution requirement directly links a portion of executive officer compensation to shareholder returns. The vesting aspect, combined with the yearly stock purchase requirement, creates continuous overlapping three-year cycles, which encourage executive officer retention and provide a continuous link of a significant portion of executive officer compensation with shareholder return over the long term to reward these executive officers in line with our shareholders when our stock price increases.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Long-Term Incentive Compensation</w:t>
      </w:r>
    </w:p>
    <w:p>
      <w:pPr>
        <w:spacing w:after="0" w:line="26"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Our Long Term Incentive (LTI) plan’s design reflects the objectives of our compensation program and is in-line with current market approaches, based on the advice of the Committee’s independent compensation consultant. Our plan design objectives are a simplified LTI program, that is transparent and enhances the line of sight between our performance and compensation.</w:t>
      </w:r>
    </w:p>
    <w:p>
      <w:pPr>
        <w:spacing w:after="0" w:line="345"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 xml:space="preserve">The award in 2017 for all NEOs other than Mr. Nickolas was based on a fixed percentage of base salary with some variation for position and grade, which amount was converted into common stock units based on the average Martin Marietta stock price for the 20-day period ending on March 28, 2017, the day the Martin Marietta Board of Directors confirmed the award, or $212.439. This award value was then divided into PSUs and performance-based RSUs, with 55% of the total award for NEOs consisting of target level for the PSUs and 45% of the total award for NEOs consisting of RSUs. The Committee believes that the incentive mix (PSUs and RSUs) constitutes a simplified pay process and streamlined plan, which more fully reflects the performance of the Company and is better aligned with each manager’s role within Martin Marietta. The RSUs granted to Mr. Nickolas were awarded on August 21, 2017 in connection with his hiring and vest over one-, two- and five-year periods subject to his continued employment. See a further description under </w:t>
      </w:r>
      <w:r>
        <w:rPr>
          <w:rFonts w:ascii="Arial" w:cs="Arial" w:eastAsia="Arial" w:hAnsi="Arial"/>
          <w:sz w:val="16"/>
          <w:szCs w:val="16"/>
          <w:i w:val="1"/>
          <w:iCs w:val="1"/>
          <w:color w:val="auto"/>
        </w:rPr>
        <w:t xml:space="preserve">Outstanding Equity Awards at Fiscal Year-End </w:t>
      </w:r>
      <w:r>
        <w:rPr>
          <w:rFonts w:ascii="Arial" w:cs="Arial" w:eastAsia="Arial" w:hAnsi="Arial"/>
          <w:sz w:val="16"/>
          <w:szCs w:val="16"/>
          <w:color w:val="auto"/>
        </w:rPr>
        <w:t>and corresponding footnotes on pages 55 to 56.</w:t>
      </w:r>
    </w:p>
    <w:p>
      <w:pPr>
        <w:spacing w:after="0" w:line="147"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One of our compensation objectives is to align the potential rewards to senior management with increases in shareholder value. In that regard, the PSUs give the recipient the opportunity to receive Martin Marietta common stock if specific performance goals are achieved, consisting of:</w:t>
      </w:r>
    </w:p>
    <w:p>
      <w:pPr>
        <w:spacing w:after="0" w:line="37" w:lineRule="exact"/>
        <w:rPr>
          <w:sz w:val="20"/>
          <w:szCs w:val="20"/>
          <w:color w:val="auto"/>
        </w:rPr>
      </w:pPr>
    </w:p>
    <w:p>
      <w:pPr>
        <w:jc w:val="both"/>
        <w:ind w:left="320" w:right="40" w:hanging="311"/>
        <w:spacing w:after="0" w:line="269" w:lineRule="auto"/>
        <w:tabs>
          <w:tab w:leader="none" w:pos="3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Earnings before Interest, Income Taxes, Depreciation and Amortization (EBITDA), measuring profitability and comprising 67% of the total award,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699135</wp:posOffset>
            </wp:positionV>
            <wp:extent cx="411480" cy="2489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1038" w:lineRule="exact"/>
        <w:rPr>
          <w:sz w:val="20"/>
          <w:szCs w:val="20"/>
          <w:color w:val="auto"/>
        </w:rPr>
      </w:pPr>
    </w:p>
    <w:p>
      <w:pPr>
        <w:sectPr>
          <w:pgSz w:w="11900" w:h="16838" w:orient="portrait"/>
          <w:cols w:equalWidth="0" w:num="2">
            <w:col w:w="5500" w:space="320"/>
            <w:col w:w="5420"/>
          </w:cols>
          <w:pgMar w:left="240" w:top="455" w:right="419" w:bottom="1440" w:gutter="0" w:footer="0" w:header="0"/>
          <w:type w:val="continuous"/>
        </w:sectPr>
      </w:pPr>
    </w:p>
    <w:p>
      <w:pPr>
        <w:spacing w:after="0" w:line="81" w:lineRule="exact"/>
        <w:rPr>
          <w:sz w:val="20"/>
          <w:szCs w:val="20"/>
          <w:color w:val="auto"/>
        </w:rPr>
      </w:pPr>
    </w:p>
    <w:p>
      <w:pPr>
        <w:ind w:left="640" w:hanging="436"/>
        <w:spacing w:after="0"/>
        <w:tabs>
          <w:tab w:leader="none" w:pos="640" w:val="left"/>
        </w:tabs>
        <w:numPr>
          <w:ilvl w:val="0"/>
          <w:numId w:val="88"/>
        </w:numPr>
        <w:rPr>
          <w:rFonts w:ascii="Arial" w:cs="Arial" w:eastAsia="Arial" w:hAnsi="Arial"/>
          <w:sz w:val="12"/>
          <w:szCs w:val="12"/>
          <w:b w:val="1"/>
          <w:bCs w:val="1"/>
          <w:color w:val="auto"/>
        </w:rPr>
      </w:pPr>
      <w:r>
        <w:rPr>
          <w:rFonts w:ascii="Arial" w:cs="Arial" w:eastAsia="Arial" w:hAnsi="Arial"/>
          <w:sz w:val="12"/>
          <w:szCs w:val="12"/>
          <w:color w:val="007CBA"/>
        </w:rPr>
        <w:t>2018 PROXY STATEMENT</w:t>
      </w:r>
    </w:p>
    <w:p>
      <w:pPr>
        <w:sectPr>
          <w:pgSz w:w="11900" w:h="16838" w:orient="portrait"/>
          <w:cols w:equalWidth="0" w:num="1">
            <w:col w:w="11240"/>
          </w:cols>
          <w:pgMar w:left="240" w:top="455" w:right="419" w:bottom="1440" w:gutter="0" w:footer="0" w:header="0"/>
          <w:type w:val="continuous"/>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20" w:hanging="309"/>
        <w:spacing w:after="0"/>
        <w:tabs>
          <w:tab w:leader="none" w:pos="5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Sales Growth, measuring growth and comprising 33% of the awards.</w:t>
      </w:r>
    </w:p>
    <w:p>
      <w:pPr>
        <w:spacing w:after="0" w:line="86" w:lineRule="exact"/>
        <w:rPr>
          <w:rFonts w:ascii="Arial" w:cs="Arial" w:eastAsia="Arial" w:hAnsi="Arial"/>
          <w:sz w:val="16"/>
          <w:szCs w:val="16"/>
          <w:color w:val="auto"/>
        </w:rPr>
      </w:pPr>
    </w:p>
    <w:p>
      <w:pPr>
        <w:jc w:val="both"/>
        <w:ind w:left="520" w:right="20" w:hanging="309"/>
        <w:spacing w:after="0" w:line="261" w:lineRule="auto"/>
        <w:tabs>
          <w:tab w:leader="none" w:pos="5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In addition, the relative Total Shareholder Return (rTSR) will act as a modifier for the performance such that Martin Marietta’s performance will be measured against the S&amp;P 500, and will modify the total award by a range of -20% to +20% depending on the rTSR.</w:t>
      </w:r>
    </w:p>
    <w:p>
      <w:pPr>
        <w:spacing w:after="0" w:line="145" w:lineRule="exact"/>
        <w:rPr>
          <w:sz w:val="20"/>
          <w:szCs w:val="20"/>
          <w:color w:val="auto"/>
        </w:rPr>
      </w:pPr>
    </w:p>
    <w:p>
      <w:pPr>
        <w:jc w:val="both"/>
        <w:ind w:left="220"/>
        <w:spacing w:after="0" w:line="250" w:lineRule="auto"/>
        <w:rPr>
          <w:sz w:val="20"/>
          <w:szCs w:val="20"/>
          <w:color w:val="auto"/>
        </w:rPr>
      </w:pPr>
      <w:r>
        <w:rPr>
          <w:rFonts w:ascii="Arial" w:cs="Arial" w:eastAsia="Arial" w:hAnsi="Arial"/>
          <w:sz w:val="16"/>
          <w:szCs w:val="16"/>
          <w:color w:val="auto"/>
        </w:rPr>
        <w:t>EBITDA and Sales Growth are two of the drivers of our performance and metrics of significance to our investors. The total payout opportunity for PSUs in 2017 is 0% to 240%: 50% of target if the threshold level is satisfied, 100% of target if the target level is satisfied, and 200% of target if the maximum level is satisfied. The rTSR modifier over the three-year measurement period is then applied to the final award to adjust it up or down up to 20%. The threshold must be satisfied to receive PSUs for each performance measure. If the threshold is not met, none of the PSUs will vest. Performance in each metric is measured independently, so PSUs can be earned as long as the threshold is satisfied for at least one level. The “Target” level is generally viewed as achievable. The “Maximum” level is a stretch that is attainable if we outperform in the area measured.</w:t>
      </w:r>
    </w:p>
    <w:p>
      <w:pPr>
        <w:spacing w:after="0" w:line="334" w:lineRule="exact"/>
        <w:rPr>
          <w:sz w:val="20"/>
          <w:szCs w:val="20"/>
          <w:color w:val="auto"/>
        </w:rPr>
      </w:pPr>
    </w:p>
    <w:p>
      <w:pPr>
        <w:jc w:val="both"/>
        <w:ind w:left="220"/>
        <w:spacing w:after="0" w:line="259" w:lineRule="auto"/>
        <w:rPr>
          <w:sz w:val="20"/>
          <w:szCs w:val="20"/>
          <w:color w:val="auto"/>
        </w:rPr>
      </w:pPr>
      <w:r>
        <w:rPr>
          <w:rFonts w:ascii="Arial" w:cs="Arial" w:eastAsia="Arial" w:hAnsi="Arial"/>
          <w:sz w:val="16"/>
          <w:szCs w:val="16"/>
          <w:color w:val="auto"/>
        </w:rPr>
        <w:t>The performance will be measured in February 2020 for the three-year period beginning January 2017 through December 2019 to determine</w:t>
      </w:r>
    </w:p>
    <w:p>
      <w:pPr>
        <w:spacing w:after="0" w:line="1" w:lineRule="exact"/>
        <w:rPr>
          <w:sz w:val="20"/>
          <w:szCs w:val="20"/>
          <w:color w:val="auto"/>
        </w:rPr>
      </w:pPr>
    </w:p>
    <w:p>
      <w:pPr>
        <w:jc w:val="both"/>
        <w:ind w:left="220" w:hanging="9"/>
        <w:spacing w:after="0" w:line="250" w:lineRule="auto"/>
        <w:tabs>
          <w:tab w:leader="none" w:pos="498"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three-year cumulative EBITDA for Martin Marietta against the target identified in the PSU Award Agreement, and (2) the three-year cumulative Sales Growth against the target identified in the PSU Award Agreement. This amount will be modified by the rTSR for the three-year period as against the peer group of the S&amp;P 500, as set forth in the PSU Award Agreement. The Committee in its discretion may adjust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1" w:lineRule="exact"/>
        <w:rPr>
          <w:sz w:val="20"/>
          <w:szCs w:val="20"/>
          <w:color w:val="auto"/>
        </w:rPr>
      </w:pPr>
    </w:p>
    <w:p>
      <w:pPr>
        <w:spacing w:after="0" w:line="276" w:lineRule="exact"/>
        <w:rPr>
          <w:sz w:val="20"/>
          <w:szCs w:val="20"/>
          <w:color w:val="auto"/>
        </w:rPr>
      </w:pPr>
      <w:r>
        <w:rPr>
          <w:rFonts w:ascii="Arial" w:cs="Arial" w:eastAsia="Arial" w:hAnsi="Arial"/>
          <w:sz w:val="13"/>
          <w:szCs w:val="13"/>
          <w:color w:val="auto"/>
        </w:rPr>
        <w:t xml:space="preserve">Considerations Regarding 2017 Compensation </w:t>
      </w:r>
      <w:r>
        <w:rPr>
          <w:rFonts w:ascii="MS PGothic" w:cs="MS PGothic" w:eastAsia="MS PGothic" w:hAnsi="MS PGothic"/>
          <w:sz w:val="24"/>
          <w:szCs w:val="24"/>
          <w:color w:val="007CBA"/>
        </w:rPr>
        <w:t>◆</w:t>
      </w:r>
      <w:r>
        <w:rPr>
          <w:rFonts w:ascii="Arial" w:cs="Arial" w:eastAsia="Arial" w:hAnsi="Arial"/>
          <w:sz w:val="13"/>
          <w:szCs w:val="13"/>
          <w:color w:val="auto"/>
        </w:rPr>
        <w:t xml:space="preserve"> </w:t>
      </w:r>
      <w:r>
        <w:rPr>
          <w:rFonts w:ascii="Arial" w:cs="Arial" w:eastAsia="Arial" w:hAnsi="Arial"/>
          <w:sz w:val="13"/>
          <w:szCs w:val="13"/>
          <w:color w:val="007CB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-673735</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50"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auto"/>
        </w:rPr>
        <w:t>the final award values only downwards, either collectively or on an individual basis, in recognition of factors that are unusual or nonrecurring.</w:t>
      </w:r>
    </w:p>
    <w:p>
      <w:pPr>
        <w:spacing w:after="0" w:line="121" w:lineRule="exact"/>
        <w:rPr>
          <w:sz w:val="20"/>
          <w:szCs w:val="20"/>
          <w:color w:val="auto"/>
        </w:rPr>
      </w:pPr>
    </w:p>
    <w:p>
      <w:pPr>
        <w:jc w:val="both"/>
        <w:ind w:left="120"/>
        <w:spacing w:after="0" w:line="252" w:lineRule="auto"/>
        <w:rPr>
          <w:sz w:val="20"/>
          <w:szCs w:val="20"/>
          <w:color w:val="auto"/>
        </w:rPr>
      </w:pPr>
      <w:r>
        <w:rPr>
          <w:rFonts w:ascii="Arial" w:cs="Arial" w:eastAsia="Arial" w:hAnsi="Arial"/>
          <w:sz w:val="16"/>
          <w:szCs w:val="16"/>
          <w:color w:val="auto"/>
        </w:rPr>
        <w:t>A change in the 2017 awards is that participants can “bank” PSUs each year during the three-year measurement period if the Company’s EBITDA and/or Sales Growth for that year equals or exceeds a third of the three-year cumulative target. This gives the participant the ability to earn some level of payout for interim achievements rather than be potentially faced with no award for the entire three-year period. The banked PSUs will vest but will not be distributed until the end of the three-year measurement period, when the cumulative performance is determined and the amount of the rTSR modifier is applied.</w:t>
      </w:r>
    </w:p>
    <w:p>
      <w:pPr>
        <w:spacing w:after="0" w:line="139" w:lineRule="exact"/>
        <w:rPr>
          <w:sz w:val="20"/>
          <w:szCs w:val="20"/>
          <w:color w:val="auto"/>
        </w:rPr>
      </w:pPr>
    </w:p>
    <w:p>
      <w:pPr>
        <w:jc w:val="both"/>
        <w:ind w:left="120"/>
        <w:spacing w:after="0" w:line="255" w:lineRule="auto"/>
        <w:rPr>
          <w:sz w:val="20"/>
          <w:szCs w:val="20"/>
          <w:color w:val="auto"/>
        </w:rPr>
      </w:pPr>
      <w:r>
        <w:rPr>
          <w:rFonts w:ascii="Arial" w:cs="Arial" w:eastAsia="Arial" w:hAnsi="Arial"/>
          <w:sz w:val="16"/>
          <w:szCs w:val="16"/>
          <w:color w:val="auto"/>
        </w:rPr>
        <w:t>The PSUs will convert to unrestricted common stock and be paid conditioned upon and to the extent that the performance goals have been met, which will be determined in February 2020.</w:t>
      </w:r>
    </w:p>
    <w:p>
      <w:pPr>
        <w:spacing w:after="0" w:line="1" w:lineRule="exact"/>
        <w:rPr>
          <w:sz w:val="20"/>
          <w:szCs w:val="20"/>
          <w:color w:val="auto"/>
        </w:rPr>
      </w:pPr>
    </w:p>
    <w:p>
      <w:pPr>
        <w:jc w:val="both"/>
        <w:ind w:left="120"/>
        <w:spacing w:after="0" w:line="253" w:lineRule="auto"/>
        <w:rPr>
          <w:sz w:val="20"/>
          <w:szCs w:val="20"/>
          <w:color w:val="auto"/>
        </w:rPr>
      </w:pPr>
      <w:r>
        <w:rPr>
          <w:rFonts w:ascii="Arial" w:cs="Arial" w:eastAsia="Arial" w:hAnsi="Arial"/>
          <w:sz w:val="16"/>
          <w:szCs w:val="16"/>
          <w:color w:val="auto"/>
        </w:rPr>
        <w:t>These awards are also generally subject to continued employment through the date the PSUs vest. The actual financial performance targets and achievement against those targets will be disclosed at the end of the three-year performance period.</w:t>
      </w:r>
    </w:p>
    <w:p>
      <w:pPr>
        <w:spacing w:after="0" w:line="136" w:lineRule="exact"/>
        <w:rPr>
          <w:sz w:val="20"/>
          <w:szCs w:val="20"/>
          <w:color w:val="auto"/>
        </w:rPr>
      </w:pPr>
    </w:p>
    <w:p>
      <w:pPr>
        <w:jc w:val="both"/>
        <w:ind w:left="120"/>
        <w:spacing w:after="0" w:line="251" w:lineRule="auto"/>
        <w:rPr>
          <w:sz w:val="20"/>
          <w:szCs w:val="20"/>
          <w:color w:val="auto"/>
        </w:rPr>
      </w:pPr>
      <w:r>
        <w:rPr>
          <w:rFonts w:ascii="Arial" w:cs="Arial" w:eastAsia="Arial" w:hAnsi="Arial"/>
          <w:sz w:val="16"/>
          <w:szCs w:val="16"/>
          <w:color w:val="auto"/>
        </w:rPr>
        <w:t>RSUs vest in three equal portions, each on the anniversary of the award date (March 28, 2017) over a period of three years, subject to satisfaction of the performance measure and generally to continued employment through each one of those anniversaries. Once the restricted period ends (each anniversary for one third of the total RSU award), the recipient will be issued unrestricted shares of common stock (minus applicable taxes). The 2017 RSUs awarded to executive officers are also subject to a performance measure for the first year. If the performance measure is satisfied, then the RSUs will continue to vest. If the performance measure is not satisfied, then the RSUs will be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333375</wp:posOffset>
            </wp:positionV>
            <wp:extent cx="411480" cy="2489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00" w:space="200"/>
            <w:col w:w="5520"/>
          </w:cols>
          <w:pgMar w:left="240" w:top="455" w:right="439" w:bottom="1440" w:gutter="0" w:footer="0" w:header="0"/>
        </w:sectPr>
      </w:pPr>
    </w:p>
    <w:p>
      <w:pPr>
        <w:spacing w:after="0" w:line="341" w:lineRule="exact"/>
        <w:rPr>
          <w:sz w:val="20"/>
          <w:szCs w:val="20"/>
          <w:color w:val="auto"/>
        </w:rPr>
      </w:pPr>
    </w:p>
    <w:tbl>
      <w:tblPr>
        <w:tblLayout w:type="fixed"/>
        <w:tblInd w:w="9260" w:type="dxa"/>
        <w:tblCellMar>
          <w:top w:w="0" w:type="dxa"/>
          <w:left w:w="0" w:type="dxa"/>
          <w:bottom w:w="0" w:type="dxa"/>
          <w:right w:w="0" w:type="dxa"/>
        </w:tblCellMar>
      </w:tblPr>
      <w:tr>
        <w:trPr>
          <w:trHeight w:val="178"/>
        </w:trPr>
        <w:tc>
          <w:tcPr>
            <w:tcW w:w="1680" w:type="dxa"/>
            <w:vAlign w:val="bottom"/>
          </w:tcPr>
          <w:p>
            <w:pPr>
              <w:spacing w:after="0"/>
              <w:rPr>
                <w:sz w:val="20"/>
                <w:szCs w:val="20"/>
                <w:color w:val="auto"/>
              </w:rPr>
            </w:pPr>
            <w:r>
              <w:rPr>
                <w:rFonts w:ascii="Arial" w:cs="Arial" w:eastAsia="Arial" w:hAnsi="Arial"/>
                <w:sz w:val="13"/>
                <w:szCs w:val="13"/>
                <w:color w:val="007CBA"/>
              </w:rPr>
              <w:t>2018 PROXY STATEMENT</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rPr>
              <w:t>47</w:t>
            </w:r>
          </w:p>
        </w:tc>
      </w:tr>
    </w:tbl>
    <w:p>
      <w:pPr>
        <w:sectPr>
          <w:pgSz w:w="11900" w:h="16838" w:orient="portrait"/>
          <w:cols w:equalWidth="0" w:num="1">
            <w:col w:w="11220"/>
          </w:cols>
          <w:pgMar w:left="240" w:top="455" w:right="439" w:bottom="1440" w:gutter="0" w:footer="0" w:header="0"/>
          <w:type w:val="continuous"/>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64" w:lineRule="exact"/>
        <w:rPr>
          <w:sz w:val="20"/>
          <w:szCs w:val="20"/>
          <w:color w:val="auto"/>
        </w:rPr>
      </w:pPr>
    </w:p>
    <w:p>
      <w:pPr>
        <w:ind w:left="200"/>
        <w:spacing w:after="0" w:line="288" w:lineRule="exact"/>
        <w:rPr>
          <w:sz w:val="20"/>
          <w:szCs w:val="20"/>
          <w:color w:val="auto"/>
        </w:rPr>
      </w:pPr>
      <w:r>
        <w:rPr>
          <w:rFonts w:ascii="Arial" w:cs="Arial" w:eastAsia="Arial" w:hAnsi="Arial"/>
          <w:sz w:val="14"/>
          <w:szCs w:val="14"/>
          <w:color w:val="007CBA"/>
        </w:rPr>
        <w:t xml:space="preserve">Compensation Discussion and Analysis </w:t>
      </w:r>
      <w:r>
        <w:rPr>
          <w:rFonts w:ascii="MS PGothic" w:cs="MS PGothic" w:eastAsia="MS PGothic" w:hAnsi="MS PGothic"/>
          <w:sz w:val="25"/>
          <w:szCs w:val="25"/>
          <w:color w:val="007CBA"/>
        </w:rPr>
        <w:t>◆</w:t>
      </w:r>
      <w:r>
        <w:rPr>
          <w:rFonts w:ascii="Arial" w:cs="Arial" w:eastAsia="Arial" w:hAnsi="Arial"/>
          <w:sz w:val="14"/>
          <w:szCs w:val="14"/>
          <w:color w:val="007CBA"/>
        </w:rPr>
        <w:t xml:space="preserve"> </w:t>
      </w:r>
      <w:r>
        <w:rPr>
          <w:rFonts w:ascii="Arial" w:cs="Arial" w:eastAsia="Arial" w:hAnsi="Arial"/>
          <w:sz w:val="14"/>
          <w:szCs w:val="14"/>
          <w:color w:val="000000"/>
        </w:rPr>
        <w:t>Considerations Regarding 2017 Compensation</w:t>
      </w:r>
    </w:p>
    <w:p>
      <w:pPr>
        <w:spacing w:after="0" w:line="20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following table provides a summary of the long-term incentives that each of the NEOs received in 2017.</w:t>
      </w:r>
    </w:p>
    <w:p>
      <w:pPr>
        <w:spacing w:after="0" w:line="224"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4820" w:type="dxa"/>
            <w:vAlign w:val="bottom"/>
            <w:tcBorders>
              <w:right w:val="single" w:sz="8" w:color="007CBA"/>
            </w:tcBorders>
            <w:shd w:val="clear" w:color="auto" w:fill="007CBA"/>
          </w:tcPr>
          <w:p>
            <w:pPr>
              <w:spacing w:after="0"/>
              <w:rPr>
                <w:sz w:val="16"/>
                <w:szCs w:val="16"/>
                <w:color w:val="auto"/>
              </w:rPr>
            </w:pPr>
          </w:p>
        </w:tc>
        <w:tc>
          <w:tcPr>
            <w:tcW w:w="31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6"/>
                <w:szCs w:val="16"/>
                <w:b w:val="1"/>
                <w:bCs w:val="1"/>
                <w:color w:val="FFFFFF"/>
                <w:w w:val="98"/>
              </w:rPr>
              <w:t>RSUs</w:t>
            </w:r>
          </w:p>
        </w:tc>
        <w:tc>
          <w:tcPr>
            <w:tcW w:w="3080" w:type="dxa"/>
            <w:vAlign w:val="bottom"/>
            <w:shd w:val="clear" w:color="auto" w:fill="007CBA"/>
          </w:tcPr>
          <w:p>
            <w:pPr>
              <w:spacing w:after="0"/>
              <w:rPr>
                <w:sz w:val="16"/>
                <w:szCs w:val="16"/>
                <w:color w:val="auto"/>
              </w:rPr>
            </w:pPr>
          </w:p>
        </w:tc>
      </w:tr>
      <w:tr>
        <w:trPr>
          <w:trHeight w:val="189"/>
        </w:trPr>
        <w:tc>
          <w:tcPr>
            <w:tcW w:w="4820" w:type="dxa"/>
            <w:vAlign w:val="bottom"/>
            <w:tcBorders>
              <w:right w:val="single" w:sz="8" w:color="007CBA"/>
            </w:tcBorders>
            <w:shd w:val="clear" w:color="auto" w:fill="007CBA"/>
          </w:tcPr>
          <w:p>
            <w:pPr>
              <w:spacing w:after="0"/>
              <w:rPr>
                <w:sz w:val="16"/>
                <w:szCs w:val="16"/>
                <w:color w:val="auto"/>
              </w:rPr>
            </w:pPr>
          </w:p>
        </w:tc>
        <w:tc>
          <w:tcPr>
            <w:tcW w:w="31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6"/>
                <w:szCs w:val="16"/>
                <w:b w:val="1"/>
                <w:bCs w:val="1"/>
                <w:color w:val="FFFFFF"/>
              </w:rPr>
              <w:t>(3 year annual</w:t>
            </w:r>
          </w:p>
        </w:tc>
        <w:tc>
          <w:tcPr>
            <w:tcW w:w="3080" w:type="dxa"/>
            <w:vAlign w:val="bottom"/>
            <w:shd w:val="clear" w:color="auto" w:fill="007CBA"/>
          </w:tcPr>
          <w:p>
            <w:pPr>
              <w:jc w:val="center"/>
              <w:spacing w:after="0"/>
              <w:rPr>
                <w:sz w:val="20"/>
                <w:szCs w:val="20"/>
                <w:color w:val="auto"/>
              </w:rPr>
            </w:pPr>
            <w:r>
              <w:rPr>
                <w:rFonts w:ascii="Arial" w:cs="Arial" w:eastAsia="Arial" w:hAnsi="Arial"/>
                <w:sz w:val="16"/>
                <w:szCs w:val="16"/>
                <w:b w:val="1"/>
                <w:bCs w:val="1"/>
                <w:color w:val="FFFFFF"/>
                <w:w w:val="99"/>
              </w:rPr>
              <w:t>PSUs – Target</w:t>
            </w:r>
          </w:p>
        </w:tc>
      </w:tr>
      <w:tr>
        <w:trPr>
          <w:trHeight w:val="189"/>
        </w:trPr>
        <w:tc>
          <w:tcPr>
            <w:tcW w:w="4820" w:type="dxa"/>
            <w:vAlign w:val="bottom"/>
            <w:tcBorders>
              <w:right w:val="single" w:sz="8" w:color="007CBA"/>
            </w:tcBorders>
            <w:shd w:val="clear" w:color="auto" w:fill="007CBA"/>
          </w:tcPr>
          <w:p>
            <w:pPr>
              <w:spacing w:after="0"/>
              <w:rPr>
                <w:sz w:val="16"/>
                <w:szCs w:val="16"/>
                <w:color w:val="auto"/>
              </w:rPr>
            </w:pPr>
          </w:p>
        </w:tc>
        <w:tc>
          <w:tcPr>
            <w:tcW w:w="31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6"/>
                <w:szCs w:val="16"/>
                <w:b w:val="1"/>
                <w:bCs w:val="1"/>
                <w:color w:val="FFFFFF"/>
              </w:rPr>
              <w:t>installment vesting</w:t>
            </w:r>
          </w:p>
        </w:tc>
        <w:tc>
          <w:tcPr>
            <w:tcW w:w="3080" w:type="dxa"/>
            <w:vAlign w:val="bottom"/>
            <w:shd w:val="clear" w:color="auto" w:fill="007CBA"/>
          </w:tcPr>
          <w:p>
            <w:pPr>
              <w:jc w:val="center"/>
              <w:spacing w:after="0"/>
              <w:rPr>
                <w:sz w:val="20"/>
                <w:szCs w:val="20"/>
                <w:color w:val="auto"/>
              </w:rPr>
            </w:pPr>
            <w:r>
              <w:rPr>
                <w:rFonts w:ascii="Arial" w:cs="Arial" w:eastAsia="Arial" w:hAnsi="Arial"/>
                <w:sz w:val="16"/>
                <w:szCs w:val="16"/>
                <w:b w:val="1"/>
                <w:bCs w:val="1"/>
                <w:color w:val="FFFFFF"/>
              </w:rPr>
              <w:t>(3 year cliff vesting</w:t>
            </w:r>
          </w:p>
        </w:tc>
      </w:tr>
      <w:tr>
        <w:trPr>
          <w:trHeight w:val="189"/>
        </w:trPr>
        <w:tc>
          <w:tcPr>
            <w:tcW w:w="4820" w:type="dxa"/>
            <w:vAlign w:val="bottom"/>
            <w:tcBorders>
              <w:right w:val="single" w:sz="8" w:color="007CBA"/>
            </w:tcBorders>
            <w:shd w:val="clear" w:color="auto" w:fill="007CBA"/>
          </w:tcPr>
          <w:p>
            <w:pPr>
              <w:spacing w:after="0"/>
              <w:rPr>
                <w:sz w:val="16"/>
                <w:szCs w:val="16"/>
                <w:color w:val="auto"/>
              </w:rPr>
            </w:pPr>
          </w:p>
        </w:tc>
        <w:tc>
          <w:tcPr>
            <w:tcW w:w="31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6"/>
                <w:szCs w:val="16"/>
                <w:b w:val="1"/>
                <w:bCs w:val="1"/>
                <w:color w:val="FFFFFF"/>
              </w:rPr>
              <w:t>subject to achievement</w:t>
            </w:r>
          </w:p>
        </w:tc>
        <w:tc>
          <w:tcPr>
            <w:tcW w:w="3080" w:type="dxa"/>
            <w:vAlign w:val="bottom"/>
            <w:shd w:val="clear" w:color="auto" w:fill="007CBA"/>
          </w:tcPr>
          <w:p>
            <w:pPr>
              <w:jc w:val="center"/>
              <w:spacing w:after="0"/>
              <w:rPr>
                <w:sz w:val="20"/>
                <w:szCs w:val="20"/>
                <w:color w:val="auto"/>
              </w:rPr>
            </w:pPr>
            <w:r>
              <w:rPr>
                <w:rFonts w:ascii="Arial" w:cs="Arial" w:eastAsia="Arial" w:hAnsi="Arial"/>
                <w:sz w:val="16"/>
                <w:szCs w:val="16"/>
                <w:b w:val="1"/>
                <w:bCs w:val="1"/>
                <w:color w:val="FFFFFF"/>
              </w:rPr>
              <w:t>subject to achievement</w:t>
            </w:r>
          </w:p>
        </w:tc>
      </w:tr>
      <w:tr>
        <w:trPr>
          <w:trHeight w:val="189"/>
        </w:trPr>
        <w:tc>
          <w:tcPr>
            <w:tcW w:w="4820" w:type="dxa"/>
            <w:vAlign w:val="bottom"/>
            <w:tcBorders>
              <w:right w:val="single" w:sz="8" w:color="007CBA"/>
            </w:tcBorders>
            <w:shd w:val="clear" w:color="auto" w:fill="007CBA"/>
          </w:tcPr>
          <w:p>
            <w:pPr>
              <w:spacing w:after="0"/>
              <w:rPr>
                <w:sz w:val="16"/>
                <w:szCs w:val="16"/>
                <w:color w:val="auto"/>
              </w:rPr>
            </w:pPr>
          </w:p>
        </w:tc>
        <w:tc>
          <w:tcPr>
            <w:tcW w:w="31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6"/>
                <w:szCs w:val="16"/>
                <w:b w:val="1"/>
                <w:bCs w:val="1"/>
                <w:color w:val="FFFFFF"/>
              </w:rPr>
              <w:t>of performance</w:t>
            </w:r>
          </w:p>
        </w:tc>
        <w:tc>
          <w:tcPr>
            <w:tcW w:w="3080" w:type="dxa"/>
            <w:vAlign w:val="bottom"/>
            <w:shd w:val="clear" w:color="auto" w:fill="007CBA"/>
          </w:tcPr>
          <w:p>
            <w:pPr>
              <w:jc w:val="center"/>
              <w:spacing w:after="0"/>
              <w:rPr>
                <w:sz w:val="20"/>
                <w:szCs w:val="20"/>
                <w:color w:val="auto"/>
              </w:rPr>
            </w:pPr>
            <w:r>
              <w:rPr>
                <w:rFonts w:ascii="Arial" w:cs="Arial" w:eastAsia="Arial" w:hAnsi="Arial"/>
                <w:sz w:val="16"/>
                <w:szCs w:val="16"/>
                <w:b w:val="1"/>
                <w:bCs w:val="1"/>
                <w:color w:val="FFFFFF"/>
              </w:rPr>
              <w:t>of performance</w:t>
            </w:r>
          </w:p>
        </w:tc>
      </w:tr>
      <w:tr>
        <w:trPr>
          <w:trHeight w:val="189"/>
        </w:trPr>
        <w:tc>
          <w:tcPr>
            <w:tcW w:w="4820" w:type="dxa"/>
            <w:vAlign w:val="bottom"/>
            <w:tcBorders>
              <w:right w:val="single" w:sz="8" w:color="007CBA"/>
            </w:tcBorders>
            <w:shd w:val="clear" w:color="auto" w:fill="007CBA"/>
          </w:tcPr>
          <w:p>
            <w:pPr>
              <w:spacing w:after="0"/>
              <w:rPr>
                <w:sz w:val="16"/>
                <w:szCs w:val="16"/>
                <w:color w:val="auto"/>
              </w:rPr>
            </w:pPr>
          </w:p>
        </w:tc>
        <w:tc>
          <w:tcPr>
            <w:tcW w:w="31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6"/>
                <w:szCs w:val="16"/>
                <w:b w:val="1"/>
                <w:bCs w:val="1"/>
                <w:color w:val="FFFFFF"/>
              </w:rPr>
              <w:t>measure)</w:t>
            </w:r>
          </w:p>
        </w:tc>
        <w:tc>
          <w:tcPr>
            <w:tcW w:w="3080" w:type="dxa"/>
            <w:vAlign w:val="bottom"/>
            <w:shd w:val="clear" w:color="auto" w:fill="007CBA"/>
          </w:tcPr>
          <w:p>
            <w:pPr>
              <w:jc w:val="center"/>
              <w:spacing w:after="0"/>
              <w:rPr>
                <w:sz w:val="20"/>
                <w:szCs w:val="20"/>
                <w:color w:val="auto"/>
              </w:rPr>
            </w:pPr>
            <w:r>
              <w:rPr>
                <w:rFonts w:ascii="Arial" w:cs="Arial" w:eastAsia="Arial" w:hAnsi="Arial"/>
                <w:sz w:val="16"/>
                <w:szCs w:val="16"/>
                <w:b w:val="1"/>
                <w:bCs w:val="1"/>
                <w:color w:val="FFFFFF"/>
                <w:w w:val="99"/>
              </w:rPr>
              <w:t>measures)</w:t>
            </w:r>
          </w:p>
        </w:tc>
      </w:tr>
      <w:tr>
        <w:trPr>
          <w:trHeight w:val="223"/>
        </w:trPr>
        <w:tc>
          <w:tcPr>
            <w:tcW w:w="482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6"/>
                <w:szCs w:val="16"/>
                <w:b w:val="1"/>
                <w:bCs w:val="1"/>
                <w:color w:val="FFFFFF"/>
              </w:rPr>
              <w:t>NEO</w:t>
            </w:r>
          </w:p>
        </w:tc>
        <w:tc>
          <w:tcPr>
            <w:tcW w:w="31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6"/>
                <w:szCs w:val="16"/>
                <w:b w:val="1"/>
                <w:bCs w:val="1"/>
                <w:color w:val="FFFFFF"/>
              </w:rPr>
              <w:t>(# of shares)</w:t>
            </w:r>
          </w:p>
        </w:tc>
        <w:tc>
          <w:tcPr>
            <w:tcW w:w="3080" w:type="dxa"/>
            <w:vAlign w:val="bottom"/>
            <w:shd w:val="clear" w:color="auto" w:fill="007CBA"/>
          </w:tcPr>
          <w:p>
            <w:pPr>
              <w:jc w:val="center"/>
              <w:spacing w:after="0"/>
              <w:rPr>
                <w:sz w:val="20"/>
                <w:szCs w:val="20"/>
                <w:color w:val="auto"/>
              </w:rPr>
            </w:pPr>
            <w:r>
              <w:rPr>
                <w:rFonts w:ascii="Arial" w:cs="Arial" w:eastAsia="Arial" w:hAnsi="Arial"/>
                <w:sz w:val="16"/>
                <w:szCs w:val="16"/>
                <w:b w:val="1"/>
                <w:bCs w:val="1"/>
                <w:color w:val="FFFFFF"/>
              </w:rPr>
              <w:t>(# of shares)</w:t>
            </w:r>
          </w:p>
        </w:tc>
      </w:tr>
      <w:tr>
        <w:trPr>
          <w:trHeight w:val="264"/>
        </w:trPr>
        <w:tc>
          <w:tcPr>
            <w:tcW w:w="4820" w:type="dxa"/>
            <w:vAlign w:val="bottom"/>
            <w:tcBorders>
              <w:bottom w:val="single" w:sz="8" w:color="E5F1F8"/>
              <w:right w:val="single" w:sz="8" w:color="007CBA"/>
            </w:tcBorders>
            <w:shd w:val="clear" w:color="auto" w:fill="E5F1F8"/>
          </w:tcPr>
          <w:p>
            <w:pPr>
              <w:ind w:left="60"/>
              <w:spacing w:after="0"/>
              <w:rPr>
                <w:sz w:val="20"/>
                <w:szCs w:val="20"/>
                <w:color w:val="auto"/>
              </w:rPr>
            </w:pPr>
            <w:r>
              <w:rPr>
                <w:rFonts w:ascii="Arial" w:cs="Arial" w:eastAsia="Arial" w:hAnsi="Arial"/>
                <w:sz w:val="16"/>
                <w:szCs w:val="16"/>
                <w:color w:val="auto"/>
              </w:rPr>
              <w:t>C. Howard Nye</w:t>
            </w:r>
          </w:p>
        </w:tc>
        <w:tc>
          <w:tcPr>
            <w:tcW w:w="3120" w:type="dxa"/>
            <w:vAlign w:val="bottom"/>
            <w:tcBorders>
              <w:bottom w:val="single" w:sz="8" w:color="E5F1F8"/>
              <w:right w:val="single" w:sz="8" w:color="007CBA"/>
            </w:tcBorders>
            <w:shd w:val="clear" w:color="auto" w:fill="E5F1F8"/>
          </w:tcPr>
          <w:p>
            <w:pPr>
              <w:jc w:val="right"/>
              <w:ind w:right="618"/>
              <w:spacing w:after="0"/>
              <w:rPr>
                <w:sz w:val="20"/>
                <w:szCs w:val="20"/>
                <w:color w:val="auto"/>
              </w:rPr>
            </w:pPr>
            <w:r>
              <w:rPr>
                <w:rFonts w:ascii="Arial" w:cs="Arial" w:eastAsia="Arial" w:hAnsi="Arial"/>
                <w:sz w:val="17"/>
                <w:szCs w:val="17"/>
                <w:color w:val="auto"/>
              </w:rPr>
              <w:t>9,755</w:t>
            </w:r>
          </w:p>
        </w:tc>
        <w:tc>
          <w:tcPr>
            <w:tcW w:w="3080" w:type="dxa"/>
            <w:vAlign w:val="bottom"/>
            <w:tcBorders>
              <w:bottom w:val="single" w:sz="8" w:color="E5F1F8"/>
            </w:tcBorders>
            <w:shd w:val="clear" w:color="auto" w:fill="E5F1F8"/>
          </w:tcPr>
          <w:p>
            <w:pPr>
              <w:jc w:val="right"/>
              <w:ind w:right="578"/>
              <w:spacing w:after="0"/>
              <w:rPr>
                <w:sz w:val="20"/>
                <w:szCs w:val="20"/>
                <w:color w:val="auto"/>
              </w:rPr>
            </w:pPr>
            <w:r>
              <w:rPr>
                <w:rFonts w:ascii="Arial" w:cs="Arial" w:eastAsia="Arial" w:hAnsi="Arial"/>
                <w:sz w:val="17"/>
                <w:szCs w:val="17"/>
                <w:color w:val="auto"/>
              </w:rPr>
              <w:t>11,355</w:t>
            </w:r>
          </w:p>
        </w:tc>
      </w:tr>
      <w:tr>
        <w:trPr>
          <w:trHeight w:val="241"/>
        </w:trPr>
        <w:tc>
          <w:tcPr>
            <w:tcW w:w="4820" w:type="dxa"/>
            <w:vAlign w:val="bottom"/>
            <w:tcBorders>
              <w:right w:val="single" w:sz="8" w:color="007CBA"/>
            </w:tcBorders>
          </w:tcPr>
          <w:p>
            <w:pPr>
              <w:ind w:left="60"/>
              <w:spacing w:after="0"/>
              <w:rPr>
                <w:sz w:val="20"/>
                <w:szCs w:val="20"/>
                <w:color w:val="auto"/>
              </w:rPr>
            </w:pPr>
            <w:r>
              <w:rPr>
                <w:rFonts w:ascii="Arial" w:cs="Arial" w:eastAsia="Arial" w:hAnsi="Arial"/>
                <w:sz w:val="16"/>
                <w:szCs w:val="16"/>
                <w:color w:val="auto"/>
              </w:rPr>
              <w:t>James A. J. Nickolas</w:t>
            </w:r>
          </w:p>
        </w:tc>
        <w:tc>
          <w:tcPr>
            <w:tcW w:w="3120" w:type="dxa"/>
            <w:vAlign w:val="bottom"/>
            <w:tcBorders>
              <w:right w:val="single" w:sz="8" w:color="007CBA"/>
            </w:tcBorders>
          </w:tcPr>
          <w:p>
            <w:pPr>
              <w:jc w:val="right"/>
              <w:ind w:right="538"/>
              <w:spacing w:after="0"/>
              <w:rPr>
                <w:sz w:val="20"/>
                <w:szCs w:val="20"/>
                <w:color w:val="auto"/>
              </w:rPr>
            </w:pPr>
            <w:r>
              <w:rPr>
                <w:rFonts w:ascii="Arial" w:cs="Arial" w:eastAsia="Arial" w:hAnsi="Arial"/>
                <w:sz w:val="16"/>
                <w:szCs w:val="16"/>
                <w:color w:val="auto"/>
              </w:rPr>
              <w:t>6,636*</w:t>
            </w:r>
          </w:p>
        </w:tc>
        <w:tc>
          <w:tcPr>
            <w:tcW w:w="3080" w:type="dxa"/>
            <w:vAlign w:val="bottom"/>
          </w:tcPr>
          <w:p>
            <w:pPr>
              <w:jc w:val="right"/>
              <w:ind w:right="678"/>
              <w:spacing w:after="0"/>
              <w:rPr>
                <w:sz w:val="20"/>
                <w:szCs w:val="20"/>
                <w:color w:val="auto"/>
              </w:rPr>
            </w:pPr>
            <w:r>
              <w:rPr>
                <w:rFonts w:ascii="Arial" w:cs="Arial" w:eastAsia="Arial" w:hAnsi="Arial"/>
                <w:sz w:val="16"/>
                <w:szCs w:val="16"/>
                <w:color w:val="auto"/>
              </w:rPr>
              <w:t>—</w:t>
            </w:r>
          </w:p>
        </w:tc>
      </w:tr>
      <w:tr>
        <w:trPr>
          <w:trHeight w:val="43"/>
        </w:trPr>
        <w:tc>
          <w:tcPr>
            <w:tcW w:w="4820" w:type="dxa"/>
            <w:vAlign w:val="bottom"/>
            <w:tcBorders>
              <w:right w:val="single" w:sz="8" w:color="007CBA"/>
            </w:tcBorders>
          </w:tcPr>
          <w:p>
            <w:pPr>
              <w:spacing w:after="0"/>
              <w:rPr>
                <w:sz w:val="3"/>
                <w:szCs w:val="3"/>
                <w:color w:val="auto"/>
              </w:rPr>
            </w:pPr>
          </w:p>
        </w:tc>
        <w:tc>
          <w:tcPr>
            <w:tcW w:w="3120" w:type="dxa"/>
            <w:vAlign w:val="bottom"/>
            <w:tcBorders>
              <w:right w:val="single" w:sz="8" w:color="007CBA"/>
            </w:tcBorders>
          </w:tcPr>
          <w:p>
            <w:pPr>
              <w:spacing w:after="0"/>
              <w:rPr>
                <w:sz w:val="3"/>
                <w:szCs w:val="3"/>
                <w:color w:val="auto"/>
              </w:rPr>
            </w:pPr>
          </w:p>
        </w:tc>
        <w:tc>
          <w:tcPr>
            <w:tcW w:w="3080" w:type="dxa"/>
            <w:vAlign w:val="bottom"/>
          </w:tcPr>
          <w:p>
            <w:pPr>
              <w:spacing w:after="0"/>
              <w:rPr>
                <w:sz w:val="3"/>
                <w:szCs w:val="3"/>
                <w:color w:val="auto"/>
              </w:rPr>
            </w:pPr>
          </w:p>
        </w:tc>
      </w:tr>
      <w:tr>
        <w:trPr>
          <w:trHeight w:val="264"/>
        </w:trPr>
        <w:tc>
          <w:tcPr>
            <w:tcW w:w="4820" w:type="dxa"/>
            <w:vAlign w:val="bottom"/>
            <w:tcBorders>
              <w:bottom w:val="single" w:sz="8" w:color="E5F1F8"/>
              <w:right w:val="single" w:sz="8" w:color="007CBA"/>
            </w:tcBorders>
            <w:shd w:val="clear" w:color="auto" w:fill="E5F1F8"/>
          </w:tcPr>
          <w:p>
            <w:pPr>
              <w:ind w:left="60"/>
              <w:spacing w:after="0"/>
              <w:rPr>
                <w:sz w:val="20"/>
                <w:szCs w:val="20"/>
                <w:color w:val="auto"/>
              </w:rPr>
            </w:pPr>
            <w:r>
              <w:rPr>
                <w:rFonts w:ascii="Arial" w:cs="Arial" w:eastAsia="Arial" w:hAnsi="Arial"/>
                <w:sz w:val="16"/>
                <w:szCs w:val="16"/>
                <w:color w:val="auto"/>
              </w:rPr>
              <w:t>Roselyn R. Bar</w:t>
            </w:r>
          </w:p>
        </w:tc>
        <w:tc>
          <w:tcPr>
            <w:tcW w:w="3120" w:type="dxa"/>
            <w:vAlign w:val="bottom"/>
            <w:tcBorders>
              <w:bottom w:val="single" w:sz="8" w:color="E5F1F8"/>
              <w:right w:val="single" w:sz="8" w:color="007CBA"/>
            </w:tcBorders>
            <w:shd w:val="clear" w:color="auto" w:fill="E5F1F8"/>
          </w:tcPr>
          <w:p>
            <w:pPr>
              <w:jc w:val="right"/>
              <w:ind w:right="618"/>
              <w:spacing w:after="0"/>
              <w:rPr>
                <w:sz w:val="20"/>
                <w:szCs w:val="20"/>
                <w:color w:val="auto"/>
              </w:rPr>
            </w:pPr>
            <w:r>
              <w:rPr>
                <w:rFonts w:ascii="Arial" w:cs="Arial" w:eastAsia="Arial" w:hAnsi="Arial"/>
                <w:sz w:val="17"/>
                <w:szCs w:val="17"/>
                <w:color w:val="auto"/>
              </w:rPr>
              <w:t>2,807</w:t>
            </w:r>
          </w:p>
        </w:tc>
        <w:tc>
          <w:tcPr>
            <w:tcW w:w="3080" w:type="dxa"/>
            <w:vAlign w:val="bottom"/>
            <w:tcBorders>
              <w:bottom w:val="single" w:sz="8" w:color="E5F1F8"/>
            </w:tcBorders>
            <w:shd w:val="clear" w:color="auto" w:fill="E5F1F8"/>
          </w:tcPr>
          <w:p>
            <w:pPr>
              <w:jc w:val="right"/>
              <w:ind w:right="578"/>
              <w:spacing w:after="0"/>
              <w:rPr>
                <w:sz w:val="20"/>
                <w:szCs w:val="20"/>
                <w:color w:val="auto"/>
              </w:rPr>
            </w:pPr>
            <w:r>
              <w:rPr>
                <w:rFonts w:ascii="Arial" w:cs="Arial" w:eastAsia="Arial" w:hAnsi="Arial"/>
                <w:sz w:val="17"/>
                <w:szCs w:val="17"/>
                <w:color w:val="auto"/>
              </w:rPr>
              <w:t>3,267</w:t>
            </w:r>
          </w:p>
        </w:tc>
      </w:tr>
      <w:tr>
        <w:trPr>
          <w:trHeight w:val="241"/>
        </w:trPr>
        <w:tc>
          <w:tcPr>
            <w:tcW w:w="4820" w:type="dxa"/>
            <w:vAlign w:val="bottom"/>
            <w:tcBorders>
              <w:right w:val="single" w:sz="8" w:color="007CBA"/>
            </w:tcBorders>
          </w:tcPr>
          <w:p>
            <w:pPr>
              <w:ind w:left="60"/>
              <w:spacing w:after="0"/>
              <w:rPr>
                <w:sz w:val="20"/>
                <w:szCs w:val="20"/>
                <w:color w:val="auto"/>
              </w:rPr>
            </w:pPr>
            <w:r>
              <w:rPr>
                <w:rFonts w:ascii="Arial" w:cs="Arial" w:eastAsia="Arial" w:hAnsi="Arial"/>
                <w:sz w:val="16"/>
                <w:szCs w:val="16"/>
                <w:color w:val="auto"/>
              </w:rPr>
              <w:t>Donald A. McCunniff</w:t>
            </w:r>
          </w:p>
        </w:tc>
        <w:tc>
          <w:tcPr>
            <w:tcW w:w="3120" w:type="dxa"/>
            <w:vAlign w:val="bottom"/>
            <w:tcBorders>
              <w:right w:val="single" w:sz="8" w:color="007CBA"/>
            </w:tcBorders>
          </w:tcPr>
          <w:p>
            <w:pPr>
              <w:jc w:val="right"/>
              <w:ind w:right="618"/>
              <w:spacing w:after="0"/>
              <w:rPr>
                <w:sz w:val="20"/>
                <w:szCs w:val="20"/>
                <w:color w:val="auto"/>
              </w:rPr>
            </w:pPr>
            <w:r>
              <w:rPr>
                <w:rFonts w:ascii="Arial" w:cs="Arial" w:eastAsia="Arial" w:hAnsi="Arial"/>
                <w:sz w:val="16"/>
                <w:szCs w:val="16"/>
                <w:color w:val="auto"/>
              </w:rPr>
              <w:t>2,122</w:t>
            </w:r>
          </w:p>
        </w:tc>
        <w:tc>
          <w:tcPr>
            <w:tcW w:w="3080" w:type="dxa"/>
            <w:vAlign w:val="bottom"/>
          </w:tcPr>
          <w:p>
            <w:pPr>
              <w:jc w:val="right"/>
              <w:ind w:right="578"/>
              <w:spacing w:after="0"/>
              <w:rPr>
                <w:sz w:val="20"/>
                <w:szCs w:val="20"/>
                <w:color w:val="auto"/>
              </w:rPr>
            </w:pPr>
            <w:r>
              <w:rPr>
                <w:rFonts w:ascii="Arial" w:cs="Arial" w:eastAsia="Arial" w:hAnsi="Arial"/>
                <w:sz w:val="16"/>
                <w:szCs w:val="16"/>
                <w:color w:val="auto"/>
              </w:rPr>
              <w:t>2,470</w:t>
            </w:r>
          </w:p>
        </w:tc>
      </w:tr>
      <w:tr>
        <w:trPr>
          <w:trHeight w:val="43"/>
        </w:trPr>
        <w:tc>
          <w:tcPr>
            <w:tcW w:w="4820" w:type="dxa"/>
            <w:vAlign w:val="bottom"/>
            <w:tcBorders>
              <w:right w:val="single" w:sz="8" w:color="007CBA"/>
            </w:tcBorders>
          </w:tcPr>
          <w:p>
            <w:pPr>
              <w:spacing w:after="0"/>
              <w:rPr>
                <w:sz w:val="3"/>
                <w:szCs w:val="3"/>
                <w:color w:val="auto"/>
              </w:rPr>
            </w:pPr>
          </w:p>
        </w:tc>
        <w:tc>
          <w:tcPr>
            <w:tcW w:w="3120" w:type="dxa"/>
            <w:vAlign w:val="bottom"/>
            <w:tcBorders>
              <w:right w:val="single" w:sz="8" w:color="007CBA"/>
            </w:tcBorders>
          </w:tcPr>
          <w:p>
            <w:pPr>
              <w:spacing w:after="0"/>
              <w:rPr>
                <w:sz w:val="3"/>
                <w:szCs w:val="3"/>
                <w:color w:val="auto"/>
              </w:rPr>
            </w:pPr>
          </w:p>
        </w:tc>
        <w:tc>
          <w:tcPr>
            <w:tcW w:w="3080" w:type="dxa"/>
            <w:vAlign w:val="bottom"/>
          </w:tcPr>
          <w:p>
            <w:pPr>
              <w:spacing w:after="0"/>
              <w:rPr>
                <w:sz w:val="3"/>
                <w:szCs w:val="3"/>
                <w:color w:val="auto"/>
              </w:rPr>
            </w:pPr>
          </w:p>
        </w:tc>
      </w:tr>
      <w:tr>
        <w:trPr>
          <w:trHeight w:val="264"/>
        </w:trPr>
        <w:tc>
          <w:tcPr>
            <w:tcW w:w="4820" w:type="dxa"/>
            <w:vAlign w:val="bottom"/>
            <w:tcBorders>
              <w:bottom w:val="single" w:sz="8" w:color="E5F1F8"/>
              <w:right w:val="single" w:sz="8" w:color="007CBA"/>
            </w:tcBorders>
            <w:shd w:val="clear" w:color="auto" w:fill="E5F1F8"/>
          </w:tcPr>
          <w:p>
            <w:pPr>
              <w:ind w:left="60"/>
              <w:spacing w:after="0"/>
              <w:rPr>
                <w:sz w:val="20"/>
                <w:szCs w:val="20"/>
                <w:color w:val="auto"/>
              </w:rPr>
            </w:pPr>
            <w:r>
              <w:rPr>
                <w:rFonts w:ascii="Arial" w:cs="Arial" w:eastAsia="Arial" w:hAnsi="Arial"/>
                <w:sz w:val="16"/>
                <w:szCs w:val="16"/>
                <w:color w:val="auto"/>
              </w:rPr>
              <w:t>Daniel L. Grant</w:t>
            </w:r>
          </w:p>
        </w:tc>
        <w:tc>
          <w:tcPr>
            <w:tcW w:w="3120" w:type="dxa"/>
            <w:vAlign w:val="bottom"/>
            <w:tcBorders>
              <w:bottom w:val="single" w:sz="8" w:color="E5F1F8"/>
              <w:right w:val="single" w:sz="8" w:color="007CBA"/>
            </w:tcBorders>
            <w:shd w:val="clear" w:color="auto" w:fill="E5F1F8"/>
          </w:tcPr>
          <w:p>
            <w:pPr>
              <w:jc w:val="right"/>
              <w:ind w:right="618"/>
              <w:spacing w:after="0"/>
              <w:rPr>
                <w:sz w:val="20"/>
                <w:szCs w:val="20"/>
                <w:color w:val="auto"/>
              </w:rPr>
            </w:pPr>
            <w:r>
              <w:rPr>
                <w:rFonts w:ascii="Arial" w:cs="Arial" w:eastAsia="Arial" w:hAnsi="Arial"/>
                <w:sz w:val="17"/>
                <w:szCs w:val="17"/>
                <w:color w:val="auto"/>
              </w:rPr>
              <w:t>1,898</w:t>
            </w:r>
          </w:p>
        </w:tc>
        <w:tc>
          <w:tcPr>
            <w:tcW w:w="3080" w:type="dxa"/>
            <w:vAlign w:val="bottom"/>
            <w:tcBorders>
              <w:bottom w:val="single" w:sz="8" w:color="E5F1F8"/>
            </w:tcBorders>
            <w:shd w:val="clear" w:color="auto" w:fill="E5F1F8"/>
          </w:tcPr>
          <w:p>
            <w:pPr>
              <w:jc w:val="right"/>
              <w:ind w:right="578"/>
              <w:spacing w:after="0"/>
              <w:rPr>
                <w:sz w:val="20"/>
                <w:szCs w:val="20"/>
                <w:color w:val="auto"/>
              </w:rPr>
            </w:pPr>
            <w:r>
              <w:rPr>
                <w:rFonts w:ascii="Arial" w:cs="Arial" w:eastAsia="Arial" w:hAnsi="Arial"/>
                <w:sz w:val="17"/>
                <w:szCs w:val="17"/>
                <w:color w:val="auto"/>
              </w:rPr>
              <w:t>2,210</w:t>
            </w:r>
          </w:p>
        </w:tc>
      </w:tr>
      <w:tr>
        <w:trPr>
          <w:trHeight w:val="20"/>
        </w:trPr>
        <w:tc>
          <w:tcPr>
            <w:tcW w:w="4820" w:type="dxa"/>
            <w:vAlign w:val="bottom"/>
            <w:tcBorders>
              <w:right w:val="single" w:sz="8" w:color="007CBA"/>
            </w:tcBorders>
            <w:shd w:val="clear" w:color="auto" w:fill="007CBA"/>
          </w:tcPr>
          <w:p>
            <w:pPr>
              <w:spacing w:after="0" w:line="20" w:lineRule="exact"/>
              <w:rPr>
                <w:sz w:val="1"/>
                <w:szCs w:val="1"/>
                <w:color w:val="auto"/>
              </w:rPr>
            </w:pPr>
          </w:p>
        </w:tc>
        <w:tc>
          <w:tcPr>
            <w:tcW w:w="3120" w:type="dxa"/>
            <w:vAlign w:val="bottom"/>
            <w:tcBorders>
              <w:right w:val="single" w:sz="8" w:color="007CBA"/>
            </w:tcBorders>
            <w:shd w:val="clear" w:color="auto" w:fill="007CBA"/>
          </w:tcPr>
          <w:p>
            <w:pPr>
              <w:spacing w:after="0" w:line="20" w:lineRule="exact"/>
              <w:rPr>
                <w:sz w:val="1"/>
                <w:szCs w:val="1"/>
                <w:color w:val="auto"/>
              </w:rPr>
            </w:pPr>
          </w:p>
        </w:tc>
        <w:tc>
          <w:tcPr>
            <w:tcW w:w="3080" w:type="dxa"/>
            <w:vAlign w:val="bottom"/>
            <w:shd w:val="clear" w:color="auto" w:fill="007CBA"/>
          </w:tcPr>
          <w:p>
            <w:pPr>
              <w:spacing w:after="0" w:line="20" w:lineRule="exact"/>
              <w:rPr>
                <w:sz w:val="1"/>
                <w:szCs w:val="1"/>
                <w:color w:val="auto"/>
              </w:rPr>
            </w:pPr>
          </w:p>
        </w:tc>
      </w:tr>
    </w:tbl>
    <w:p>
      <w:pPr>
        <w:ind w:left="320" w:right="20" w:hanging="116"/>
        <w:spacing w:after="0" w:line="268" w:lineRule="auto"/>
        <w:tabs>
          <w:tab w:leader="none" w:pos="32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RSUs granted to Mr. Nickolas were awarded on August 21, 2017 in connection with his hiring and vest over one-, two-, and five-year periods subject to his continued employment.</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2017 Long-Term Incentive Vesting of Prior Grants</w:t>
      </w:r>
    </w:p>
    <w:p>
      <w:pPr>
        <w:spacing w:after="0" w:line="26" w:lineRule="exact"/>
        <w:rPr>
          <w:sz w:val="20"/>
          <w:szCs w:val="20"/>
          <w:color w:val="auto"/>
        </w:rPr>
      </w:pPr>
    </w:p>
    <w:p>
      <w:pPr>
        <w:jc w:val="both"/>
        <w:ind w:left="200" w:right="20"/>
        <w:spacing w:after="0" w:line="253" w:lineRule="auto"/>
        <w:rPr>
          <w:sz w:val="20"/>
          <w:szCs w:val="20"/>
          <w:color w:val="auto"/>
        </w:rPr>
      </w:pPr>
      <w:r>
        <w:rPr>
          <w:rFonts w:ascii="Arial" w:cs="Arial" w:eastAsia="Arial" w:hAnsi="Arial"/>
          <w:sz w:val="16"/>
          <w:szCs w:val="16"/>
          <w:color w:val="auto"/>
        </w:rPr>
        <w:t>PSUs that were granted in 2015 vested on December 31, 2017, because the applicable performance criteria were satisfied. These PSUs were certified and paid out in February 2018 at 94.75% of the amount of the original grant made in 2015 based on: (1) 3-year average Return on Sales (ROS) of 18.4% as against a target of 19.5%; (2) 3-year cumulative EBITDA of $2.91 billion as against a target of $3.42 billion, and (3) TSR performance of our common stock relative to the TSR Peer Group of 93rd percentile as against a target of the 50th percentile.</w:t>
      </w:r>
    </w:p>
    <w:p>
      <w:pPr>
        <w:spacing w:after="0" w:line="207"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2540" w:type="dxa"/>
            <w:vAlign w:val="bottom"/>
            <w:shd w:val="clear" w:color="auto" w:fill="007CBA"/>
          </w:tcPr>
          <w:p>
            <w:pPr>
              <w:spacing w:after="0"/>
              <w:rPr>
                <w:sz w:val="16"/>
                <w:szCs w:val="16"/>
                <w:color w:val="auto"/>
              </w:rPr>
            </w:pPr>
          </w:p>
        </w:tc>
        <w:tc>
          <w:tcPr>
            <w:tcW w:w="5180" w:type="dxa"/>
            <w:vAlign w:val="bottom"/>
            <w:tcBorders>
              <w:right w:val="single" w:sz="8" w:color="007CBA"/>
            </w:tcBorders>
            <w:gridSpan w:val="2"/>
            <w:shd w:val="clear" w:color="auto" w:fill="007CBA"/>
          </w:tcPr>
          <w:p>
            <w:pPr>
              <w:jc w:val="right"/>
              <w:ind w:right="539"/>
              <w:spacing w:after="0"/>
              <w:rPr>
                <w:sz w:val="20"/>
                <w:szCs w:val="20"/>
                <w:color w:val="auto"/>
              </w:rPr>
            </w:pPr>
            <w:r>
              <w:rPr>
                <w:rFonts w:ascii="Arial" w:cs="Arial" w:eastAsia="Arial" w:hAnsi="Arial"/>
                <w:sz w:val="16"/>
                <w:szCs w:val="16"/>
                <w:b w:val="1"/>
                <w:bCs w:val="1"/>
                <w:color w:val="FFFFFF"/>
              </w:rPr>
              <w:t>Payment Calculation for PSUs Granted in 2015</w:t>
            </w:r>
          </w:p>
        </w:tc>
        <w:tc>
          <w:tcPr>
            <w:tcW w:w="1740" w:type="dxa"/>
            <w:vAlign w:val="bottom"/>
            <w:tcBorders>
              <w:right w:val="single" w:sz="8" w:color="007CBA"/>
            </w:tcBorders>
            <w:shd w:val="clear" w:color="auto" w:fill="007CBA"/>
          </w:tcPr>
          <w:p>
            <w:pPr>
              <w:spacing w:after="0"/>
              <w:rPr>
                <w:sz w:val="16"/>
                <w:szCs w:val="16"/>
                <w:color w:val="auto"/>
              </w:rPr>
            </w:pPr>
          </w:p>
        </w:tc>
        <w:tc>
          <w:tcPr>
            <w:tcW w:w="1560" w:type="dxa"/>
            <w:vAlign w:val="bottom"/>
            <w:shd w:val="clear" w:color="auto" w:fill="007CBA"/>
          </w:tcPr>
          <w:p>
            <w:pPr>
              <w:spacing w:after="0"/>
              <w:rPr>
                <w:sz w:val="16"/>
                <w:szCs w:val="16"/>
                <w:color w:val="auto"/>
              </w:rPr>
            </w:pPr>
          </w:p>
        </w:tc>
      </w:tr>
      <w:tr>
        <w:trPr>
          <w:trHeight w:val="203"/>
        </w:trPr>
        <w:tc>
          <w:tcPr>
            <w:tcW w:w="2540" w:type="dxa"/>
            <w:vAlign w:val="bottom"/>
            <w:shd w:val="clear" w:color="auto" w:fill="007CBA"/>
          </w:tcPr>
          <w:p>
            <w:pPr>
              <w:spacing w:after="0"/>
              <w:rPr>
                <w:sz w:val="17"/>
                <w:szCs w:val="17"/>
                <w:color w:val="auto"/>
              </w:rPr>
            </w:pPr>
          </w:p>
        </w:tc>
        <w:tc>
          <w:tcPr>
            <w:tcW w:w="5180" w:type="dxa"/>
            <w:vAlign w:val="bottom"/>
            <w:tcBorders>
              <w:right w:val="single" w:sz="8" w:color="007CBA"/>
            </w:tcBorders>
            <w:gridSpan w:val="2"/>
            <w:shd w:val="clear" w:color="auto" w:fill="007CBA"/>
          </w:tcPr>
          <w:p>
            <w:pPr>
              <w:jc w:val="right"/>
              <w:ind w:right="1179"/>
              <w:spacing w:after="0"/>
              <w:rPr>
                <w:sz w:val="20"/>
                <w:szCs w:val="20"/>
                <w:color w:val="auto"/>
              </w:rPr>
            </w:pPr>
            <w:r>
              <w:rPr>
                <w:rFonts w:ascii="Arial" w:cs="Arial" w:eastAsia="Arial" w:hAnsi="Arial"/>
                <w:sz w:val="16"/>
                <w:szCs w:val="16"/>
                <w:b w:val="1"/>
                <w:bCs w:val="1"/>
                <w:color w:val="FFFFFF"/>
              </w:rPr>
              <w:t>Certified on February 22, 2018</w:t>
            </w:r>
          </w:p>
        </w:tc>
        <w:tc>
          <w:tcPr>
            <w:tcW w:w="1740" w:type="dxa"/>
            <w:vAlign w:val="bottom"/>
            <w:tcBorders>
              <w:right w:val="single" w:sz="8" w:color="007CBA"/>
            </w:tcBorders>
            <w:shd w:val="clear" w:color="auto" w:fill="007CBA"/>
          </w:tcPr>
          <w:p>
            <w:pPr>
              <w:spacing w:after="0"/>
              <w:rPr>
                <w:sz w:val="17"/>
                <w:szCs w:val="17"/>
                <w:color w:val="auto"/>
              </w:rPr>
            </w:pPr>
          </w:p>
        </w:tc>
        <w:tc>
          <w:tcPr>
            <w:tcW w:w="1560" w:type="dxa"/>
            <w:vAlign w:val="bottom"/>
            <w:shd w:val="clear" w:color="auto" w:fill="007CBA"/>
          </w:tcPr>
          <w:p>
            <w:pPr>
              <w:spacing w:after="0"/>
              <w:rPr>
                <w:sz w:val="17"/>
                <w:szCs w:val="17"/>
                <w:color w:val="auto"/>
              </w:rPr>
            </w:pPr>
          </w:p>
        </w:tc>
      </w:tr>
      <w:tr>
        <w:trPr>
          <w:trHeight w:val="189"/>
        </w:trPr>
        <w:tc>
          <w:tcPr>
            <w:tcW w:w="2540" w:type="dxa"/>
            <w:vAlign w:val="bottom"/>
            <w:shd w:val="clear" w:color="auto" w:fill="007CBA"/>
          </w:tcPr>
          <w:p>
            <w:pPr>
              <w:spacing w:after="0"/>
              <w:rPr>
                <w:sz w:val="16"/>
                <w:szCs w:val="16"/>
                <w:color w:val="auto"/>
              </w:rPr>
            </w:pPr>
          </w:p>
        </w:tc>
        <w:tc>
          <w:tcPr>
            <w:tcW w:w="3360" w:type="dxa"/>
            <w:vAlign w:val="bottom"/>
            <w:tcBorders>
              <w:right w:val="single" w:sz="8" w:color="007CBA"/>
            </w:tcBorders>
            <w:shd w:val="clear" w:color="auto" w:fill="007CBA"/>
          </w:tcPr>
          <w:p>
            <w:pPr>
              <w:spacing w:after="0"/>
              <w:rPr>
                <w:sz w:val="16"/>
                <w:szCs w:val="16"/>
                <w:color w:val="auto"/>
              </w:rPr>
            </w:pPr>
          </w:p>
        </w:tc>
        <w:tc>
          <w:tcPr>
            <w:tcW w:w="1820" w:type="dxa"/>
            <w:vAlign w:val="bottom"/>
            <w:tcBorders>
              <w:right w:val="single" w:sz="8" w:color="007CBA"/>
            </w:tcBorders>
            <w:shd w:val="clear" w:color="auto" w:fill="007CBA"/>
          </w:tcPr>
          <w:p>
            <w:pPr>
              <w:jc w:val="right"/>
              <w:ind w:right="599"/>
              <w:spacing w:after="0"/>
              <w:rPr>
                <w:sz w:val="20"/>
                <w:szCs w:val="20"/>
                <w:color w:val="auto"/>
              </w:rPr>
            </w:pPr>
            <w:r>
              <w:rPr>
                <w:rFonts w:ascii="Arial" w:cs="Arial" w:eastAsia="Arial" w:hAnsi="Arial"/>
                <w:sz w:val="16"/>
                <w:szCs w:val="16"/>
                <w:b w:val="1"/>
                <w:bCs w:val="1"/>
                <w:color w:val="FFFFFF"/>
              </w:rPr>
              <w:t>Target</w:t>
            </w:r>
          </w:p>
        </w:tc>
        <w:tc>
          <w:tcPr>
            <w:tcW w:w="1740" w:type="dxa"/>
            <w:vAlign w:val="bottom"/>
            <w:tcBorders>
              <w:right w:val="single" w:sz="8" w:color="007CBA"/>
            </w:tcBorders>
            <w:shd w:val="clear" w:color="auto" w:fill="007CBA"/>
          </w:tcPr>
          <w:p>
            <w:pPr>
              <w:spacing w:after="0"/>
              <w:rPr>
                <w:sz w:val="16"/>
                <w:szCs w:val="16"/>
                <w:color w:val="auto"/>
              </w:rPr>
            </w:pPr>
          </w:p>
        </w:tc>
        <w:tc>
          <w:tcPr>
            <w:tcW w:w="1560" w:type="dxa"/>
            <w:vAlign w:val="bottom"/>
            <w:shd w:val="clear" w:color="auto" w:fill="007CBA"/>
          </w:tcPr>
          <w:p>
            <w:pPr>
              <w:spacing w:after="0"/>
              <w:rPr>
                <w:sz w:val="16"/>
                <w:szCs w:val="16"/>
                <w:color w:val="auto"/>
              </w:rPr>
            </w:pPr>
          </w:p>
        </w:tc>
      </w:tr>
      <w:tr>
        <w:trPr>
          <w:trHeight w:val="189"/>
        </w:trPr>
        <w:tc>
          <w:tcPr>
            <w:tcW w:w="2540" w:type="dxa"/>
            <w:vAlign w:val="bottom"/>
            <w:shd w:val="clear" w:color="auto" w:fill="007CBA"/>
          </w:tcPr>
          <w:p>
            <w:pPr>
              <w:spacing w:after="0"/>
              <w:rPr>
                <w:sz w:val="16"/>
                <w:szCs w:val="16"/>
                <w:color w:val="auto"/>
              </w:rPr>
            </w:pPr>
          </w:p>
        </w:tc>
        <w:tc>
          <w:tcPr>
            <w:tcW w:w="3360" w:type="dxa"/>
            <w:vAlign w:val="bottom"/>
            <w:tcBorders>
              <w:right w:val="single" w:sz="8" w:color="007CBA"/>
            </w:tcBorders>
            <w:shd w:val="clear" w:color="auto" w:fill="007CBA"/>
          </w:tcPr>
          <w:p>
            <w:pPr>
              <w:spacing w:after="0"/>
              <w:rPr>
                <w:sz w:val="16"/>
                <w:szCs w:val="16"/>
                <w:color w:val="auto"/>
              </w:rPr>
            </w:pPr>
          </w:p>
        </w:tc>
        <w:tc>
          <w:tcPr>
            <w:tcW w:w="1820" w:type="dxa"/>
            <w:vAlign w:val="bottom"/>
            <w:tcBorders>
              <w:right w:val="single" w:sz="8" w:color="007CBA"/>
            </w:tcBorders>
            <w:shd w:val="clear" w:color="auto" w:fill="007CBA"/>
          </w:tcPr>
          <w:p>
            <w:pPr>
              <w:jc w:val="right"/>
              <w:ind w:right="319"/>
              <w:spacing w:after="0"/>
              <w:rPr>
                <w:sz w:val="20"/>
                <w:szCs w:val="20"/>
                <w:color w:val="auto"/>
              </w:rPr>
            </w:pPr>
            <w:r>
              <w:rPr>
                <w:rFonts w:ascii="Arial" w:cs="Arial" w:eastAsia="Arial" w:hAnsi="Arial"/>
                <w:sz w:val="16"/>
                <w:szCs w:val="16"/>
                <w:b w:val="1"/>
                <w:bCs w:val="1"/>
                <w:color w:val="FFFFFF"/>
              </w:rPr>
              <w:t>Units Granted</w:t>
            </w:r>
          </w:p>
        </w:tc>
        <w:tc>
          <w:tcPr>
            <w:tcW w:w="1740" w:type="dxa"/>
            <w:vAlign w:val="bottom"/>
            <w:tcBorders>
              <w:right w:val="single" w:sz="8" w:color="007CBA"/>
            </w:tcBorders>
            <w:shd w:val="clear" w:color="auto" w:fill="007CBA"/>
          </w:tcPr>
          <w:p>
            <w:pPr>
              <w:jc w:val="right"/>
              <w:ind w:right="439"/>
              <w:spacing w:after="0"/>
              <w:rPr>
                <w:sz w:val="20"/>
                <w:szCs w:val="20"/>
                <w:color w:val="auto"/>
              </w:rPr>
            </w:pPr>
            <w:r>
              <w:rPr>
                <w:rFonts w:ascii="Arial" w:cs="Arial" w:eastAsia="Arial" w:hAnsi="Arial"/>
                <w:sz w:val="16"/>
                <w:szCs w:val="16"/>
                <w:b w:val="1"/>
                <w:bCs w:val="1"/>
                <w:color w:val="FFFFFF"/>
              </w:rPr>
              <w:t>Percentage</w:t>
            </w:r>
          </w:p>
        </w:tc>
        <w:tc>
          <w:tcPr>
            <w:tcW w:w="1560" w:type="dxa"/>
            <w:vAlign w:val="bottom"/>
            <w:shd w:val="clear" w:color="auto" w:fill="007CBA"/>
          </w:tcPr>
          <w:p>
            <w:pPr>
              <w:jc w:val="right"/>
              <w:ind w:right="499"/>
              <w:spacing w:after="0"/>
              <w:rPr>
                <w:sz w:val="20"/>
                <w:szCs w:val="20"/>
                <w:color w:val="auto"/>
              </w:rPr>
            </w:pPr>
            <w:r>
              <w:rPr>
                <w:rFonts w:ascii="Arial" w:cs="Arial" w:eastAsia="Arial" w:hAnsi="Arial"/>
                <w:sz w:val="16"/>
                <w:szCs w:val="16"/>
                <w:b w:val="1"/>
                <w:bCs w:val="1"/>
                <w:color w:val="FFFFFF"/>
              </w:rPr>
              <w:t>Units</w:t>
            </w:r>
          </w:p>
        </w:tc>
      </w:tr>
      <w:tr>
        <w:trPr>
          <w:trHeight w:val="209"/>
        </w:trPr>
        <w:tc>
          <w:tcPr>
            <w:tcW w:w="2540" w:type="dxa"/>
            <w:vAlign w:val="bottom"/>
            <w:shd w:val="clear" w:color="auto" w:fill="007CBA"/>
          </w:tcPr>
          <w:p>
            <w:pPr>
              <w:ind w:left="60"/>
              <w:spacing w:after="0"/>
              <w:rPr>
                <w:sz w:val="20"/>
                <w:szCs w:val="20"/>
                <w:color w:val="auto"/>
              </w:rPr>
            </w:pPr>
            <w:r>
              <w:rPr>
                <w:rFonts w:ascii="Arial" w:cs="Arial" w:eastAsia="Arial" w:hAnsi="Arial"/>
                <w:sz w:val="16"/>
                <w:szCs w:val="16"/>
                <w:b w:val="1"/>
                <w:bCs w:val="1"/>
                <w:color w:val="FFFFFF"/>
              </w:rPr>
              <w:t>NEO</w:t>
            </w:r>
          </w:p>
        </w:tc>
        <w:tc>
          <w:tcPr>
            <w:tcW w:w="3360" w:type="dxa"/>
            <w:vAlign w:val="bottom"/>
            <w:tcBorders>
              <w:right w:val="single" w:sz="8" w:color="007CBA"/>
            </w:tcBorders>
            <w:shd w:val="clear" w:color="auto" w:fill="007CBA"/>
          </w:tcPr>
          <w:p>
            <w:pPr>
              <w:spacing w:after="0"/>
              <w:rPr>
                <w:sz w:val="18"/>
                <w:szCs w:val="18"/>
                <w:color w:val="auto"/>
              </w:rPr>
            </w:pPr>
          </w:p>
        </w:tc>
        <w:tc>
          <w:tcPr>
            <w:tcW w:w="1820" w:type="dxa"/>
            <w:vAlign w:val="bottom"/>
            <w:tcBorders>
              <w:right w:val="single" w:sz="8" w:color="007CBA"/>
            </w:tcBorders>
            <w:shd w:val="clear" w:color="auto" w:fill="007CBA"/>
          </w:tcPr>
          <w:p>
            <w:pPr>
              <w:jc w:val="right"/>
              <w:ind w:right="579"/>
              <w:spacing w:after="0"/>
              <w:rPr>
                <w:sz w:val="20"/>
                <w:szCs w:val="20"/>
                <w:color w:val="auto"/>
              </w:rPr>
            </w:pPr>
            <w:r>
              <w:rPr>
                <w:rFonts w:ascii="Arial" w:cs="Arial" w:eastAsia="Arial" w:hAnsi="Arial"/>
                <w:sz w:val="16"/>
                <w:szCs w:val="16"/>
                <w:b w:val="1"/>
                <w:bCs w:val="1"/>
                <w:color w:val="FFFFFF"/>
              </w:rPr>
              <w:t>in 2015</w:t>
            </w:r>
          </w:p>
        </w:tc>
        <w:tc>
          <w:tcPr>
            <w:tcW w:w="1740" w:type="dxa"/>
            <w:vAlign w:val="bottom"/>
            <w:tcBorders>
              <w:right w:val="single" w:sz="8" w:color="007CBA"/>
            </w:tcBorders>
            <w:shd w:val="clear" w:color="auto" w:fill="007CBA"/>
          </w:tcPr>
          <w:p>
            <w:pPr>
              <w:jc w:val="right"/>
              <w:ind w:right="559"/>
              <w:spacing w:after="0"/>
              <w:rPr>
                <w:sz w:val="20"/>
                <w:szCs w:val="20"/>
                <w:color w:val="auto"/>
              </w:rPr>
            </w:pPr>
            <w:r>
              <w:rPr>
                <w:rFonts w:ascii="Arial" w:cs="Arial" w:eastAsia="Arial" w:hAnsi="Arial"/>
                <w:sz w:val="16"/>
                <w:szCs w:val="16"/>
                <w:b w:val="1"/>
                <w:bCs w:val="1"/>
                <w:color w:val="FFFFFF"/>
              </w:rPr>
              <w:t>Payable</w:t>
            </w:r>
          </w:p>
        </w:tc>
        <w:tc>
          <w:tcPr>
            <w:tcW w:w="1560" w:type="dxa"/>
            <w:vAlign w:val="bottom"/>
            <w:shd w:val="clear" w:color="auto" w:fill="007CBA"/>
          </w:tcPr>
          <w:p>
            <w:pPr>
              <w:jc w:val="right"/>
              <w:ind w:right="399"/>
              <w:spacing w:after="0"/>
              <w:rPr>
                <w:sz w:val="20"/>
                <w:szCs w:val="20"/>
                <w:color w:val="auto"/>
              </w:rPr>
            </w:pPr>
            <w:r>
              <w:rPr>
                <w:rFonts w:ascii="Arial" w:cs="Arial" w:eastAsia="Arial" w:hAnsi="Arial"/>
                <w:sz w:val="16"/>
                <w:szCs w:val="16"/>
                <w:b w:val="1"/>
                <w:bCs w:val="1"/>
                <w:color w:val="FFFFFF"/>
              </w:rPr>
              <w:t>Payable</w:t>
            </w:r>
          </w:p>
        </w:tc>
      </w:tr>
      <w:tr>
        <w:trPr>
          <w:trHeight w:val="264"/>
        </w:trPr>
        <w:tc>
          <w:tcPr>
            <w:tcW w:w="2540" w:type="dxa"/>
            <w:vAlign w:val="bottom"/>
            <w:tcBorders>
              <w:bottom w:val="single" w:sz="8" w:color="E5F1F8"/>
            </w:tcBorders>
            <w:shd w:val="clear" w:color="auto" w:fill="E5F1F8"/>
          </w:tcPr>
          <w:p>
            <w:pPr>
              <w:ind w:left="60"/>
              <w:spacing w:after="0"/>
              <w:rPr>
                <w:sz w:val="20"/>
                <w:szCs w:val="20"/>
                <w:color w:val="auto"/>
              </w:rPr>
            </w:pPr>
            <w:r>
              <w:rPr>
                <w:rFonts w:ascii="Arial" w:cs="Arial" w:eastAsia="Arial" w:hAnsi="Arial"/>
                <w:sz w:val="16"/>
                <w:szCs w:val="16"/>
                <w:color w:val="auto"/>
              </w:rPr>
              <w:t>C. Howard Nye</w:t>
            </w:r>
          </w:p>
        </w:tc>
        <w:tc>
          <w:tcPr>
            <w:tcW w:w="3360" w:type="dxa"/>
            <w:vAlign w:val="bottom"/>
            <w:tcBorders>
              <w:bottom w:val="single" w:sz="8" w:color="E5F1F8"/>
              <w:right w:val="single" w:sz="8" w:color="007CBA"/>
            </w:tcBorders>
            <w:shd w:val="clear" w:color="auto" w:fill="E5F1F8"/>
          </w:tcPr>
          <w:p>
            <w:pPr>
              <w:spacing w:after="0"/>
              <w:rPr>
                <w:sz w:val="22"/>
                <w:szCs w:val="22"/>
                <w:color w:val="auto"/>
              </w:rPr>
            </w:pPr>
          </w:p>
        </w:tc>
        <w:tc>
          <w:tcPr>
            <w:tcW w:w="1820" w:type="dxa"/>
            <w:vAlign w:val="bottom"/>
            <w:tcBorders>
              <w:bottom w:val="single" w:sz="8" w:color="E5F1F8"/>
              <w:right w:val="single" w:sz="8" w:color="007CBA"/>
            </w:tcBorders>
            <w:shd w:val="clear" w:color="auto" w:fill="E5F1F8"/>
          </w:tcPr>
          <w:p>
            <w:pPr>
              <w:jc w:val="right"/>
              <w:ind w:right="299"/>
              <w:spacing w:after="0"/>
              <w:rPr>
                <w:sz w:val="20"/>
                <w:szCs w:val="20"/>
                <w:color w:val="auto"/>
              </w:rPr>
            </w:pPr>
            <w:r>
              <w:rPr>
                <w:rFonts w:ascii="Arial" w:cs="Arial" w:eastAsia="Arial" w:hAnsi="Arial"/>
                <w:sz w:val="16"/>
                <w:szCs w:val="16"/>
                <w:color w:val="auto"/>
              </w:rPr>
              <w:t>3,612</w:t>
            </w:r>
          </w:p>
        </w:tc>
        <w:tc>
          <w:tcPr>
            <w:tcW w:w="1740" w:type="dxa"/>
            <w:vAlign w:val="bottom"/>
            <w:tcBorders>
              <w:bottom w:val="single" w:sz="8" w:color="E5F1F8"/>
              <w:right w:val="single" w:sz="8" w:color="007CBA"/>
            </w:tcBorders>
            <w:shd w:val="clear" w:color="auto" w:fill="E5F1F8"/>
          </w:tcPr>
          <w:p>
            <w:pPr>
              <w:jc w:val="right"/>
              <w:ind w:right="279"/>
              <w:spacing w:after="0"/>
              <w:rPr>
                <w:sz w:val="20"/>
                <w:szCs w:val="20"/>
                <w:color w:val="auto"/>
              </w:rPr>
            </w:pPr>
            <w:r>
              <w:rPr>
                <w:rFonts w:ascii="Arial" w:cs="Arial" w:eastAsia="Arial" w:hAnsi="Arial"/>
                <w:sz w:val="16"/>
                <w:szCs w:val="16"/>
                <w:color w:val="auto"/>
              </w:rPr>
              <w:t>95%</w:t>
            </w:r>
          </w:p>
        </w:tc>
        <w:tc>
          <w:tcPr>
            <w:tcW w:w="1560" w:type="dxa"/>
            <w:vAlign w:val="bottom"/>
            <w:tcBorders>
              <w:bottom w:val="single" w:sz="8" w:color="E5F1F8"/>
            </w:tcBorders>
            <w:shd w:val="clear" w:color="auto" w:fill="E5F1F8"/>
          </w:tcPr>
          <w:p>
            <w:pPr>
              <w:jc w:val="right"/>
              <w:ind w:right="399"/>
              <w:spacing w:after="0"/>
              <w:rPr>
                <w:sz w:val="20"/>
                <w:szCs w:val="20"/>
                <w:color w:val="auto"/>
              </w:rPr>
            </w:pPr>
            <w:r>
              <w:rPr>
                <w:rFonts w:ascii="Arial" w:cs="Arial" w:eastAsia="Arial" w:hAnsi="Arial"/>
                <w:sz w:val="16"/>
                <w:szCs w:val="16"/>
                <w:color w:val="auto"/>
              </w:rPr>
              <w:t>3,423</w:t>
            </w:r>
          </w:p>
        </w:tc>
      </w:tr>
      <w:tr>
        <w:trPr>
          <w:trHeight w:val="241"/>
        </w:trPr>
        <w:tc>
          <w:tcPr>
            <w:tcW w:w="2540" w:type="dxa"/>
            <w:vAlign w:val="bottom"/>
          </w:tcPr>
          <w:p>
            <w:pPr>
              <w:ind w:left="60"/>
              <w:spacing w:after="0"/>
              <w:rPr>
                <w:sz w:val="20"/>
                <w:szCs w:val="20"/>
                <w:color w:val="auto"/>
              </w:rPr>
            </w:pPr>
            <w:r>
              <w:rPr>
                <w:rFonts w:ascii="Arial" w:cs="Arial" w:eastAsia="Arial" w:hAnsi="Arial"/>
                <w:sz w:val="16"/>
                <w:szCs w:val="16"/>
                <w:color w:val="auto"/>
              </w:rPr>
              <w:t>James A.J. Nickolas*</w:t>
            </w:r>
          </w:p>
        </w:tc>
        <w:tc>
          <w:tcPr>
            <w:tcW w:w="3360" w:type="dxa"/>
            <w:vAlign w:val="bottom"/>
            <w:tcBorders>
              <w:right w:val="single" w:sz="8" w:color="007CBA"/>
            </w:tcBorders>
          </w:tcPr>
          <w:p>
            <w:pPr>
              <w:spacing w:after="0"/>
              <w:rPr>
                <w:sz w:val="20"/>
                <w:szCs w:val="20"/>
                <w:color w:val="auto"/>
              </w:rPr>
            </w:pPr>
          </w:p>
        </w:tc>
        <w:tc>
          <w:tcPr>
            <w:tcW w:w="1820" w:type="dxa"/>
            <w:vAlign w:val="bottom"/>
            <w:tcBorders>
              <w:right w:val="single" w:sz="8" w:color="007CBA"/>
            </w:tcBorders>
          </w:tcPr>
          <w:p>
            <w:pPr>
              <w:jc w:val="right"/>
              <w:ind w:right="399"/>
              <w:spacing w:after="0"/>
              <w:rPr>
                <w:sz w:val="20"/>
                <w:szCs w:val="20"/>
                <w:color w:val="auto"/>
              </w:rPr>
            </w:pPr>
            <w:r>
              <w:rPr>
                <w:rFonts w:ascii="Arial" w:cs="Arial" w:eastAsia="Arial" w:hAnsi="Arial"/>
                <w:sz w:val="16"/>
                <w:szCs w:val="16"/>
                <w:color w:val="auto"/>
              </w:rPr>
              <w:t>—</w:t>
            </w:r>
          </w:p>
        </w:tc>
        <w:tc>
          <w:tcPr>
            <w:tcW w:w="1740" w:type="dxa"/>
            <w:vAlign w:val="bottom"/>
            <w:tcBorders>
              <w:right w:val="single" w:sz="8" w:color="007CBA"/>
            </w:tcBorders>
          </w:tcPr>
          <w:p>
            <w:pPr>
              <w:jc w:val="right"/>
              <w:ind w:right="51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479"/>
              <w:spacing w:after="0"/>
              <w:rPr>
                <w:sz w:val="20"/>
                <w:szCs w:val="20"/>
                <w:color w:val="auto"/>
              </w:rPr>
            </w:pPr>
            <w:r>
              <w:rPr>
                <w:rFonts w:ascii="Arial" w:cs="Arial" w:eastAsia="Arial" w:hAnsi="Arial"/>
                <w:sz w:val="16"/>
                <w:szCs w:val="16"/>
                <w:color w:val="auto"/>
              </w:rPr>
              <w:t>—</w:t>
            </w:r>
          </w:p>
        </w:tc>
      </w:tr>
      <w:tr>
        <w:trPr>
          <w:trHeight w:val="43"/>
        </w:trPr>
        <w:tc>
          <w:tcPr>
            <w:tcW w:w="2540" w:type="dxa"/>
            <w:vAlign w:val="bottom"/>
          </w:tcPr>
          <w:p>
            <w:pPr>
              <w:spacing w:after="0"/>
              <w:rPr>
                <w:sz w:val="3"/>
                <w:szCs w:val="3"/>
                <w:color w:val="auto"/>
              </w:rPr>
            </w:pPr>
          </w:p>
        </w:tc>
        <w:tc>
          <w:tcPr>
            <w:tcW w:w="3360" w:type="dxa"/>
            <w:vAlign w:val="bottom"/>
            <w:tcBorders>
              <w:right w:val="single" w:sz="8" w:color="007CBA"/>
            </w:tcBorders>
          </w:tcPr>
          <w:p>
            <w:pPr>
              <w:spacing w:after="0"/>
              <w:rPr>
                <w:sz w:val="3"/>
                <w:szCs w:val="3"/>
                <w:color w:val="auto"/>
              </w:rPr>
            </w:pPr>
          </w:p>
        </w:tc>
        <w:tc>
          <w:tcPr>
            <w:tcW w:w="1820" w:type="dxa"/>
            <w:vAlign w:val="bottom"/>
            <w:tcBorders>
              <w:right w:val="single" w:sz="8" w:color="007CBA"/>
            </w:tcBorders>
          </w:tcPr>
          <w:p>
            <w:pPr>
              <w:spacing w:after="0"/>
              <w:rPr>
                <w:sz w:val="3"/>
                <w:szCs w:val="3"/>
                <w:color w:val="auto"/>
              </w:rPr>
            </w:pPr>
          </w:p>
        </w:tc>
        <w:tc>
          <w:tcPr>
            <w:tcW w:w="1740" w:type="dxa"/>
            <w:vAlign w:val="bottom"/>
            <w:tcBorders>
              <w:right w:val="single" w:sz="8" w:color="007CBA"/>
            </w:tcBorders>
          </w:tcPr>
          <w:p>
            <w:pPr>
              <w:spacing w:after="0"/>
              <w:rPr>
                <w:sz w:val="3"/>
                <w:szCs w:val="3"/>
                <w:color w:val="auto"/>
              </w:rPr>
            </w:pPr>
          </w:p>
        </w:tc>
        <w:tc>
          <w:tcPr>
            <w:tcW w:w="1560" w:type="dxa"/>
            <w:vAlign w:val="bottom"/>
          </w:tcPr>
          <w:p>
            <w:pPr>
              <w:spacing w:after="0"/>
              <w:rPr>
                <w:sz w:val="3"/>
                <w:szCs w:val="3"/>
                <w:color w:val="auto"/>
              </w:rPr>
            </w:pPr>
          </w:p>
        </w:tc>
      </w:tr>
      <w:tr>
        <w:trPr>
          <w:trHeight w:val="264"/>
        </w:trPr>
        <w:tc>
          <w:tcPr>
            <w:tcW w:w="2540" w:type="dxa"/>
            <w:vAlign w:val="bottom"/>
            <w:tcBorders>
              <w:bottom w:val="single" w:sz="8" w:color="E5F1F8"/>
            </w:tcBorders>
            <w:shd w:val="clear" w:color="auto" w:fill="E5F1F8"/>
          </w:tcPr>
          <w:p>
            <w:pPr>
              <w:ind w:left="60"/>
              <w:spacing w:after="0"/>
              <w:rPr>
                <w:sz w:val="20"/>
                <w:szCs w:val="20"/>
                <w:color w:val="auto"/>
              </w:rPr>
            </w:pPr>
            <w:r>
              <w:rPr>
                <w:rFonts w:ascii="Arial" w:cs="Arial" w:eastAsia="Arial" w:hAnsi="Arial"/>
                <w:sz w:val="16"/>
                <w:szCs w:val="16"/>
                <w:color w:val="auto"/>
              </w:rPr>
              <w:t>Roselyn R. Bar</w:t>
            </w:r>
          </w:p>
        </w:tc>
        <w:tc>
          <w:tcPr>
            <w:tcW w:w="3360" w:type="dxa"/>
            <w:vAlign w:val="bottom"/>
            <w:tcBorders>
              <w:bottom w:val="single" w:sz="8" w:color="E5F1F8"/>
              <w:right w:val="single" w:sz="8" w:color="007CBA"/>
            </w:tcBorders>
            <w:shd w:val="clear" w:color="auto" w:fill="E5F1F8"/>
          </w:tcPr>
          <w:p>
            <w:pPr>
              <w:spacing w:after="0"/>
              <w:rPr>
                <w:sz w:val="22"/>
                <w:szCs w:val="22"/>
                <w:color w:val="auto"/>
              </w:rPr>
            </w:pPr>
          </w:p>
        </w:tc>
        <w:tc>
          <w:tcPr>
            <w:tcW w:w="1820" w:type="dxa"/>
            <w:vAlign w:val="bottom"/>
            <w:tcBorders>
              <w:bottom w:val="single" w:sz="8" w:color="E5F1F8"/>
              <w:right w:val="single" w:sz="8" w:color="007CBA"/>
            </w:tcBorders>
            <w:shd w:val="clear" w:color="auto" w:fill="E5F1F8"/>
          </w:tcPr>
          <w:p>
            <w:pPr>
              <w:jc w:val="right"/>
              <w:ind w:right="299"/>
              <w:spacing w:after="0"/>
              <w:rPr>
                <w:sz w:val="20"/>
                <w:szCs w:val="20"/>
                <w:color w:val="auto"/>
              </w:rPr>
            </w:pPr>
            <w:r>
              <w:rPr>
                <w:rFonts w:ascii="Arial" w:cs="Arial" w:eastAsia="Arial" w:hAnsi="Arial"/>
                <w:sz w:val="16"/>
                <w:szCs w:val="16"/>
                <w:color w:val="auto"/>
              </w:rPr>
              <w:t>1,620</w:t>
            </w:r>
          </w:p>
        </w:tc>
        <w:tc>
          <w:tcPr>
            <w:tcW w:w="1740" w:type="dxa"/>
            <w:vAlign w:val="bottom"/>
            <w:tcBorders>
              <w:bottom w:val="single" w:sz="8" w:color="E5F1F8"/>
              <w:right w:val="single" w:sz="8" w:color="007CBA"/>
            </w:tcBorders>
            <w:shd w:val="clear" w:color="auto" w:fill="E5F1F8"/>
          </w:tcPr>
          <w:p>
            <w:pPr>
              <w:jc w:val="right"/>
              <w:ind w:right="279"/>
              <w:spacing w:after="0"/>
              <w:rPr>
                <w:sz w:val="20"/>
                <w:szCs w:val="20"/>
                <w:color w:val="auto"/>
              </w:rPr>
            </w:pPr>
            <w:r>
              <w:rPr>
                <w:rFonts w:ascii="Arial" w:cs="Arial" w:eastAsia="Arial" w:hAnsi="Arial"/>
                <w:sz w:val="16"/>
                <w:szCs w:val="16"/>
                <w:color w:val="auto"/>
              </w:rPr>
              <w:t>95%</w:t>
            </w:r>
          </w:p>
        </w:tc>
        <w:tc>
          <w:tcPr>
            <w:tcW w:w="1560" w:type="dxa"/>
            <w:vAlign w:val="bottom"/>
            <w:tcBorders>
              <w:bottom w:val="single" w:sz="8" w:color="E5F1F8"/>
            </w:tcBorders>
            <w:shd w:val="clear" w:color="auto" w:fill="E5F1F8"/>
          </w:tcPr>
          <w:p>
            <w:pPr>
              <w:jc w:val="right"/>
              <w:ind w:right="399"/>
              <w:spacing w:after="0"/>
              <w:rPr>
                <w:sz w:val="20"/>
                <w:szCs w:val="20"/>
                <w:color w:val="auto"/>
              </w:rPr>
            </w:pPr>
            <w:r>
              <w:rPr>
                <w:rFonts w:ascii="Arial" w:cs="Arial" w:eastAsia="Arial" w:hAnsi="Arial"/>
                <w:sz w:val="16"/>
                <w:szCs w:val="16"/>
                <w:color w:val="auto"/>
              </w:rPr>
              <w:t>1,535</w:t>
            </w:r>
          </w:p>
        </w:tc>
      </w:tr>
      <w:tr>
        <w:trPr>
          <w:trHeight w:val="241"/>
        </w:trPr>
        <w:tc>
          <w:tcPr>
            <w:tcW w:w="2540" w:type="dxa"/>
            <w:vAlign w:val="bottom"/>
          </w:tcPr>
          <w:p>
            <w:pPr>
              <w:ind w:left="60"/>
              <w:spacing w:after="0"/>
              <w:rPr>
                <w:sz w:val="20"/>
                <w:szCs w:val="20"/>
                <w:color w:val="auto"/>
              </w:rPr>
            </w:pPr>
            <w:r>
              <w:rPr>
                <w:rFonts w:ascii="Arial" w:cs="Arial" w:eastAsia="Arial" w:hAnsi="Arial"/>
                <w:sz w:val="16"/>
                <w:szCs w:val="16"/>
                <w:color w:val="auto"/>
              </w:rPr>
              <w:t>Donald A. McCunniff</w:t>
            </w:r>
          </w:p>
        </w:tc>
        <w:tc>
          <w:tcPr>
            <w:tcW w:w="3360" w:type="dxa"/>
            <w:vAlign w:val="bottom"/>
            <w:tcBorders>
              <w:right w:val="single" w:sz="8" w:color="007CBA"/>
            </w:tcBorders>
          </w:tcPr>
          <w:p>
            <w:pPr>
              <w:spacing w:after="0"/>
              <w:rPr>
                <w:sz w:val="20"/>
                <w:szCs w:val="20"/>
                <w:color w:val="auto"/>
              </w:rPr>
            </w:pPr>
          </w:p>
        </w:tc>
        <w:tc>
          <w:tcPr>
            <w:tcW w:w="1820" w:type="dxa"/>
            <w:vAlign w:val="bottom"/>
            <w:tcBorders>
              <w:right w:val="single" w:sz="8" w:color="007CBA"/>
            </w:tcBorders>
          </w:tcPr>
          <w:p>
            <w:pPr>
              <w:jc w:val="right"/>
              <w:ind w:right="299"/>
              <w:spacing w:after="0"/>
              <w:rPr>
                <w:sz w:val="20"/>
                <w:szCs w:val="20"/>
                <w:color w:val="auto"/>
              </w:rPr>
            </w:pPr>
            <w:r>
              <w:rPr>
                <w:rFonts w:ascii="Arial" w:cs="Arial" w:eastAsia="Arial" w:hAnsi="Arial"/>
                <w:sz w:val="16"/>
                <w:szCs w:val="16"/>
                <w:color w:val="auto"/>
              </w:rPr>
              <w:t>1,328</w:t>
            </w:r>
          </w:p>
        </w:tc>
        <w:tc>
          <w:tcPr>
            <w:tcW w:w="1740" w:type="dxa"/>
            <w:vAlign w:val="bottom"/>
            <w:tcBorders>
              <w:right w:val="single" w:sz="8" w:color="007CBA"/>
            </w:tcBorders>
          </w:tcPr>
          <w:p>
            <w:pPr>
              <w:jc w:val="right"/>
              <w:ind w:right="279"/>
              <w:spacing w:after="0"/>
              <w:rPr>
                <w:sz w:val="20"/>
                <w:szCs w:val="20"/>
                <w:color w:val="auto"/>
              </w:rPr>
            </w:pPr>
            <w:r>
              <w:rPr>
                <w:rFonts w:ascii="Arial" w:cs="Arial" w:eastAsia="Arial" w:hAnsi="Arial"/>
                <w:sz w:val="16"/>
                <w:szCs w:val="16"/>
                <w:color w:val="auto"/>
              </w:rPr>
              <w:t>95%</w:t>
            </w:r>
          </w:p>
        </w:tc>
        <w:tc>
          <w:tcPr>
            <w:tcW w:w="1560" w:type="dxa"/>
            <w:vAlign w:val="bottom"/>
          </w:tcPr>
          <w:p>
            <w:pPr>
              <w:jc w:val="right"/>
              <w:ind w:right="399"/>
              <w:spacing w:after="0"/>
              <w:rPr>
                <w:sz w:val="20"/>
                <w:szCs w:val="20"/>
                <w:color w:val="auto"/>
              </w:rPr>
            </w:pPr>
            <w:r>
              <w:rPr>
                <w:rFonts w:ascii="Arial" w:cs="Arial" w:eastAsia="Arial" w:hAnsi="Arial"/>
                <w:sz w:val="16"/>
                <w:szCs w:val="16"/>
                <w:color w:val="auto"/>
              </w:rPr>
              <w:t>1,259</w:t>
            </w:r>
          </w:p>
        </w:tc>
      </w:tr>
      <w:tr>
        <w:trPr>
          <w:trHeight w:val="43"/>
        </w:trPr>
        <w:tc>
          <w:tcPr>
            <w:tcW w:w="2540" w:type="dxa"/>
            <w:vAlign w:val="bottom"/>
          </w:tcPr>
          <w:p>
            <w:pPr>
              <w:spacing w:after="0"/>
              <w:rPr>
                <w:sz w:val="3"/>
                <w:szCs w:val="3"/>
                <w:color w:val="auto"/>
              </w:rPr>
            </w:pPr>
          </w:p>
        </w:tc>
        <w:tc>
          <w:tcPr>
            <w:tcW w:w="3360" w:type="dxa"/>
            <w:vAlign w:val="bottom"/>
            <w:tcBorders>
              <w:right w:val="single" w:sz="8" w:color="007CBA"/>
            </w:tcBorders>
          </w:tcPr>
          <w:p>
            <w:pPr>
              <w:spacing w:after="0"/>
              <w:rPr>
                <w:sz w:val="3"/>
                <w:szCs w:val="3"/>
                <w:color w:val="auto"/>
              </w:rPr>
            </w:pPr>
          </w:p>
        </w:tc>
        <w:tc>
          <w:tcPr>
            <w:tcW w:w="1820" w:type="dxa"/>
            <w:vAlign w:val="bottom"/>
            <w:tcBorders>
              <w:right w:val="single" w:sz="8" w:color="007CBA"/>
            </w:tcBorders>
          </w:tcPr>
          <w:p>
            <w:pPr>
              <w:spacing w:after="0"/>
              <w:rPr>
                <w:sz w:val="3"/>
                <w:szCs w:val="3"/>
                <w:color w:val="auto"/>
              </w:rPr>
            </w:pPr>
          </w:p>
        </w:tc>
        <w:tc>
          <w:tcPr>
            <w:tcW w:w="1740" w:type="dxa"/>
            <w:vAlign w:val="bottom"/>
            <w:tcBorders>
              <w:right w:val="single" w:sz="8" w:color="007CBA"/>
            </w:tcBorders>
          </w:tcPr>
          <w:p>
            <w:pPr>
              <w:spacing w:after="0"/>
              <w:rPr>
                <w:sz w:val="3"/>
                <w:szCs w:val="3"/>
                <w:color w:val="auto"/>
              </w:rPr>
            </w:pPr>
          </w:p>
        </w:tc>
        <w:tc>
          <w:tcPr>
            <w:tcW w:w="1560" w:type="dxa"/>
            <w:vAlign w:val="bottom"/>
          </w:tcPr>
          <w:p>
            <w:pPr>
              <w:spacing w:after="0"/>
              <w:rPr>
                <w:sz w:val="3"/>
                <w:szCs w:val="3"/>
                <w:color w:val="auto"/>
              </w:rPr>
            </w:pPr>
          </w:p>
        </w:tc>
      </w:tr>
      <w:tr>
        <w:trPr>
          <w:trHeight w:val="264"/>
        </w:trPr>
        <w:tc>
          <w:tcPr>
            <w:tcW w:w="2540" w:type="dxa"/>
            <w:vAlign w:val="bottom"/>
            <w:tcBorders>
              <w:bottom w:val="single" w:sz="8" w:color="E5F1F8"/>
            </w:tcBorders>
            <w:shd w:val="clear" w:color="auto" w:fill="E5F1F8"/>
          </w:tcPr>
          <w:p>
            <w:pPr>
              <w:ind w:left="60"/>
              <w:spacing w:after="0"/>
              <w:rPr>
                <w:sz w:val="20"/>
                <w:szCs w:val="20"/>
                <w:color w:val="auto"/>
              </w:rPr>
            </w:pPr>
            <w:r>
              <w:rPr>
                <w:rFonts w:ascii="Arial" w:cs="Arial" w:eastAsia="Arial" w:hAnsi="Arial"/>
                <w:sz w:val="16"/>
                <w:szCs w:val="16"/>
                <w:color w:val="auto"/>
              </w:rPr>
              <w:t>Daniel L. Grant</w:t>
            </w:r>
          </w:p>
        </w:tc>
        <w:tc>
          <w:tcPr>
            <w:tcW w:w="3360" w:type="dxa"/>
            <w:vAlign w:val="bottom"/>
            <w:tcBorders>
              <w:bottom w:val="single" w:sz="8" w:color="E5F1F8"/>
              <w:right w:val="single" w:sz="8" w:color="007CBA"/>
            </w:tcBorders>
            <w:shd w:val="clear" w:color="auto" w:fill="E5F1F8"/>
          </w:tcPr>
          <w:p>
            <w:pPr>
              <w:spacing w:after="0"/>
              <w:rPr>
                <w:sz w:val="22"/>
                <w:szCs w:val="22"/>
                <w:color w:val="auto"/>
              </w:rPr>
            </w:pPr>
          </w:p>
        </w:tc>
        <w:tc>
          <w:tcPr>
            <w:tcW w:w="1820" w:type="dxa"/>
            <w:vAlign w:val="bottom"/>
            <w:tcBorders>
              <w:bottom w:val="single" w:sz="8" w:color="E5F1F8"/>
              <w:right w:val="single" w:sz="8" w:color="007CBA"/>
            </w:tcBorders>
            <w:shd w:val="clear" w:color="auto" w:fill="E5F1F8"/>
          </w:tcPr>
          <w:p>
            <w:pPr>
              <w:jc w:val="right"/>
              <w:ind w:right="299"/>
              <w:spacing w:after="0"/>
              <w:rPr>
                <w:sz w:val="20"/>
                <w:szCs w:val="20"/>
                <w:color w:val="auto"/>
              </w:rPr>
            </w:pPr>
            <w:r>
              <w:rPr>
                <w:rFonts w:ascii="Arial" w:cs="Arial" w:eastAsia="Arial" w:hAnsi="Arial"/>
                <w:sz w:val="16"/>
                <w:szCs w:val="16"/>
                <w:color w:val="auto"/>
              </w:rPr>
              <w:t>1,253</w:t>
            </w:r>
          </w:p>
        </w:tc>
        <w:tc>
          <w:tcPr>
            <w:tcW w:w="1740" w:type="dxa"/>
            <w:vAlign w:val="bottom"/>
            <w:tcBorders>
              <w:bottom w:val="single" w:sz="8" w:color="E5F1F8"/>
              <w:right w:val="single" w:sz="8" w:color="007CBA"/>
            </w:tcBorders>
            <w:shd w:val="clear" w:color="auto" w:fill="E5F1F8"/>
          </w:tcPr>
          <w:p>
            <w:pPr>
              <w:jc w:val="right"/>
              <w:ind w:right="279"/>
              <w:spacing w:after="0"/>
              <w:rPr>
                <w:sz w:val="20"/>
                <w:szCs w:val="20"/>
                <w:color w:val="auto"/>
              </w:rPr>
            </w:pPr>
            <w:r>
              <w:rPr>
                <w:rFonts w:ascii="Arial" w:cs="Arial" w:eastAsia="Arial" w:hAnsi="Arial"/>
                <w:sz w:val="16"/>
                <w:szCs w:val="16"/>
                <w:color w:val="auto"/>
              </w:rPr>
              <w:t>95%</w:t>
            </w:r>
          </w:p>
        </w:tc>
        <w:tc>
          <w:tcPr>
            <w:tcW w:w="1560" w:type="dxa"/>
            <w:vAlign w:val="bottom"/>
            <w:tcBorders>
              <w:bottom w:val="single" w:sz="8" w:color="E5F1F8"/>
            </w:tcBorders>
            <w:shd w:val="clear" w:color="auto" w:fill="E5F1F8"/>
          </w:tcPr>
          <w:p>
            <w:pPr>
              <w:jc w:val="right"/>
              <w:ind w:right="399"/>
              <w:spacing w:after="0"/>
              <w:rPr>
                <w:sz w:val="20"/>
                <w:szCs w:val="20"/>
                <w:color w:val="auto"/>
              </w:rPr>
            </w:pPr>
            <w:r>
              <w:rPr>
                <w:rFonts w:ascii="Arial" w:cs="Arial" w:eastAsia="Arial" w:hAnsi="Arial"/>
                <w:sz w:val="16"/>
                <w:szCs w:val="16"/>
                <w:color w:val="auto"/>
              </w:rPr>
              <w:t>1,188</w:t>
            </w:r>
          </w:p>
        </w:tc>
      </w:tr>
      <w:tr>
        <w:trPr>
          <w:trHeight w:val="20"/>
        </w:trPr>
        <w:tc>
          <w:tcPr>
            <w:tcW w:w="2540" w:type="dxa"/>
            <w:vAlign w:val="bottom"/>
            <w:shd w:val="clear" w:color="auto" w:fill="007CBA"/>
          </w:tcPr>
          <w:p>
            <w:pPr>
              <w:spacing w:after="0" w:line="20" w:lineRule="exact"/>
              <w:rPr>
                <w:sz w:val="1"/>
                <w:szCs w:val="1"/>
                <w:color w:val="auto"/>
              </w:rPr>
            </w:pPr>
          </w:p>
        </w:tc>
        <w:tc>
          <w:tcPr>
            <w:tcW w:w="3360" w:type="dxa"/>
            <w:vAlign w:val="bottom"/>
            <w:tcBorders>
              <w:right w:val="single" w:sz="8" w:color="007CBA"/>
            </w:tcBorders>
            <w:shd w:val="clear" w:color="auto" w:fill="007CBA"/>
          </w:tcPr>
          <w:p>
            <w:pPr>
              <w:spacing w:after="0" w:line="20" w:lineRule="exact"/>
              <w:rPr>
                <w:sz w:val="1"/>
                <w:szCs w:val="1"/>
                <w:color w:val="auto"/>
              </w:rPr>
            </w:pPr>
          </w:p>
        </w:tc>
        <w:tc>
          <w:tcPr>
            <w:tcW w:w="1820" w:type="dxa"/>
            <w:vAlign w:val="bottom"/>
            <w:tcBorders>
              <w:right w:val="single" w:sz="8" w:color="007CBA"/>
            </w:tcBorders>
            <w:shd w:val="clear" w:color="auto" w:fill="007CBA"/>
          </w:tcPr>
          <w:p>
            <w:pPr>
              <w:spacing w:after="0" w:line="20" w:lineRule="exact"/>
              <w:rPr>
                <w:sz w:val="1"/>
                <w:szCs w:val="1"/>
                <w:color w:val="auto"/>
              </w:rPr>
            </w:pPr>
          </w:p>
        </w:tc>
        <w:tc>
          <w:tcPr>
            <w:tcW w:w="1740" w:type="dxa"/>
            <w:vAlign w:val="bottom"/>
            <w:tcBorders>
              <w:right w:val="single" w:sz="8" w:color="007CBA"/>
            </w:tcBorders>
            <w:shd w:val="clear" w:color="auto" w:fill="007CBA"/>
          </w:tcPr>
          <w:p>
            <w:pPr>
              <w:spacing w:after="0" w:line="20" w:lineRule="exact"/>
              <w:rPr>
                <w:sz w:val="1"/>
                <w:szCs w:val="1"/>
                <w:color w:val="auto"/>
              </w:rPr>
            </w:pPr>
          </w:p>
        </w:tc>
        <w:tc>
          <w:tcPr>
            <w:tcW w:w="1560" w:type="dxa"/>
            <w:vAlign w:val="bottom"/>
            <w:shd w:val="clear" w:color="auto" w:fill="007CBA"/>
          </w:tcPr>
          <w:p>
            <w:pPr>
              <w:spacing w:after="0" w:line="20" w:lineRule="exact"/>
              <w:rPr>
                <w:sz w:val="1"/>
                <w:szCs w:val="1"/>
                <w:color w:val="auto"/>
              </w:rPr>
            </w:pPr>
          </w:p>
        </w:tc>
      </w:tr>
    </w:tbl>
    <w:p>
      <w:pPr>
        <w:spacing w:after="0" w:line="2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Mr. Nickolas commenced employment with the Company in August 2017.</w:t>
      </w:r>
    </w:p>
    <w:p>
      <w:pPr>
        <w:sectPr>
          <w:pgSz w:w="11900" w:h="16838" w:orient="portrait"/>
          <w:cols w:equalWidth="0" w:num="1">
            <w:col w:w="11240"/>
          </w:cols>
          <w:pgMar w:left="240" w:top="455" w:right="419" w:bottom="1440" w:gutter="0" w:footer="0" w:header="0"/>
        </w:sectPr>
      </w:pPr>
    </w:p>
    <w:p>
      <w:pPr>
        <w:spacing w:after="0" w:line="259"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007CBA"/>
        </w:rPr>
        <w:t>Stock-Based Awards Generally</w:t>
      </w:r>
    </w:p>
    <w:p>
      <w:pPr>
        <w:spacing w:after="0" w:line="134" w:lineRule="exact"/>
        <w:rPr>
          <w:sz w:val="20"/>
          <w:szCs w:val="20"/>
          <w:color w:val="auto"/>
        </w:rPr>
      </w:pPr>
    </w:p>
    <w:p>
      <w:pPr>
        <w:jc w:val="both"/>
        <w:ind w:left="220"/>
        <w:spacing w:after="0" w:line="250" w:lineRule="auto"/>
        <w:rPr>
          <w:sz w:val="20"/>
          <w:szCs w:val="20"/>
          <w:color w:val="auto"/>
        </w:rPr>
      </w:pPr>
      <w:r>
        <w:rPr>
          <w:rFonts w:ascii="Arial" w:cs="Arial" w:eastAsia="Arial" w:hAnsi="Arial"/>
          <w:sz w:val="16"/>
          <w:szCs w:val="16"/>
          <w:color w:val="auto"/>
        </w:rPr>
        <w:t>The stock purchase awards under our Incentive Stock Plan and the PSUs and RSUs awarded under our LTI program, each as described above, were granted in 2017 at the Committee’s regularly scheduled meetings in February (other than for Mr. Nickolas) following the availability of financial results for the prior year. Newly hired executive officers, such as Mr. Nickolas, may, subject to the discretion of the Committee, receive an award of RSUs as of the date of their hire. The number of RSUs is based on the average New York Stock Exchange closing price of Martin Marietta’s common stock on the date of the grant. The Committee’s schedule is determined several months in advance and the proximity of any awards to earnings announcements or other market events is coincidental.</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All of Martin Marietta’s active equity-based award plans have been approved by shareholders.</w:t>
      </w:r>
    </w:p>
    <w:p>
      <w:pPr>
        <w:spacing w:after="0" w:line="91"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Stock Ownership Guidelines</w:t>
      </w:r>
    </w:p>
    <w:p>
      <w:pPr>
        <w:spacing w:after="0" w:line="134"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In 2018, the Board adopted robust formal Stock Ownership Guidelines for executive officers and members of the Board of Directors. These require the following ownership levels as a multiple of base salary or annual cash retainer, as applicable:</w:t>
      </w:r>
    </w:p>
    <w:p>
      <w:pPr>
        <w:spacing w:after="0" w:line="37" w:lineRule="exact"/>
        <w:rPr>
          <w:sz w:val="20"/>
          <w:szCs w:val="20"/>
          <w:color w:val="auto"/>
        </w:rPr>
      </w:pPr>
    </w:p>
    <w:p>
      <w:pPr>
        <w:ind w:left="360" w:hanging="275"/>
        <w:spacing w:after="0"/>
        <w:tabs>
          <w:tab w:leader="none" w:pos="360" w:val="left"/>
        </w:tabs>
        <w:numPr>
          <w:ilvl w:val="0"/>
          <w:numId w:val="92"/>
        </w:numPr>
        <w:rPr>
          <w:rFonts w:ascii="Arial" w:cs="Arial" w:eastAsia="Arial" w:hAnsi="Arial"/>
          <w:sz w:val="16"/>
          <w:szCs w:val="16"/>
          <w:color w:val="007CBA"/>
        </w:rPr>
      </w:pPr>
      <w:r>
        <w:rPr>
          <w:rFonts w:ascii="Arial" w:cs="Arial" w:eastAsia="Arial" w:hAnsi="Arial"/>
          <w:sz w:val="16"/>
          <w:szCs w:val="16"/>
          <w:color w:val="auto"/>
        </w:rPr>
        <w:t>Chairman, President and CEO – 7 times</w:t>
      </w:r>
    </w:p>
    <w:p>
      <w:pPr>
        <w:spacing w:after="0" w:line="86" w:lineRule="exact"/>
        <w:rPr>
          <w:rFonts w:ascii="Arial" w:cs="Arial" w:eastAsia="Arial" w:hAnsi="Arial"/>
          <w:sz w:val="16"/>
          <w:szCs w:val="16"/>
          <w:color w:val="007CBA"/>
        </w:rPr>
      </w:pPr>
    </w:p>
    <w:p>
      <w:pPr>
        <w:ind w:left="360" w:hanging="275"/>
        <w:spacing w:after="0"/>
        <w:tabs>
          <w:tab w:leader="none" w:pos="360" w:val="left"/>
        </w:tabs>
        <w:numPr>
          <w:ilvl w:val="0"/>
          <w:numId w:val="92"/>
        </w:numPr>
        <w:rPr>
          <w:rFonts w:ascii="Arial" w:cs="Arial" w:eastAsia="Arial" w:hAnsi="Arial"/>
          <w:sz w:val="16"/>
          <w:szCs w:val="16"/>
          <w:color w:val="007CBA"/>
        </w:rPr>
      </w:pPr>
      <w:r>
        <w:rPr>
          <w:rFonts w:ascii="Arial" w:cs="Arial" w:eastAsia="Arial" w:hAnsi="Arial"/>
          <w:sz w:val="16"/>
          <w:szCs w:val="16"/>
          <w:color w:val="auto"/>
        </w:rPr>
        <w:t>Other Executive Officers – 5 times</w:t>
      </w:r>
    </w:p>
    <w:p>
      <w:pPr>
        <w:spacing w:after="0" w:line="86" w:lineRule="exact"/>
        <w:rPr>
          <w:rFonts w:ascii="Arial" w:cs="Arial" w:eastAsia="Arial" w:hAnsi="Arial"/>
          <w:sz w:val="16"/>
          <w:szCs w:val="16"/>
          <w:color w:val="007CBA"/>
        </w:rPr>
      </w:pPr>
    </w:p>
    <w:p>
      <w:pPr>
        <w:ind w:left="360" w:hanging="275"/>
        <w:spacing w:after="0"/>
        <w:tabs>
          <w:tab w:leader="none" w:pos="360" w:val="left"/>
        </w:tabs>
        <w:numPr>
          <w:ilvl w:val="0"/>
          <w:numId w:val="92"/>
        </w:numPr>
        <w:rPr>
          <w:rFonts w:ascii="Arial" w:cs="Arial" w:eastAsia="Arial" w:hAnsi="Arial"/>
          <w:sz w:val="16"/>
          <w:szCs w:val="16"/>
          <w:color w:val="007CBA"/>
        </w:rPr>
      </w:pPr>
      <w:r>
        <w:rPr>
          <w:rFonts w:ascii="Arial" w:cs="Arial" w:eastAsia="Arial" w:hAnsi="Arial"/>
          <w:sz w:val="16"/>
          <w:szCs w:val="16"/>
          <w:color w:val="auto"/>
        </w:rPr>
        <w:t>Other Members of the Board of Directors – 5 times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288925</wp:posOffset>
            </wp:positionV>
            <wp:extent cx="411480" cy="2489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384" w:lineRule="exact"/>
        <w:rPr>
          <w:sz w:val="20"/>
          <w:szCs w:val="20"/>
          <w:color w:val="auto"/>
        </w:rPr>
      </w:pPr>
    </w:p>
    <w:p>
      <w:pPr>
        <w:sectPr>
          <w:pgSz w:w="11900" w:h="16838" w:orient="portrait"/>
          <w:cols w:equalWidth="0" w:num="2">
            <w:col w:w="5500" w:space="320"/>
            <w:col w:w="5420"/>
          </w:cols>
          <w:pgMar w:left="240" w:top="455" w:right="419" w:bottom="1440" w:gutter="0" w:footer="0" w:header="0"/>
          <w:type w:val="continuous"/>
        </w:sectPr>
      </w:pPr>
    </w:p>
    <w:p>
      <w:pPr>
        <w:spacing w:after="0" w:line="89" w:lineRule="exact"/>
        <w:rPr>
          <w:sz w:val="20"/>
          <w:szCs w:val="20"/>
          <w:color w:val="auto"/>
        </w:rPr>
      </w:pPr>
    </w:p>
    <w:p>
      <w:pPr>
        <w:ind w:left="640" w:hanging="436"/>
        <w:spacing w:after="0"/>
        <w:tabs>
          <w:tab w:leader="none" w:pos="640" w:val="left"/>
        </w:tabs>
        <w:numPr>
          <w:ilvl w:val="0"/>
          <w:numId w:val="93"/>
        </w:numPr>
        <w:rPr>
          <w:rFonts w:ascii="Arial" w:cs="Arial" w:eastAsia="Arial" w:hAnsi="Arial"/>
          <w:sz w:val="12"/>
          <w:szCs w:val="12"/>
          <w:b w:val="1"/>
          <w:bCs w:val="1"/>
          <w:color w:val="auto"/>
        </w:rPr>
      </w:pPr>
      <w:r>
        <w:rPr>
          <w:rFonts w:ascii="Arial" w:cs="Arial" w:eastAsia="Arial" w:hAnsi="Arial"/>
          <w:sz w:val="12"/>
          <w:szCs w:val="12"/>
          <w:color w:val="007CBA"/>
        </w:rPr>
        <w:t>2018 PROXY STATEMENT</w:t>
      </w:r>
    </w:p>
    <w:p>
      <w:pPr>
        <w:sectPr>
          <w:pgSz w:w="11900" w:h="16838" w:orient="portrait"/>
          <w:cols w:equalWidth="0" w:num="1">
            <w:col w:w="11240"/>
          </w:cols>
          <w:pgMar w:left="240" w:top="455" w:right="419" w:bottom="1440" w:gutter="0" w:footer="0" w:header="0"/>
          <w:type w:val="continuous"/>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64" w:lineRule="exact"/>
        <w:rPr>
          <w:sz w:val="20"/>
          <w:szCs w:val="20"/>
          <w:color w:val="auto"/>
        </w:rPr>
      </w:pPr>
    </w:p>
    <w:p>
      <w:pPr>
        <w:jc w:val="right"/>
        <w:spacing w:after="0" w:line="288" w:lineRule="exact"/>
        <w:rPr>
          <w:sz w:val="20"/>
          <w:szCs w:val="20"/>
          <w:color w:val="auto"/>
        </w:rPr>
      </w:pPr>
      <w:r>
        <w:rPr>
          <w:rFonts w:ascii="Arial" w:cs="Arial" w:eastAsia="Arial" w:hAnsi="Arial"/>
          <w:sz w:val="14"/>
          <w:szCs w:val="14"/>
          <w:color w:val="auto"/>
        </w:rPr>
        <w:t xml:space="preserve">Stock Ownership Guidelines </w:t>
      </w:r>
      <w:r>
        <w:rPr>
          <w:rFonts w:ascii="MS PGothic" w:cs="MS PGothic" w:eastAsia="MS PGothic" w:hAnsi="MS PGothic"/>
          <w:sz w:val="25"/>
          <w:szCs w:val="25"/>
          <w:color w:val="007CBA"/>
        </w:rPr>
        <w:t>◆</w:t>
      </w:r>
      <w:r>
        <w:rPr>
          <w:rFonts w:ascii="Arial" w:cs="Arial" w:eastAsia="Arial" w:hAnsi="Arial"/>
          <w:sz w:val="14"/>
          <w:szCs w:val="14"/>
          <w:color w:val="auto"/>
        </w:rPr>
        <w:t xml:space="preserve"> </w:t>
      </w:r>
      <w:r>
        <w:rPr>
          <w:rFonts w:ascii="Arial" w:cs="Arial" w:eastAsia="Arial" w:hAnsi="Arial"/>
          <w:sz w:val="14"/>
          <w:szCs w:val="14"/>
          <w:color w:val="007CBA"/>
        </w:rPr>
        <w:t>Compensation Discussion and Analysis</w:t>
      </w:r>
    </w:p>
    <w:p>
      <w:pPr>
        <w:sectPr>
          <w:pgSz w:w="11900" w:h="16838" w:orient="portrait"/>
          <w:cols w:equalWidth="0" w:num="1">
            <w:col w:w="11220"/>
          </w:cols>
          <w:pgMar w:left="240" w:top="455" w:right="439" w:bottom="1440" w:gutter="0" w:footer="0" w:header="0"/>
        </w:sectPr>
      </w:pPr>
    </w:p>
    <w:p>
      <w:pPr>
        <w:spacing w:after="0" w:line="258" w:lineRule="exact"/>
        <w:rPr>
          <w:sz w:val="20"/>
          <w:szCs w:val="20"/>
          <w:color w:val="auto"/>
        </w:rPr>
      </w:pPr>
    </w:p>
    <w:p>
      <w:pPr>
        <w:ind w:left="220"/>
        <w:spacing w:after="0" w:line="291" w:lineRule="auto"/>
        <w:rPr>
          <w:sz w:val="20"/>
          <w:szCs w:val="20"/>
          <w:color w:val="auto"/>
        </w:rPr>
      </w:pPr>
      <w:r>
        <w:rPr>
          <w:rFonts w:ascii="Arial" w:cs="Arial" w:eastAsia="Arial" w:hAnsi="Arial"/>
          <w:sz w:val="16"/>
          <w:szCs w:val="16"/>
          <w:color w:val="auto"/>
        </w:rPr>
        <w:t>The following types of equity instruments count in determining stock ownership for purposes of these guidelines:</w:t>
      </w:r>
    </w:p>
    <w:p>
      <w:pPr>
        <w:spacing w:after="0" w:line="13" w:lineRule="exact"/>
        <w:rPr>
          <w:sz w:val="20"/>
          <w:szCs w:val="20"/>
          <w:color w:val="auto"/>
        </w:rPr>
      </w:pPr>
    </w:p>
    <w:p>
      <w:pPr>
        <w:jc w:val="both"/>
        <w:ind w:left="900" w:right="20" w:hanging="291"/>
        <w:spacing w:after="0" w:line="269" w:lineRule="auto"/>
        <w:tabs>
          <w:tab w:leader="none" w:pos="900" w:val="left"/>
        </w:tabs>
        <w:numPr>
          <w:ilvl w:val="0"/>
          <w:numId w:val="94"/>
        </w:numPr>
        <w:rPr>
          <w:rFonts w:ascii="Arial" w:cs="Arial" w:eastAsia="Arial" w:hAnsi="Arial"/>
          <w:sz w:val="16"/>
          <w:szCs w:val="16"/>
          <w:color w:val="007CBA"/>
        </w:rPr>
      </w:pPr>
      <w:r>
        <w:rPr>
          <w:rFonts w:ascii="Arial" w:cs="Arial" w:eastAsia="Arial" w:hAnsi="Arial"/>
          <w:sz w:val="16"/>
          <w:szCs w:val="16"/>
          <w:color w:val="auto"/>
        </w:rPr>
        <w:t>Shares owned separately by the covered person or owned either jointly with, or separately by, his or her immediate family members residing in the same household;</w:t>
      </w:r>
    </w:p>
    <w:p>
      <w:pPr>
        <w:spacing w:after="0" w:line="29" w:lineRule="exact"/>
        <w:rPr>
          <w:rFonts w:ascii="Arial" w:cs="Arial" w:eastAsia="Arial" w:hAnsi="Arial"/>
          <w:sz w:val="16"/>
          <w:szCs w:val="16"/>
          <w:color w:val="007CBA"/>
        </w:rPr>
      </w:pPr>
    </w:p>
    <w:p>
      <w:pPr>
        <w:ind w:left="900" w:right="20" w:hanging="291"/>
        <w:spacing w:after="0" w:line="291" w:lineRule="auto"/>
        <w:tabs>
          <w:tab w:leader="none" w:pos="900" w:val="left"/>
        </w:tabs>
        <w:numPr>
          <w:ilvl w:val="0"/>
          <w:numId w:val="94"/>
        </w:numPr>
        <w:rPr>
          <w:rFonts w:ascii="Arial" w:cs="Arial" w:eastAsia="Arial" w:hAnsi="Arial"/>
          <w:sz w:val="16"/>
          <w:szCs w:val="16"/>
          <w:color w:val="007CBA"/>
        </w:rPr>
      </w:pPr>
      <w:r>
        <w:rPr>
          <w:rFonts w:ascii="Arial" w:cs="Arial" w:eastAsia="Arial" w:hAnsi="Arial"/>
          <w:sz w:val="16"/>
          <w:szCs w:val="16"/>
          <w:color w:val="auto"/>
        </w:rPr>
        <w:t>Shares held in trust for the benefit of the covered person or his or her immediate family members;</w:t>
      </w:r>
    </w:p>
    <w:p>
      <w:pPr>
        <w:spacing w:after="0" w:line="13" w:lineRule="exact"/>
        <w:rPr>
          <w:rFonts w:ascii="Arial" w:cs="Arial" w:eastAsia="Arial" w:hAnsi="Arial"/>
          <w:sz w:val="16"/>
          <w:szCs w:val="16"/>
          <w:color w:val="007CBA"/>
        </w:rPr>
      </w:pPr>
    </w:p>
    <w:p>
      <w:pPr>
        <w:ind w:left="900" w:hanging="291"/>
        <w:spacing w:after="0"/>
        <w:tabs>
          <w:tab w:leader="none" w:pos="900" w:val="left"/>
        </w:tabs>
        <w:numPr>
          <w:ilvl w:val="0"/>
          <w:numId w:val="94"/>
        </w:numPr>
        <w:rPr>
          <w:rFonts w:ascii="Arial" w:cs="Arial" w:eastAsia="Arial" w:hAnsi="Arial"/>
          <w:sz w:val="16"/>
          <w:szCs w:val="16"/>
          <w:color w:val="007CBA"/>
        </w:rPr>
      </w:pPr>
      <w:r>
        <w:rPr>
          <w:rFonts w:ascii="Arial" w:cs="Arial" w:eastAsia="Arial" w:hAnsi="Arial"/>
          <w:sz w:val="16"/>
          <w:szCs w:val="16"/>
          <w:color w:val="auto"/>
        </w:rPr>
        <w:t>Shares purchased on the open market;</w:t>
      </w:r>
    </w:p>
    <w:p>
      <w:pPr>
        <w:spacing w:after="0" w:line="86" w:lineRule="exact"/>
        <w:rPr>
          <w:rFonts w:ascii="Arial" w:cs="Arial" w:eastAsia="Arial" w:hAnsi="Arial"/>
          <w:sz w:val="16"/>
          <w:szCs w:val="16"/>
          <w:color w:val="007CBA"/>
        </w:rPr>
      </w:pPr>
    </w:p>
    <w:p>
      <w:pPr>
        <w:ind w:left="900" w:right="20" w:hanging="291"/>
        <w:spacing w:after="0" w:line="291" w:lineRule="auto"/>
        <w:tabs>
          <w:tab w:leader="none" w:pos="900" w:val="left"/>
        </w:tabs>
        <w:numPr>
          <w:ilvl w:val="0"/>
          <w:numId w:val="94"/>
        </w:numPr>
        <w:rPr>
          <w:rFonts w:ascii="Arial" w:cs="Arial" w:eastAsia="Arial" w:hAnsi="Arial"/>
          <w:sz w:val="16"/>
          <w:szCs w:val="16"/>
          <w:color w:val="007CBA"/>
        </w:rPr>
      </w:pPr>
      <w:r>
        <w:rPr>
          <w:rFonts w:ascii="Arial" w:cs="Arial" w:eastAsia="Arial" w:hAnsi="Arial"/>
          <w:sz w:val="16"/>
          <w:szCs w:val="16"/>
          <w:color w:val="auto"/>
        </w:rPr>
        <w:t>Shares obtained through stock option exercise (and not thereafter sold);</w:t>
      </w:r>
    </w:p>
    <w:p>
      <w:pPr>
        <w:spacing w:after="0" w:line="13" w:lineRule="exact"/>
        <w:rPr>
          <w:rFonts w:ascii="Arial" w:cs="Arial" w:eastAsia="Arial" w:hAnsi="Arial"/>
          <w:sz w:val="16"/>
          <w:szCs w:val="16"/>
          <w:color w:val="007CBA"/>
        </w:rPr>
      </w:pPr>
    </w:p>
    <w:p>
      <w:pPr>
        <w:ind w:left="900" w:hanging="291"/>
        <w:spacing w:after="0"/>
        <w:tabs>
          <w:tab w:leader="none" w:pos="900" w:val="left"/>
        </w:tabs>
        <w:numPr>
          <w:ilvl w:val="0"/>
          <w:numId w:val="94"/>
        </w:numPr>
        <w:rPr>
          <w:rFonts w:ascii="Arial" w:cs="Arial" w:eastAsia="Arial" w:hAnsi="Arial"/>
          <w:sz w:val="16"/>
          <w:szCs w:val="16"/>
          <w:color w:val="007CBA"/>
        </w:rPr>
      </w:pPr>
      <w:r>
        <w:rPr>
          <w:rFonts w:ascii="Arial" w:cs="Arial" w:eastAsia="Arial" w:hAnsi="Arial"/>
          <w:sz w:val="16"/>
          <w:szCs w:val="16"/>
          <w:color w:val="auto"/>
        </w:rPr>
        <w:t>Vested shares of RSUs;</w:t>
      </w:r>
    </w:p>
    <w:p>
      <w:pPr>
        <w:spacing w:after="0" w:line="86" w:lineRule="exact"/>
        <w:rPr>
          <w:rFonts w:ascii="Arial" w:cs="Arial" w:eastAsia="Arial" w:hAnsi="Arial"/>
          <w:sz w:val="16"/>
          <w:szCs w:val="16"/>
          <w:color w:val="007CBA"/>
        </w:rPr>
      </w:pPr>
    </w:p>
    <w:p>
      <w:pPr>
        <w:ind w:left="900" w:hanging="291"/>
        <w:spacing w:after="0"/>
        <w:tabs>
          <w:tab w:leader="none" w:pos="900" w:val="left"/>
        </w:tabs>
        <w:numPr>
          <w:ilvl w:val="0"/>
          <w:numId w:val="94"/>
        </w:numPr>
        <w:rPr>
          <w:rFonts w:ascii="Arial" w:cs="Arial" w:eastAsia="Arial" w:hAnsi="Arial"/>
          <w:sz w:val="16"/>
          <w:szCs w:val="16"/>
          <w:color w:val="007CBA"/>
        </w:rPr>
      </w:pPr>
      <w:r>
        <w:rPr>
          <w:rFonts w:ascii="Arial" w:cs="Arial" w:eastAsia="Arial" w:hAnsi="Arial"/>
          <w:sz w:val="16"/>
          <w:szCs w:val="16"/>
          <w:color w:val="auto"/>
        </w:rPr>
        <w:t>Unvested RSUs;</w:t>
      </w:r>
    </w:p>
    <w:p>
      <w:pPr>
        <w:spacing w:after="0" w:line="86" w:lineRule="exact"/>
        <w:rPr>
          <w:rFonts w:ascii="Arial" w:cs="Arial" w:eastAsia="Arial" w:hAnsi="Arial"/>
          <w:sz w:val="16"/>
          <w:szCs w:val="16"/>
          <w:color w:val="007CBA"/>
        </w:rPr>
      </w:pPr>
    </w:p>
    <w:p>
      <w:pPr>
        <w:ind w:left="900" w:right="20" w:hanging="291"/>
        <w:spacing w:after="0" w:line="291" w:lineRule="auto"/>
        <w:tabs>
          <w:tab w:leader="none" w:pos="900" w:val="left"/>
        </w:tabs>
        <w:numPr>
          <w:ilvl w:val="0"/>
          <w:numId w:val="94"/>
        </w:numPr>
        <w:rPr>
          <w:rFonts w:ascii="Arial" w:cs="Arial" w:eastAsia="Arial" w:hAnsi="Arial"/>
          <w:sz w:val="16"/>
          <w:szCs w:val="16"/>
          <w:color w:val="007CBA"/>
        </w:rPr>
      </w:pPr>
      <w:r>
        <w:rPr>
          <w:rFonts w:ascii="Arial" w:cs="Arial" w:eastAsia="Arial" w:hAnsi="Arial"/>
          <w:sz w:val="16"/>
          <w:szCs w:val="16"/>
          <w:color w:val="auto"/>
        </w:rPr>
        <w:t>Shares held pursuant to deferred stock unit plans for Directors or executive officers; and</w:t>
      </w:r>
    </w:p>
    <w:p>
      <w:pPr>
        <w:spacing w:after="0" w:line="13" w:lineRule="exact"/>
        <w:rPr>
          <w:rFonts w:ascii="Arial" w:cs="Arial" w:eastAsia="Arial" w:hAnsi="Arial"/>
          <w:sz w:val="16"/>
          <w:szCs w:val="16"/>
          <w:color w:val="007CBA"/>
        </w:rPr>
      </w:pPr>
    </w:p>
    <w:p>
      <w:pPr>
        <w:ind w:left="900" w:right="20" w:hanging="291"/>
        <w:spacing w:after="0" w:line="291" w:lineRule="auto"/>
        <w:tabs>
          <w:tab w:leader="none" w:pos="900" w:val="left"/>
        </w:tabs>
        <w:numPr>
          <w:ilvl w:val="0"/>
          <w:numId w:val="94"/>
        </w:numPr>
        <w:rPr>
          <w:rFonts w:ascii="Arial" w:cs="Arial" w:eastAsia="Arial" w:hAnsi="Arial"/>
          <w:sz w:val="16"/>
          <w:szCs w:val="16"/>
          <w:color w:val="007CBA"/>
        </w:rPr>
      </w:pPr>
      <w:r>
        <w:rPr>
          <w:rFonts w:ascii="Arial" w:cs="Arial" w:eastAsia="Arial" w:hAnsi="Arial"/>
          <w:sz w:val="16"/>
          <w:szCs w:val="16"/>
          <w:color w:val="auto"/>
        </w:rPr>
        <w:t>Shares acquired under the Company’s Savings and Investment Plan and similar plans or arrangements</w:t>
      </w:r>
    </w:p>
    <w:p>
      <w:pPr>
        <w:spacing w:after="0" w:line="121" w:lineRule="exact"/>
        <w:rPr>
          <w:sz w:val="20"/>
          <w:szCs w:val="20"/>
          <w:color w:val="auto"/>
        </w:rPr>
      </w:pPr>
    </w:p>
    <w:p>
      <w:pPr>
        <w:jc w:val="both"/>
        <w:ind w:left="220"/>
        <w:spacing w:after="0" w:line="253" w:lineRule="auto"/>
        <w:rPr>
          <w:sz w:val="20"/>
          <w:szCs w:val="20"/>
          <w:color w:val="auto"/>
        </w:rPr>
      </w:pPr>
      <w:r>
        <w:rPr>
          <w:rFonts w:ascii="Arial" w:cs="Arial" w:eastAsia="Arial" w:hAnsi="Arial"/>
          <w:sz w:val="16"/>
          <w:szCs w:val="16"/>
          <w:color w:val="auto"/>
        </w:rPr>
        <w:t xml:space="preserve">Covered persons who are employees are expected to meet these requirements within five years of the later of becoming a covered person and the date of adoption of the policy. Until such time as such covered person has met these requirements, he or she is expected to retain 50% of any shares of common stock received upon vesting of RSUs, deferred stock unit awards, PSUs, the exercise of stock options, and other similar equity awards, net of amounts withheld to pay taxes and the exercise price of stock options until the applicable </w:t>
      </w:r>
      <w:r>
        <w:rPr>
          <w:rFonts w:ascii="Arial" w:cs="Arial" w:eastAsia="Arial" w:hAnsi="Arial"/>
          <w:sz w:val="16"/>
          <w:szCs w:val="16"/>
          <w:i w:val="1"/>
          <w:iCs w:val="1"/>
          <w:color w:val="auto"/>
        </w:rPr>
        <w:t>Guideline</w:t>
      </w:r>
      <w:r>
        <w:rPr>
          <w:rFonts w:ascii="Arial" w:cs="Arial" w:eastAsia="Arial" w:hAnsi="Arial"/>
          <w:sz w:val="16"/>
          <w:szCs w:val="16"/>
          <w:color w:val="auto"/>
        </w:rPr>
        <w:t xml:space="preserve"> level is met.</w:t>
      </w:r>
    </w:p>
    <w:p>
      <w:pPr>
        <w:spacing w:after="0" w:line="137" w:lineRule="exact"/>
        <w:rPr>
          <w:sz w:val="20"/>
          <w:szCs w:val="20"/>
          <w:color w:val="auto"/>
        </w:rPr>
      </w:pPr>
    </w:p>
    <w:p>
      <w:pPr>
        <w:jc w:val="both"/>
        <w:ind w:left="220" w:right="20"/>
        <w:spacing w:after="0" w:line="291" w:lineRule="auto"/>
        <w:rPr>
          <w:sz w:val="20"/>
          <w:szCs w:val="20"/>
          <w:color w:val="auto"/>
        </w:rPr>
      </w:pPr>
      <w:r>
        <w:rPr>
          <w:rFonts w:ascii="Arial" w:cs="Arial" w:eastAsia="Arial" w:hAnsi="Arial"/>
          <w:sz w:val="16"/>
          <w:szCs w:val="16"/>
          <w:color w:val="auto"/>
        </w:rPr>
        <w:t>Stock ownership does not include vested or unvested stock options, unvested PSUs and vested or unvested stock appreciation rights.</w:t>
      </w:r>
    </w:p>
    <w:p>
      <w:pPr>
        <w:spacing w:after="0" w:line="108" w:lineRule="exact"/>
        <w:rPr>
          <w:sz w:val="20"/>
          <w:szCs w:val="20"/>
          <w:color w:val="auto"/>
        </w:rPr>
      </w:pPr>
    </w:p>
    <w:p>
      <w:pPr>
        <w:jc w:val="both"/>
        <w:ind w:left="220"/>
        <w:spacing w:after="0" w:line="291" w:lineRule="auto"/>
        <w:rPr>
          <w:sz w:val="20"/>
          <w:szCs w:val="20"/>
          <w:color w:val="auto"/>
        </w:rPr>
      </w:pPr>
      <w:r>
        <w:rPr>
          <w:rFonts w:ascii="Arial" w:cs="Arial" w:eastAsia="Arial" w:hAnsi="Arial"/>
          <w:sz w:val="16"/>
          <w:szCs w:val="16"/>
          <w:color w:val="auto"/>
        </w:rPr>
        <w:t>All of the Company’s executive officers and members of the Board of Directors are in compliance with the Stock Ownership Guidelines.</w:t>
      </w:r>
    </w:p>
    <w:p>
      <w:pPr>
        <w:spacing w:after="0" w:line="121" w:lineRule="exact"/>
        <w:rPr>
          <w:sz w:val="20"/>
          <w:szCs w:val="20"/>
          <w:color w:val="auto"/>
        </w:rPr>
      </w:pPr>
    </w:p>
    <w:p>
      <w:pPr>
        <w:jc w:val="both"/>
        <w:ind w:left="220"/>
        <w:spacing w:after="0" w:line="257" w:lineRule="auto"/>
        <w:rPr>
          <w:sz w:val="20"/>
          <w:szCs w:val="20"/>
          <w:color w:val="auto"/>
        </w:rPr>
      </w:pPr>
      <w:r>
        <w:rPr>
          <w:rFonts w:ascii="Arial" w:cs="Arial" w:eastAsia="Arial" w:hAnsi="Arial"/>
          <w:sz w:val="16"/>
          <w:szCs w:val="16"/>
          <w:color w:val="auto"/>
        </w:rPr>
        <w:t>We also require a holding period of annual cash incentive compensation converted to Martin Marietta shares, with vesting generally in three years. There is no additional holding period beyond the vesting date, however a significant portion of the executive compensation program is in the form of equity awards that vest over three years generally.</w:t>
      </w:r>
    </w:p>
    <w:p>
      <w:pPr>
        <w:spacing w:after="0" w:line="136" w:lineRule="exact"/>
        <w:rPr>
          <w:sz w:val="20"/>
          <w:szCs w:val="20"/>
          <w:color w:val="auto"/>
        </w:rPr>
      </w:pPr>
    </w:p>
    <w:p>
      <w:pPr>
        <w:jc w:val="both"/>
        <w:ind w:left="220"/>
        <w:spacing w:after="0" w:line="257" w:lineRule="auto"/>
        <w:rPr>
          <w:sz w:val="20"/>
          <w:szCs w:val="20"/>
          <w:color w:val="auto"/>
        </w:rPr>
      </w:pPr>
      <w:r>
        <w:rPr>
          <w:rFonts w:ascii="Arial" w:cs="Arial" w:eastAsia="Arial" w:hAnsi="Arial"/>
          <w:sz w:val="16"/>
          <w:szCs w:val="16"/>
          <w:color w:val="auto"/>
        </w:rPr>
        <w:t>Our CEO must invest a minimum of 35% of each year’s cash bonus award in common stock units of Martin Marietta. Executive officers must invest a minimum of 20% of their annual bonus. Stock is purchased at a 20% discount to the price on the grant date to account for the additional risk of taking a common</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stock unit payment in lieu of a risk-free cash payment. In 2017, Mr. Nye deferred the maximum of 50% of his cash bonus in common stock units.</w:t>
      </w:r>
    </w:p>
    <w:p>
      <w:pPr>
        <w:spacing w:after="0" w:line="105"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Perquisites</w:t>
      </w:r>
    </w:p>
    <w:p>
      <w:pPr>
        <w:spacing w:after="0" w:line="13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Martin Marietta provides executives with perquisites that the Committee believes are appropriate, reasonable and consistent with its overall compensation program to better enable Martin Marietta to attract and retain superior employees for key positions. The Committee periodically reviews the types and levels of perquisites provided to the NEOs. The value of each of the NEO’s perquisites is included in the annual compensation set forth in the Summary Compensation Table.</w:t>
      </w:r>
    </w:p>
    <w:p>
      <w:pPr>
        <w:spacing w:after="0" w:line="13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2017, we provided personal use of leased automobiles to NEOs. We pay for the insurance, maintenance and fuel for such vehicles, and the value of personal mileage and use is charged to the NEO as imputed income. We make the company-owned aircraft available to the CEO and other senior executives for business travel. When the NEO is accompanied by his or her spouse on such trips, that use is included in the NEO’s taxable income for the year. Martin Marietta also provides to executive officers and other employees certain other fringe benefits such as tuition reimbursement, airline club dues, professional society dues, and food and recreational fees incidental to official company functions. We do not provide other perquisites, such as country club memberships or financial planning services, to the NEOs.</w:t>
      </w:r>
    </w:p>
    <w:p>
      <w:pPr>
        <w:spacing w:after="0" w:line="128"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Retirement and Other Benefits</w:t>
      </w:r>
    </w:p>
    <w:p>
      <w:pPr>
        <w:spacing w:after="0" w:line="13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order to maintain market competitive levels of compensation, we provide retirement and other benefits to the NEOs and other employees, including:</w:t>
      </w:r>
    </w:p>
    <w:p>
      <w:pPr>
        <w:spacing w:after="0" w:line="13" w:lineRule="exact"/>
        <w:rPr>
          <w:sz w:val="20"/>
          <w:szCs w:val="20"/>
          <w:color w:val="auto"/>
        </w:rPr>
      </w:pPr>
    </w:p>
    <w:p>
      <w:pPr>
        <w:ind w:left="360" w:hanging="275"/>
        <w:spacing w:after="0"/>
        <w:tabs>
          <w:tab w:leader="none" w:pos="360" w:val="left"/>
        </w:tabs>
        <w:numPr>
          <w:ilvl w:val="0"/>
          <w:numId w:val="95"/>
        </w:numPr>
        <w:rPr>
          <w:rFonts w:ascii="Arial" w:cs="Arial" w:eastAsia="Arial" w:hAnsi="Arial"/>
          <w:sz w:val="16"/>
          <w:szCs w:val="16"/>
          <w:color w:val="007CBA"/>
        </w:rPr>
      </w:pPr>
      <w:r>
        <w:rPr>
          <w:rFonts w:ascii="Arial" w:cs="Arial" w:eastAsia="Arial" w:hAnsi="Arial"/>
          <w:sz w:val="16"/>
          <w:szCs w:val="16"/>
          <w:color w:val="auto"/>
        </w:rPr>
        <w:t>Medical and dental benefits</w:t>
      </w:r>
    </w:p>
    <w:p>
      <w:pPr>
        <w:spacing w:after="0" w:line="86" w:lineRule="exact"/>
        <w:rPr>
          <w:rFonts w:ascii="Arial" w:cs="Arial" w:eastAsia="Arial" w:hAnsi="Arial"/>
          <w:sz w:val="16"/>
          <w:szCs w:val="16"/>
          <w:color w:val="007CBA"/>
        </w:rPr>
      </w:pPr>
    </w:p>
    <w:p>
      <w:pPr>
        <w:ind w:left="360" w:hanging="275"/>
        <w:spacing w:after="0"/>
        <w:tabs>
          <w:tab w:leader="none" w:pos="360" w:val="left"/>
        </w:tabs>
        <w:numPr>
          <w:ilvl w:val="0"/>
          <w:numId w:val="95"/>
        </w:numPr>
        <w:rPr>
          <w:rFonts w:ascii="Arial" w:cs="Arial" w:eastAsia="Arial" w:hAnsi="Arial"/>
          <w:sz w:val="16"/>
          <w:szCs w:val="16"/>
          <w:color w:val="007CBA"/>
        </w:rPr>
      </w:pPr>
      <w:r>
        <w:rPr>
          <w:rFonts w:ascii="Arial" w:cs="Arial" w:eastAsia="Arial" w:hAnsi="Arial"/>
          <w:sz w:val="16"/>
          <w:szCs w:val="16"/>
          <w:color w:val="auto"/>
        </w:rPr>
        <w:t>Life, accidental death and disability insurance</w:t>
      </w:r>
    </w:p>
    <w:p>
      <w:pPr>
        <w:spacing w:after="0" w:line="86" w:lineRule="exact"/>
        <w:rPr>
          <w:rFonts w:ascii="Arial" w:cs="Arial" w:eastAsia="Arial" w:hAnsi="Arial"/>
          <w:sz w:val="16"/>
          <w:szCs w:val="16"/>
          <w:color w:val="007CBA"/>
        </w:rPr>
      </w:pPr>
    </w:p>
    <w:p>
      <w:pPr>
        <w:ind w:left="360" w:hanging="275"/>
        <w:spacing w:after="0"/>
        <w:tabs>
          <w:tab w:leader="none" w:pos="360" w:val="left"/>
        </w:tabs>
        <w:numPr>
          <w:ilvl w:val="0"/>
          <w:numId w:val="95"/>
        </w:numPr>
        <w:rPr>
          <w:rFonts w:ascii="Arial" w:cs="Arial" w:eastAsia="Arial" w:hAnsi="Arial"/>
          <w:sz w:val="16"/>
          <w:szCs w:val="16"/>
          <w:color w:val="007CBA"/>
        </w:rPr>
      </w:pPr>
      <w:r>
        <w:rPr>
          <w:rFonts w:ascii="Arial" w:cs="Arial" w:eastAsia="Arial" w:hAnsi="Arial"/>
          <w:sz w:val="16"/>
          <w:szCs w:val="16"/>
          <w:color w:val="auto"/>
        </w:rPr>
        <w:t>Pension and savings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-259715</wp:posOffset>
            </wp:positionH>
            <wp:positionV relativeFrom="paragraph">
              <wp:posOffset>1618615</wp:posOffset>
            </wp:positionV>
            <wp:extent cx="411480" cy="2489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3440" w:type="dxa"/>
        <w:tblCellMar>
          <w:top w:w="0" w:type="dxa"/>
          <w:left w:w="0" w:type="dxa"/>
          <w:bottom w:w="0" w:type="dxa"/>
          <w:right w:w="0" w:type="dxa"/>
        </w:tblCellMar>
      </w:tblPr>
      <w:tr>
        <w:trPr>
          <w:trHeight w:val="178"/>
        </w:trPr>
        <w:tc>
          <w:tcPr>
            <w:tcW w:w="1680" w:type="dxa"/>
            <w:vAlign w:val="bottom"/>
          </w:tcPr>
          <w:p>
            <w:pPr>
              <w:spacing w:after="0"/>
              <w:rPr>
                <w:sz w:val="20"/>
                <w:szCs w:val="20"/>
                <w:color w:val="auto"/>
              </w:rPr>
            </w:pPr>
            <w:r>
              <w:rPr>
                <w:rFonts w:ascii="Arial" w:cs="Arial" w:eastAsia="Arial" w:hAnsi="Arial"/>
                <w:sz w:val="13"/>
                <w:szCs w:val="13"/>
                <w:color w:val="007CBA"/>
              </w:rPr>
              <w:t>2018 PROXY STATEMENT</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rPr>
              <w:t>49</w:t>
            </w:r>
          </w:p>
        </w:tc>
      </w:tr>
    </w:tbl>
    <w:p>
      <w:pPr>
        <w:sectPr>
          <w:pgSz w:w="11900" w:h="16838" w:orient="portrait"/>
          <w:cols w:equalWidth="0" w:num="2">
            <w:col w:w="5500" w:space="320"/>
            <w:col w:w="5400"/>
          </w:cols>
          <w:pgMar w:left="240" w:top="455" w:right="439" w:bottom="1440" w:gutter="0" w:footer="0" w:header="0"/>
          <w:type w:val="continuous"/>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64" w:lineRule="exact"/>
        <w:rPr>
          <w:sz w:val="20"/>
          <w:szCs w:val="20"/>
          <w:color w:val="auto"/>
        </w:rPr>
      </w:pPr>
    </w:p>
    <w:p>
      <w:pPr>
        <w:ind w:left="200"/>
        <w:spacing w:after="0" w:line="288" w:lineRule="exact"/>
        <w:rPr>
          <w:sz w:val="20"/>
          <w:szCs w:val="20"/>
          <w:color w:val="auto"/>
        </w:rPr>
      </w:pPr>
      <w:r>
        <w:rPr>
          <w:rFonts w:ascii="Arial" w:cs="Arial" w:eastAsia="Arial" w:hAnsi="Arial"/>
          <w:sz w:val="14"/>
          <w:szCs w:val="14"/>
          <w:color w:val="007CBA"/>
        </w:rPr>
        <w:t xml:space="preserve">Compensation Discussion and Analysis </w:t>
      </w:r>
      <w:r>
        <w:rPr>
          <w:rFonts w:ascii="MS PGothic" w:cs="MS PGothic" w:eastAsia="MS PGothic" w:hAnsi="MS PGothic"/>
          <w:sz w:val="25"/>
          <w:szCs w:val="25"/>
          <w:color w:val="007CBA"/>
        </w:rPr>
        <w:t>◆</w:t>
      </w:r>
      <w:r>
        <w:rPr>
          <w:rFonts w:ascii="Arial" w:cs="Arial" w:eastAsia="Arial" w:hAnsi="Arial"/>
          <w:sz w:val="14"/>
          <w:szCs w:val="14"/>
          <w:color w:val="007CBA"/>
        </w:rPr>
        <w:t xml:space="preserve"> </w:t>
      </w:r>
      <w:r>
        <w:rPr>
          <w:rFonts w:ascii="Arial" w:cs="Arial" w:eastAsia="Arial" w:hAnsi="Arial"/>
          <w:sz w:val="14"/>
          <w:szCs w:val="14"/>
          <w:color w:val="000000"/>
        </w:rPr>
        <w:t>Retirement and Other Benefits</w:t>
      </w:r>
    </w:p>
    <w:p>
      <w:pPr>
        <w:spacing w:after="0" w:line="258" w:lineRule="exact"/>
        <w:rPr>
          <w:sz w:val="20"/>
          <w:szCs w:val="20"/>
          <w:color w:val="auto"/>
        </w:rPr>
      </w:pPr>
    </w:p>
    <w:p>
      <w:pPr>
        <w:jc w:val="both"/>
        <w:ind w:left="220"/>
        <w:spacing w:after="0" w:line="253" w:lineRule="auto"/>
        <w:rPr>
          <w:sz w:val="20"/>
          <w:szCs w:val="20"/>
          <w:color w:val="auto"/>
        </w:rPr>
      </w:pPr>
      <w:r>
        <w:rPr>
          <w:rFonts w:ascii="Arial" w:cs="Arial" w:eastAsia="Arial" w:hAnsi="Arial"/>
          <w:sz w:val="16"/>
          <w:szCs w:val="16"/>
          <w:color w:val="auto"/>
        </w:rPr>
        <w:t>The benefits under the defined benefit pension plan are more valuable for employees who remain with Martin Marietta for longer periods, thereby furthering our objectives of retaining individuals with more expertise in relevant areas and who can also participate in management development for purposes of executive succession planning. All of Martin Marietta’s salaried employees in the United States are eligible to participate in our retirement and other plans, and the NEOs participate in the plans on the same terms as Martin Marietta’s other salaried employees.</w:t>
      </w:r>
    </w:p>
    <w:p>
      <w:pPr>
        <w:spacing w:after="0" w:line="177" w:lineRule="exact"/>
        <w:rPr>
          <w:sz w:val="20"/>
          <w:szCs w:val="20"/>
          <w:color w:val="auto"/>
        </w:rPr>
      </w:pPr>
    </w:p>
    <w:p>
      <w:pPr>
        <w:jc w:val="both"/>
        <w:ind w:left="220"/>
        <w:spacing w:after="0" w:line="291" w:lineRule="auto"/>
        <w:rPr>
          <w:sz w:val="20"/>
          <w:szCs w:val="20"/>
          <w:color w:val="auto"/>
        </w:rPr>
      </w:pPr>
      <w:r>
        <w:rPr>
          <w:rFonts w:ascii="Arial" w:cs="Arial" w:eastAsia="Arial" w:hAnsi="Arial"/>
          <w:sz w:val="16"/>
          <w:szCs w:val="16"/>
          <w:color w:val="auto"/>
        </w:rPr>
        <w:t>Additional information regarding these benefits is under the heading Pension Benefits Table on page 58 and the accompanying narrative.</w:t>
      </w:r>
    </w:p>
    <w:p>
      <w:pPr>
        <w:spacing w:after="0" w:line="105" w:lineRule="exact"/>
        <w:rPr>
          <w:sz w:val="20"/>
          <w:szCs w:val="20"/>
          <w:color w:val="auto"/>
        </w:rPr>
      </w:pPr>
    </w:p>
    <w:p>
      <w:pPr>
        <w:ind w:left="220" w:right="480"/>
        <w:spacing w:after="0" w:line="299" w:lineRule="auto"/>
        <w:rPr>
          <w:sz w:val="20"/>
          <w:szCs w:val="20"/>
          <w:color w:val="auto"/>
        </w:rPr>
      </w:pPr>
      <w:r>
        <w:rPr>
          <w:rFonts w:ascii="Arial" w:cs="Arial" w:eastAsia="Arial" w:hAnsi="Arial"/>
          <w:sz w:val="25"/>
          <w:szCs w:val="25"/>
          <w:b w:val="1"/>
          <w:bCs w:val="1"/>
          <w:color w:val="007CBA"/>
        </w:rPr>
        <w:t>Potential Payments upon Termination or Change of Control</w:t>
      </w:r>
    </w:p>
    <w:p>
      <w:pPr>
        <w:spacing w:after="0" w:line="2"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We do not have written employment agreements with executives. Instead, each of our NEOs has a change of control severance agreement (an Employment Protection Agreement) that provides for retention and continuity in order to minimize disruptions during a pending or anticipated change of control. The agreements are triggered only by a qualifying termination of employment following a change of control. Martin Marietta’s equity-based award plans and retirement plans also provide for certain post-termination payments and benefits, as well as the acceleration of time periods for purposes of vesting in, or realizing gain from, any outstanding equity award in the event of a change of control. The Committee believes these payments and benefits are also important to align the interests of the executive officers with the interests of the shareholders because the agreements will reduce or eliminate the reluctance to pursue potential change of control transactions that may ultimately lead to termination of their employment but would otherwise be in the best interests of our shareholders. The Employment</w:t>
      </w:r>
    </w:p>
    <w:p>
      <w:pPr>
        <w:spacing w:after="0" w:line="372" w:lineRule="exact"/>
        <w:rPr>
          <w:sz w:val="20"/>
          <w:szCs w:val="20"/>
          <w:color w:val="auto"/>
        </w:rPr>
      </w:pPr>
    </w:p>
    <w:p>
      <w:pPr>
        <w:ind w:left="640" w:hanging="436"/>
        <w:spacing w:after="0"/>
        <w:tabs>
          <w:tab w:leader="none" w:pos="640" w:val="left"/>
        </w:tabs>
        <w:numPr>
          <w:ilvl w:val="0"/>
          <w:numId w:val="96"/>
        </w:numPr>
        <w:rPr>
          <w:rFonts w:ascii="Arial" w:cs="Arial" w:eastAsia="Arial" w:hAnsi="Arial"/>
          <w:sz w:val="13"/>
          <w:szCs w:val="13"/>
          <w:b w:val="1"/>
          <w:bCs w:val="1"/>
          <w:color w:val="auto"/>
        </w:rPr>
      </w:pPr>
      <w:r>
        <w:rPr>
          <w:rFonts w:ascii="Arial" w:cs="Arial" w:eastAsia="Arial" w:hAnsi="Arial"/>
          <w:sz w:val="13"/>
          <w:szCs w:val="13"/>
          <w:color w:val="007CBA"/>
        </w:rPr>
        <w:t>2018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Protection Agreement is described on pages 59 and 60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-1129030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85"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Tax and Accounting Implications</w:t>
      </w:r>
    </w:p>
    <w:p>
      <w:pPr>
        <w:spacing w:after="0" w:line="13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administering the compensation program for NEOs, for awards made in 2017 the Committee considered the applicability of Section 162(m) of the Code, the consequences under financial accounting standards, the tax consequences in our analysis of total compensation and the mix of compensation elements, base, bonus and long-term incentives. Prior to amendment as part of the 2017 Tax Act, Section 162(m) prohibited public companies from taking a tax deduction for compensation that is paid to any one of certain employees in excess of $1.0 million, unless the compensation is “qualified performance-based compensation” within the meaning of the Code. To preserve the deductibility of compensation, grants in 2017 of our long-term incentives are intended to qualify as “qualified performance-based compensation.”</w:t>
      </w:r>
    </w:p>
    <w:p>
      <w:pPr>
        <w:spacing w:after="0" w:line="18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performance-based exception under Section 162(m) was eliminated in the 2017 Tax Act, which was enacted on December 22, 2017. As a result, except to the extent provided in limited transition relief, which is expected to apply to the 2017 grants, compensation that the Committee intended to structure as performance-based compensation under Section 162(m), including LTI awards, will no longer be deductible to the extent that compensation to a covered employee in any year exceeds the $1.0 million limit. While the Committee considers the deductibility of awards as one factor in determining executive compensation, the Committee also looks at other factors in making its decisions, as noted above, and retains the flexibility to award compensation that it determines to be consistent with the goals of our executive compensation program to attract talent, promote retention, or recognize and reward desired performance even if the awards are not deductible for income tax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168910</wp:posOffset>
            </wp:positionV>
            <wp:extent cx="411480" cy="2489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ectPr>
          <w:pgSz w:w="11900" w:h="16838" w:orient="portrait"/>
          <w:cols w:equalWidth="0" w:num="2">
            <w:col w:w="5500" w:space="320"/>
            <w:col w:w="5400"/>
          </w:cols>
          <w:pgMar w:left="240" w:top="455" w:right="4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72" w:lineRule="exact"/>
        <w:rPr>
          <w:sz w:val="20"/>
          <w:szCs w:val="20"/>
          <w:color w:val="auto"/>
        </w:rPr>
      </w:pPr>
    </w:p>
    <w:p>
      <w:pPr>
        <w:ind w:left="3320"/>
        <w:spacing w:after="0"/>
        <w:rPr>
          <w:sz w:val="20"/>
          <w:szCs w:val="20"/>
          <w:color w:val="auto"/>
        </w:rPr>
      </w:pPr>
      <w:r>
        <w:rPr>
          <w:rFonts w:ascii="Arial" w:cs="Arial" w:eastAsia="Arial" w:hAnsi="Arial"/>
          <w:sz w:val="43"/>
          <w:szCs w:val="43"/>
          <w:color w:val="auto"/>
        </w:rPr>
        <w:t>Executive Compensation</w:t>
      </w:r>
    </w:p>
    <w:p>
      <w:pPr>
        <w:spacing w:after="0" w:line="350"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007CBA"/>
        </w:rPr>
        <w:t>Executive Officer Compensation</w:t>
      </w:r>
    </w:p>
    <w:p>
      <w:pPr>
        <w:spacing w:after="0" w:line="134" w:lineRule="exact"/>
        <w:rPr>
          <w:sz w:val="20"/>
          <w:szCs w:val="20"/>
          <w:color w:val="auto"/>
        </w:rPr>
      </w:pPr>
    </w:p>
    <w:p>
      <w:pPr>
        <w:jc w:val="both"/>
        <w:ind w:left="200" w:right="20"/>
        <w:spacing w:after="0" w:line="257" w:lineRule="auto"/>
        <w:rPr>
          <w:sz w:val="20"/>
          <w:szCs w:val="20"/>
          <w:color w:val="auto"/>
        </w:rPr>
      </w:pPr>
      <w:r>
        <w:rPr>
          <w:rFonts w:ascii="Arial" w:cs="Arial" w:eastAsia="Arial" w:hAnsi="Arial"/>
          <w:sz w:val="16"/>
          <w:szCs w:val="16"/>
          <w:color w:val="auto"/>
        </w:rPr>
        <w:t xml:space="preserve">The following tables show annual and long-term compensation, for services in all capacities to Martin Marietta, earned by the Chief Executive Officer, each individual who served as Chief Financial Officer during 2017, and three other executive officers serving as such on December 31, 2017, which we refer to collectively in this section of this proxy statement as the “named executive officers” or “NEOs.” These tables and the accompanying narratives should be read in conjunction with the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xml:space="preserve"> section of this proxy statement, which provides a detailed overview of the methods used by Martin Marietta to compensate its officers, including the named executive officers.</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007CBA"/>
        </w:rPr>
        <w:t>Summary Compensation Table</w:t>
      </w:r>
    </w:p>
    <w:p>
      <w:pPr>
        <w:spacing w:after="0" w:line="134" w:lineRule="exact"/>
        <w:rPr>
          <w:sz w:val="20"/>
          <w:szCs w:val="20"/>
          <w:color w:val="auto"/>
        </w:rPr>
      </w:pPr>
    </w:p>
    <w:p>
      <w:pPr>
        <w:jc w:val="both"/>
        <w:ind w:left="200" w:right="20"/>
        <w:spacing w:after="0" w:line="291" w:lineRule="auto"/>
        <w:rPr>
          <w:sz w:val="20"/>
          <w:szCs w:val="20"/>
          <w:color w:val="auto"/>
        </w:rPr>
      </w:pPr>
      <w:r>
        <w:rPr>
          <w:rFonts w:ascii="Arial" w:cs="Arial" w:eastAsia="Arial" w:hAnsi="Arial"/>
          <w:sz w:val="16"/>
          <w:szCs w:val="16"/>
          <w:color w:val="auto"/>
        </w:rPr>
        <w:t>The table below summarizes the total compensation paid to or earned by each of the named executive officers for the fiscal years set forth below. Martin Marietta has not entered into any employment agreements with any of the named executive officers.</w:t>
      </w:r>
    </w:p>
    <w:p>
      <w:pPr>
        <w:spacing w:after="0" w:line="95"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SUMMARY COMPENSATION TABLE</w:t>
      </w:r>
    </w:p>
    <w:p>
      <w:pPr>
        <w:spacing w:after="0" w:line="253"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720" w:type="dxa"/>
            <w:vAlign w:val="bottom"/>
            <w:tcBorders>
              <w:right w:val="single" w:sz="8" w:color="007CBA"/>
            </w:tcBorders>
            <w:shd w:val="clear" w:color="auto" w:fill="007CBA"/>
          </w:tcPr>
          <w:p>
            <w:pPr>
              <w:spacing w:after="0"/>
              <w:rPr>
                <w:sz w:val="14"/>
                <w:szCs w:val="14"/>
                <w:color w:val="auto"/>
              </w:rPr>
            </w:pPr>
          </w:p>
        </w:tc>
        <w:tc>
          <w:tcPr>
            <w:tcW w:w="80" w:type="dxa"/>
            <w:vAlign w:val="bottom"/>
            <w:shd w:val="clear" w:color="auto" w:fill="007CBA"/>
          </w:tcPr>
          <w:p>
            <w:pPr>
              <w:spacing w:after="0"/>
              <w:rPr>
                <w:sz w:val="14"/>
                <w:szCs w:val="14"/>
                <w:color w:val="auto"/>
              </w:rPr>
            </w:pPr>
          </w:p>
        </w:tc>
        <w:tc>
          <w:tcPr>
            <w:tcW w:w="40" w:type="dxa"/>
            <w:vAlign w:val="bottom"/>
            <w:shd w:val="clear" w:color="auto" w:fill="007CBA"/>
          </w:tcPr>
          <w:p>
            <w:pPr>
              <w:spacing w:after="0"/>
              <w:rPr>
                <w:sz w:val="14"/>
                <w:szCs w:val="14"/>
                <w:color w:val="auto"/>
              </w:rPr>
            </w:pPr>
          </w:p>
        </w:tc>
        <w:tc>
          <w:tcPr>
            <w:tcW w:w="420" w:type="dxa"/>
            <w:vAlign w:val="bottom"/>
            <w:tcBorders>
              <w:right w:val="single" w:sz="8" w:color="007CBA"/>
            </w:tcBorders>
            <w:shd w:val="clear" w:color="auto" w:fill="007CBA"/>
          </w:tcPr>
          <w:p>
            <w:pPr>
              <w:spacing w:after="0"/>
              <w:rPr>
                <w:sz w:val="14"/>
                <w:szCs w:val="14"/>
                <w:color w:val="auto"/>
              </w:rPr>
            </w:pPr>
          </w:p>
        </w:tc>
        <w:tc>
          <w:tcPr>
            <w:tcW w:w="860" w:type="dxa"/>
            <w:vAlign w:val="bottom"/>
            <w:tcBorders>
              <w:right w:val="single" w:sz="8" w:color="007CBA"/>
            </w:tcBorders>
            <w:shd w:val="clear" w:color="auto" w:fill="007CBA"/>
          </w:tcPr>
          <w:p>
            <w:pPr>
              <w:spacing w:after="0"/>
              <w:rPr>
                <w:sz w:val="14"/>
                <w:szCs w:val="14"/>
                <w:color w:val="auto"/>
              </w:rPr>
            </w:pPr>
          </w:p>
        </w:tc>
        <w:tc>
          <w:tcPr>
            <w:tcW w:w="880" w:type="dxa"/>
            <w:vAlign w:val="bottom"/>
            <w:tcBorders>
              <w:right w:val="single" w:sz="8" w:color="007CBA"/>
            </w:tcBorders>
            <w:shd w:val="clear" w:color="auto" w:fill="007CBA"/>
          </w:tcPr>
          <w:p>
            <w:pPr>
              <w:spacing w:after="0"/>
              <w:rPr>
                <w:sz w:val="14"/>
                <w:szCs w:val="14"/>
                <w:color w:val="auto"/>
              </w:rPr>
            </w:pPr>
          </w:p>
        </w:tc>
        <w:tc>
          <w:tcPr>
            <w:tcW w:w="860" w:type="dxa"/>
            <w:vAlign w:val="bottom"/>
            <w:tcBorders>
              <w:right w:val="single" w:sz="8" w:color="007CBA"/>
            </w:tcBorders>
            <w:shd w:val="clear" w:color="auto" w:fill="007CBA"/>
          </w:tcPr>
          <w:p>
            <w:pPr>
              <w:spacing w:after="0"/>
              <w:rPr>
                <w:sz w:val="14"/>
                <w:szCs w:val="14"/>
                <w:color w:val="auto"/>
              </w:rPr>
            </w:pPr>
          </w:p>
        </w:tc>
        <w:tc>
          <w:tcPr>
            <w:tcW w:w="740" w:type="dxa"/>
            <w:vAlign w:val="bottom"/>
            <w:tcBorders>
              <w:right w:val="single" w:sz="8" w:color="007CBA"/>
            </w:tcBorders>
            <w:shd w:val="clear" w:color="auto" w:fill="007CBA"/>
          </w:tcPr>
          <w:p>
            <w:pPr>
              <w:spacing w:after="0"/>
              <w:rPr>
                <w:sz w:val="14"/>
                <w:szCs w:val="14"/>
                <w:color w:val="auto"/>
              </w:rPr>
            </w:pPr>
          </w:p>
        </w:tc>
        <w:tc>
          <w:tcPr>
            <w:tcW w:w="1180" w:type="dxa"/>
            <w:vAlign w:val="bottom"/>
            <w:tcBorders>
              <w:right w:val="single" w:sz="8" w:color="007CBA"/>
            </w:tcBorders>
            <w:shd w:val="clear" w:color="auto" w:fill="007CBA"/>
          </w:tcPr>
          <w:p>
            <w:pPr>
              <w:spacing w:after="0"/>
              <w:rPr>
                <w:sz w:val="14"/>
                <w:szCs w:val="14"/>
                <w:color w:val="auto"/>
              </w:rPr>
            </w:pPr>
          </w:p>
        </w:tc>
        <w:tc>
          <w:tcPr>
            <w:tcW w:w="12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Change in</w:t>
            </w:r>
          </w:p>
        </w:tc>
        <w:tc>
          <w:tcPr>
            <w:tcW w:w="1180" w:type="dxa"/>
            <w:vAlign w:val="bottom"/>
            <w:tcBorders>
              <w:right w:val="single" w:sz="8" w:color="007CBA"/>
            </w:tcBorders>
            <w:shd w:val="clear" w:color="auto" w:fill="007CBA"/>
          </w:tcPr>
          <w:p>
            <w:pPr>
              <w:spacing w:after="0"/>
              <w:rPr>
                <w:sz w:val="14"/>
                <w:szCs w:val="14"/>
                <w:color w:val="auto"/>
              </w:rPr>
            </w:pPr>
          </w:p>
        </w:tc>
        <w:tc>
          <w:tcPr>
            <w:tcW w:w="860" w:type="dxa"/>
            <w:vAlign w:val="bottom"/>
            <w:shd w:val="clear" w:color="auto" w:fill="007CB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tcBorders>
              <w:right w:val="single" w:sz="8" w:color="007CBA"/>
            </w:tcBorders>
            <w:shd w:val="clear" w:color="auto" w:fill="007CBA"/>
          </w:tcPr>
          <w:p>
            <w:pPr>
              <w:spacing w:after="0"/>
              <w:rPr>
                <w:sz w:val="14"/>
                <w:szCs w:val="14"/>
                <w:color w:val="auto"/>
              </w:rPr>
            </w:pPr>
          </w:p>
        </w:tc>
        <w:tc>
          <w:tcPr>
            <w:tcW w:w="80" w:type="dxa"/>
            <w:vAlign w:val="bottom"/>
            <w:shd w:val="clear" w:color="auto" w:fill="007CBA"/>
          </w:tcPr>
          <w:p>
            <w:pPr>
              <w:spacing w:after="0"/>
              <w:rPr>
                <w:sz w:val="14"/>
                <w:szCs w:val="14"/>
                <w:color w:val="auto"/>
              </w:rPr>
            </w:pPr>
          </w:p>
        </w:tc>
        <w:tc>
          <w:tcPr>
            <w:tcW w:w="40" w:type="dxa"/>
            <w:vAlign w:val="bottom"/>
            <w:shd w:val="clear" w:color="auto" w:fill="007CBA"/>
          </w:tcPr>
          <w:p>
            <w:pPr>
              <w:spacing w:after="0"/>
              <w:rPr>
                <w:sz w:val="14"/>
                <w:szCs w:val="14"/>
                <w:color w:val="auto"/>
              </w:rPr>
            </w:pPr>
          </w:p>
        </w:tc>
        <w:tc>
          <w:tcPr>
            <w:tcW w:w="420" w:type="dxa"/>
            <w:vAlign w:val="bottom"/>
            <w:tcBorders>
              <w:right w:val="single" w:sz="8" w:color="007CBA"/>
            </w:tcBorders>
            <w:shd w:val="clear" w:color="auto" w:fill="007CBA"/>
          </w:tcPr>
          <w:p>
            <w:pPr>
              <w:spacing w:after="0"/>
              <w:rPr>
                <w:sz w:val="14"/>
                <w:szCs w:val="14"/>
                <w:color w:val="auto"/>
              </w:rPr>
            </w:pPr>
          </w:p>
        </w:tc>
        <w:tc>
          <w:tcPr>
            <w:tcW w:w="860" w:type="dxa"/>
            <w:vAlign w:val="bottom"/>
            <w:tcBorders>
              <w:right w:val="single" w:sz="8" w:color="007CBA"/>
            </w:tcBorders>
            <w:shd w:val="clear" w:color="auto" w:fill="007CBA"/>
          </w:tcPr>
          <w:p>
            <w:pPr>
              <w:spacing w:after="0"/>
              <w:rPr>
                <w:sz w:val="14"/>
                <w:szCs w:val="14"/>
                <w:color w:val="auto"/>
              </w:rPr>
            </w:pPr>
          </w:p>
        </w:tc>
        <w:tc>
          <w:tcPr>
            <w:tcW w:w="880" w:type="dxa"/>
            <w:vAlign w:val="bottom"/>
            <w:tcBorders>
              <w:right w:val="single" w:sz="8" w:color="007CBA"/>
            </w:tcBorders>
            <w:shd w:val="clear" w:color="auto" w:fill="007CBA"/>
          </w:tcPr>
          <w:p>
            <w:pPr>
              <w:spacing w:after="0"/>
              <w:rPr>
                <w:sz w:val="14"/>
                <w:szCs w:val="14"/>
                <w:color w:val="auto"/>
              </w:rPr>
            </w:pPr>
          </w:p>
        </w:tc>
        <w:tc>
          <w:tcPr>
            <w:tcW w:w="860" w:type="dxa"/>
            <w:vAlign w:val="bottom"/>
            <w:tcBorders>
              <w:right w:val="single" w:sz="8" w:color="007CBA"/>
            </w:tcBorders>
            <w:shd w:val="clear" w:color="auto" w:fill="007CBA"/>
          </w:tcPr>
          <w:p>
            <w:pPr>
              <w:spacing w:after="0"/>
              <w:rPr>
                <w:sz w:val="14"/>
                <w:szCs w:val="14"/>
                <w:color w:val="auto"/>
              </w:rPr>
            </w:pPr>
          </w:p>
        </w:tc>
        <w:tc>
          <w:tcPr>
            <w:tcW w:w="740" w:type="dxa"/>
            <w:vAlign w:val="bottom"/>
            <w:tcBorders>
              <w:right w:val="single" w:sz="8" w:color="007CBA"/>
            </w:tcBorders>
            <w:shd w:val="clear" w:color="auto" w:fill="007CBA"/>
          </w:tcPr>
          <w:p>
            <w:pPr>
              <w:spacing w:after="0"/>
              <w:rPr>
                <w:sz w:val="14"/>
                <w:szCs w:val="14"/>
                <w:color w:val="auto"/>
              </w:rPr>
            </w:pPr>
          </w:p>
        </w:tc>
        <w:tc>
          <w:tcPr>
            <w:tcW w:w="1180" w:type="dxa"/>
            <w:vAlign w:val="bottom"/>
            <w:tcBorders>
              <w:right w:val="single" w:sz="8" w:color="007CBA"/>
            </w:tcBorders>
            <w:shd w:val="clear" w:color="auto" w:fill="007CBA"/>
          </w:tcPr>
          <w:p>
            <w:pPr>
              <w:spacing w:after="0"/>
              <w:rPr>
                <w:sz w:val="14"/>
                <w:szCs w:val="14"/>
                <w:color w:val="auto"/>
              </w:rPr>
            </w:pPr>
          </w:p>
        </w:tc>
        <w:tc>
          <w:tcPr>
            <w:tcW w:w="12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Pension Value</w:t>
            </w:r>
          </w:p>
        </w:tc>
        <w:tc>
          <w:tcPr>
            <w:tcW w:w="1180" w:type="dxa"/>
            <w:vAlign w:val="bottom"/>
            <w:tcBorders>
              <w:right w:val="single" w:sz="8" w:color="007CBA"/>
            </w:tcBorders>
            <w:shd w:val="clear" w:color="auto" w:fill="007CBA"/>
          </w:tcPr>
          <w:p>
            <w:pPr>
              <w:spacing w:after="0"/>
              <w:rPr>
                <w:sz w:val="14"/>
                <w:szCs w:val="14"/>
                <w:color w:val="auto"/>
              </w:rPr>
            </w:pPr>
          </w:p>
        </w:tc>
        <w:tc>
          <w:tcPr>
            <w:tcW w:w="860" w:type="dxa"/>
            <w:vAlign w:val="bottom"/>
            <w:shd w:val="clear" w:color="auto" w:fill="007CB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tcBorders>
              <w:right w:val="single" w:sz="8" w:color="007CBA"/>
            </w:tcBorders>
            <w:shd w:val="clear" w:color="auto" w:fill="007CBA"/>
          </w:tcPr>
          <w:p>
            <w:pPr>
              <w:spacing w:after="0"/>
              <w:rPr>
                <w:sz w:val="14"/>
                <w:szCs w:val="14"/>
                <w:color w:val="auto"/>
              </w:rPr>
            </w:pPr>
          </w:p>
        </w:tc>
        <w:tc>
          <w:tcPr>
            <w:tcW w:w="80" w:type="dxa"/>
            <w:vAlign w:val="bottom"/>
            <w:shd w:val="clear" w:color="auto" w:fill="007CBA"/>
          </w:tcPr>
          <w:p>
            <w:pPr>
              <w:spacing w:after="0"/>
              <w:rPr>
                <w:sz w:val="14"/>
                <w:szCs w:val="14"/>
                <w:color w:val="auto"/>
              </w:rPr>
            </w:pPr>
          </w:p>
        </w:tc>
        <w:tc>
          <w:tcPr>
            <w:tcW w:w="40" w:type="dxa"/>
            <w:vAlign w:val="bottom"/>
            <w:shd w:val="clear" w:color="auto" w:fill="007CBA"/>
          </w:tcPr>
          <w:p>
            <w:pPr>
              <w:spacing w:after="0"/>
              <w:rPr>
                <w:sz w:val="14"/>
                <w:szCs w:val="14"/>
                <w:color w:val="auto"/>
              </w:rPr>
            </w:pPr>
          </w:p>
        </w:tc>
        <w:tc>
          <w:tcPr>
            <w:tcW w:w="420" w:type="dxa"/>
            <w:vAlign w:val="bottom"/>
            <w:tcBorders>
              <w:right w:val="single" w:sz="8" w:color="007CBA"/>
            </w:tcBorders>
            <w:shd w:val="clear" w:color="auto" w:fill="007CBA"/>
          </w:tcPr>
          <w:p>
            <w:pPr>
              <w:spacing w:after="0"/>
              <w:rPr>
                <w:sz w:val="14"/>
                <w:szCs w:val="14"/>
                <w:color w:val="auto"/>
              </w:rPr>
            </w:pPr>
          </w:p>
        </w:tc>
        <w:tc>
          <w:tcPr>
            <w:tcW w:w="860" w:type="dxa"/>
            <w:vAlign w:val="bottom"/>
            <w:tcBorders>
              <w:right w:val="single" w:sz="8" w:color="007CBA"/>
            </w:tcBorders>
            <w:shd w:val="clear" w:color="auto" w:fill="007CBA"/>
          </w:tcPr>
          <w:p>
            <w:pPr>
              <w:spacing w:after="0"/>
              <w:rPr>
                <w:sz w:val="14"/>
                <w:szCs w:val="14"/>
                <w:color w:val="auto"/>
              </w:rPr>
            </w:pPr>
          </w:p>
        </w:tc>
        <w:tc>
          <w:tcPr>
            <w:tcW w:w="880" w:type="dxa"/>
            <w:vAlign w:val="bottom"/>
            <w:tcBorders>
              <w:right w:val="single" w:sz="8" w:color="007CBA"/>
            </w:tcBorders>
            <w:shd w:val="clear" w:color="auto" w:fill="007CBA"/>
          </w:tcPr>
          <w:p>
            <w:pPr>
              <w:spacing w:after="0"/>
              <w:rPr>
                <w:sz w:val="14"/>
                <w:szCs w:val="14"/>
                <w:color w:val="auto"/>
              </w:rPr>
            </w:pPr>
          </w:p>
        </w:tc>
        <w:tc>
          <w:tcPr>
            <w:tcW w:w="860" w:type="dxa"/>
            <w:vAlign w:val="bottom"/>
            <w:tcBorders>
              <w:right w:val="single" w:sz="8" w:color="007CBA"/>
            </w:tcBorders>
            <w:shd w:val="clear" w:color="auto" w:fill="007CBA"/>
          </w:tcPr>
          <w:p>
            <w:pPr>
              <w:spacing w:after="0"/>
              <w:rPr>
                <w:sz w:val="14"/>
                <w:szCs w:val="14"/>
                <w:color w:val="auto"/>
              </w:rPr>
            </w:pPr>
          </w:p>
        </w:tc>
        <w:tc>
          <w:tcPr>
            <w:tcW w:w="740" w:type="dxa"/>
            <w:vAlign w:val="bottom"/>
            <w:tcBorders>
              <w:right w:val="single" w:sz="8" w:color="007CBA"/>
            </w:tcBorders>
            <w:shd w:val="clear" w:color="auto" w:fill="007CBA"/>
          </w:tcPr>
          <w:p>
            <w:pPr>
              <w:spacing w:after="0"/>
              <w:rPr>
                <w:sz w:val="14"/>
                <w:szCs w:val="14"/>
                <w:color w:val="auto"/>
              </w:rPr>
            </w:pPr>
          </w:p>
        </w:tc>
        <w:tc>
          <w:tcPr>
            <w:tcW w:w="1180" w:type="dxa"/>
            <w:vAlign w:val="bottom"/>
            <w:tcBorders>
              <w:right w:val="single" w:sz="8" w:color="007CBA"/>
            </w:tcBorders>
            <w:shd w:val="clear" w:color="auto" w:fill="007CBA"/>
          </w:tcPr>
          <w:p>
            <w:pPr>
              <w:spacing w:after="0"/>
              <w:rPr>
                <w:sz w:val="14"/>
                <w:szCs w:val="14"/>
                <w:color w:val="auto"/>
              </w:rPr>
            </w:pPr>
          </w:p>
        </w:tc>
        <w:tc>
          <w:tcPr>
            <w:tcW w:w="12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and Non-</w:t>
            </w:r>
          </w:p>
        </w:tc>
        <w:tc>
          <w:tcPr>
            <w:tcW w:w="1180" w:type="dxa"/>
            <w:vAlign w:val="bottom"/>
            <w:tcBorders>
              <w:right w:val="single" w:sz="8" w:color="007CBA"/>
            </w:tcBorders>
            <w:shd w:val="clear" w:color="auto" w:fill="007CBA"/>
          </w:tcPr>
          <w:p>
            <w:pPr>
              <w:spacing w:after="0"/>
              <w:rPr>
                <w:sz w:val="14"/>
                <w:szCs w:val="14"/>
                <w:color w:val="auto"/>
              </w:rPr>
            </w:pPr>
          </w:p>
        </w:tc>
        <w:tc>
          <w:tcPr>
            <w:tcW w:w="860" w:type="dxa"/>
            <w:vAlign w:val="bottom"/>
            <w:shd w:val="clear" w:color="auto" w:fill="007CB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tcBorders>
              <w:right w:val="single" w:sz="8" w:color="007CBA"/>
            </w:tcBorders>
            <w:shd w:val="clear" w:color="auto" w:fill="007CBA"/>
          </w:tcPr>
          <w:p>
            <w:pPr>
              <w:spacing w:after="0"/>
              <w:rPr>
                <w:sz w:val="14"/>
                <w:szCs w:val="14"/>
                <w:color w:val="auto"/>
              </w:rPr>
            </w:pPr>
          </w:p>
        </w:tc>
        <w:tc>
          <w:tcPr>
            <w:tcW w:w="80" w:type="dxa"/>
            <w:vAlign w:val="bottom"/>
            <w:shd w:val="clear" w:color="auto" w:fill="007CBA"/>
          </w:tcPr>
          <w:p>
            <w:pPr>
              <w:spacing w:after="0"/>
              <w:rPr>
                <w:sz w:val="14"/>
                <w:szCs w:val="14"/>
                <w:color w:val="auto"/>
              </w:rPr>
            </w:pPr>
          </w:p>
        </w:tc>
        <w:tc>
          <w:tcPr>
            <w:tcW w:w="40" w:type="dxa"/>
            <w:vAlign w:val="bottom"/>
            <w:shd w:val="clear" w:color="auto" w:fill="007CBA"/>
          </w:tcPr>
          <w:p>
            <w:pPr>
              <w:spacing w:after="0"/>
              <w:rPr>
                <w:sz w:val="14"/>
                <w:szCs w:val="14"/>
                <w:color w:val="auto"/>
              </w:rPr>
            </w:pPr>
          </w:p>
        </w:tc>
        <w:tc>
          <w:tcPr>
            <w:tcW w:w="420" w:type="dxa"/>
            <w:vAlign w:val="bottom"/>
            <w:tcBorders>
              <w:right w:val="single" w:sz="8" w:color="007CBA"/>
            </w:tcBorders>
            <w:shd w:val="clear" w:color="auto" w:fill="007CBA"/>
          </w:tcPr>
          <w:p>
            <w:pPr>
              <w:spacing w:after="0"/>
              <w:rPr>
                <w:sz w:val="14"/>
                <w:szCs w:val="14"/>
                <w:color w:val="auto"/>
              </w:rPr>
            </w:pPr>
          </w:p>
        </w:tc>
        <w:tc>
          <w:tcPr>
            <w:tcW w:w="860" w:type="dxa"/>
            <w:vAlign w:val="bottom"/>
            <w:tcBorders>
              <w:right w:val="single" w:sz="8" w:color="007CBA"/>
            </w:tcBorders>
            <w:shd w:val="clear" w:color="auto" w:fill="007CBA"/>
          </w:tcPr>
          <w:p>
            <w:pPr>
              <w:spacing w:after="0"/>
              <w:rPr>
                <w:sz w:val="14"/>
                <w:szCs w:val="14"/>
                <w:color w:val="auto"/>
              </w:rPr>
            </w:pPr>
          </w:p>
        </w:tc>
        <w:tc>
          <w:tcPr>
            <w:tcW w:w="880" w:type="dxa"/>
            <w:vAlign w:val="bottom"/>
            <w:tcBorders>
              <w:right w:val="single" w:sz="8" w:color="007CBA"/>
            </w:tcBorders>
            <w:shd w:val="clear" w:color="auto" w:fill="007CBA"/>
          </w:tcPr>
          <w:p>
            <w:pPr>
              <w:spacing w:after="0"/>
              <w:rPr>
                <w:sz w:val="14"/>
                <w:szCs w:val="14"/>
                <w:color w:val="auto"/>
              </w:rPr>
            </w:pPr>
          </w:p>
        </w:tc>
        <w:tc>
          <w:tcPr>
            <w:tcW w:w="860" w:type="dxa"/>
            <w:vAlign w:val="bottom"/>
            <w:tcBorders>
              <w:right w:val="single" w:sz="8" w:color="007CBA"/>
            </w:tcBorders>
            <w:shd w:val="clear" w:color="auto" w:fill="007CBA"/>
          </w:tcPr>
          <w:p>
            <w:pPr>
              <w:spacing w:after="0"/>
              <w:rPr>
                <w:sz w:val="14"/>
                <w:szCs w:val="14"/>
                <w:color w:val="auto"/>
              </w:rPr>
            </w:pPr>
          </w:p>
        </w:tc>
        <w:tc>
          <w:tcPr>
            <w:tcW w:w="740" w:type="dxa"/>
            <w:vAlign w:val="bottom"/>
            <w:tcBorders>
              <w:right w:val="single" w:sz="8" w:color="007CBA"/>
            </w:tcBorders>
            <w:shd w:val="clear" w:color="auto" w:fill="007CBA"/>
          </w:tcPr>
          <w:p>
            <w:pPr>
              <w:spacing w:after="0"/>
              <w:rPr>
                <w:sz w:val="14"/>
                <w:szCs w:val="14"/>
                <w:color w:val="auto"/>
              </w:rPr>
            </w:pPr>
          </w:p>
        </w:tc>
        <w:tc>
          <w:tcPr>
            <w:tcW w:w="1180" w:type="dxa"/>
            <w:vAlign w:val="bottom"/>
            <w:tcBorders>
              <w:right w:val="single" w:sz="8" w:color="007CBA"/>
            </w:tcBorders>
            <w:vMerge w:val="restart"/>
            <w:shd w:val="clear" w:color="auto" w:fill="007CBA"/>
          </w:tcPr>
          <w:p>
            <w:pPr>
              <w:jc w:val="center"/>
              <w:spacing w:after="0"/>
              <w:rPr>
                <w:sz w:val="20"/>
                <w:szCs w:val="20"/>
                <w:color w:val="auto"/>
              </w:rPr>
            </w:pPr>
            <w:r>
              <w:rPr>
                <w:rFonts w:ascii="Arial" w:cs="Arial" w:eastAsia="Arial" w:hAnsi="Arial"/>
                <w:sz w:val="14"/>
                <w:szCs w:val="14"/>
                <w:b w:val="1"/>
                <w:bCs w:val="1"/>
                <w:color w:val="FFFFFF"/>
              </w:rPr>
              <w:t>Non-Equity</w:t>
            </w:r>
          </w:p>
        </w:tc>
        <w:tc>
          <w:tcPr>
            <w:tcW w:w="12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Qualified</w:t>
            </w:r>
          </w:p>
        </w:tc>
        <w:tc>
          <w:tcPr>
            <w:tcW w:w="1180" w:type="dxa"/>
            <w:vAlign w:val="bottom"/>
            <w:tcBorders>
              <w:right w:val="single" w:sz="8" w:color="007CBA"/>
            </w:tcBorders>
            <w:shd w:val="clear" w:color="auto" w:fill="007CBA"/>
          </w:tcPr>
          <w:p>
            <w:pPr>
              <w:spacing w:after="0"/>
              <w:rPr>
                <w:sz w:val="14"/>
                <w:szCs w:val="14"/>
                <w:color w:val="auto"/>
              </w:rPr>
            </w:pPr>
          </w:p>
        </w:tc>
        <w:tc>
          <w:tcPr>
            <w:tcW w:w="860" w:type="dxa"/>
            <w:vAlign w:val="bottom"/>
            <w:shd w:val="clear" w:color="auto" w:fill="007CBA"/>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720" w:type="dxa"/>
            <w:vAlign w:val="bottom"/>
            <w:tcBorders>
              <w:right w:val="single" w:sz="8" w:color="007CBA"/>
            </w:tcBorders>
            <w:shd w:val="clear" w:color="auto" w:fill="007CBA"/>
          </w:tcPr>
          <w:p>
            <w:pPr>
              <w:spacing w:after="0"/>
              <w:rPr>
                <w:sz w:val="13"/>
                <w:szCs w:val="13"/>
                <w:color w:val="auto"/>
              </w:rPr>
            </w:pPr>
          </w:p>
        </w:tc>
        <w:tc>
          <w:tcPr>
            <w:tcW w:w="80" w:type="dxa"/>
            <w:vAlign w:val="bottom"/>
            <w:shd w:val="clear" w:color="auto" w:fill="007CBA"/>
          </w:tcPr>
          <w:p>
            <w:pPr>
              <w:spacing w:after="0"/>
              <w:rPr>
                <w:sz w:val="13"/>
                <w:szCs w:val="13"/>
                <w:color w:val="auto"/>
              </w:rPr>
            </w:pPr>
          </w:p>
        </w:tc>
        <w:tc>
          <w:tcPr>
            <w:tcW w:w="40" w:type="dxa"/>
            <w:vAlign w:val="bottom"/>
            <w:shd w:val="clear" w:color="auto" w:fill="007CBA"/>
          </w:tcPr>
          <w:p>
            <w:pPr>
              <w:spacing w:after="0"/>
              <w:rPr>
                <w:sz w:val="13"/>
                <w:szCs w:val="13"/>
                <w:color w:val="auto"/>
              </w:rPr>
            </w:pPr>
          </w:p>
        </w:tc>
        <w:tc>
          <w:tcPr>
            <w:tcW w:w="420" w:type="dxa"/>
            <w:vAlign w:val="bottom"/>
            <w:tcBorders>
              <w:right w:val="single" w:sz="8" w:color="007CBA"/>
            </w:tcBorders>
            <w:shd w:val="clear" w:color="auto" w:fill="007CBA"/>
          </w:tcPr>
          <w:p>
            <w:pPr>
              <w:spacing w:after="0"/>
              <w:rPr>
                <w:sz w:val="13"/>
                <w:szCs w:val="13"/>
                <w:color w:val="auto"/>
              </w:rPr>
            </w:pPr>
          </w:p>
        </w:tc>
        <w:tc>
          <w:tcPr>
            <w:tcW w:w="860" w:type="dxa"/>
            <w:vAlign w:val="bottom"/>
            <w:tcBorders>
              <w:right w:val="single" w:sz="8" w:color="007CBA"/>
            </w:tcBorders>
            <w:shd w:val="clear" w:color="auto" w:fill="007CBA"/>
          </w:tcPr>
          <w:p>
            <w:pPr>
              <w:spacing w:after="0"/>
              <w:rPr>
                <w:sz w:val="13"/>
                <w:szCs w:val="13"/>
                <w:color w:val="auto"/>
              </w:rPr>
            </w:pPr>
          </w:p>
        </w:tc>
        <w:tc>
          <w:tcPr>
            <w:tcW w:w="880" w:type="dxa"/>
            <w:vAlign w:val="bottom"/>
            <w:tcBorders>
              <w:right w:val="single" w:sz="8" w:color="007CBA"/>
            </w:tcBorders>
            <w:shd w:val="clear" w:color="auto" w:fill="007CBA"/>
          </w:tcPr>
          <w:p>
            <w:pPr>
              <w:spacing w:after="0"/>
              <w:rPr>
                <w:sz w:val="13"/>
                <w:szCs w:val="13"/>
                <w:color w:val="auto"/>
              </w:rPr>
            </w:pPr>
          </w:p>
        </w:tc>
        <w:tc>
          <w:tcPr>
            <w:tcW w:w="860" w:type="dxa"/>
            <w:vAlign w:val="bottom"/>
            <w:tcBorders>
              <w:right w:val="single" w:sz="8" w:color="007CBA"/>
            </w:tcBorders>
            <w:shd w:val="clear" w:color="auto" w:fill="007CBA"/>
          </w:tcPr>
          <w:p>
            <w:pPr>
              <w:spacing w:after="0"/>
              <w:rPr>
                <w:sz w:val="13"/>
                <w:szCs w:val="13"/>
                <w:color w:val="auto"/>
              </w:rPr>
            </w:pPr>
          </w:p>
        </w:tc>
        <w:tc>
          <w:tcPr>
            <w:tcW w:w="740" w:type="dxa"/>
            <w:vAlign w:val="bottom"/>
            <w:tcBorders>
              <w:right w:val="single" w:sz="8" w:color="007CBA"/>
            </w:tcBorders>
            <w:shd w:val="clear" w:color="auto" w:fill="007CBA"/>
          </w:tcPr>
          <w:p>
            <w:pPr>
              <w:spacing w:after="0"/>
              <w:rPr>
                <w:sz w:val="13"/>
                <w:szCs w:val="13"/>
                <w:color w:val="auto"/>
              </w:rPr>
            </w:pPr>
          </w:p>
        </w:tc>
        <w:tc>
          <w:tcPr>
            <w:tcW w:w="1180" w:type="dxa"/>
            <w:vAlign w:val="bottom"/>
            <w:tcBorders>
              <w:right w:val="single" w:sz="8" w:color="007CBA"/>
            </w:tcBorders>
            <w:vMerge w:val="continue"/>
            <w:shd w:val="clear" w:color="auto" w:fill="007CBA"/>
          </w:tcPr>
          <w:p>
            <w:pPr>
              <w:spacing w:after="0"/>
              <w:rPr>
                <w:sz w:val="13"/>
                <w:szCs w:val="13"/>
                <w:color w:val="auto"/>
              </w:rPr>
            </w:pPr>
          </w:p>
        </w:tc>
        <w:tc>
          <w:tcPr>
            <w:tcW w:w="1200" w:type="dxa"/>
            <w:vAlign w:val="bottom"/>
            <w:tcBorders>
              <w:right w:val="single" w:sz="8" w:color="007CBA"/>
            </w:tcBorders>
            <w:shd w:val="clear" w:color="auto" w:fill="007CBA"/>
          </w:tcPr>
          <w:p>
            <w:pPr>
              <w:jc w:val="center"/>
              <w:spacing w:after="0" w:line="151" w:lineRule="exact"/>
              <w:rPr>
                <w:sz w:val="20"/>
                <w:szCs w:val="20"/>
                <w:color w:val="auto"/>
              </w:rPr>
            </w:pPr>
            <w:r>
              <w:rPr>
                <w:rFonts w:ascii="Arial" w:cs="Arial" w:eastAsia="Arial" w:hAnsi="Arial"/>
                <w:sz w:val="14"/>
                <w:szCs w:val="14"/>
                <w:b w:val="1"/>
                <w:bCs w:val="1"/>
                <w:color w:val="FFFFFF"/>
              </w:rPr>
              <w:t>Deferred</w:t>
            </w:r>
          </w:p>
        </w:tc>
        <w:tc>
          <w:tcPr>
            <w:tcW w:w="1180" w:type="dxa"/>
            <w:vAlign w:val="bottom"/>
            <w:tcBorders>
              <w:right w:val="single" w:sz="8" w:color="007CBA"/>
            </w:tcBorders>
            <w:shd w:val="clear" w:color="auto" w:fill="007CBA"/>
          </w:tcPr>
          <w:p>
            <w:pPr>
              <w:spacing w:after="0"/>
              <w:rPr>
                <w:sz w:val="13"/>
                <w:szCs w:val="13"/>
                <w:color w:val="auto"/>
              </w:rPr>
            </w:pPr>
          </w:p>
        </w:tc>
        <w:tc>
          <w:tcPr>
            <w:tcW w:w="860" w:type="dxa"/>
            <w:vAlign w:val="bottom"/>
            <w:shd w:val="clear" w:color="auto" w:fill="007CBA"/>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720" w:type="dxa"/>
            <w:vAlign w:val="bottom"/>
            <w:tcBorders>
              <w:right w:val="single" w:sz="8" w:color="007CBA"/>
            </w:tcBorders>
            <w:shd w:val="clear" w:color="auto" w:fill="007CBA"/>
          </w:tcPr>
          <w:p>
            <w:pPr>
              <w:spacing w:after="0"/>
              <w:rPr>
                <w:sz w:val="14"/>
                <w:szCs w:val="14"/>
                <w:color w:val="auto"/>
              </w:rPr>
            </w:pPr>
          </w:p>
        </w:tc>
        <w:tc>
          <w:tcPr>
            <w:tcW w:w="80" w:type="dxa"/>
            <w:vAlign w:val="bottom"/>
            <w:shd w:val="clear" w:color="auto" w:fill="007CBA"/>
          </w:tcPr>
          <w:p>
            <w:pPr>
              <w:spacing w:after="0"/>
              <w:rPr>
                <w:sz w:val="14"/>
                <w:szCs w:val="14"/>
                <w:color w:val="auto"/>
              </w:rPr>
            </w:pPr>
          </w:p>
        </w:tc>
        <w:tc>
          <w:tcPr>
            <w:tcW w:w="40" w:type="dxa"/>
            <w:vAlign w:val="bottom"/>
            <w:shd w:val="clear" w:color="auto" w:fill="007CBA"/>
          </w:tcPr>
          <w:p>
            <w:pPr>
              <w:spacing w:after="0"/>
              <w:rPr>
                <w:sz w:val="14"/>
                <w:szCs w:val="14"/>
                <w:color w:val="auto"/>
              </w:rPr>
            </w:pPr>
          </w:p>
        </w:tc>
        <w:tc>
          <w:tcPr>
            <w:tcW w:w="420" w:type="dxa"/>
            <w:vAlign w:val="bottom"/>
            <w:tcBorders>
              <w:right w:val="single" w:sz="8" w:color="007CBA"/>
            </w:tcBorders>
            <w:shd w:val="clear" w:color="auto" w:fill="007CBA"/>
          </w:tcPr>
          <w:p>
            <w:pPr>
              <w:spacing w:after="0"/>
              <w:rPr>
                <w:sz w:val="14"/>
                <w:szCs w:val="14"/>
                <w:color w:val="auto"/>
              </w:rPr>
            </w:pPr>
          </w:p>
        </w:tc>
        <w:tc>
          <w:tcPr>
            <w:tcW w:w="860" w:type="dxa"/>
            <w:vAlign w:val="bottom"/>
            <w:tcBorders>
              <w:right w:val="single" w:sz="8" w:color="007CBA"/>
            </w:tcBorders>
            <w:shd w:val="clear" w:color="auto" w:fill="007CBA"/>
          </w:tcPr>
          <w:p>
            <w:pPr>
              <w:spacing w:after="0"/>
              <w:rPr>
                <w:sz w:val="14"/>
                <w:szCs w:val="14"/>
                <w:color w:val="auto"/>
              </w:rPr>
            </w:pPr>
          </w:p>
        </w:tc>
        <w:tc>
          <w:tcPr>
            <w:tcW w:w="880" w:type="dxa"/>
            <w:vAlign w:val="bottom"/>
            <w:tcBorders>
              <w:right w:val="single" w:sz="8" w:color="007CBA"/>
            </w:tcBorders>
            <w:shd w:val="clear" w:color="auto" w:fill="007CBA"/>
          </w:tcPr>
          <w:p>
            <w:pPr>
              <w:spacing w:after="0"/>
              <w:rPr>
                <w:sz w:val="14"/>
                <w:szCs w:val="14"/>
                <w:color w:val="auto"/>
              </w:rPr>
            </w:pPr>
          </w:p>
        </w:tc>
        <w:tc>
          <w:tcPr>
            <w:tcW w:w="8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w w:val="99"/>
              </w:rPr>
              <w:t>Stock</w:t>
            </w:r>
          </w:p>
        </w:tc>
        <w:tc>
          <w:tcPr>
            <w:tcW w:w="7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Option</w:t>
            </w:r>
          </w:p>
        </w:tc>
        <w:tc>
          <w:tcPr>
            <w:tcW w:w="11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Incentive Plan</w:t>
            </w:r>
          </w:p>
        </w:tc>
        <w:tc>
          <w:tcPr>
            <w:tcW w:w="12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Compensation</w:t>
            </w:r>
          </w:p>
        </w:tc>
        <w:tc>
          <w:tcPr>
            <w:tcW w:w="11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All Other</w:t>
            </w:r>
          </w:p>
        </w:tc>
        <w:tc>
          <w:tcPr>
            <w:tcW w:w="860" w:type="dxa"/>
            <w:vAlign w:val="bottom"/>
            <w:shd w:val="clear" w:color="auto" w:fill="007CB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Name and</w:t>
            </w:r>
          </w:p>
        </w:tc>
        <w:tc>
          <w:tcPr>
            <w:tcW w:w="80" w:type="dxa"/>
            <w:vAlign w:val="bottom"/>
            <w:shd w:val="clear" w:color="auto" w:fill="007CBA"/>
          </w:tcPr>
          <w:p>
            <w:pPr>
              <w:spacing w:after="0"/>
              <w:rPr>
                <w:sz w:val="14"/>
                <w:szCs w:val="14"/>
                <w:color w:val="auto"/>
              </w:rPr>
            </w:pPr>
          </w:p>
        </w:tc>
        <w:tc>
          <w:tcPr>
            <w:tcW w:w="40" w:type="dxa"/>
            <w:vAlign w:val="bottom"/>
            <w:shd w:val="clear" w:color="auto" w:fill="007CBA"/>
          </w:tcPr>
          <w:p>
            <w:pPr>
              <w:spacing w:after="0"/>
              <w:rPr>
                <w:sz w:val="14"/>
                <w:szCs w:val="14"/>
                <w:color w:val="auto"/>
              </w:rPr>
            </w:pPr>
          </w:p>
        </w:tc>
        <w:tc>
          <w:tcPr>
            <w:tcW w:w="420" w:type="dxa"/>
            <w:vAlign w:val="bottom"/>
            <w:tcBorders>
              <w:right w:val="single" w:sz="8" w:color="007CBA"/>
            </w:tcBorders>
            <w:shd w:val="clear" w:color="auto" w:fill="007CBA"/>
          </w:tcPr>
          <w:p>
            <w:pPr>
              <w:spacing w:after="0"/>
              <w:rPr>
                <w:sz w:val="14"/>
                <w:szCs w:val="14"/>
                <w:color w:val="auto"/>
              </w:rPr>
            </w:pPr>
          </w:p>
        </w:tc>
        <w:tc>
          <w:tcPr>
            <w:tcW w:w="860" w:type="dxa"/>
            <w:vAlign w:val="bottom"/>
            <w:tcBorders>
              <w:right w:val="single" w:sz="8" w:color="007CBA"/>
            </w:tcBorders>
            <w:shd w:val="clear" w:color="auto" w:fill="007CBA"/>
          </w:tcPr>
          <w:p>
            <w:pPr>
              <w:jc w:val="right"/>
              <w:ind w:right="148"/>
              <w:spacing w:after="0"/>
              <w:rPr>
                <w:sz w:val="20"/>
                <w:szCs w:val="20"/>
                <w:color w:val="auto"/>
              </w:rPr>
            </w:pPr>
            <w:r>
              <w:rPr>
                <w:rFonts w:ascii="Arial" w:cs="Arial" w:eastAsia="Arial" w:hAnsi="Arial"/>
                <w:sz w:val="14"/>
                <w:szCs w:val="14"/>
                <w:b w:val="1"/>
                <w:bCs w:val="1"/>
                <w:color w:val="FFFFFF"/>
              </w:rPr>
              <w:t>Salary</w:t>
            </w:r>
          </w:p>
        </w:tc>
        <w:tc>
          <w:tcPr>
            <w:tcW w:w="8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Bonus</w:t>
            </w:r>
          </w:p>
        </w:tc>
        <w:tc>
          <w:tcPr>
            <w:tcW w:w="8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Awards</w:t>
            </w:r>
          </w:p>
        </w:tc>
        <w:tc>
          <w:tcPr>
            <w:tcW w:w="7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w w:val="98"/>
              </w:rPr>
              <w:t>Awards</w:t>
            </w:r>
          </w:p>
        </w:tc>
        <w:tc>
          <w:tcPr>
            <w:tcW w:w="11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Compensation</w:t>
            </w:r>
          </w:p>
        </w:tc>
        <w:tc>
          <w:tcPr>
            <w:tcW w:w="12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Earnings</w:t>
            </w:r>
          </w:p>
        </w:tc>
        <w:tc>
          <w:tcPr>
            <w:tcW w:w="11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Compensation</w:t>
            </w:r>
          </w:p>
        </w:tc>
        <w:tc>
          <w:tcPr>
            <w:tcW w:w="86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w w:val="95"/>
              </w:rPr>
              <w:t>Total</w:t>
            </w:r>
          </w:p>
        </w:tc>
        <w:tc>
          <w:tcPr>
            <w:tcW w:w="0" w:type="dxa"/>
            <w:vAlign w:val="bottom"/>
          </w:tcPr>
          <w:p>
            <w:pPr>
              <w:spacing w:after="0"/>
              <w:rPr>
                <w:sz w:val="1"/>
                <w:szCs w:val="1"/>
                <w:color w:val="auto"/>
              </w:rPr>
            </w:pPr>
          </w:p>
        </w:tc>
      </w:tr>
      <w:tr>
        <w:trPr>
          <w:trHeight w:val="162"/>
        </w:trPr>
        <w:tc>
          <w:tcPr>
            <w:tcW w:w="27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Principal Position</w:t>
            </w:r>
          </w:p>
        </w:tc>
        <w:tc>
          <w:tcPr>
            <w:tcW w:w="80" w:type="dxa"/>
            <w:vAlign w:val="bottom"/>
            <w:shd w:val="clear" w:color="auto" w:fill="007CBA"/>
          </w:tcPr>
          <w:p>
            <w:pPr>
              <w:spacing w:after="0"/>
              <w:rPr>
                <w:sz w:val="14"/>
                <w:szCs w:val="14"/>
                <w:color w:val="auto"/>
              </w:rPr>
            </w:pPr>
          </w:p>
        </w:tc>
        <w:tc>
          <w:tcPr>
            <w:tcW w:w="460" w:type="dxa"/>
            <w:vAlign w:val="bottom"/>
            <w:tcBorders>
              <w:right w:val="single" w:sz="8" w:color="007CBA"/>
            </w:tcBorders>
            <w:gridSpan w:val="2"/>
            <w:shd w:val="clear" w:color="auto" w:fill="007CBA"/>
          </w:tcPr>
          <w:p>
            <w:pPr>
              <w:ind w:left="20"/>
              <w:spacing w:after="0"/>
              <w:rPr>
                <w:sz w:val="20"/>
                <w:szCs w:val="20"/>
                <w:color w:val="auto"/>
              </w:rPr>
            </w:pPr>
            <w:r>
              <w:rPr>
                <w:rFonts w:ascii="Arial" w:cs="Arial" w:eastAsia="Arial" w:hAnsi="Arial"/>
                <w:sz w:val="14"/>
                <w:szCs w:val="14"/>
                <w:b w:val="1"/>
                <w:bCs w:val="1"/>
                <w:color w:val="FFFFFF"/>
              </w:rPr>
              <w:t>Year</w:t>
            </w:r>
          </w:p>
        </w:tc>
        <w:tc>
          <w:tcPr>
            <w:tcW w:w="860" w:type="dxa"/>
            <w:vAlign w:val="bottom"/>
            <w:tcBorders>
              <w:right w:val="single" w:sz="8" w:color="007CBA"/>
            </w:tcBorders>
            <w:shd w:val="clear" w:color="auto" w:fill="007CBA"/>
          </w:tcPr>
          <w:p>
            <w:pPr>
              <w:jc w:val="right"/>
              <w:ind w:right="288"/>
              <w:spacing w:after="0"/>
              <w:rPr>
                <w:sz w:val="20"/>
                <w:szCs w:val="20"/>
                <w:color w:val="auto"/>
              </w:rPr>
            </w:pPr>
            <w:r>
              <w:rPr>
                <w:rFonts w:ascii="Arial" w:cs="Arial" w:eastAsia="Arial" w:hAnsi="Arial"/>
                <w:sz w:val="14"/>
                <w:szCs w:val="14"/>
                <w:b w:val="1"/>
                <w:bCs w:val="1"/>
                <w:color w:val="FFFFFF"/>
              </w:rPr>
              <w:t>($)</w:t>
            </w:r>
          </w:p>
        </w:tc>
        <w:tc>
          <w:tcPr>
            <w:tcW w:w="880" w:type="dxa"/>
            <w:vAlign w:val="bottom"/>
            <w:tcBorders>
              <w:right w:val="single" w:sz="8" w:color="007CBA"/>
            </w:tcBorders>
            <w:shd w:val="clear" w:color="auto" w:fill="007CBA"/>
          </w:tcPr>
          <w:p>
            <w:pPr>
              <w:jc w:val="center"/>
              <w:spacing w:after="0" w:line="162" w:lineRule="exact"/>
              <w:rPr>
                <w:sz w:val="20"/>
                <w:szCs w:val="20"/>
                <w:color w:val="auto"/>
              </w:rPr>
            </w:pPr>
            <w:r>
              <w:rPr>
                <w:rFonts w:ascii="Arial" w:cs="Arial" w:eastAsia="Arial" w:hAnsi="Arial"/>
                <w:sz w:val="11"/>
                <w:szCs w:val="11"/>
                <w:b w:val="1"/>
                <w:bCs w:val="1"/>
                <w:color w:val="FFFFFF"/>
              </w:rPr>
              <w:t>($)</w:t>
            </w:r>
            <w:r>
              <w:rPr>
                <w:rFonts w:ascii="Arial" w:cs="Arial" w:eastAsia="Arial" w:hAnsi="Arial"/>
                <w:sz w:val="18"/>
                <w:szCs w:val="18"/>
                <w:b w:val="1"/>
                <w:bCs w:val="1"/>
                <w:color w:val="FFFFFF"/>
                <w:vertAlign w:val="superscript"/>
              </w:rPr>
              <w:t>1</w:t>
            </w:r>
          </w:p>
        </w:tc>
        <w:tc>
          <w:tcPr>
            <w:tcW w:w="860" w:type="dxa"/>
            <w:vAlign w:val="bottom"/>
            <w:tcBorders>
              <w:right w:val="single" w:sz="8" w:color="007CBA"/>
            </w:tcBorders>
            <w:shd w:val="clear" w:color="auto" w:fill="007CBA"/>
          </w:tcPr>
          <w:p>
            <w:pPr>
              <w:jc w:val="center"/>
              <w:spacing w:after="0" w:line="162" w:lineRule="exact"/>
              <w:rPr>
                <w:sz w:val="20"/>
                <w:szCs w:val="20"/>
                <w:color w:val="auto"/>
              </w:rPr>
            </w:pPr>
            <w:r>
              <w:rPr>
                <w:rFonts w:ascii="Arial" w:cs="Arial" w:eastAsia="Arial" w:hAnsi="Arial"/>
                <w:sz w:val="11"/>
                <w:szCs w:val="11"/>
                <w:b w:val="1"/>
                <w:bCs w:val="1"/>
                <w:color w:val="FFFFFF"/>
              </w:rPr>
              <w:t>($)</w:t>
            </w:r>
            <w:r>
              <w:rPr>
                <w:rFonts w:ascii="Arial" w:cs="Arial" w:eastAsia="Arial" w:hAnsi="Arial"/>
                <w:sz w:val="18"/>
                <w:szCs w:val="18"/>
                <w:b w:val="1"/>
                <w:bCs w:val="1"/>
                <w:color w:val="FFFFFF"/>
                <w:vertAlign w:val="superscript"/>
              </w:rPr>
              <w:t>2</w:t>
            </w:r>
          </w:p>
        </w:tc>
        <w:tc>
          <w:tcPr>
            <w:tcW w:w="740" w:type="dxa"/>
            <w:vAlign w:val="bottom"/>
            <w:tcBorders>
              <w:right w:val="single" w:sz="8" w:color="007CBA"/>
            </w:tcBorders>
            <w:shd w:val="clear" w:color="auto" w:fill="007CBA"/>
          </w:tcPr>
          <w:p>
            <w:pPr>
              <w:jc w:val="center"/>
              <w:spacing w:after="0" w:line="162" w:lineRule="exact"/>
              <w:rPr>
                <w:sz w:val="20"/>
                <w:szCs w:val="20"/>
                <w:color w:val="auto"/>
              </w:rPr>
            </w:pPr>
            <w:r>
              <w:rPr>
                <w:rFonts w:ascii="Arial" w:cs="Arial" w:eastAsia="Arial" w:hAnsi="Arial"/>
                <w:sz w:val="11"/>
                <w:szCs w:val="11"/>
                <w:b w:val="1"/>
                <w:bCs w:val="1"/>
                <w:color w:val="FFFFFF"/>
              </w:rPr>
              <w:t>($)</w:t>
            </w:r>
            <w:r>
              <w:rPr>
                <w:rFonts w:ascii="Arial" w:cs="Arial" w:eastAsia="Arial" w:hAnsi="Arial"/>
                <w:sz w:val="18"/>
                <w:szCs w:val="18"/>
                <w:b w:val="1"/>
                <w:bCs w:val="1"/>
                <w:color w:val="FFFFFF"/>
                <w:vertAlign w:val="superscript"/>
              </w:rPr>
              <w:t>3</w:t>
            </w:r>
          </w:p>
        </w:tc>
        <w:tc>
          <w:tcPr>
            <w:tcW w:w="1180" w:type="dxa"/>
            <w:vAlign w:val="bottom"/>
            <w:tcBorders>
              <w:right w:val="single" w:sz="8" w:color="007CBA"/>
            </w:tcBorders>
            <w:shd w:val="clear" w:color="auto" w:fill="007CBA"/>
          </w:tcPr>
          <w:p>
            <w:pPr>
              <w:jc w:val="center"/>
              <w:spacing w:after="0" w:line="162" w:lineRule="exact"/>
              <w:rPr>
                <w:sz w:val="20"/>
                <w:szCs w:val="20"/>
                <w:color w:val="auto"/>
              </w:rPr>
            </w:pPr>
            <w:r>
              <w:rPr>
                <w:rFonts w:ascii="Arial" w:cs="Arial" w:eastAsia="Arial" w:hAnsi="Arial"/>
                <w:sz w:val="11"/>
                <w:szCs w:val="11"/>
                <w:b w:val="1"/>
                <w:bCs w:val="1"/>
                <w:color w:val="FFFFFF"/>
              </w:rPr>
              <w:t>($)</w:t>
            </w:r>
            <w:r>
              <w:rPr>
                <w:rFonts w:ascii="Arial" w:cs="Arial" w:eastAsia="Arial" w:hAnsi="Arial"/>
                <w:sz w:val="18"/>
                <w:szCs w:val="18"/>
                <w:b w:val="1"/>
                <w:bCs w:val="1"/>
                <w:color w:val="FFFFFF"/>
                <w:vertAlign w:val="superscript"/>
              </w:rPr>
              <w:t>4</w:t>
            </w:r>
          </w:p>
        </w:tc>
        <w:tc>
          <w:tcPr>
            <w:tcW w:w="1200" w:type="dxa"/>
            <w:vAlign w:val="bottom"/>
            <w:tcBorders>
              <w:right w:val="single" w:sz="8" w:color="007CBA"/>
            </w:tcBorders>
            <w:shd w:val="clear" w:color="auto" w:fill="007CBA"/>
          </w:tcPr>
          <w:p>
            <w:pPr>
              <w:jc w:val="center"/>
              <w:spacing w:after="0" w:line="162" w:lineRule="exact"/>
              <w:rPr>
                <w:sz w:val="20"/>
                <w:szCs w:val="20"/>
                <w:color w:val="auto"/>
              </w:rPr>
            </w:pPr>
            <w:r>
              <w:rPr>
                <w:rFonts w:ascii="Arial" w:cs="Arial" w:eastAsia="Arial" w:hAnsi="Arial"/>
                <w:sz w:val="11"/>
                <w:szCs w:val="11"/>
                <w:b w:val="1"/>
                <w:bCs w:val="1"/>
                <w:color w:val="FFFFFF"/>
              </w:rPr>
              <w:t>($)</w:t>
            </w:r>
            <w:r>
              <w:rPr>
                <w:rFonts w:ascii="Arial" w:cs="Arial" w:eastAsia="Arial" w:hAnsi="Arial"/>
                <w:sz w:val="18"/>
                <w:szCs w:val="18"/>
                <w:b w:val="1"/>
                <w:bCs w:val="1"/>
                <w:color w:val="FFFFFF"/>
                <w:vertAlign w:val="superscript"/>
              </w:rPr>
              <w:t>5</w:t>
            </w:r>
          </w:p>
        </w:tc>
        <w:tc>
          <w:tcPr>
            <w:tcW w:w="1180" w:type="dxa"/>
            <w:vAlign w:val="bottom"/>
            <w:tcBorders>
              <w:right w:val="single" w:sz="8" w:color="007CBA"/>
            </w:tcBorders>
            <w:shd w:val="clear" w:color="auto" w:fill="007CBA"/>
          </w:tcPr>
          <w:p>
            <w:pPr>
              <w:jc w:val="center"/>
              <w:spacing w:after="0" w:line="162" w:lineRule="exact"/>
              <w:rPr>
                <w:sz w:val="20"/>
                <w:szCs w:val="20"/>
                <w:color w:val="auto"/>
              </w:rPr>
            </w:pPr>
            <w:r>
              <w:rPr>
                <w:rFonts w:ascii="Arial" w:cs="Arial" w:eastAsia="Arial" w:hAnsi="Arial"/>
                <w:sz w:val="11"/>
                <w:szCs w:val="11"/>
                <w:b w:val="1"/>
                <w:bCs w:val="1"/>
                <w:color w:val="FFFFFF"/>
              </w:rPr>
              <w:t>($)</w:t>
            </w:r>
            <w:r>
              <w:rPr>
                <w:rFonts w:ascii="Arial" w:cs="Arial" w:eastAsia="Arial" w:hAnsi="Arial"/>
                <w:sz w:val="18"/>
                <w:szCs w:val="18"/>
                <w:b w:val="1"/>
                <w:bCs w:val="1"/>
                <w:color w:val="FFFFFF"/>
                <w:vertAlign w:val="superscript"/>
              </w:rPr>
              <w:t>6</w:t>
            </w:r>
          </w:p>
        </w:tc>
        <w:tc>
          <w:tcPr>
            <w:tcW w:w="86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w w:val="93"/>
              </w:rPr>
              <w:t>($)</w:t>
            </w:r>
          </w:p>
        </w:tc>
        <w:tc>
          <w:tcPr>
            <w:tcW w:w="0" w:type="dxa"/>
            <w:vAlign w:val="bottom"/>
          </w:tcPr>
          <w:p>
            <w:pPr>
              <w:spacing w:after="0"/>
              <w:rPr>
                <w:sz w:val="1"/>
                <w:szCs w:val="1"/>
                <w:color w:val="auto"/>
              </w:rPr>
            </w:pPr>
          </w:p>
        </w:tc>
      </w:tr>
      <w:tr>
        <w:trPr>
          <w:trHeight w:val="189"/>
        </w:trPr>
        <w:tc>
          <w:tcPr>
            <w:tcW w:w="27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w w:val="93"/>
              </w:rPr>
              <w:t>(a)</w:t>
            </w:r>
          </w:p>
        </w:tc>
        <w:tc>
          <w:tcPr>
            <w:tcW w:w="80" w:type="dxa"/>
            <w:vAlign w:val="bottom"/>
            <w:shd w:val="clear" w:color="auto" w:fill="007CBA"/>
          </w:tcPr>
          <w:p>
            <w:pPr>
              <w:spacing w:after="0"/>
              <w:rPr>
                <w:sz w:val="16"/>
                <w:szCs w:val="16"/>
                <w:color w:val="auto"/>
              </w:rPr>
            </w:pPr>
          </w:p>
        </w:tc>
        <w:tc>
          <w:tcPr>
            <w:tcW w:w="40" w:type="dxa"/>
            <w:vAlign w:val="bottom"/>
            <w:shd w:val="clear" w:color="auto" w:fill="007CBA"/>
          </w:tcPr>
          <w:p>
            <w:pPr>
              <w:spacing w:after="0"/>
              <w:rPr>
                <w:sz w:val="16"/>
                <w:szCs w:val="16"/>
                <w:color w:val="auto"/>
              </w:rPr>
            </w:pPr>
          </w:p>
        </w:tc>
        <w:tc>
          <w:tcPr>
            <w:tcW w:w="420" w:type="dxa"/>
            <w:vAlign w:val="bottom"/>
            <w:tcBorders>
              <w:right w:val="single" w:sz="8" w:color="007CBA"/>
            </w:tcBorders>
            <w:shd w:val="clear" w:color="auto" w:fill="007CBA"/>
          </w:tcPr>
          <w:p>
            <w:pPr>
              <w:ind w:left="40"/>
              <w:spacing w:after="0"/>
              <w:rPr>
                <w:sz w:val="20"/>
                <w:szCs w:val="20"/>
                <w:color w:val="auto"/>
              </w:rPr>
            </w:pPr>
            <w:r>
              <w:rPr>
                <w:rFonts w:ascii="Arial" w:cs="Arial" w:eastAsia="Arial" w:hAnsi="Arial"/>
                <w:sz w:val="14"/>
                <w:szCs w:val="14"/>
                <w:b w:val="1"/>
                <w:bCs w:val="1"/>
                <w:color w:val="FFFFFF"/>
              </w:rPr>
              <w:t>(b)</w:t>
            </w:r>
          </w:p>
        </w:tc>
        <w:tc>
          <w:tcPr>
            <w:tcW w:w="860" w:type="dxa"/>
            <w:vAlign w:val="bottom"/>
            <w:tcBorders>
              <w:right w:val="single" w:sz="8" w:color="007CBA"/>
            </w:tcBorders>
            <w:shd w:val="clear" w:color="auto" w:fill="007CBA"/>
          </w:tcPr>
          <w:p>
            <w:pPr>
              <w:jc w:val="right"/>
              <w:ind w:right="288"/>
              <w:spacing w:after="0"/>
              <w:rPr>
                <w:sz w:val="20"/>
                <w:szCs w:val="20"/>
                <w:color w:val="auto"/>
              </w:rPr>
            </w:pPr>
            <w:r>
              <w:rPr>
                <w:rFonts w:ascii="Arial" w:cs="Arial" w:eastAsia="Arial" w:hAnsi="Arial"/>
                <w:sz w:val="14"/>
                <w:szCs w:val="14"/>
                <w:b w:val="1"/>
                <w:bCs w:val="1"/>
                <w:color w:val="FFFFFF"/>
              </w:rPr>
              <w:t>(c)</w:t>
            </w:r>
          </w:p>
        </w:tc>
        <w:tc>
          <w:tcPr>
            <w:tcW w:w="8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(d)</w:t>
            </w:r>
          </w:p>
        </w:tc>
        <w:tc>
          <w:tcPr>
            <w:tcW w:w="8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(e)</w:t>
            </w:r>
          </w:p>
        </w:tc>
        <w:tc>
          <w:tcPr>
            <w:tcW w:w="7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w w:val="99"/>
              </w:rPr>
              <w:t>(f)</w:t>
            </w:r>
          </w:p>
        </w:tc>
        <w:tc>
          <w:tcPr>
            <w:tcW w:w="11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(g)</w:t>
            </w:r>
          </w:p>
        </w:tc>
        <w:tc>
          <w:tcPr>
            <w:tcW w:w="12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(h)</w:t>
            </w:r>
          </w:p>
        </w:tc>
        <w:tc>
          <w:tcPr>
            <w:tcW w:w="11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(i)</w:t>
            </w:r>
          </w:p>
        </w:tc>
        <w:tc>
          <w:tcPr>
            <w:tcW w:w="86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w w:val="90"/>
              </w:rPr>
              <w:t>(j)</w:t>
            </w:r>
          </w:p>
        </w:tc>
        <w:tc>
          <w:tcPr>
            <w:tcW w:w="0" w:type="dxa"/>
            <w:vAlign w:val="bottom"/>
          </w:tcPr>
          <w:p>
            <w:pPr>
              <w:spacing w:after="0"/>
              <w:rPr>
                <w:sz w:val="1"/>
                <w:szCs w:val="1"/>
                <w:color w:val="auto"/>
              </w:rPr>
            </w:pPr>
          </w:p>
        </w:tc>
      </w:tr>
      <w:tr>
        <w:trPr>
          <w:trHeight w:val="284"/>
        </w:trPr>
        <w:tc>
          <w:tcPr>
            <w:tcW w:w="2720" w:type="dxa"/>
            <w:vAlign w:val="bottom"/>
            <w:tcBorders>
              <w:right w:val="single" w:sz="8" w:color="007CBA"/>
            </w:tcBorders>
          </w:tcPr>
          <w:p>
            <w:pPr>
              <w:ind w:left="60"/>
              <w:spacing w:after="0"/>
              <w:rPr>
                <w:sz w:val="20"/>
                <w:szCs w:val="20"/>
                <w:color w:val="auto"/>
              </w:rPr>
            </w:pPr>
            <w:r>
              <w:rPr>
                <w:rFonts w:ascii="Arial" w:cs="Arial" w:eastAsia="Arial" w:hAnsi="Arial"/>
                <w:sz w:val="14"/>
                <w:szCs w:val="14"/>
                <w:b w:val="1"/>
                <w:bCs w:val="1"/>
                <w:color w:val="auto"/>
              </w:rPr>
              <w:t>C. Howard Nye</w:t>
            </w:r>
          </w:p>
        </w:tc>
        <w:tc>
          <w:tcPr>
            <w:tcW w:w="540" w:type="dxa"/>
            <w:vAlign w:val="bottom"/>
            <w:tcBorders>
              <w:right w:val="single" w:sz="8" w:color="007CBA"/>
            </w:tcBorders>
            <w:gridSpan w:val="3"/>
          </w:tcPr>
          <w:p>
            <w:pPr>
              <w:ind w:left="120"/>
              <w:spacing w:after="0"/>
              <w:rPr>
                <w:sz w:val="20"/>
                <w:szCs w:val="20"/>
                <w:color w:val="auto"/>
              </w:rPr>
            </w:pPr>
            <w:r>
              <w:rPr>
                <w:rFonts w:ascii="Arial" w:cs="Arial" w:eastAsia="Arial" w:hAnsi="Arial"/>
                <w:sz w:val="14"/>
                <w:szCs w:val="14"/>
                <w:color w:val="auto"/>
              </w:rPr>
              <w:t>2017</w:t>
            </w:r>
          </w:p>
        </w:tc>
        <w:tc>
          <w:tcPr>
            <w:tcW w:w="860" w:type="dxa"/>
            <w:vAlign w:val="bottom"/>
            <w:tcBorders>
              <w:right w:val="single" w:sz="8" w:color="007CBA"/>
            </w:tcBorders>
          </w:tcPr>
          <w:p>
            <w:pPr>
              <w:jc w:val="right"/>
              <w:ind w:right="28"/>
              <w:spacing w:after="0"/>
              <w:rPr>
                <w:sz w:val="20"/>
                <w:szCs w:val="20"/>
                <w:color w:val="auto"/>
              </w:rPr>
            </w:pPr>
            <w:r>
              <w:rPr>
                <w:rFonts w:ascii="Arial" w:cs="Arial" w:eastAsia="Arial" w:hAnsi="Arial"/>
                <w:sz w:val="14"/>
                <w:szCs w:val="14"/>
                <w:color w:val="auto"/>
              </w:rPr>
              <w:t>1,039,167</w:t>
            </w:r>
          </w:p>
        </w:tc>
        <w:tc>
          <w:tcPr>
            <w:tcW w:w="88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007CBA"/>
            </w:tcBorders>
          </w:tcPr>
          <w:p>
            <w:pPr>
              <w:jc w:val="right"/>
              <w:ind w:right="29"/>
              <w:spacing w:after="0"/>
              <w:rPr>
                <w:sz w:val="20"/>
                <w:szCs w:val="20"/>
                <w:color w:val="auto"/>
              </w:rPr>
            </w:pPr>
            <w:r>
              <w:rPr>
                <w:rFonts w:ascii="Arial" w:cs="Arial" w:eastAsia="Arial" w:hAnsi="Arial"/>
                <w:sz w:val="14"/>
                <w:szCs w:val="14"/>
                <w:color w:val="auto"/>
              </w:rPr>
              <w:t>5,431,412</w:t>
            </w:r>
          </w:p>
        </w:tc>
        <w:tc>
          <w:tcPr>
            <w:tcW w:w="740" w:type="dxa"/>
            <w:vAlign w:val="bottom"/>
            <w:tcBorders>
              <w:right w:val="single" w:sz="8" w:color="007CBA"/>
            </w:tcBorders>
          </w:tcPr>
          <w:p>
            <w:pPr>
              <w:jc w:val="right"/>
              <w:ind w:right="29"/>
              <w:spacing w:after="0"/>
              <w:rPr>
                <w:sz w:val="20"/>
                <w:szCs w:val="20"/>
                <w:color w:val="auto"/>
              </w:rPr>
            </w:pPr>
            <w:r>
              <w:rPr>
                <w:rFonts w:ascii="Arial" w:cs="Arial" w:eastAsia="Arial" w:hAnsi="Arial"/>
                <w:sz w:val="14"/>
                <w:szCs w:val="14"/>
                <w:color w:val="auto"/>
              </w:rPr>
              <w:t>—</w:t>
            </w:r>
          </w:p>
        </w:tc>
        <w:tc>
          <w:tcPr>
            <w:tcW w:w="1180" w:type="dxa"/>
            <w:vAlign w:val="bottom"/>
            <w:tcBorders>
              <w:right w:val="single" w:sz="8" w:color="007CBA"/>
            </w:tcBorders>
          </w:tcPr>
          <w:p>
            <w:pPr>
              <w:jc w:val="right"/>
              <w:ind w:right="29"/>
              <w:spacing w:after="0"/>
              <w:rPr>
                <w:sz w:val="20"/>
                <w:szCs w:val="20"/>
                <w:color w:val="auto"/>
              </w:rPr>
            </w:pPr>
            <w:r>
              <w:rPr>
                <w:rFonts w:ascii="Arial" w:cs="Arial" w:eastAsia="Arial" w:hAnsi="Arial"/>
                <w:sz w:val="14"/>
                <w:szCs w:val="14"/>
                <w:color w:val="auto"/>
              </w:rPr>
              <w:t>1,000,000</w:t>
            </w:r>
          </w:p>
        </w:tc>
        <w:tc>
          <w:tcPr>
            <w:tcW w:w="1200" w:type="dxa"/>
            <w:vAlign w:val="bottom"/>
            <w:tcBorders>
              <w:right w:val="single" w:sz="8" w:color="007CBA"/>
            </w:tcBorders>
          </w:tcPr>
          <w:p>
            <w:pPr>
              <w:jc w:val="right"/>
              <w:ind w:right="29"/>
              <w:spacing w:after="0"/>
              <w:rPr>
                <w:sz w:val="20"/>
                <w:szCs w:val="20"/>
                <w:color w:val="auto"/>
              </w:rPr>
            </w:pPr>
            <w:r>
              <w:rPr>
                <w:rFonts w:ascii="Arial" w:cs="Arial" w:eastAsia="Arial" w:hAnsi="Arial"/>
                <w:sz w:val="14"/>
                <w:szCs w:val="14"/>
                <w:color w:val="auto"/>
              </w:rPr>
              <w:t>1,414,782</w:t>
            </w:r>
          </w:p>
        </w:tc>
        <w:tc>
          <w:tcPr>
            <w:tcW w:w="1180" w:type="dxa"/>
            <w:vAlign w:val="bottom"/>
            <w:tcBorders>
              <w:right w:val="single" w:sz="8" w:color="007CBA"/>
            </w:tcBorders>
          </w:tcPr>
          <w:p>
            <w:pPr>
              <w:jc w:val="right"/>
              <w:ind w:right="29"/>
              <w:spacing w:after="0"/>
              <w:rPr>
                <w:sz w:val="20"/>
                <w:szCs w:val="20"/>
                <w:color w:val="auto"/>
              </w:rPr>
            </w:pPr>
            <w:r>
              <w:rPr>
                <w:rFonts w:ascii="Arial" w:cs="Arial" w:eastAsia="Arial" w:hAnsi="Arial"/>
                <w:sz w:val="14"/>
                <w:szCs w:val="14"/>
                <w:color w:val="auto"/>
              </w:rPr>
              <w:t>103,804</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8,989,165</w:t>
            </w:r>
          </w:p>
        </w:tc>
        <w:tc>
          <w:tcPr>
            <w:tcW w:w="0" w:type="dxa"/>
            <w:vAlign w:val="bottom"/>
          </w:tcPr>
          <w:p>
            <w:pPr>
              <w:spacing w:after="0"/>
              <w:rPr>
                <w:sz w:val="1"/>
                <w:szCs w:val="1"/>
                <w:color w:val="auto"/>
              </w:rPr>
            </w:pPr>
          </w:p>
        </w:tc>
      </w:tr>
      <w:tr>
        <w:trPr>
          <w:trHeight w:val="194"/>
        </w:trPr>
        <w:tc>
          <w:tcPr>
            <w:tcW w:w="2720" w:type="dxa"/>
            <w:vAlign w:val="bottom"/>
            <w:tcBorders>
              <w:right w:val="single" w:sz="8" w:color="007CBA"/>
            </w:tcBorders>
          </w:tcPr>
          <w:p>
            <w:pPr>
              <w:ind w:left="60"/>
              <w:spacing w:after="0"/>
              <w:rPr>
                <w:sz w:val="20"/>
                <w:szCs w:val="20"/>
                <w:color w:val="auto"/>
              </w:rPr>
            </w:pPr>
            <w:r>
              <w:rPr>
                <w:rFonts w:ascii="Arial" w:cs="Arial" w:eastAsia="Arial" w:hAnsi="Arial"/>
                <w:sz w:val="14"/>
                <w:szCs w:val="14"/>
                <w:color w:val="auto"/>
              </w:rPr>
              <w:t>Chairman, President</w:t>
            </w:r>
          </w:p>
        </w:tc>
        <w:tc>
          <w:tcPr>
            <w:tcW w:w="540" w:type="dxa"/>
            <w:vAlign w:val="bottom"/>
            <w:tcBorders>
              <w:right w:val="single" w:sz="8" w:color="007CBA"/>
            </w:tcBorders>
            <w:gridSpan w:val="3"/>
          </w:tcPr>
          <w:p>
            <w:pPr>
              <w:ind w:left="120"/>
              <w:spacing w:after="0"/>
              <w:rPr>
                <w:sz w:val="20"/>
                <w:szCs w:val="20"/>
                <w:color w:val="auto"/>
              </w:rPr>
            </w:pPr>
            <w:r>
              <w:rPr>
                <w:rFonts w:ascii="Arial" w:cs="Arial" w:eastAsia="Arial" w:hAnsi="Arial"/>
                <w:sz w:val="14"/>
                <w:szCs w:val="14"/>
                <w:color w:val="auto"/>
              </w:rPr>
              <w:t>2016</w:t>
            </w:r>
          </w:p>
        </w:tc>
        <w:tc>
          <w:tcPr>
            <w:tcW w:w="860" w:type="dxa"/>
            <w:vAlign w:val="bottom"/>
            <w:tcBorders>
              <w:right w:val="single" w:sz="8" w:color="007CBA"/>
            </w:tcBorders>
          </w:tcPr>
          <w:p>
            <w:pPr>
              <w:jc w:val="right"/>
              <w:ind w:right="28"/>
              <w:spacing w:after="0"/>
              <w:rPr>
                <w:sz w:val="20"/>
                <w:szCs w:val="20"/>
                <w:color w:val="auto"/>
              </w:rPr>
            </w:pPr>
            <w:r>
              <w:rPr>
                <w:rFonts w:ascii="Arial" w:cs="Arial" w:eastAsia="Arial" w:hAnsi="Arial"/>
                <w:sz w:val="14"/>
                <w:szCs w:val="14"/>
                <w:color w:val="auto"/>
              </w:rPr>
              <w:t>1,005,000</w:t>
            </w:r>
          </w:p>
        </w:tc>
        <w:tc>
          <w:tcPr>
            <w:tcW w:w="88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1,300,000</w:t>
            </w:r>
          </w:p>
        </w:tc>
        <w:tc>
          <w:tcPr>
            <w:tcW w:w="860" w:type="dxa"/>
            <w:vAlign w:val="bottom"/>
            <w:tcBorders>
              <w:right w:val="single" w:sz="8" w:color="007CBA"/>
            </w:tcBorders>
          </w:tcPr>
          <w:p>
            <w:pPr>
              <w:jc w:val="right"/>
              <w:ind w:right="29"/>
              <w:spacing w:after="0"/>
              <w:rPr>
                <w:sz w:val="20"/>
                <w:szCs w:val="20"/>
                <w:color w:val="auto"/>
              </w:rPr>
            </w:pPr>
            <w:r>
              <w:rPr>
                <w:rFonts w:ascii="Arial" w:cs="Arial" w:eastAsia="Arial" w:hAnsi="Arial"/>
                <w:sz w:val="14"/>
                <w:szCs w:val="14"/>
                <w:color w:val="auto"/>
              </w:rPr>
              <w:t>4,682,240</w:t>
            </w:r>
          </w:p>
        </w:tc>
        <w:tc>
          <w:tcPr>
            <w:tcW w:w="740" w:type="dxa"/>
            <w:vAlign w:val="bottom"/>
            <w:tcBorders>
              <w:right w:val="single" w:sz="8" w:color="007CBA"/>
            </w:tcBorders>
          </w:tcPr>
          <w:p>
            <w:pPr>
              <w:jc w:val="right"/>
              <w:ind w:right="29"/>
              <w:spacing w:after="0"/>
              <w:rPr>
                <w:sz w:val="20"/>
                <w:szCs w:val="20"/>
                <w:color w:val="auto"/>
              </w:rPr>
            </w:pPr>
            <w:r>
              <w:rPr>
                <w:rFonts w:ascii="Arial" w:cs="Arial" w:eastAsia="Arial" w:hAnsi="Arial"/>
                <w:sz w:val="14"/>
                <w:szCs w:val="14"/>
                <w:color w:val="auto"/>
              </w:rPr>
              <w:t>—</w:t>
            </w:r>
          </w:p>
        </w:tc>
        <w:tc>
          <w:tcPr>
            <w:tcW w:w="1180" w:type="dxa"/>
            <w:vAlign w:val="bottom"/>
            <w:tcBorders>
              <w:right w:val="single" w:sz="8" w:color="007CBA"/>
            </w:tcBorders>
          </w:tcPr>
          <w:p>
            <w:pPr>
              <w:spacing w:after="0"/>
              <w:rPr>
                <w:sz w:val="16"/>
                <w:szCs w:val="16"/>
                <w:color w:val="auto"/>
              </w:rPr>
            </w:pPr>
          </w:p>
        </w:tc>
        <w:tc>
          <w:tcPr>
            <w:tcW w:w="1200" w:type="dxa"/>
            <w:vAlign w:val="bottom"/>
            <w:tcBorders>
              <w:right w:val="single" w:sz="8" w:color="007CBA"/>
            </w:tcBorders>
          </w:tcPr>
          <w:p>
            <w:pPr>
              <w:jc w:val="right"/>
              <w:ind w:right="29"/>
              <w:spacing w:after="0"/>
              <w:rPr>
                <w:sz w:val="20"/>
                <w:szCs w:val="20"/>
                <w:color w:val="auto"/>
              </w:rPr>
            </w:pPr>
            <w:r>
              <w:rPr>
                <w:rFonts w:ascii="Arial" w:cs="Arial" w:eastAsia="Arial" w:hAnsi="Arial"/>
                <w:sz w:val="14"/>
                <w:szCs w:val="14"/>
                <w:color w:val="auto"/>
              </w:rPr>
              <w:t>687,864</w:t>
            </w:r>
          </w:p>
        </w:tc>
        <w:tc>
          <w:tcPr>
            <w:tcW w:w="1180" w:type="dxa"/>
            <w:vAlign w:val="bottom"/>
            <w:tcBorders>
              <w:right w:val="single" w:sz="8" w:color="007CBA"/>
            </w:tcBorders>
          </w:tcPr>
          <w:p>
            <w:pPr>
              <w:jc w:val="right"/>
              <w:ind w:right="29"/>
              <w:spacing w:after="0"/>
              <w:rPr>
                <w:sz w:val="20"/>
                <w:szCs w:val="20"/>
                <w:color w:val="auto"/>
              </w:rPr>
            </w:pPr>
            <w:r>
              <w:rPr>
                <w:rFonts w:ascii="Arial" w:cs="Arial" w:eastAsia="Arial" w:hAnsi="Arial"/>
                <w:sz w:val="14"/>
                <w:szCs w:val="14"/>
                <w:color w:val="auto"/>
              </w:rPr>
              <w:t>364,227</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8,039,331</w:t>
            </w:r>
          </w:p>
        </w:tc>
        <w:tc>
          <w:tcPr>
            <w:tcW w:w="0" w:type="dxa"/>
            <w:vAlign w:val="bottom"/>
          </w:tcPr>
          <w:p>
            <w:pPr>
              <w:spacing w:after="0"/>
              <w:rPr>
                <w:sz w:val="1"/>
                <w:szCs w:val="1"/>
                <w:color w:val="auto"/>
              </w:rPr>
            </w:pPr>
          </w:p>
        </w:tc>
      </w:tr>
      <w:tr>
        <w:trPr>
          <w:trHeight w:val="194"/>
        </w:trPr>
        <w:tc>
          <w:tcPr>
            <w:tcW w:w="2720" w:type="dxa"/>
            <w:vAlign w:val="bottom"/>
            <w:tcBorders>
              <w:right w:val="single" w:sz="8" w:color="007CBA"/>
            </w:tcBorders>
          </w:tcPr>
          <w:p>
            <w:pPr>
              <w:ind w:left="60"/>
              <w:spacing w:after="0"/>
              <w:rPr>
                <w:sz w:val="20"/>
                <w:szCs w:val="20"/>
                <w:color w:val="auto"/>
              </w:rPr>
            </w:pPr>
            <w:r>
              <w:rPr>
                <w:rFonts w:ascii="Arial" w:cs="Arial" w:eastAsia="Arial" w:hAnsi="Arial"/>
                <w:sz w:val="14"/>
                <w:szCs w:val="14"/>
                <w:color w:val="auto"/>
              </w:rPr>
              <w:t>and CEO</w:t>
            </w:r>
          </w:p>
        </w:tc>
        <w:tc>
          <w:tcPr>
            <w:tcW w:w="540" w:type="dxa"/>
            <w:vAlign w:val="bottom"/>
            <w:tcBorders>
              <w:right w:val="single" w:sz="8" w:color="007CBA"/>
            </w:tcBorders>
            <w:gridSpan w:val="3"/>
            <w:vMerge w:val="restart"/>
          </w:tcPr>
          <w:p>
            <w:pPr>
              <w:ind w:left="120"/>
              <w:spacing w:after="0"/>
              <w:rPr>
                <w:sz w:val="20"/>
                <w:szCs w:val="20"/>
                <w:color w:val="auto"/>
              </w:rPr>
            </w:pPr>
            <w:r>
              <w:rPr>
                <w:rFonts w:ascii="Arial" w:cs="Arial" w:eastAsia="Arial" w:hAnsi="Arial"/>
                <w:sz w:val="14"/>
                <w:szCs w:val="14"/>
                <w:color w:val="auto"/>
              </w:rPr>
              <w:t>2015</w:t>
            </w:r>
          </w:p>
        </w:tc>
        <w:tc>
          <w:tcPr>
            <w:tcW w:w="860" w:type="dxa"/>
            <w:vAlign w:val="bottom"/>
            <w:tcBorders>
              <w:right w:val="single" w:sz="8" w:color="007CBA"/>
            </w:tcBorders>
            <w:vMerge w:val="restart"/>
          </w:tcPr>
          <w:p>
            <w:pPr>
              <w:jc w:val="right"/>
              <w:ind w:right="28"/>
              <w:spacing w:after="0"/>
              <w:rPr>
                <w:sz w:val="20"/>
                <w:szCs w:val="20"/>
                <w:color w:val="auto"/>
              </w:rPr>
            </w:pPr>
            <w:r>
              <w:rPr>
                <w:rFonts w:ascii="Arial" w:cs="Arial" w:eastAsia="Arial" w:hAnsi="Arial"/>
                <w:sz w:val="14"/>
                <w:szCs w:val="14"/>
                <w:color w:val="auto"/>
              </w:rPr>
              <w:t>977,500</w:t>
            </w:r>
          </w:p>
        </w:tc>
        <w:tc>
          <w:tcPr>
            <w:tcW w:w="880" w:type="dxa"/>
            <w:vAlign w:val="bottom"/>
            <w:tcBorders>
              <w:right w:val="single" w:sz="8" w:color="007CBA"/>
            </w:tcBorders>
            <w:vMerge w:val="restart"/>
          </w:tcPr>
          <w:p>
            <w:pPr>
              <w:jc w:val="right"/>
              <w:ind w:right="49"/>
              <w:spacing w:after="0"/>
              <w:rPr>
                <w:sz w:val="20"/>
                <w:szCs w:val="20"/>
                <w:color w:val="auto"/>
              </w:rPr>
            </w:pPr>
            <w:r>
              <w:rPr>
                <w:rFonts w:ascii="Arial" w:cs="Arial" w:eastAsia="Arial" w:hAnsi="Arial"/>
                <w:sz w:val="14"/>
                <w:szCs w:val="14"/>
                <w:color w:val="auto"/>
              </w:rPr>
              <w:t>603,606</w:t>
            </w:r>
          </w:p>
        </w:tc>
        <w:tc>
          <w:tcPr>
            <w:tcW w:w="860" w:type="dxa"/>
            <w:vAlign w:val="bottom"/>
            <w:tcBorders>
              <w:right w:val="single" w:sz="8" w:color="007CBA"/>
            </w:tcBorders>
            <w:vMerge w:val="restart"/>
          </w:tcPr>
          <w:p>
            <w:pPr>
              <w:jc w:val="right"/>
              <w:ind w:right="29"/>
              <w:spacing w:after="0"/>
              <w:rPr>
                <w:sz w:val="20"/>
                <w:szCs w:val="20"/>
                <w:color w:val="auto"/>
              </w:rPr>
            </w:pPr>
            <w:r>
              <w:rPr>
                <w:rFonts w:ascii="Arial" w:cs="Arial" w:eastAsia="Arial" w:hAnsi="Arial"/>
                <w:sz w:val="14"/>
                <w:szCs w:val="14"/>
                <w:color w:val="auto"/>
              </w:rPr>
              <w:t>1,697,067</w:t>
            </w:r>
          </w:p>
        </w:tc>
        <w:tc>
          <w:tcPr>
            <w:tcW w:w="740" w:type="dxa"/>
            <w:vAlign w:val="bottom"/>
            <w:tcBorders>
              <w:right w:val="single" w:sz="8" w:color="007CBA"/>
            </w:tcBorders>
            <w:vMerge w:val="restart"/>
          </w:tcPr>
          <w:p>
            <w:pPr>
              <w:jc w:val="right"/>
              <w:ind w:right="29"/>
              <w:spacing w:after="0"/>
              <w:rPr>
                <w:sz w:val="20"/>
                <w:szCs w:val="20"/>
                <w:color w:val="auto"/>
              </w:rPr>
            </w:pPr>
            <w:r>
              <w:rPr>
                <w:rFonts w:ascii="Arial" w:cs="Arial" w:eastAsia="Arial" w:hAnsi="Arial"/>
                <w:sz w:val="14"/>
                <w:szCs w:val="14"/>
                <w:color w:val="auto"/>
              </w:rPr>
              <w:t>731,763</w:t>
            </w:r>
          </w:p>
        </w:tc>
        <w:tc>
          <w:tcPr>
            <w:tcW w:w="1180" w:type="dxa"/>
            <w:vAlign w:val="bottom"/>
            <w:tcBorders>
              <w:right w:val="single" w:sz="8" w:color="007CBA"/>
            </w:tcBorders>
          </w:tcPr>
          <w:p>
            <w:pPr>
              <w:spacing w:after="0"/>
              <w:rPr>
                <w:sz w:val="16"/>
                <w:szCs w:val="16"/>
                <w:color w:val="auto"/>
              </w:rPr>
            </w:pPr>
          </w:p>
        </w:tc>
        <w:tc>
          <w:tcPr>
            <w:tcW w:w="1200" w:type="dxa"/>
            <w:vAlign w:val="bottom"/>
            <w:tcBorders>
              <w:right w:val="single" w:sz="8" w:color="007CBA"/>
            </w:tcBorders>
            <w:vMerge w:val="restart"/>
          </w:tcPr>
          <w:p>
            <w:pPr>
              <w:jc w:val="right"/>
              <w:ind w:right="29"/>
              <w:spacing w:after="0"/>
              <w:rPr>
                <w:sz w:val="20"/>
                <w:szCs w:val="20"/>
                <w:color w:val="auto"/>
              </w:rPr>
            </w:pPr>
            <w:r>
              <w:rPr>
                <w:rFonts w:ascii="Arial" w:cs="Arial" w:eastAsia="Arial" w:hAnsi="Arial"/>
                <w:sz w:val="14"/>
                <w:szCs w:val="14"/>
                <w:color w:val="auto"/>
              </w:rPr>
              <w:t>496,430</w:t>
            </w:r>
          </w:p>
        </w:tc>
        <w:tc>
          <w:tcPr>
            <w:tcW w:w="1180" w:type="dxa"/>
            <w:vAlign w:val="bottom"/>
            <w:tcBorders>
              <w:right w:val="single" w:sz="8" w:color="007CBA"/>
            </w:tcBorders>
            <w:vMerge w:val="restart"/>
          </w:tcPr>
          <w:p>
            <w:pPr>
              <w:jc w:val="right"/>
              <w:ind w:right="29"/>
              <w:spacing w:after="0"/>
              <w:rPr>
                <w:sz w:val="20"/>
                <w:szCs w:val="20"/>
                <w:color w:val="auto"/>
              </w:rPr>
            </w:pPr>
            <w:r>
              <w:rPr>
                <w:rFonts w:ascii="Arial" w:cs="Arial" w:eastAsia="Arial" w:hAnsi="Arial"/>
                <w:sz w:val="14"/>
                <w:szCs w:val="14"/>
                <w:color w:val="auto"/>
              </w:rPr>
              <w:t>241,027</w:t>
            </w: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4,747,393</w:t>
            </w:r>
          </w:p>
        </w:tc>
        <w:tc>
          <w:tcPr>
            <w:tcW w:w="0" w:type="dxa"/>
            <w:vAlign w:val="bottom"/>
          </w:tcPr>
          <w:p>
            <w:pPr>
              <w:spacing w:after="0"/>
              <w:rPr>
                <w:sz w:val="1"/>
                <w:szCs w:val="1"/>
                <w:color w:val="auto"/>
              </w:rPr>
            </w:pPr>
          </w:p>
        </w:tc>
      </w:tr>
      <w:tr>
        <w:trPr>
          <w:trHeight w:val="63"/>
        </w:trPr>
        <w:tc>
          <w:tcPr>
            <w:tcW w:w="2720" w:type="dxa"/>
            <w:vAlign w:val="bottom"/>
            <w:tcBorders>
              <w:right w:val="single" w:sz="8" w:color="007CBA"/>
            </w:tcBorders>
          </w:tcPr>
          <w:p>
            <w:pPr>
              <w:spacing w:after="0"/>
              <w:rPr>
                <w:sz w:val="5"/>
                <w:szCs w:val="5"/>
                <w:color w:val="auto"/>
              </w:rPr>
            </w:pPr>
          </w:p>
        </w:tc>
        <w:tc>
          <w:tcPr>
            <w:tcW w:w="540" w:type="dxa"/>
            <w:vAlign w:val="bottom"/>
            <w:tcBorders>
              <w:right w:val="single" w:sz="8" w:color="007CBA"/>
            </w:tcBorders>
            <w:gridSpan w:val="3"/>
            <w:vMerge w:val="continue"/>
          </w:tcPr>
          <w:p>
            <w:pPr>
              <w:spacing w:after="0"/>
              <w:rPr>
                <w:sz w:val="5"/>
                <w:szCs w:val="5"/>
                <w:color w:val="auto"/>
              </w:rPr>
            </w:pPr>
          </w:p>
        </w:tc>
        <w:tc>
          <w:tcPr>
            <w:tcW w:w="860" w:type="dxa"/>
            <w:vAlign w:val="bottom"/>
            <w:tcBorders>
              <w:right w:val="single" w:sz="8" w:color="007CBA"/>
            </w:tcBorders>
            <w:vMerge w:val="continue"/>
          </w:tcPr>
          <w:p>
            <w:pPr>
              <w:spacing w:after="0"/>
              <w:rPr>
                <w:sz w:val="5"/>
                <w:szCs w:val="5"/>
                <w:color w:val="auto"/>
              </w:rPr>
            </w:pPr>
          </w:p>
        </w:tc>
        <w:tc>
          <w:tcPr>
            <w:tcW w:w="880" w:type="dxa"/>
            <w:vAlign w:val="bottom"/>
            <w:tcBorders>
              <w:right w:val="single" w:sz="8" w:color="007CBA"/>
            </w:tcBorders>
            <w:vMerge w:val="continue"/>
          </w:tcPr>
          <w:p>
            <w:pPr>
              <w:spacing w:after="0"/>
              <w:rPr>
                <w:sz w:val="5"/>
                <w:szCs w:val="5"/>
                <w:color w:val="auto"/>
              </w:rPr>
            </w:pPr>
          </w:p>
        </w:tc>
        <w:tc>
          <w:tcPr>
            <w:tcW w:w="860" w:type="dxa"/>
            <w:vAlign w:val="bottom"/>
            <w:tcBorders>
              <w:right w:val="single" w:sz="8" w:color="007CBA"/>
            </w:tcBorders>
            <w:vMerge w:val="continue"/>
          </w:tcPr>
          <w:p>
            <w:pPr>
              <w:spacing w:after="0"/>
              <w:rPr>
                <w:sz w:val="5"/>
                <w:szCs w:val="5"/>
                <w:color w:val="auto"/>
              </w:rPr>
            </w:pPr>
          </w:p>
        </w:tc>
        <w:tc>
          <w:tcPr>
            <w:tcW w:w="740" w:type="dxa"/>
            <w:vAlign w:val="bottom"/>
            <w:tcBorders>
              <w:right w:val="single" w:sz="8" w:color="007CBA"/>
            </w:tcBorders>
            <w:vMerge w:val="continue"/>
          </w:tcPr>
          <w:p>
            <w:pPr>
              <w:spacing w:after="0"/>
              <w:rPr>
                <w:sz w:val="5"/>
                <w:szCs w:val="5"/>
                <w:color w:val="auto"/>
              </w:rPr>
            </w:pPr>
          </w:p>
        </w:tc>
        <w:tc>
          <w:tcPr>
            <w:tcW w:w="1180" w:type="dxa"/>
            <w:vAlign w:val="bottom"/>
            <w:tcBorders>
              <w:right w:val="single" w:sz="8" w:color="007CBA"/>
            </w:tcBorders>
          </w:tcPr>
          <w:p>
            <w:pPr>
              <w:spacing w:after="0"/>
              <w:rPr>
                <w:sz w:val="5"/>
                <w:szCs w:val="5"/>
                <w:color w:val="auto"/>
              </w:rPr>
            </w:pPr>
          </w:p>
        </w:tc>
        <w:tc>
          <w:tcPr>
            <w:tcW w:w="1200" w:type="dxa"/>
            <w:vAlign w:val="bottom"/>
            <w:tcBorders>
              <w:right w:val="single" w:sz="8" w:color="007CBA"/>
            </w:tcBorders>
            <w:vMerge w:val="continue"/>
          </w:tcPr>
          <w:p>
            <w:pPr>
              <w:spacing w:after="0"/>
              <w:rPr>
                <w:sz w:val="5"/>
                <w:szCs w:val="5"/>
                <w:color w:val="auto"/>
              </w:rPr>
            </w:pPr>
          </w:p>
        </w:tc>
        <w:tc>
          <w:tcPr>
            <w:tcW w:w="1180" w:type="dxa"/>
            <w:vAlign w:val="bottom"/>
            <w:tcBorders>
              <w:right w:val="single" w:sz="8" w:color="007CBA"/>
            </w:tcBorders>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2720" w:type="dxa"/>
            <w:vAlign w:val="bottom"/>
            <w:tcBorders>
              <w:right w:val="single" w:sz="8" w:color="007CBA"/>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Borders>
              <w:right w:val="single" w:sz="8" w:color="007CBA"/>
            </w:tcBorders>
          </w:tcPr>
          <w:p>
            <w:pPr>
              <w:spacing w:after="0"/>
              <w:rPr>
                <w:sz w:val="3"/>
                <w:szCs w:val="3"/>
                <w:color w:val="auto"/>
              </w:rPr>
            </w:pPr>
          </w:p>
        </w:tc>
        <w:tc>
          <w:tcPr>
            <w:tcW w:w="860" w:type="dxa"/>
            <w:vAlign w:val="bottom"/>
            <w:tcBorders>
              <w:right w:val="single" w:sz="8" w:color="007CBA"/>
            </w:tcBorders>
          </w:tcPr>
          <w:p>
            <w:pPr>
              <w:spacing w:after="0"/>
              <w:rPr>
                <w:sz w:val="3"/>
                <w:szCs w:val="3"/>
                <w:color w:val="auto"/>
              </w:rPr>
            </w:pPr>
          </w:p>
        </w:tc>
        <w:tc>
          <w:tcPr>
            <w:tcW w:w="880" w:type="dxa"/>
            <w:vAlign w:val="bottom"/>
            <w:tcBorders>
              <w:right w:val="single" w:sz="8" w:color="007CBA"/>
            </w:tcBorders>
          </w:tcPr>
          <w:p>
            <w:pPr>
              <w:spacing w:after="0"/>
              <w:rPr>
                <w:sz w:val="3"/>
                <w:szCs w:val="3"/>
                <w:color w:val="auto"/>
              </w:rPr>
            </w:pPr>
          </w:p>
        </w:tc>
        <w:tc>
          <w:tcPr>
            <w:tcW w:w="860" w:type="dxa"/>
            <w:vAlign w:val="bottom"/>
            <w:tcBorders>
              <w:right w:val="single" w:sz="8" w:color="007CBA"/>
            </w:tcBorders>
          </w:tcPr>
          <w:p>
            <w:pPr>
              <w:spacing w:after="0"/>
              <w:rPr>
                <w:sz w:val="3"/>
                <w:szCs w:val="3"/>
                <w:color w:val="auto"/>
              </w:rPr>
            </w:pPr>
          </w:p>
        </w:tc>
        <w:tc>
          <w:tcPr>
            <w:tcW w:w="740" w:type="dxa"/>
            <w:vAlign w:val="bottom"/>
            <w:tcBorders>
              <w:right w:val="single" w:sz="8" w:color="007CBA"/>
            </w:tcBorders>
          </w:tcPr>
          <w:p>
            <w:pPr>
              <w:spacing w:after="0"/>
              <w:rPr>
                <w:sz w:val="3"/>
                <w:szCs w:val="3"/>
                <w:color w:val="auto"/>
              </w:rPr>
            </w:pPr>
          </w:p>
        </w:tc>
        <w:tc>
          <w:tcPr>
            <w:tcW w:w="1180" w:type="dxa"/>
            <w:vAlign w:val="bottom"/>
            <w:tcBorders>
              <w:right w:val="single" w:sz="8" w:color="007CBA"/>
            </w:tcBorders>
          </w:tcPr>
          <w:p>
            <w:pPr>
              <w:spacing w:after="0"/>
              <w:rPr>
                <w:sz w:val="3"/>
                <w:szCs w:val="3"/>
                <w:color w:val="auto"/>
              </w:rPr>
            </w:pPr>
          </w:p>
        </w:tc>
        <w:tc>
          <w:tcPr>
            <w:tcW w:w="1200" w:type="dxa"/>
            <w:vAlign w:val="bottom"/>
            <w:tcBorders>
              <w:right w:val="single" w:sz="8" w:color="007CBA"/>
            </w:tcBorders>
          </w:tcPr>
          <w:p>
            <w:pPr>
              <w:spacing w:after="0"/>
              <w:rPr>
                <w:sz w:val="3"/>
                <w:szCs w:val="3"/>
                <w:color w:val="auto"/>
              </w:rPr>
            </w:pPr>
          </w:p>
        </w:tc>
        <w:tc>
          <w:tcPr>
            <w:tcW w:w="1180" w:type="dxa"/>
            <w:vAlign w:val="bottom"/>
            <w:tcBorders>
              <w:right w:val="single" w:sz="8" w:color="007CBA"/>
            </w:tcBorders>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72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b w:val="1"/>
                <w:bCs w:val="1"/>
                <w:color w:val="auto"/>
              </w:rPr>
              <w:t>James A.J. Nickolas</w:t>
            </w:r>
          </w:p>
        </w:tc>
        <w:tc>
          <w:tcPr>
            <w:tcW w:w="80" w:type="dxa"/>
            <w:vAlign w:val="bottom"/>
            <w:shd w:val="clear" w:color="auto" w:fill="E5F1F8"/>
          </w:tcPr>
          <w:p>
            <w:pPr>
              <w:spacing w:after="0"/>
              <w:rPr>
                <w:sz w:val="16"/>
                <w:szCs w:val="16"/>
                <w:color w:val="auto"/>
              </w:rPr>
            </w:pPr>
          </w:p>
        </w:tc>
        <w:tc>
          <w:tcPr>
            <w:tcW w:w="460" w:type="dxa"/>
            <w:vAlign w:val="bottom"/>
            <w:tcBorders>
              <w:right w:val="single" w:sz="8" w:color="007CBA"/>
            </w:tcBorders>
            <w:gridSpan w:val="2"/>
            <w:vMerge w:val="restart"/>
            <w:shd w:val="clear" w:color="auto" w:fill="E5F1F8"/>
          </w:tcPr>
          <w:p>
            <w:pPr>
              <w:ind w:left="40"/>
              <w:spacing w:after="0"/>
              <w:rPr>
                <w:sz w:val="20"/>
                <w:szCs w:val="20"/>
                <w:color w:val="auto"/>
              </w:rPr>
            </w:pPr>
            <w:r>
              <w:rPr>
                <w:rFonts w:ascii="Arial" w:cs="Arial" w:eastAsia="Arial" w:hAnsi="Arial"/>
                <w:sz w:val="14"/>
                <w:szCs w:val="14"/>
                <w:color w:val="auto"/>
              </w:rPr>
              <w:t>2017</w:t>
            </w:r>
          </w:p>
        </w:tc>
        <w:tc>
          <w:tcPr>
            <w:tcW w:w="860" w:type="dxa"/>
            <w:vAlign w:val="bottom"/>
            <w:tcBorders>
              <w:right w:val="single" w:sz="8" w:color="007CBA"/>
            </w:tcBorders>
            <w:vMerge w:val="restart"/>
            <w:shd w:val="clear" w:color="auto" w:fill="E5F1F8"/>
          </w:tcPr>
          <w:p>
            <w:pPr>
              <w:jc w:val="right"/>
              <w:ind w:right="28"/>
              <w:spacing w:after="0"/>
              <w:rPr>
                <w:sz w:val="20"/>
                <w:szCs w:val="20"/>
                <w:color w:val="auto"/>
              </w:rPr>
            </w:pPr>
            <w:r>
              <w:rPr>
                <w:rFonts w:ascii="Arial" w:cs="Arial" w:eastAsia="Arial" w:hAnsi="Arial"/>
                <w:sz w:val="14"/>
                <w:szCs w:val="14"/>
                <w:color w:val="auto"/>
              </w:rPr>
              <w:t>172,936</w:t>
            </w:r>
          </w:p>
        </w:tc>
        <w:tc>
          <w:tcPr>
            <w:tcW w:w="880" w:type="dxa"/>
            <w:vAlign w:val="bottom"/>
            <w:tcBorders>
              <w:right w:val="single" w:sz="8" w:color="007CBA"/>
            </w:tcBorders>
            <w:vMerge w:val="restart"/>
            <w:shd w:val="clear" w:color="auto" w:fill="E5F1F8"/>
          </w:tcPr>
          <w:p>
            <w:pPr>
              <w:jc w:val="right"/>
              <w:ind w:right="49"/>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007CBA"/>
            </w:tcBorders>
            <w:vMerge w:val="restart"/>
            <w:shd w:val="clear" w:color="auto" w:fill="E5F1F8"/>
          </w:tcPr>
          <w:p>
            <w:pPr>
              <w:jc w:val="right"/>
              <w:ind w:right="29"/>
              <w:spacing w:after="0"/>
              <w:rPr>
                <w:sz w:val="20"/>
                <w:szCs w:val="20"/>
                <w:color w:val="auto"/>
              </w:rPr>
            </w:pPr>
            <w:r>
              <w:rPr>
                <w:rFonts w:ascii="Arial" w:cs="Arial" w:eastAsia="Arial" w:hAnsi="Arial"/>
                <w:sz w:val="14"/>
                <w:szCs w:val="14"/>
                <w:color w:val="auto"/>
              </w:rPr>
              <w:t>1,320,232</w:t>
            </w:r>
          </w:p>
        </w:tc>
        <w:tc>
          <w:tcPr>
            <w:tcW w:w="740" w:type="dxa"/>
            <w:vAlign w:val="bottom"/>
            <w:tcBorders>
              <w:right w:val="single" w:sz="8" w:color="007CBA"/>
            </w:tcBorders>
            <w:vMerge w:val="restart"/>
            <w:shd w:val="clear" w:color="auto" w:fill="E5F1F8"/>
          </w:tcPr>
          <w:p>
            <w:pPr>
              <w:jc w:val="right"/>
              <w:ind w:right="29"/>
              <w:spacing w:after="0"/>
              <w:rPr>
                <w:sz w:val="20"/>
                <w:szCs w:val="20"/>
                <w:color w:val="auto"/>
              </w:rPr>
            </w:pPr>
            <w:r>
              <w:rPr>
                <w:rFonts w:ascii="Arial" w:cs="Arial" w:eastAsia="Arial" w:hAnsi="Arial"/>
                <w:sz w:val="14"/>
                <w:szCs w:val="14"/>
                <w:color w:val="auto"/>
              </w:rPr>
              <w:t>—</w:t>
            </w:r>
          </w:p>
        </w:tc>
        <w:tc>
          <w:tcPr>
            <w:tcW w:w="1180" w:type="dxa"/>
            <w:vAlign w:val="bottom"/>
            <w:tcBorders>
              <w:right w:val="single" w:sz="8" w:color="007CBA"/>
            </w:tcBorders>
            <w:vMerge w:val="restart"/>
            <w:shd w:val="clear" w:color="auto" w:fill="E5F1F8"/>
          </w:tcPr>
          <w:p>
            <w:pPr>
              <w:jc w:val="right"/>
              <w:ind w:right="29"/>
              <w:spacing w:after="0"/>
              <w:rPr>
                <w:sz w:val="20"/>
                <w:szCs w:val="20"/>
                <w:color w:val="auto"/>
              </w:rPr>
            </w:pPr>
            <w:r>
              <w:rPr>
                <w:rFonts w:ascii="Arial" w:cs="Arial" w:eastAsia="Arial" w:hAnsi="Arial"/>
                <w:sz w:val="14"/>
                <w:szCs w:val="14"/>
                <w:color w:val="auto"/>
              </w:rPr>
              <w:t>162,127</w:t>
            </w:r>
          </w:p>
        </w:tc>
        <w:tc>
          <w:tcPr>
            <w:tcW w:w="1200" w:type="dxa"/>
            <w:vAlign w:val="bottom"/>
            <w:tcBorders>
              <w:right w:val="single" w:sz="8" w:color="007CBA"/>
            </w:tcBorders>
            <w:vMerge w:val="restart"/>
            <w:shd w:val="clear" w:color="auto" w:fill="E5F1F8"/>
          </w:tcPr>
          <w:p>
            <w:pPr>
              <w:jc w:val="right"/>
              <w:ind w:right="29"/>
              <w:spacing w:after="0"/>
              <w:rPr>
                <w:sz w:val="20"/>
                <w:szCs w:val="20"/>
                <w:color w:val="auto"/>
              </w:rPr>
            </w:pPr>
            <w:r>
              <w:rPr>
                <w:rFonts w:ascii="Arial" w:cs="Arial" w:eastAsia="Arial" w:hAnsi="Arial"/>
                <w:sz w:val="14"/>
                <w:szCs w:val="14"/>
                <w:color w:val="auto"/>
              </w:rPr>
              <w:t>25,995</w:t>
            </w:r>
          </w:p>
        </w:tc>
        <w:tc>
          <w:tcPr>
            <w:tcW w:w="1180" w:type="dxa"/>
            <w:vAlign w:val="bottom"/>
            <w:tcBorders>
              <w:right w:val="single" w:sz="8" w:color="007CBA"/>
            </w:tcBorders>
            <w:vMerge w:val="restart"/>
            <w:shd w:val="clear" w:color="auto" w:fill="E5F1F8"/>
          </w:tcPr>
          <w:p>
            <w:pPr>
              <w:jc w:val="right"/>
              <w:ind w:right="29"/>
              <w:spacing w:after="0"/>
              <w:rPr>
                <w:sz w:val="20"/>
                <w:szCs w:val="20"/>
                <w:color w:val="auto"/>
              </w:rPr>
            </w:pPr>
            <w:r>
              <w:rPr>
                <w:rFonts w:ascii="Arial" w:cs="Arial" w:eastAsia="Arial" w:hAnsi="Arial"/>
                <w:sz w:val="14"/>
                <w:szCs w:val="14"/>
                <w:color w:val="auto"/>
              </w:rPr>
              <w:t>8,534</w:t>
            </w:r>
          </w:p>
        </w:tc>
        <w:tc>
          <w:tcPr>
            <w:tcW w:w="860" w:type="dxa"/>
            <w:vAlign w:val="bottom"/>
            <w:vMerge w:val="restart"/>
            <w:shd w:val="clear" w:color="auto" w:fill="E5F1F8"/>
          </w:tcPr>
          <w:p>
            <w:pPr>
              <w:jc w:val="right"/>
              <w:ind w:right="28"/>
              <w:spacing w:after="0"/>
              <w:rPr>
                <w:sz w:val="20"/>
                <w:szCs w:val="20"/>
                <w:color w:val="auto"/>
              </w:rPr>
            </w:pPr>
            <w:r>
              <w:rPr>
                <w:rFonts w:ascii="Arial" w:cs="Arial" w:eastAsia="Arial" w:hAnsi="Arial"/>
                <w:sz w:val="14"/>
                <w:szCs w:val="14"/>
                <w:color w:val="auto"/>
              </w:rPr>
              <w:t>1,689,824</w:t>
            </w:r>
          </w:p>
        </w:tc>
        <w:tc>
          <w:tcPr>
            <w:tcW w:w="0" w:type="dxa"/>
            <w:vAlign w:val="bottom"/>
          </w:tcPr>
          <w:p>
            <w:pPr>
              <w:spacing w:after="0"/>
              <w:rPr>
                <w:sz w:val="1"/>
                <w:szCs w:val="1"/>
                <w:color w:val="auto"/>
              </w:rPr>
            </w:pPr>
          </w:p>
        </w:tc>
      </w:tr>
      <w:tr>
        <w:trPr>
          <w:trHeight w:val="100"/>
        </w:trPr>
        <w:tc>
          <w:tcPr>
            <w:tcW w:w="2720" w:type="dxa"/>
            <w:vAlign w:val="bottom"/>
            <w:tcBorders>
              <w:right w:val="single" w:sz="8" w:color="007CBA"/>
            </w:tcBorders>
            <w:vMerge w:val="restart"/>
            <w:shd w:val="clear" w:color="auto" w:fill="E5F1F8"/>
          </w:tcPr>
          <w:p>
            <w:pPr>
              <w:ind w:left="60"/>
              <w:spacing w:after="0"/>
              <w:rPr>
                <w:sz w:val="20"/>
                <w:szCs w:val="20"/>
                <w:color w:val="auto"/>
              </w:rPr>
            </w:pPr>
            <w:r>
              <w:rPr>
                <w:rFonts w:ascii="Arial" w:cs="Arial" w:eastAsia="Arial" w:hAnsi="Arial"/>
                <w:sz w:val="14"/>
                <w:szCs w:val="14"/>
                <w:color w:val="auto"/>
              </w:rPr>
              <w:t>Senior Vice</w:t>
            </w:r>
          </w:p>
        </w:tc>
        <w:tc>
          <w:tcPr>
            <w:tcW w:w="80" w:type="dxa"/>
            <w:vAlign w:val="bottom"/>
            <w:shd w:val="clear" w:color="auto" w:fill="E5F1F8"/>
          </w:tcPr>
          <w:p>
            <w:pPr>
              <w:spacing w:after="0"/>
              <w:rPr>
                <w:sz w:val="8"/>
                <w:szCs w:val="8"/>
                <w:color w:val="auto"/>
              </w:rPr>
            </w:pPr>
          </w:p>
        </w:tc>
        <w:tc>
          <w:tcPr>
            <w:tcW w:w="460" w:type="dxa"/>
            <w:vAlign w:val="bottom"/>
            <w:tcBorders>
              <w:right w:val="single" w:sz="8" w:color="007CBA"/>
            </w:tcBorders>
            <w:gridSpan w:val="2"/>
            <w:vMerge w:val="continue"/>
            <w:shd w:val="clear" w:color="auto" w:fill="E5F1F8"/>
          </w:tcPr>
          <w:p>
            <w:pPr>
              <w:spacing w:after="0"/>
              <w:rPr>
                <w:sz w:val="8"/>
                <w:szCs w:val="8"/>
                <w:color w:val="auto"/>
              </w:rPr>
            </w:pPr>
          </w:p>
        </w:tc>
        <w:tc>
          <w:tcPr>
            <w:tcW w:w="860" w:type="dxa"/>
            <w:vAlign w:val="bottom"/>
            <w:tcBorders>
              <w:right w:val="single" w:sz="8" w:color="007CBA"/>
            </w:tcBorders>
            <w:vMerge w:val="continue"/>
            <w:shd w:val="clear" w:color="auto" w:fill="E5F1F8"/>
          </w:tcPr>
          <w:p>
            <w:pPr>
              <w:spacing w:after="0"/>
              <w:rPr>
                <w:sz w:val="8"/>
                <w:szCs w:val="8"/>
                <w:color w:val="auto"/>
              </w:rPr>
            </w:pPr>
          </w:p>
        </w:tc>
        <w:tc>
          <w:tcPr>
            <w:tcW w:w="880" w:type="dxa"/>
            <w:vAlign w:val="bottom"/>
            <w:tcBorders>
              <w:right w:val="single" w:sz="8" w:color="007CBA"/>
            </w:tcBorders>
            <w:vMerge w:val="continue"/>
            <w:shd w:val="clear" w:color="auto" w:fill="E5F1F8"/>
          </w:tcPr>
          <w:p>
            <w:pPr>
              <w:spacing w:after="0"/>
              <w:rPr>
                <w:sz w:val="8"/>
                <w:szCs w:val="8"/>
                <w:color w:val="auto"/>
              </w:rPr>
            </w:pPr>
          </w:p>
        </w:tc>
        <w:tc>
          <w:tcPr>
            <w:tcW w:w="860" w:type="dxa"/>
            <w:vAlign w:val="bottom"/>
            <w:tcBorders>
              <w:right w:val="single" w:sz="8" w:color="007CBA"/>
            </w:tcBorders>
            <w:vMerge w:val="continue"/>
            <w:shd w:val="clear" w:color="auto" w:fill="E5F1F8"/>
          </w:tcPr>
          <w:p>
            <w:pPr>
              <w:spacing w:after="0"/>
              <w:rPr>
                <w:sz w:val="8"/>
                <w:szCs w:val="8"/>
                <w:color w:val="auto"/>
              </w:rPr>
            </w:pPr>
          </w:p>
        </w:tc>
        <w:tc>
          <w:tcPr>
            <w:tcW w:w="740" w:type="dxa"/>
            <w:vAlign w:val="bottom"/>
            <w:tcBorders>
              <w:right w:val="single" w:sz="8" w:color="007CBA"/>
            </w:tcBorders>
            <w:vMerge w:val="continue"/>
            <w:shd w:val="clear" w:color="auto" w:fill="E5F1F8"/>
          </w:tcPr>
          <w:p>
            <w:pPr>
              <w:spacing w:after="0"/>
              <w:rPr>
                <w:sz w:val="8"/>
                <w:szCs w:val="8"/>
                <w:color w:val="auto"/>
              </w:rPr>
            </w:pPr>
          </w:p>
        </w:tc>
        <w:tc>
          <w:tcPr>
            <w:tcW w:w="1180" w:type="dxa"/>
            <w:vAlign w:val="bottom"/>
            <w:tcBorders>
              <w:right w:val="single" w:sz="8" w:color="007CBA"/>
            </w:tcBorders>
            <w:vMerge w:val="continue"/>
            <w:shd w:val="clear" w:color="auto" w:fill="E5F1F8"/>
          </w:tcPr>
          <w:p>
            <w:pPr>
              <w:spacing w:after="0"/>
              <w:rPr>
                <w:sz w:val="8"/>
                <w:szCs w:val="8"/>
                <w:color w:val="auto"/>
              </w:rPr>
            </w:pPr>
          </w:p>
        </w:tc>
        <w:tc>
          <w:tcPr>
            <w:tcW w:w="1200" w:type="dxa"/>
            <w:vAlign w:val="bottom"/>
            <w:tcBorders>
              <w:right w:val="single" w:sz="8" w:color="007CBA"/>
            </w:tcBorders>
            <w:vMerge w:val="continue"/>
            <w:shd w:val="clear" w:color="auto" w:fill="E5F1F8"/>
          </w:tcPr>
          <w:p>
            <w:pPr>
              <w:spacing w:after="0"/>
              <w:rPr>
                <w:sz w:val="8"/>
                <w:szCs w:val="8"/>
                <w:color w:val="auto"/>
              </w:rPr>
            </w:pPr>
          </w:p>
        </w:tc>
        <w:tc>
          <w:tcPr>
            <w:tcW w:w="1180" w:type="dxa"/>
            <w:vAlign w:val="bottom"/>
            <w:tcBorders>
              <w:right w:val="single" w:sz="8" w:color="007CBA"/>
            </w:tcBorders>
            <w:vMerge w:val="continue"/>
            <w:shd w:val="clear" w:color="auto" w:fill="E5F1F8"/>
          </w:tcPr>
          <w:p>
            <w:pPr>
              <w:spacing w:after="0"/>
              <w:rPr>
                <w:sz w:val="8"/>
                <w:szCs w:val="8"/>
                <w:color w:val="auto"/>
              </w:rPr>
            </w:pPr>
          </w:p>
        </w:tc>
        <w:tc>
          <w:tcPr>
            <w:tcW w:w="860" w:type="dxa"/>
            <w:vAlign w:val="bottom"/>
            <w:vMerge w:val="continue"/>
            <w:shd w:val="clear" w:color="auto" w:fill="E5F1F8"/>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720" w:type="dxa"/>
            <w:vAlign w:val="bottom"/>
            <w:tcBorders>
              <w:right w:val="single" w:sz="8" w:color="007CBA"/>
            </w:tcBorders>
            <w:vMerge w:val="continue"/>
            <w:shd w:val="clear" w:color="auto" w:fill="E5F1F8"/>
          </w:tcPr>
          <w:p>
            <w:pPr>
              <w:spacing w:after="0"/>
              <w:rPr>
                <w:sz w:val="5"/>
                <w:szCs w:val="5"/>
                <w:color w:val="auto"/>
              </w:rPr>
            </w:pPr>
          </w:p>
        </w:tc>
        <w:tc>
          <w:tcPr>
            <w:tcW w:w="80" w:type="dxa"/>
            <w:vAlign w:val="bottom"/>
            <w:shd w:val="clear" w:color="auto" w:fill="E5F1F8"/>
          </w:tcPr>
          <w:p>
            <w:pPr>
              <w:spacing w:after="0"/>
              <w:rPr>
                <w:sz w:val="5"/>
                <w:szCs w:val="5"/>
                <w:color w:val="auto"/>
              </w:rPr>
            </w:pPr>
          </w:p>
        </w:tc>
        <w:tc>
          <w:tcPr>
            <w:tcW w:w="40" w:type="dxa"/>
            <w:vAlign w:val="bottom"/>
            <w:shd w:val="clear" w:color="auto" w:fill="E5F1F8"/>
          </w:tcPr>
          <w:p>
            <w:pPr>
              <w:spacing w:after="0"/>
              <w:rPr>
                <w:sz w:val="5"/>
                <w:szCs w:val="5"/>
                <w:color w:val="auto"/>
              </w:rPr>
            </w:pPr>
          </w:p>
        </w:tc>
        <w:tc>
          <w:tcPr>
            <w:tcW w:w="420" w:type="dxa"/>
            <w:vAlign w:val="bottom"/>
            <w:tcBorders>
              <w:right w:val="single" w:sz="8" w:color="007CBA"/>
            </w:tcBorders>
            <w:shd w:val="clear" w:color="auto" w:fill="E5F1F8"/>
          </w:tcPr>
          <w:p>
            <w:pPr>
              <w:spacing w:after="0"/>
              <w:rPr>
                <w:sz w:val="5"/>
                <w:szCs w:val="5"/>
                <w:color w:val="auto"/>
              </w:rPr>
            </w:pPr>
          </w:p>
        </w:tc>
        <w:tc>
          <w:tcPr>
            <w:tcW w:w="860" w:type="dxa"/>
            <w:vAlign w:val="bottom"/>
            <w:tcBorders>
              <w:right w:val="single" w:sz="8" w:color="007CBA"/>
            </w:tcBorders>
            <w:shd w:val="clear" w:color="auto" w:fill="E5F1F8"/>
          </w:tcPr>
          <w:p>
            <w:pPr>
              <w:spacing w:after="0"/>
              <w:rPr>
                <w:sz w:val="5"/>
                <w:szCs w:val="5"/>
                <w:color w:val="auto"/>
              </w:rPr>
            </w:pPr>
          </w:p>
        </w:tc>
        <w:tc>
          <w:tcPr>
            <w:tcW w:w="880" w:type="dxa"/>
            <w:vAlign w:val="bottom"/>
            <w:tcBorders>
              <w:right w:val="single" w:sz="8" w:color="007CBA"/>
            </w:tcBorders>
            <w:shd w:val="clear" w:color="auto" w:fill="E5F1F8"/>
          </w:tcPr>
          <w:p>
            <w:pPr>
              <w:spacing w:after="0"/>
              <w:rPr>
                <w:sz w:val="5"/>
                <w:szCs w:val="5"/>
                <w:color w:val="auto"/>
              </w:rPr>
            </w:pPr>
          </w:p>
        </w:tc>
        <w:tc>
          <w:tcPr>
            <w:tcW w:w="86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vMerge w:val="continue"/>
            <w:shd w:val="clear" w:color="auto" w:fill="E5F1F8"/>
          </w:tcPr>
          <w:p>
            <w:pPr>
              <w:spacing w:after="0"/>
              <w:rPr>
                <w:sz w:val="5"/>
                <w:szCs w:val="5"/>
                <w:color w:val="auto"/>
              </w:rPr>
            </w:pPr>
          </w:p>
        </w:tc>
        <w:tc>
          <w:tcPr>
            <w:tcW w:w="1180" w:type="dxa"/>
            <w:vAlign w:val="bottom"/>
            <w:tcBorders>
              <w:right w:val="single" w:sz="8" w:color="007CBA"/>
            </w:tcBorders>
            <w:shd w:val="clear" w:color="auto" w:fill="E5F1F8"/>
          </w:tcPr>
          <w:p>
            <w:pPr>
              <w:spacing w:after="0"/>
              <w:rPr>
                <w:sz w:val="5"/>
                <w:szCs w:val="5"/>
                <w:color w:val="auto"/>
              </w:rPr>
            </w:pPr>
          </w:p>
        </w:tc>
        <w:tc>
          <w:tcPr>
            <w:tcW w:w="1200" w:type="dxa"/>
            <w:vAlign w:val="bottom"/>
            <w:tcBorders>
              <w:right w:val="single" w:sz="8" w:color="007CBA"/>
            </w:tcBorders>
            <w:vMerge w:val="continue"/>
            <w:shd w:val="clear" w:color="auto" w:fill="E5F1F8"/>
          </w:tcPr>
          <w:p>
            <w:pPr>
              <w:spacing w:after="0"/>
              <w:rPr>
                <w:sz w:val="5"/>
                <w:szCs w:val="5"/>
                <w:color w:val="auto"/>
              </w:rPr>
            </w:pPr>
          </w:p>
        </w:tc>
        <w:tc>
          <w:tcPr>
            <w:tcW w:w="1180" w:type="dxa"/>
            <w:vAlign w:val="bottom"/>
            <w:tcBorders>
              <w:right w:val="single" w:sz="8" w:color="007CBA"/>
            </w:tcBorders>
            <w:shd w:val="clear" w:color="auto" w:fill="E5F1F8"/>
          </w:tcPr>
          <w:p>
            <w:pPr>
              <w:spacing w:after="0"/>
              <w:rPr>
                <w:sz w:val="5"/>
                <w:szCs w:val="5"/>
                <w:color w:val="auto"/>
              </w:rPr>
            </w:pPr>
          </w:p>
        </w:tc>
        <w:tc>
          <w:tcPr>
            <w:tcW w:w="860" w:type="dxa"/>
            <w:vAlign w:val="bottom"/>
            <w:vMerge w:val="continue"/>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72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color w:val="auto"/>
              </w:rPr>
              <w:t>President and CFO</w:t>
            </w:r>
          </w:p>
        </w:tc>
        <w:tc>
          <w:tcPr>
            <w:tcW w:w="80" w:type="dxa"/>
            <w:vAlign w:val="bottom"/>
            <w:shd w:val="clear" w:color="auto" w:fill="E5F1F8"/>
          </w:tcPr>
          <w:p>
            <w:pPr>
              <w:spacing w:after="0"/>
              <w:rPr>
                <w:sz w:val="16"/>
                <w:szCs w:val="16"/>
                <w:color w:val="auto"/>
              </w:rPr>
            </w:pPr>
          </w:p>
        </w:tc>
        <w:tc>
          <w:tcPr>
            <w:tcW w:w="40" w:type="dxa"/>
            <w:vAlign w:val="bottom"/>
            <w:shd w:val="clear" w:color="auto" w:fill="E5F1F8"/>
          </w:tcPr>
          <w:p>
            <w:pPr>
              <w:spacing w:after="0"/>
              <w:rPr>
                <w:sz w:val="16"/>
                <w:szCs w:val="16"/>
                <w:color w:val="auto"/>
              </w:rPr>
            </w:pPr>
          </w:p>
        </w:tc>
        <w:tc>
          <w:tcPr>
            <w:tcW w:w="420" w:type="dxa"/>
            <w:vAlign w:val="bottom"/>
            <w:tcBorders>
              <w:right w:val="single" w:sz="8" w:color="007CBA"/>
            </w:tcBorders>
            <w:shd w:val="clear" w:color="auto" w:fill="E5F1F8"/>
          </w:tcPr>
          <w:p>
            <w:pPr>
              <w:spacing w:after="0"/>
              <w:rPr>
                <w:sz w:val="16"/>
                <w:szCs w:val="16"/>
                <w:color w:val="auto"/>
              </w:rPr>
            </w:pPr>
          </w:p>
        </w:tc>
        <w:tc>
          <w:tcPr>
            <w:tcW w:w="860" w:type="dxa"/>
            <w:vAlign w:val="bottom"/>
            <w:tcBorders>
              <w:right w:val="single" w:sz="8" w:color="007CBA"/>
            </w:tcBorders>
            <w:shd w:val="clear" w:color="auto" w:fill="E5F1F8"/>
          </w:tcPr>
          <w:p>
            <w:pPr>
              <w:spacing w:after="0"/>
              <w:rPr>
                <w:sz w:val="16"/>
                <w:szCs w:val="16"/>
                <w:color w:val="auto"/>
              </w:rPr>
            </w:pPr>
          </w:p>
        </w:tc>
        <w:tc>
          <w:tcPr>
            <w:tcW w:w="880" w:type="dxa"/>
            <w:vAlign w:val="bottom"/>
            <w:tcBorders>
              <w:right w:val="single" w:sz="8" w:color="007CBA"/>
            </w:tcBorders>
            <w:shd w:val="clear" w:color="auto" w:fill="E5F1F8"/>
          </w:tcPr>
          <w:p>
            <w:pPr>
              <w:spacing w:after="0"/>
              <w:rPr>
                <w:sz w:val="16"/>
                <w:szCs w:val="16"/>
                <w:color w:val="auto"/>
              </w:rPr>
            </w:pPr>
          </w:p>
        </w:tc>
        <w:tc>
          <w:tcPr>
            <w:tcW w:w="860" w:type="dxa"/>
            <w:vAlign w:val="bottom"/>
            <w:tcBorders>
              <w:right w:val="single" w:sz="8" w:color="007CBA"/>
            </w:tcBorders>
            <w:shd w:val="clear" w:color="auto" w:fill="E5F1F8"/>
          </w:tcPr>
          <w:p>
            <w:pPr>
              <w:spacing w:after="0"/>
              <w:rPr>
                <w:sz w:val="16"/>
                <w:szCs w:val="16"/>
                <w:color w:val="auto"/>
              </w:rPr>
            </w:pPr>
          </w:p>
        </w:tc>
        <w:tc>
          <w:tcPr>
            <w:tcW w:w="740" w:type="dxa"/>
            <w:vAlign w:val="bottom"/>
            <w:tcBorders>
              <w:right w:val="single" w:sz="8" w:color="007CBA"/>
            </w:tcBorders>
            <w:shd w:val="clear" w:color="auto" w:fill="E5F1F8"/>
          </w:tcPr>
          <w:p>
            <w:pPr>
              <w:spacing w:after="0"/>
              <w:rPr>
                <w:sz w:val="16"/>
                <w:szCs w:val="16"/>
                <w:color w:val="auto"/>
              </w:rPr>
            </w:pPr>
          </w:p>
        </w:tc>
        <w:tc>
          <w:tcPr>
            <w:tcW w:w="1180" w:type="dxa"/>
            <w:vAlign w:val="bottom"/>
            <w:tcBorders>
              <w:right w:val="single" w:sz="8" w:color="007CBA"/>
            </w:tcBorders>
            <w:shd w:val="clear" w:color="auto" w:fill="E5F1F8"/>
          </w:tcPr>
          <w:p>
            <w:pPr>
              <w:spacing w:after="0"/>
              <w:rPr>
                <w:sz w:val="16"/>
                <w:szCs w:val="16"/>
                <w:color w:val="auto"/>
              </w:rPr>
            </w:pPr>
          </w:p>
        </w:tc>
        <w:tc>
          <w:tcPr>
            <w:tcW w:w="1200" w:type="dxa"/>
            <w:vAlign w:val="bottom"/>
            <w:tcBorders>
              <w:right w:val="single" w:sz="8" w:color="007CBA"/>
            </w:tcBorders>
            <w:shd w:val="clear" w:color="auto" w:fill="E5F1F8"/>
          </w:tcPr>
          <w:p>
            <w:pPr>
              <w:spacing w:after="0"/>
              <w:rPr>
                <w:sz w:val="16"/>
                <w:szCs w:val="16"/>
                <w:color w:val="auto"/>
              </w:rPr>
            </w:pPr>
          </w:p>
        </w:tc>
        <w:tc>
          <w:tcPr>
            <w:tcW w:w="1180" w:type="dxa"/>
            <w:vAlign w:val="bottom"/>
            <w:tcBorders>
              <w:right w:val="single" w:sz="8" w:color="007CBA"/>
            </w:tcBorders>
            <w:shd w:val="clear" w:color="auto" w:fill="E5F1F8"/>
          </w:tcPr>
          <w:p>
            <w:pPr>
              <w:spacing w:after="0"/>
              <w:rPr>
                <w:sz w:val="16"/>
                <w:szCs w:val="16"/>
                <w:color w:val="auto"/>
              </w:rPr>
            </w:pPr>
          </w:p>
        </w:tc>
        <w:tc>
          <w:tcPr>
            <w:tcW w:w="860" w:type="dxa"/>
            <w:vAlign w:val="bottom"/>
            <w:shd w:val="clear" w:color="auto" w:fill="E5F1F8"/>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720" w:type="dxa"/>
            <w:vAlign w:val="bottom"/>
            <w:tcBorders>
              <w:right w:val="single" w:sz="8" w:color="007CBA"/>
            </w:tcBorders>
          </w:tcPr>
          <w:p>
            <w:pPr>
              <w:ind w:left="60"/>
              <w:spacing w:after="0"/>
              <w:rPr>
                <w:sz w:val="20"/>
                <w:szCs w:val="20"/>
                <w:color w:val="auto"/>
              </w:rPr>
            </w:pPr>
            <w:r>
              <w:rPr>
                <w:rFonts w:ascii="Arial" w:cs="Arial" w:eastAsia="Arial" w:hAnsi="Arial"/>
                <w:sz w:val="14"/>
                <w:szCs w:val="14"/>
                <w:b w:val="1"/>
                <w:bCs w:val="1"/>
                <w:color w:val="auto"/>
              </w:rPr>
              <w:t>Roselyn R. Bar</w:t>
            </w:r>
          </w:p>
        </w:tc>
        <w:tc>
          <w:tcPr>
            <w:tcW w:w="540" w:type="dxa"/>
            <w:vAlign w:val="bottom"/>
            <w:tcBorders>
              <w:right w:val="single" w:sz="8" w:color="007CBA"/>
            </w:tcBorders>
            <w:gridSpan w:val="3"/>
          </w:tcPr>
          <w:p>
            <w:pPr>
              <w:ind w:left="120"/>
              <w:spacing w:after="0"/>
              <w:rPr>
                <w:sz w:val="20"/>
                <w:szCs w:val="20"/>
                <w:color w:val="auto"/>
              </w:rPr>
            </w:pPr>
            <w:r>
              <w:rPr>
                <w:rFonts w:ascii="Arial" w:cs="Arial" w:eastAsia="Arial" w:hAnsi="Arial"/>
                <w:sz w:val="14"/>
                <w:szCs w:val="14"/>
                <w:color w:val="auto"/>
              </w:rPr>
              <w:t>2017</w:t>
            </w:r>
          </w:p>
        </w:tc>
        <w:tc>
          <w:tcPr>
            <w:tcW w:w="860" w:type="dxa"/>
            <w:vAlign w:val="bottom"/>
            <w:tcBorders>
              <w:right w:val="single" w:sz="8" w:color="007CBA"/>
            </w:tcBorders>
          </w:tcPr>
          <w:p>
            <w:pPr>
              <w:jc w:val="right"/>
              <w:ind w:right="28"/>
              <w:spacing w:after="0"/>
              <w:rPr>
                <w:sz w:val="20"/>
                <w:szCs w:val="20"/>
                <w:color w:val="auto"/>
              </w:rPr>
            </w:pPr>
            <w:r>
              <w:rPr>
                <w:rFonts w:ascii="Arial" w:cs="Arial" w:eastAsia="Arial" w:hAnsi="Arial"/>
                <w:sz w:val="14"/>
                <w:szCs w:val="14"/>
                <w:color w:val="auto"/>
              </w:rPr>
              <w:t>511,383</w:t>
            </w:r>
          </w:p>
        </w:tc>
        <w:tc>
          <w:tcPr>
            <w:tcW w:w="88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007CBA"/>
            </w:tcBorders>
          </w:tcPr>
          <w:p>
            <w:pPr>
              <w:jc w:val="right"/>
              <w:ind w:right="29"/>
              <w:spacing w:after="0"/>
              <w:rPr>
                <w:sz w:val="20"/>
                <w:szCs w:val="20"/>
                <w:color w:val="auto"/>
              </w:rPr>
            </w:pPr>
            <w:r>
              <w:rPr>
                <w:rFonts w:ascii="Arial" w:cs="Arial" w:eastAsia="Arial" w:hAnsi="Arial"/>
                <w:sz w:val="14"/>
                <w:szCs w:val="14"/>
                <w:color w:val="auto"/>
              </w:rPr>
              <w:t>1,433,583</w:t>
            </w:r>
          </w:p>
        </w:tc>
        <w:tc>
          <w:tcPr>
            <w:tcW w:w="740" w:type="dxa"/>
            <w:vAlign w:val="bottom"/>
            <w:tcBorders>
              <w:right w:val="single" w:sz="8" w:color="007CBA"/>
            </w:tcBorders>
          </w:tcPr>
          <w:p>
            <w:pPr>
              <w:jc w:val="right"/>
              <w:ind w:right="29"/>
              <w:spacing w:after="0"/>
              <w:rPr>
                <w:sz w:val="20"/>
                <w:szCs w:val="20"/>
                <w:color w:val="auto"/>
              </w:rPr>
            </w:pPr>
            <w:r>
              <w:rPr>
                <w:rFonts w:ascii="Arial" w:cs="Arial" w:eastAsia="Arial" w:hAnsi="Arial"/>
                <w:sz w:val="14"/>
                <w:szCs w:val="14"/>
                <w:color w:val="auto"/>
              </w:rPr>
              <w:t>—</w:t>
            </w:r>
          </w:p>
        </w:tc>
        <w:tc>
          <w:tcPr>
            <w:tcW w:w="1180" w:type="dxa"/>
            <w:vAlign w:val="bottom"/>
            <w:tcBorders>
              <w:right w:val="single" w:sz="8" w:color="007CBA"/>
            </w:tcBorders>
          </w:tcPr>
          <w:p>
            <w:pPr>
              <w:jc w:val="right"/>
              <w:ind w:right="29"/>
              <w:spacing w:after="0"/>
              <w:rPr>
                <w:sz w:val="20"/>
                <w:szCs w:val="20"/>
                <w:color w:val="auto"/>
              </w:rPr>
            </w:pPr>
            <w:r>
              <w:rPr>
                <w:rFonts w:ascii="Arial" w:cs="Arial" w:eastAsia="Arial" w:hAnsi="Arial"/>
                <w:sz w:val="14"/>
                <w:szCs w:val="14"/>
                <w:color w:val="auto"/>
              </w:rPr>
              <w:t>475,586</w:t>
            </w:r>
          </w:p>
        </w:tc>
        <w:tc>
          <w:tcPr>
            <w:tcW w:w="1200" w:type="dxa"/>
            <w:vAlign w:val="bottom"/>
            <w:tcBorders>
              <w:right w:val="single" w:sz="8" w:color="007CBA"/>
            </w:tcBorders>
          </w:tcPr>
          <w:p>
            <w:pPr>
              <w:jc w:val="right"/>
              <w:ind w:right="29"/>
              <w:spacing w:after="0"/>
              <w:rPr>
                <w:sz w:val="20"/>
                <w:szCs w:val="20"/>
                <w:color w:val="auto"/>
              </w:rPr>
            </w:pPr>
            <w:r>
              <w:rPr>
                <w:rFonts w:ascii="Arial" w:cs="Arial" w:eastAsia="Arial" w:hAnsi="Arial"/>
                <w:sz w:val="14"/>
                <w:szCs w:val="14"/>
                <w:color w:val="auto"/>
              </w:rPr>
              <w:t>1,039,249</w:t>
            </w:r>
          </w:p>
        </w:tc>
        <w:tc>
          <w:tcPr>
            <w:tcW w:w="1180" w:type="dxa"/>
            <w:vAlign w:val="bottom"/>
            <w:tcBorders>
              <w:right w:val="single" w:sz="8" w:color="007CBA"/>
            </w:tcBorders>
          </w:tcPr>
          <w:p>
            <w:pPr>
              <w:jc w:val="right"/>
              <w:ind w:right="29"/>
              <w:spacing w:after="0"/>
              <w:rPr>
                <w:sz w:val="20"/>
                <w:szCs w:val="20"/>
                <w:color w:val="auto"/>
              </w:rPr>
            </w:pPr>
            <w:r>
              <w:rPr>
                <w:rFonts w:ascii="Arial" w:cs="Arial" w:eastAsia="Arial" w:hAnsi="Arial"/>
                <w:sz w:val="14"/>
                <w:szCs w:val="14"/>
                <w:color w:val="auto"/>
              </w:rPr>
              <w:t>52,062</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3,511,863</w:t>
            </w:r>
          </w:p>
        </w:tc>
        <w:tc>
          <w:tcPr>
            <w:tcW w:w="0" w:type="dxa"/>
            <w:vAlign w:val="bottom"/>
          </w:tcPr>
          <w:p>
            <w:pPr>
              <w:spacing w:after="0"/>
              <w:rPr>
                <w:sz w:val="1"/>
                <w:szCs w:val="1"/>
                <w:color w:val="auto"/>
              </w:rPr>
            </w:pPr>
          </w:p>
        </w:tc>
      </w:tr>
      <w:tr>
        <w:trPr>
          <w:trHeight w:val="122"/>
        </w:trPr>
        <w:tc>
          <w:tcPr>
            <w:tcW w:w="2720" w:type="dxa"/>
            <w:vAlign w:val="bottom"/>
            <w:tcBorders>
              <w:right w:val="single" w:sz="8" w:color="007CBA"/>
            </w:tcBorders>
          </w:tcPr>
          <w:p>
            <w:pPr>
              <w:ind w:left="60"/>
              <w:spacing w:after="0" w:line="122" w:lineRule="exact"/>
              <w:rPr>
                <w:sz w:val="20"/>
                <w:szCs w:val="20"/>
                <w:color w:val="auto"/>
              </w:rPr>
            </w:pPr>
            <w:r>
              <w:rPr>
                <w:rFonts w:ascii="Arial" w:cs="Arial" w:eastAsia="Arial" w:hAnsi="Arial"/>
                <w:sz w:val="14"/>
                <w:szCs w:val="14"/>
                <w:color w:val="auto"/>
              </w:rPr>
              <w:t>Executive Vice President,</w:t>
            </w:r>
          </w:p>
        </w:tc>
        <w:tc>
          <w:tcPr>
            <w:tcW w:w="540" w:type="dxa"/>
            <w:vAlign w:val="bottom"/>
            <w:tcBorders>
              <w:right w:val="single" w:sz="8" w:color="007CBA"/>
            </w:tcBorders>
            <w:gridSpan w:val="3"/>
            <w:vMerge w:val="restart"/>
          </w:tcPr>
          <w:p>
            <w:pPr>
              <w:ind w:left="120"/>
              <w:spacing w:after="0"/>
              <w:rPr>
                <w:sz w:val="20"/>
                <w:szCs w:val="20"/>
                <w:color w:val="auto"/>
              </w:rPr>
            </w:pPr>
            <w:r>
              <w:rPr>
                <w:rFonts w:ascii="Arial" w:cs="Arial" w:eastAsia="Arial" w:hAnsi="Arial"/>
                <w:sz w:val="14"/>
                <w:szCs w:val="14"/>
                <w:color w:val="auto"/>
              </w:rPr>
              <w:t>2016</w:t>
            </w:r>
          </w:p>
        </w:tc>
        <w:tc>
          <w:tcPr>
            <w:tcW w:w="860" w:type="dxa"/>
            <w:vAlign w:val="bottom"/>
            <w:tcBorders>
              <w:right w:val="single" w:sz="8" w:color="007CBA"/>
            </w:tcBorders>
            <w:vMerge w:val="restart"/>
          </w:tcPr>
          <w:p>
            <w:pPr>
              <w:jc w:val="right"/>
              <w:ind w:right="28"/>
              <w:spacing w:after="0"/>
              <w:rPr>
                <w:sz w:val="20"/>
                <w:szCs w:val="20"/>
                <w:color w:val="auto"/>
              </w:rPr>
            </w:pPr>
            <w:r>
              <w:rPr>
                <w:rFonts w:ascii="Arial" w:cs="Arial" w:eastAsia="Arial" w:hAnsi="Arial"/>
                <w:sz w:val="14"/>
                <w:szCs w:val="14"/>
                <w:color w:val="auto"/>
              </w:rPr>
              <w:t>496,583</w:t>
            </w:r>
          </w:p>
        </w:tc>
        <w:tc>
          <w:tcPr>
            <w:tcW w:w="880" w:type="dxa"/>
            <w:vAlign w:val="bottom"/>
            <w:tcBorders>
              <w:right w:val="single" w:sz="8" w:color="007CBA"/>
            </w:tcBorders>
            <w:vMerge w:val="restart"/>
          </w:tcPr>
          <w:p>
            <w:pPr>
              <w:jc w:val="right"/>
              <w:ind w:right="49"/>
              <w:spacing w:after="0"/>
              <w:rPr>
                <w:sz w:val="20"/>
                <w:szCs w:val="20"/>
                <w:color w:val="auto"/>
              </w:rPr>
            </w:pPr>
            <w:r>
              <w:rPr>
                <w:rFonts w:ascii="Arial" w:cs="Arial" w:eastAsia="Arial" w:hAnsi="Arial"/>
                <w:sz w:val="14"/>
                <w:szCs w:val="14"/>
                <w:color w:val="auto"/>
              </w:rPr>
              <w:t>498,967</w:t>
            </w:r>
          </w:p>
        </w:tc>
        <w:tc>
          <w:tcPr>
            <w:tcW w:w="860" w:type="dxa"/>
            <w:vAlign w:val="bottom"/>
            <w:tcBorders>
              <w:right w:val="single" w:sz="8" w:color="007CBA"/>
            </w:tcBorders>
            <w:vMerge w:val="restart"/>
          </w:tcPr>
          <w:p>
            <w:pPr>
              <w:jc w:val="right"/>
              <w:ind w:right="29"/>
              <w:spacing w:after="0"/>
              <w:rPr>
                <w:sz w:val="20"/>
                <w:szCs w:val="20"/>
                <w:color w:val="auto"/>
              </w:rPr>
            </w:pPr>
            <w:r>
              <w:rPr>
                <w:rFonts w:ascii="Arial" w:cs="Arial" w:eastAsia="Arial" w:hAnsi="Arial"/>
                <w:sz w:val="14"/>
                <w:szCs w:val="14"/>
                <w:color w:val="auto"/>
              </w:rPr>
              <w:t>1,001,335</w:t>
            </w:r>
          </w:p>
        </w:tc>
        <w:tc>
          <w:tcPr>
            <w:tcW w:w="740" w:type="dxa"/>
            <w:vAlign w:val="bottom"/>
            <w:tcBorders>
              <w:right w:val="single" w:sz="8" w:color="007CBA"/>
            </w:tcBorders>
            <w:vMerge w:val="restart"/>
          </w:tcPr>
          <w:p>
            <w:pPr>
              <w:jc w:val="right"/>
              <w:ind w:right="29"/>
              <w:spacing w:after="0"/>
              <w:rPr>
                <w:sz w:val="20"/>
                <w:szCs w:val="20"/>
                <w:color w:val="auto"/>
              </w:rPr>
            </w:pPr>
            <w:r>
              <w:rPr>
                <w:rFonts w:ascii="Arial" w:cs="Arial" w:eastAsia="Arial" w:hAnsi="Arial"/>
                <w:sz w:val="14"/>
                <w:szCs w:val="14"/>
                <w:color w:val="auto"/>
              </w:rPr>
              <w:t>—</w:t>
            </w:r>
          </w:p>
        </w:tc>
        <w:tc>
          <w:tcPr>
            <w:tcW w:w="1180" w:type="dxa"/>
            <w:vAlign w:val="bottom"/>
            <w:tcBorders>
              <w:right w:val="single" w:sz="8" w:color="007CBA"/>
            </w:tcBorders>
          </w:tcPr>
          <w:p>
            <w:pPr>
              <w:spacing w:after="0"/>
              <w:rPr>
                <w:sz w:val="10"/>
                <w:szCs w:val="10"/>
                <w:color w:val="auto"/>
              </w:rPr>
            </w:pPr>
          </w:p>
        </w:tc>
        <w:tc>
          <w:tcPr>
            <w:tcW w:w="1200" w:type="dxa"/>
            <w:vAlign w:val="bottom"/>
            <w:tcBorders>
              <w:right w:val="single" w:sz="8" w:color="007CBA"/>
            </w:tcBorders>
            <w:vMerge w:val="restart"/>
          </w:tcPr>
          <w:p>
            <w:pPr>
              <w:jc w:val="right"/>
              <w:ind w:right="29"/>
              <w:spacing w:after="0"/>
              <w:rPr>
                <w:sz w:val="20"/>
                <w:szCs w:val="20"/>
                <w:color w:val="auto"/>
              </w:rPr>
            </w:pPr>
            <w:r>
              <w:rPr>
                <w:rFonts w:ascii="Arial" w:cs="Arial" w:eastAsia="Arial" w:hAnsi="Arial"/>
                <w:sz w:val="14"/>
                <w:szCs w:val="14"/>
                <w:color w:val="auto"/>
              </w:rPr>
              <w:t>528,522</w:t>
            </w:r>
          </w:p>
        </w:tc>
        <w:tc>
          <w:tcPr>
            <w:tcW w:w="1180" w:type="dxa"/>
            <w:vAlign w:val="bottom"/>
            <w:tcBorders>
              <w:right w:val="single" w:sz="8" w:color="007CBA"/>
            </w:tcBorders>
            <w:vMerge w:val="restart"/>
          </w:tcPr>
          <w:p>
            <w:pPr>
              <w:jc w:val="right"/>
              <w:ind w:right="29"/>
              <w:spacing w:after="0"/>
              <w:rPr>
                <w:sz w:val="20"/>
                <w:szCs w:val="20"/>
                <w:color w:val="auto"/>
              </w:rPr>
            </w:pPr>
            <w:r>
              <w:rPr>
                <w:rFonts w:ascii="Arial" w:cs="Arial" w:eastAsia="Arial" w:hAnsi="Arial"/>
                <w:sz w:val="14"/>
                <w:szCs w:val="14"/>
                <w:color w:val="auto"/>
              </w:rPr>
              <w:t>100,915</w:t>
            </w: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2,626,322</w:t>
            </w:r>
          </w:p>
        </w:tc>
        <w:tc>
          <w:tcPr>
            <w:tcW w:w="0" w:type="dxa"/>
            <w:vAlign w:val="bottom"/>
          </w:tcPr>
          <w:p>
            <w:pPr>
              <w:spacing w:after="0"/>
              <w:rPr>
                <w:sz w:val="1"/>
                <w:szCs w:val="1"/>
                <w:color w:val="auto"/>
              </w:rPr>
            </w:pPr>
          </w:p>
        </w:tc>
      </w:tr>
      <w:tr>
        <w:trPr>
          <w:trHeight w:val="127"/>
        </w:trPr>
        <w:tc>
          <w:tcPr>
            <w:tcW w:w="2720" w:type="dxa"/>
            <w:vAlign w:val="bottom"/>
            <w:tcBorders>
              <w:right w:val="single" w:sz="8" w:color="007CBA"/>
            </w:tcBorders>
            <w:vMerge w:val="restart"/>
          </w:tcPr>
          <w:p>
            <w:pPr>
              <w:ind w:left="60"/>
              <w:spacing w:after="0"/>
              <w:rPr>
                <w:sz w:val="20"/>
                <w:szCs w:val="20"/>
                <w:color w:val="auto"/>
              </w:rPr>
            </w:pPr>
            <w:r>
              <w:rPr>
                <w:rFonts w:ascii="Arial" w:cs="Arial" w:eastAsia="Arial" w:hAnsi="Arial"/>
                <w:sz w:val="14"/>
                <w:szCs w:val="14"/>
                <w:color w:val="auto"/>
              </w:rPr>
              <w:t>General Counsel and</w:t>
            </w:r>
          </w:p>
        </w:tc>
        <w:tc>
          <w:tcPr>
            <w:tcW w:w="540" w:type="dxa"/>
            <w:vAlign w:val="bottom"/>
            <w:tcBorders>
              <w:right w:val="single" w:sz="8" w:color="007CBA"/>
            </w:tcBorders>
            <w:gridSpan w:val="3"/>
            <w:vMerge w:val="continue"/>
          </w:tcPr>
          <w:p>
            <w:pPr>
              <w:spacing w:after="0"/>
              <w:rPr>
                <w:sz w:val="11"/>
                <w:szCs w:val="11"/>
                <w:color w:val="auto"/>
              </w:rPr>
            </w:pPr>
          </w:p>
        </w:tc>
        <w:tc>
          <w:tcPr>
            <w:tcW w:w="860" w:type="dxa"/>
            <w:vAlign w:val="bottom"/>
            <w:tcBorders>
              <w:right w:val="single" w:sz="8" w:color="007CBA"/>
            </w:tcBorders>
            <w:vMerge w:val="continue"/>
          </w:tcPr>
          <w:p>
            <w:pPr>
              <w:spacing w:after="0"/>
              <w:rPr>
                <w:sz w:val="11"/>
                <w:szCs w:val="11"/>
                <w:color w:val="auto"/>
              </w:rPr>
            </w:pPr>
          </w:p>
        </w:tc>
        <w:tc>
          <w:tcPr>
            <w:tcW w:w="880" w:type="dxa"/>
            <w:vAlign w:val="bottom"/>
            <w:tcBorders>
              <w:right w:val="single" w:sz="8" w:color="007CBA"/>
            </w:tcBorders>
            <w:vMerge w:val="continue"/>
          </w:tcPr>
          <w:p>
            <w:pPr>
              <w:spacing w:after="0"/>
              <w:rPr>
                <w:sz w:val="11"/>
                <w:szCs w:val="11"/>
                <w:color w:val="auto"/>
              </w:rPr>
            </w:pPr>
          </w:p>
        </w:tc>
        <w:tc>
          <w:tcPr>
            <w:tcW w:w="860" w:type="dxa"/>
            <w:vAlign w:val="bottom"/>
            <w:tcBorders>
              <w:right w:val="single" w:sz="8" w:color="007CBA"/>
            </w:tcBorders>
            <w:vMerge w:val="continue"/>
          </w:tcPr>
          <w:p>
            <w:pPr>
              <w:spacing w:after="0"/>
              <w:rPr>
                <w:sz w:val="11"/>
                <w:szCs w:val="11"/>
                <w:color w:val="auto"/>
              </w:rPr>
            </w:pPr>
          </w:p>
        </w:tc>
        <w:tc>
          <w:tcPr>
            <w:tcW w:w="740" w:type="dxa"/>
            <w:vAlign w:val="bottom"/>
            <w:tcBorders>
              <w:right w:val="single" w:sz="8" w:color="007CBA"/>
            </w:tcBorders>
            <w:vMerge w:val="continue"/>
          </w:tcPr>
          <w:p>
            <w:pPr>
              <w:spacing w:after="0"/>
              <w:rPr>
                <w:sz w:val="11"/>
                <w:szCs w:val="11"/>
                <w:color w:val="auto"/>
              </w:rPr>
            </w:pPr>
          </w:p>
        </w:tc>
        <w:tc>
          <w:tcPr>
            <w:tcW w:w="1180" w:type="dxa"/>
            <w:vAlign w:val="bottom"/>
            <w:tcBorders>
              <w:right w:val="single" w:sz="8" w:color="007CBA"/>
            </w:tcBorders>
          </w:tcPr>
          <w:p>
            <w:pPr>
              <w:spacing w:after="0"/>
              <w:rPr>
                <w:sz w:val="11"/>
                <w:szCs w:val="11"/>
                <w:color w:val="auto"/>
              </w:rPr>
            </w:pPr>
          </w:p>
        </w:tc>
        <w:tc>
          <w:tcPr>
            <w:tcW w:w="1200" w:type="dxa"/>
            <w:vAlign w:val="bottom"/>
            <w:tcBorders>
              <w:right w:val="single" w:sz="8" w:color="007CBA"/>
            </w:tcBorders>
            <w:vMerge w:val="continue"/>
          </w:tcPr>
          <w:p>
            <w:pPr>
              <w:spacing w:after="0"/>
              <w:rPr>
                <w:sz w:val="11"/>
                <w:szCs w:val="11"/>
                <w:color w:val="auto"/>
              </w:rPr>
            </w:pPr>
          </w:p>
        </w:tc>
        <w:tc>
          <w:tcPr>
            <w:tcW w:w="1180" w:type="dxa"/>
            <w:vAlign w:val="bottom"/>
            <w:tcBorders>
              <w:right w:val="single" w:sz="8" w:color="007CBA"/>
            </w:tcBorders>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5"/>
        </w:trPr>
        <w:tc>
          <w:tcPr>
            <w:tcW w:w="2720" w:type="dxa"/>
            <w:vAlign w:val="bottom"/>
            <w:tcBorders>
              <w:right w:val="single" w:sz="8" w:color="007CBA"/>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Borders>
              <w:right w:val="single" w:sz="8" w:color="007CBA"/>
            </w:tcBorders>
          </w:tcPr>
          <w:p>
            <w:pPr>
              <w:spacing w:after="0"/>
              <w:rPr>
                <w:sz w:val="3"/>
                <w:szCs w:val="3"/>
                <w:color w:val="auto"/>
              </w:rPr>
            </w:pPr>
          </w:p>
        </w:tc>
        <w:tc>
          <w:tcPr>
            <w:tcW w:w="860" w:type="dxa"/>
            <w:vAlign w:val="bottom"/>
            <w:tcBorders>
              <w:right w:val="single" w:sz="8" w:color="007CBA"/>
            </w:tcBorders>
          </w:tcPr>
          <w:p>
            <w:pPr>
              <w:spacing w:after="0"/>
              <w:rPr>
                <w:sz w:val="3"/>
                <w:szCs w:val="3"/>
                <w:color w:val="auto"/>
              </w:rPr>
            </w:pPr>
          </w:p>
        </w:tc>
        <w:tc>
          <w:tcPr>
            <w:tcW w:w="880" w:type="dxa"/>
            <w:vAlign w:val="bottom"/>
            <w:tcBorders>
              <w:right w:val="single" w:sz="8" w:color="007CBA"/>
            </w:tcBorders>
          </w:tcPr>
          <w:p>
            <w:pPr>
              <w:spacing w:after="0"/>
              <w:rPr>
                <w:sz w:val="3"/>
                <w:szCs w:val="3"/>
                <w:color w:val="auto"/>
              </w:rPr>
            </w:pPr>
          </w:p>
        </w:tc>
        <w:tc>
          <w:tcPr>
            <w:tcW w:w="860" w:type="dxa"/>
            <w:vAlign w:val="bottom"/>
            <w:tcBorders>
              <w:right w:val="single" w:sz="8" w:color="007CBA"/>
            </w:tcBorders>
          </w:tcPr>
          <w:p>
            <w:pPr>
              <w:spacing w:after="0"/>
              <w:rPr>
                <w:sz w:val="3"/>
                <w:szCs w:val="3"/>
                <w:color w:val="auto"/>
              </w:rPr>
            </w:pPr>
          </w:p>
        </w:tc>
        <w:tc>
          <w:tcPr>
            <w:tcW w:w="740" w:type="dxa"/>
            <w:vAlign w:val="bottom"/>
            <w:tcBorders>
              <w:right w:val="single" w:sz="8" w:color="007CBA"/>
            </w:tcBorders>
            <w:vMerge w:val="continue"/>
          </w:tcPr>
          <w:p>
            <w:pPr>
              <w:spacing w:after="0"/>
              <w:rPr>
                <w:sz w:val="3"/>
                <w:szCs w:val="3"/>
                <w:color w:val="auto"/>
              </w:rPr>
            </w:pPr>
          </w:p>
        </w:tc>
        <w:tc>
          <w:tcPr>
            <w:tcW w:w="1180" w:type="dxa"/>
            <w:vAlign w:val="bottom"/>
            <w:tcBorders>
              <w:right w:val="single" w:sz="8" w:color="007CBA"/>
            </w:tcBorders>
          </w:tcPr>
          <w:p>
            <w:pPr>
              <w:spacing w:after="0"/>
              <w:rPr>
                <w:sz w:val="3"/>
                <w:szCs w:val="3"/>
                <w:color w:val="auto"/>
              </w:rPr>
            </w:pPr>
          </w:p>
        </w:tc>
        <w:tc>
          <w:tcPr>
            <w:tcW w:w="1200" w:type="dxa"/>
            <w:vAlign w:val="bottom"/>
            <w:tcBorders>
              <w:right w:val="single" w:sz="8" w:color="007CBA"/>
            </w:tcBorders>
          </w:tcPr>
          <w:p>
            <w:pPr>
              <w:spacing w:after="0"/>
              <w:rPr>
                <w:sz w:val="3"/>
                <w:szCs w:val="3"/>
                <w:color w:val="auto"/>
              </w:rPr>
            </w:pPr>
          </w:p>
        </w:tc>
        <w:tc>
          <w:tcPr>
            <w:tcW w:w="1180" w:type="dxa"/>
            <w:vAlign w:val="bottom"/>
            <w:tcBorders>
              <w:right w:val="single" w:sz="8" w:color="007CBA"/>
            </w:tcBorders>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1"/>
        </w:trPr>
        <w:tc>
          <w:tcPr>
            <w:tcW w:w="2720" w:type="dxa"/>
            <w:vAlign w:val="bottom"/>
            <w:tcBorders>
              <w:right w:val="single" w:sz="8" w:color="007CBA"/>
            </w:tcBorders>
          </w:tcPr>
          <w:p>
            <w:pPr>
              <w:ind w:left="60"/>
              <w:spacing w:after="0"/>
              <w:rPr>
                <w:sz w:val="20"/>
                <w:szCs w:val="20"/>
                <w:color w:val="auto"/>
              </w:rPr>
            </w:pPr>
            <w:r>
              <w:rPr>
                <w:rFonts w:ascii="Arial" w:cs="Arial" w:eastAsia="Arial" w:hAnsi="Arial"/>
                <w:sz w:val="14"/>
                <w:szCs w:val="14"/>
                <w:color w:val="auto"/>
              </w:rPr>
              <w:t>Corporate Secretary</w:t>
            </w:r>
          </w:p>
        </w:tc>
        <w:tc>
          <w:tcPr>
            <w:tcW w:w="540" w:type="dxa"/>
            <w:vAlign w:val="bottom"/>
            <w:tcBorders>
              <w:right w:val="single" w:sz="8" w:color="007CBA"/>
            </w:tcBorders>
            <w:gridSpan w:val="3"/>
          </w:tcPr>
          <w:p>
            <w:pPr>
              <w:ind w:left="120"/>
              <w:spacing w:after="0"/>
              <w:rPr>
                <w:sz w:val="20"/>
                <w:szCs w:val="20"/>
                <w:color w:val="auto"/>
              </w:rPr>
            </w:pPr>
            <w:r>
              <w:rPr>
                <w:rFonts w:ascii="Arial" w:cs="Arial" w:eastAsia="Arial" w:hAnsi="Arial"/>
                <w:sz w:val="14"/>
                <w:szCs w:val="14"/>
                <w:color w:val="auto"/>
              </w:rPr>
              <w:t>2015</w:t>
            </w:r>
          </w:p>
        </w:tc>
        <w:tc>
          <w:tcPr>
            <w:tcW w:w="860" w:type="dxa"/>
            <w:vAlign w:val="bottom"/>
            <w:tcBorders>
              <w:right w:val="single" w:sz="8" w:color="007CBA"/>
            </w:tcBorders>
          </w:tcPr>
          <w:p>
            <w:pPr>
              <w:jc w:val="right"/>
              <w:ind w:right="28"/>
              <w:spacing w:after="0"/>
              <w:rPr>
                <w:sz w:val="20"/>
                <w:szCs w:val="20"/>
                <w:color w:val="auto"/>
              </w:rPr>
            </w:pPr>
            <w:r>
              <w:rPr>
                <w:rFonts w:ascii="Arial" w:cs="Arial" w:eastAsia="Arial" w:hAnsi="Arial"/>
                <w:sz w:val="14"/>
                <w:szCs w:val="14"/>
                <w:color w:val="auto"/>
              </w:rPr>
              <w:t>445,121</w:t>
            </w:r>
          </w:p>
        </w:tc>
        <w:tc>
          <w:tcPr>
            <w:tcW w:w="88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241,033</w:t>
            </w:r>
          </w:p>
        </w:tc>
        <w:tc>
          <w:tcPr>
            <w:tcW w:w="860" w:type="dxa"/>
            <w:vAlign w:val="bottom"/>
            <w:tcBorders>
              <w:right w:val="single" w:sz="8" w:color="007CBA"/>
            </w:tcBorders>
          </w:tcPr>
          <w:p>
            <w:pPr>
              <w:jc w:val="right"/>
              <w:ind w:right="29"/>
              <w:spacing w:after="0"/>
              <w:rPr>
                <w:sz w:val="20"/>
                <w:szCs w:val="20"/>
                <w:color w:val="auto"/>
              </w:rPr>
            </w:pPr>
            <w:r>
              <w:rPr>
                <w:rFonts w:ascii="Arial" w:cs="Arial" w:eastAsia="Arial" w:hAnsi="Arial"/>
                <w:sz w:val="14"/>
                <w:szCs w:val="14"/>
                <w:color w:val="auto"/>
              </w:rPr>
              <w:t>491,597</w:t>
            </w:r>
          </w:p>
        </w:tc>
        <w:tc>
          <w:tcPr>
            <w:tcW w:w="740" w:type="dxa"/>
            <w:vAlign w:val="bottom"/>
            <w:tcBorders>
              <w:right w:val="single" w:sz="8" w:color="007CBA"/>
            </w:tcBorders>
          </w:tcPr>
          <w:p>
            <w:pPr>
              <w:jc w:val="right"/>
              <w:ind w:right="29"/>
              <w:spacing w:after="0"/>
              <w:rPr>
                <w:sz w:val="20"/>
                <w:szCs w:val="20"/>
                <w:color w:val="auto"/>
              </w:rPr>
            </w:pPr>
            <w:r>
              <w:rPr>
                <w:rFonts w:ascii="Arial" w:cs="Arial" w:eastAsia="Arial" w:hAnsi="Arial"/>
                <w:sz w:val="14"/>
                <w:szCs w:val="14"/>
                <w:color w:val="auto"/>
              </w:rPr>
              <w:t>190,732</w:t>
            </w:r>
          </w:p>
        </w:tc>
        <w:tc>
          <w:tcPr>
            <w:tcW w:w="1180" w:type="dxa"/>
            <w:vAlign w:val="bottom"/>
            <w:tcBorders>
              <w:right w:val="single" w:sz="8" w:color="007CBA"/>
            </w:tcBorders>
          </w:tcPr>
          <w:p>
            <w:pPr>
              <w:spacing w:after="0"/>
              <w:rPr>
                <w:sz w:val="19"/>
                <w:szCs w:val="19"/>
                <w:color w:val="auto"/>
              </w:rPr>
            </w:pPr>
          </w:p>
        </w:tc>
        <w:tc>
          <w:tcPr>
            <w:tcW w:w="1200" w:type="dxa"/>
            <w:vAlign w:val="bottom"/>
            <w:tcBorders>
              <w:right w:val="single" w:sz="8" w:color="007CBA"/>
            </w:tcBorders>
          </w:tcPr>
          <w:p>
            <w:pPr>
              <w:jc w:val="right"/>
              <w:ind w:right="29"/>
              <w:spacing w:after="0"/>
              <w:rPr>
                <w:sz w:val="20"/>
                <w:szCs w:val="20"/>
                <w:color w:val="auto"/>
              </w:rPr>
            </w:pPr>
            <w:r>
              <w:rPr>
                <w:rFonts w:ascii="Arial" w:cs="Arial" w:eastAsia="Arial" w:hAnsi="Arial"/>
                <w:sz w:val="14"/>
                <w:szCs w:val="14"/>
                <w:color w:val="auto"/>
              </w:rPr>
              <w:t>276,972</w:t>
            </w:r>
          </w:p>
        </w:tc>
        <w:tc>
          <w:tcPr>
            <w:tcW w:w="1180" w:type="dxa"/>
            <w:vAlign w:val="bottom"/>
            <w:tcBorders>
              <w:right w:val="single" w:sz="8" w:color="007CBA"/>
            </w:tcBorders>
          </w:tcPr>
          <w:p>
            <w:pPr>
              <w:jc w:val="right"/>
              <w:ind w:right="29"/>
              <w:spacing w:after="0"/>
              <w:rPr>
                <w:sz w:val="20"/>
                <w:szCs w:val="20"/>
                <w:color w:val="auto"/>
              </w:rPr>
            </w:pPr>
            <w:r>
              <w:rPr>
                <w:rFonts w:ascii="Arial" w:cs="Arial" w:eastAsia="Arial" w:hAnsi="Arial"/>
                <w:sz w:val="14"/>
                <w:szCs w:val="14"/>
                <w:color w:val="auto"/>
              </w:rPr>
              <w:t>76,735</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1,722,190</w:t>
            </w:r>
          </w:p>
        </w:tc>
        <w:tc>
          <w:tcPr>
            <w:tcW w:w="0" w:type="dxa"/>
            <w:vAlign w:val="bottom"/>
          </w:tcPr>
          <w:p>
            <w:pPr>
              <w:spacing w:after="0"/>
              <w:rPr>
                <w:sz w:val="1"/>
                <w:szCs w:val="1"/>
                <w:color w:val="auto"/>
              </w:rPr>
            </w:pPr>
          </w:p>
        </w:tc>
      </w:tr>
      <w:tr>
        <w:trPr>
          <w:trHeight w:val="35"/>
        </w:trPr>
        <w:tc>
          <w:tcPr>
            <w:tcW w:w="2720" w:type="dxa"/>
            <w:vAlign w:val="bottom"/>
            <w:tcBorders>
              <w:right w:val="single" w:sz="8" w:color="007CBA"/>
            </w:tcBorders>
          </w:tcPr>
          <w:p>
            <w:pPr>
              <w:spacing w:after="0"/>
              <w:rPr>
                <w:sz w:val="3"/>
                <w:szCs w:val="3"/>
                <w:color w:val="auto"/>
              </w:rPr>
            </w:pPr>
          </w:p>
        </w:tc>
        <w:tc>
          <w:tcPr>
            <w:tcW w:w="540" w:type="dxa"/>
            <w:vAlign w:val="bottom"/>
            <w:tcBorders>
              <w:right w:val="single" w:sz="8" w:color="007CBA"/>
            </w:tcBorders>
            <w:gridSpan w:val="3"/>
          </w:tcPr>
          <w:p>
            <w:pPr>
              <w:spacing w:after="0"/>
              <w:rPr>
                <w:sz w:val="3"/>
                <w:szCs w:val="3"/>
                <w:color w:val="auto"/>
              </w:rPr>
            </w:pPr>
          </w:p>
        </w:tc>
        <w:tc>
          <w:tcPr>
            <w:tcW w:w="860" w:type="dxa"/>
            <w:vAlign w:val="bottom"/>
            <w:tcBorders>
              <w:right w:val="single" w:sz="8" w:color="007CBA"/>
            </w:tcBorders>
          </w:tcPr>
          <w:p>
            <w:pPr>
              <w:spacing w:after="0"/>
              <w:rPr>
                <w:sz w:val="3"/>
                <w:szCs w:val="3"/>
                <w:color w:val="auto"/>
              </w:rPr>
            </w:pPr>
          </w:p>
        </w:tc>
        <w:tc>
          <w:tcPr>
            <w:tcW w:w="880" w:type="dxa"/>
            <w:vAlign w:val="bottom"/>
            <w:tcBorders>
              <w:right w:val="single" w:sz="8" w:color="007CBA"/>
            </w:tcBorders>
          </w:tcPr>
          <w:p>
            <w:pPr>
              <w:spacing w:after="0"/>
              <w:rPr>
                <w:sz w:val="3"/>
                <w:szCs w:val="3"/>
                <w:color w:val="auto"/>
              </w:rPr>
            </w:pPr>
          </w:p>
        </w:tc>
        <w:tc>
          <w:tcPr>
            <w:tcW w:w="860" w:type="dxa"/>
            <w:vAlign w:val="bottom"/>
            <w:tcBorders>
              <w:right w:val="single" w:sz="8" w:color="007CBA"/>
            </w:tcBorders>
          </w:tcPr>
          <w:p>
            <w:pPr>
              <w:spacing w:after="0"/>
              <w:rPr>
                <w:sz w:val="3"/>
                <w:szCs w:val="3"/>
                <w:color w:val="auto"/>
              </w:rPr>
            </w:pPr>
          </w:p>
        </w:tc>
        <w:tc>
          <w:tcPr>
            <w:tcW w:w="740" w:type="dxa"/>
            <w:vAlign w:val="bottom"/>
            <w:tcBorders>
              <w:right w:val="single" w:sz="8" w:color="007CBA"/>
            </w:tcBorders>
          </w:tcPr>
          <w:p>
            <w:pPr>
              <w:spacing w:after="0"/>
              <w:rPr>
                <w:sz w:val="3"/>
                <w:szCs w:val="3"/>
                <w:color w:val="auto"/>
              </w:rPr>
            </w:pPr>
          </w:p>
        </w:tc>
        <w:tc>
          <w:tcPr>
            <w:tcW w:w="1180" w:type="dxa"/>
            <w:vAlign w:val="bottom"/>
            <w:tcBorders>
              <w:right w:val="single" w:sz="8" w:color="007CBA"/>
            </w:tcBorders>
          </w:tcPr>
          <w:p>
            <w:pPr>
              <w:spacing w:after="0"/>
              <w:rPr>
                <w:sz w:val="3"/>
                <w:szCs w:val="3"/>
                <w:color w:val="auto"/>
              </w:rPr>
            </w:pPr>
          </w:p>
        </w:tc>
        <w:tc>
          <w:tcPr>
            <w:tcW w:w="1200" w:type="dxa"/>
            <w:vAlign w:val="bottom"/>
            <w:tcBorders>
              <w:right w:val="single" w:sz="8" w:color="007CBA"/>
            </w:tcBorders>
          </w:tcPr>
          <w:p>
            <w:pPr>
              <w:spacing w:after="0"/>
              <w:rPr>
                <w:sz w:val="3"/>
                <w:szCs w:val="3"/>
                <w:color w:val="auto"/>
              </w:rPr>
            </w:pPr>
          </w:p>
        </w:tc>
        <w:tc>
          <w:tcPr>
            <w:tcW w:w="1180" w:type="dxa"/>
            <w:vAlign w:val="bottom"/>
            <w:tcBorders>
              <w:right w:val="single" w:sz="8" w:color="007CBA"/>
            </w:tcBorders>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2"/>
        </w:trPr>
        <w:tc>
          <w:tcPr>
            <w:tcW w:w="2720" w:type="dxa"/>
            <w:vAlign w:val="bottom"/>
            <w:tcBorders>
              <w:right w:val="single" w:sz="8" w:color="007CBA"/>
            </w:tcBorders>
            <w:vMerge w:val="restart"/>
            <w:shd w:val="clear" w:color="auto" w:fill="E5F1F8"/>
          </w:tcPr>
          <w:p>
            <w:pPr>
              <w:ind w:left="60"/>
              <w:spacing w:after="0"/>
              <w:rPr>
                <w:sz w:val="20"/>
                <w:szCs w:val="20"/>
                <w:color w:val="auto"/>
              </w:rPr>
            </w:pPr>
            <w:r>
              <w:rPr>
                <w:rFonts w:ascii="Arial" w:cs="Arial" w:eastAsia="Arial" w:hAnsi="Arial"/>
                <w:sz w:val="14"/>
                <w:szCs w:val="14"/>
                <w:b w:val="1"/>
                <w:bCs w:val="1"/>
                <w:color w:val="auto"/>
              </w:rPr>
              <w:t>Donald A. McCunniff</w:t>
            </w:r>
          </w:p>
        </w:tc>
        <w:tc>
          <w:tcPr>
            <w:tcW w:w="80" w:type="dxa"/>
            <w:vAlign w:val="bottom"/>
            <w:shd w:val="clear" w:color="auto" w:fill="E5F1F8"/>
          </w:tcPr>
          <w:p>
            <w:pPr>
              <w:spacing w:after="0"/>
              <w:rPr>
                <w:sz w:val="19"/>
                <w:szCs w:val="19"/>
                <w:color w:val="auto"/>
              </w:rPr>
            </w:pPr>
          </w:p>
        </w:tc>
        <w:tc>
          <w:tcPr>
            <w:tcW w:w="460" w:type="dxa"/>
            <w:vAlign w:val="bottom"/>
            <w:tcBorders>
              <w:right w:val="single" w:sz="8" w:color="007CBA"/>
            </w:tcBorders>
            <w:gridSpan w:val="2"/>
            <w:shd w:val="clear" w:color="auto" w:fill="E5F1F8"/>
          </w:tcPr>
          <w:p>
            <w:pPr>
              <w:ind w:left="40"/>
              <w:spacing w:after="0"/>
              <w:rPr>
                <w:sz w:val="20"/>
                <w:szCs w:val="20"/>
                <w:color w:val="auto"/>
              </w:rPr>
            </w:pPr>
            <w:r>
              <w:rPr>
                <w:rFonts w:ascii="Arial" w:cs="Arial" w:eastAsia="Arial" w:hAnsi="Arial"/>
                <w:sz w:val="14"/>
                <w:szCs w:val="14"/>
                <w:color w:val="auto"/>
              </w:rPr>
              <w:t>2017</w:t>
            </w:r>
          </w:p>
        </w:tc>
        <w:tc>
          <w:tcPr>
            <w:tcW w:w="860" w:type="dxa"/>
            <w:vAlign w:val="bottom"/>
            <w:tcBorders>
              <w:right w:val="single" w:sz="8" w:color="007CBA"/>
            </w:tcBorders>
            <w:shd w:val="clear" w:color="auto" w:fill="E5F1F8"/>
          </w:tcPr>
          <w:p>
            <w:pPr>
              <w:jc w:val="right"/>
              <w:ind w:right="28"/>
              <w:spacing w:after="0"/>
              <w:rPr>
                <w:sz w:val="20"/>
                <w:szCs w:val="20"/>
                <w:color w:val="auto"/>
              </w:rPr>
            </w:pPr>
            <w:r>
              <w:rPr>
                <w:rFonts w:ascii="Arial" w:cs="Arial" w:eastAsia="Arial" w:hAnsi="Arial"/>
                <w:sz w:val="14"/>
                <w:szCs w:val="14"/>
                <w:color w:val="auto"/>
              </w:rPr>
              <w:t>382,250</w:t>
            </w:r>
          </w:p>
        </w:tc>
        <w:tc>
          <w:tcPr>
            <w:tcW w:w="88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007CBA"/>
            </w:tcBorders>
            <w:shd w:val="clear" w:color="auto" w:fill="E5F1F8"/>
          </w:tcPr>
          <w:p>
            <w:pPr>
              <w:jc w:val="right"/>
              <w:ind w:right="29"/>
              <w:spacing w:after="0"/>
              <w:rPr>
                <w:sz w:val="20"/>
                <w:szCs w:val="20"/>
                <w:color w:val="auto"/>
              </w:rPr>
            </w:pPr>
            <w:r>
              <w:rPr>
                <w:rFonts w:ascii="Arial" w:cs="Arial" w:eastAsia="Arial" w:hAnsi="Arial"/>
                <w:sz w:val="14"/>
                <w:szCs w:val="14"/>
                <w:color w:val="auto"/>
              </w:rPr>
              <w:t>1,044,225</w:t>
            </w:r>
          </w:p>
        </w:tc>
        <w:tc>
          <w:tcPr>
            <w:tcW w:w="740" w:type="dxa"/>
            <w:vAlign w:val="bottom"/>
            <w:tcBorders>
              <w:right w:val="single" w:sz="8" w:color="007CBA"/>
            </w:tcBorders>
            <w:vMerge w:val="restart"/>
            <w:shd w:val="clear" w:color="auto" w:fill="E5F1F8"/>
          </w:tcPr>
          <w:p>
            <w:pPr>
              <w:jc w:val="right"/>
              <w:ind w:right="29"/>
              <w:spacing w:after="0"/>
              <w:rPr>
                <w:sz w:val="20"/>
                <w:szCs w:val="20"/>
                <w:color w:val="auto"/>
              </w:rPr>
            </w:pPr>
            <w:r>
              <w:rPr>
                <w:rFonts w:ascii="Arial" w:cs="Arial" w:eastAsia="Arial" w:hAnsi="Arial"/>
                <w:sz w:val="14"/>
                <w:szCs w:val="14"/>
                <w:color w:val="auto"/>
              </w:rPr>
              <w:t>—</w:t>
            </w:r>
          </w:p>
        </w:tc>
        <w:tc>
          <w:tcPr>
            <w:tcW w:w="1180" w:type="dxa"/>
            <w:vAlign w:val="bottom"/>
            <w:tcBorders>
              <w:right w:val="single" w:sz="8" w:color="007CBA"/>
            </w:tcBorders>
            <w:shd w:val="clear" w:color="auto" w:fill="E5F1F8"/>
          </w:tcPr>
          <w:p>
            <w:pPr>
              <w:jc w:val="right"/>
              <w:ind w:right="29"/>
              <w:spacing w:after="0"/>
              <w:rPr>
                <w:sz w:val="20"/>
                <w:szCs w:val="20"/>
                <w:color w:val="auto"/>
              </w:rPr>
            </w:pPr>
            <w:r>
              <w:rPr>
                <w:rFonts w:ascii="Arial" w:cs="Arial" w:eastAsia="Arial" w:hAnsi="Arial"/>
                <w:sz w:val="14"/>
                <w:szCs w:val="14"/>
                <w:color w:val="auto"/>
              </w:rPr>
              <w:t>321,090</w:t>
            </w:r>
          </w:p>
        </w:tc>
        <w:tc>
          <w:tcPr>
            <w:tcW w:w="1200" w:type="dxa"/>
            <w:vAlign w:val="bottom"/>
            <w:tcBorders>
              <w:right w:val="single" w:sz="8" w:color="007CBA"/>
            </w:tcBorders>
            <w:vMerge w:val="restart"/>
            <w:shd w:val="clear" w:color="auto" w:fill="E5F1F8"/>
          </w:tcPr>
          <w:p>
            <w:pPr>
              <w:jc w:val="right"/>
              <w:ind w:right="29"/>
              <w:spacing w:after="0"/>
              <w:rPr>
                <w:sz w:val="20"/>
                <w:szCs w:val="20"/>
                <w:color w:val="auto"/>
              </w:rPr>
            </w:pPr>
            <w:r>
              <w:rPr>
                <w:rFonts w:ascii="Arial" w:cs="Arial" w:eastAsia="Arial" w:hAnsi="Arial"/>
                <w:sz w:val="14"/>
                <w:szCs w:val="14"/>
                <w:color w:val="auto"/>
              </w:rPr>
              <w:t>292,574</w:t>
            </w:r>
          </w:p>
        </w:tc>
        <w:tc>
          <w:tcPr>
            <w:tcW w:w="1180" w:type="dxa"/>
            <w:vAlign w:val="bottom"/>
            <w:tcBorders>
              <w:right w:val="single" w:sz="8" w:color="007CBA"/>
            </w:tcBorders>
            <w:shd w:val="clear" w:color="auto" w:fill="E5F1F8"/>
          </w:tcPr>
          <w:p>
            <w:pPr>
              <w:jc w:val="right"/>
              <w:ind w:right="29"/>
              <w:spacing w:after="0"/>
              <w:rPr>
                <w:sz w:val="20"/>
                <w:szCs w:val="20"/>
                <w:color w:val="auto"/>
              </w:rPr>
            </w:pPr>
            <w:r>
              <w:rPr>
                <w:rFonts w:ascii="Arial" w:cs="Arial" w:eastAsia="Arial" w:hAnsi="Arial"/>
                <w:sz w:val="14"/>
                <w:szCs w:val="14"/>
                <w:color w:val="auto"/>
              </w:rPr>
              <w:t>51,251</w:t>
            </w:r>
          </w:p>
        </w:tc>
        <w:tc>
          <w:tcPr>
            <w:tcW w:w="860" w:type="dxa"/>
            <w:vAlign w:val="bottom"/>
            <w:vMerge w:val="restart"/>
            <w:shd w:val="clear" w:color="auto" w:fill="E5F1F8"/>
          </w:tcPr>
          <w:p>
            <w:pPr>
              <w:jc w:val="right"/>
              <w:ind w:right="28"/>
              <w:spacing w:after="0"/>
              <w:rPr>
                <w:sz w:val="20"/>
                <w:szCs w:val="20"/>
                <w:color w:val="auto"/>
              </w:rPr>
            </w:pPr>
            <w:r>
              <w:rPr>
                <w:rFonts w:ascii="Arial" w:cs="Arial" w:eastAsia="Arial" w:hAnsi="Arial"/>
                <w:sz w:val="14"/>
                <w:szCs w:val="14"/>
                <w:color w:val="auto"/>
              </w:rPr>
              <w:t>2,091,390</w:t>
            </w:r>
          </w:p>
        </w:tc>
        <w:tc>
          <w:tcPr>
            <w:tcW w:w="0" w:type="dxa"/>
            <w:vAlign w:val="bottom"/>
          </w:tcPr>
          <w:p>
            <w:pPr>
              <w:spacing w:after="0"/>
              <w:rPr>
                <w:sz w:val="1"/>
                <w:szCs w:val="1"/>
                <w:color w:val="auto"/>
              </w:rPr>
            </w:pPr>
          </w:p>
        </w:tc>
      </w:tr>
      <w:tr>
        <w:trPr>
          <w:trHeight w:val="54"/>
        </w:trPr>
        <w:tc>
          <w:tcPr>
            <w:tcW w:w="2720" w:type="dxa"/>
            <w:vAlign w:val="bottom"/>
            <w:tcBorders>
              <w:right w:val="single" w:sz="8" w:color="007CBA"/>
            </w:tcBorders>
            <w:vMerge w:val="continue"/>
            <w:shd w:val="clear" w:color="auto" w:fill="E5F1F8"/>
          </w:tcPr>
          <w:p>
            <w:pPr>
              <w:spacing w:after="0"/>
              <w:rPr>
                <w:sz w:val="4"/>
                <w:szCs w:val="4"/>
                <w:color w:val="auto"/>
              </w:rPr>
            </w:pPr>
          </w:p>
        </w:tc>
        <w:tc>
          <w:tcPr>
            <w:tcW w:w="80" w:type="dxa"/>
            <w:vAlign w:val="bottom"/>
            <w:shd w:val="clear" w:color="auto" w:fill="E5F1F8"/>
          </w:tcPr>
          <w:p>
            <w:pPr>
              <w:spacing w:after="0"/>
              <w:rPr>
                <w:sz w:val="4"/>
                <w:szCs w:val="4"/>
                <w:color w:val="auto"/>
              </w:rPr>
            </w:pPr>
          </w:p>
        </w:tc>
        <w:tc>
          <w:tcPr>
            <w:tcW w:w="40" w:type="dxa"/>
            <w:vAlign w:val="bottom"/>
            <w:shd w:val="clear" w:color="auto" w:fill="E5F1F8"/>
          </w:tcPr>
          <w:p>
            <w:pPr>
              <w:spacing w:after="0"/>
              <w:rPr>
                <w:sz w:val="4"/>
                <w:szCs w:val="4"/>
                <w:color w:val="auto"/>
              </w:rPr>
            </w:pPr>
          </w:p>
        </w:tc>
        <w:tc>
          <w:tcPr>
            <w:tcW w:w="420" w:type="dxa"/>
            <w:vAlign w:val="bottom"/>
            <w:tcBorders>
              <w:right w:val="single" w:sz="8" w:color="007CBA"/>
            </w:tcBorders>
            <w:shd w:val="clear" w:color="auto" w:fill="E5F1F8"/>
          </w:tcPr>
          <w:p>
            <w:pPr>
              <w:spacing w:after="0"/>
              <w:rPr>
                <w:sz w:val="4"/>
                <w:szCs w:val="4"/>
                <w:color w:val="auto"/>
              </w:rPr>
            </w:pPr>
          </w:p>
        </w:tc>
        <w:tc>
          <w:tcPr>
            <w:tcW w:w="860" w:type="dxa"/>
            <w:vAlign w:val="bottom"/>
            <w:tcBorders>
              <w:right w:val="single" w:sz="8" w:color="007CBA"/>
            </w:tcBorders>
            <w:shd w:val="clear" w:color="auto" w:fill="E5F1F8"/>
          </w:tcPr>
          <w:p>
            <w:pPr>
              <w:spacing w:after="0"/>
              <w:rPr>
                <w:sz w:val="4"/>
                <w:szCs w:val="4"/>
                <w:color w:val="auto"/>
              </w:rPr>
            </w:pPr>
          </w:p>
        </w:tc>
        <w:tc>
          <w:tcPr>
            <w:tcW w:w="880" w:type="dxa"/>
            <w:vAlign w:val="bottom"/>
            <w:tcBorders>
              <w:right w:val="single" w:sz="8" w:color="007CBA"/>
            </w:tcBorders>
            <w:shd w:val="clear" w:color="auto" w:fill="E5F1F8"/>
          </w:tcPr>
          <w:p>
            <w:pPr>
              <w:spacing w:after="0"/>
              <w:rPr>
                <w:sz w:val="4"/>
                <w:szCs w:val="4"/>
                <w:color w:val="auto"/>
              </w:rPr>
            </w:pPr>
          </w:p>
        </w:tc>
        <w:tc>
          <w:tcPr>
            <w:tcW w:w="860" w:type="dxa"/>
            <w:vAlign w:val="bottom"/>
            <w:tcBorders>
              <w:right w:val="single" w:sz="8" w:color="007CBA"/>
            </w:tcBorders>
            <w:shd w:val="clear" w:color="auto" w:fill="E5F1F8"/>
          </w:tcPr>
          <w:p>
            <w:pPr>
              <w:spacing w:after="0"/>
              <w:rPr>
                <w:sz w:val="4"/>
                <w:szCs w:val="4"/>
                <w:color w:val="auto"/>
              </w:rPr>
            </w:pPr>
          </w:p>
        </w:tc>
        <w:tc>
          <w:tcPr>
            <w:tcW w:w="740" w:type="dxa"/>
            <w:vAlign w:val="bottom"/>
            <w:tcBorders>
              <w:right w:val="single" w:sz="8" w:color="007CBA"/>
            </w:tcBorders>
            <w:vMerge w:val="continue"/>
            <w:shd w:val="clear" w:color="auto" w:fill="E5F1F8"/>
          </w:tcPr>
          <w:p>
            <w:pPr>
              <w:spacing w:after="0"/>
              <w:rPr>
                <w:sz w:val="4"/>
                <w:szCs w:val="4"/>
                <w:color w:val="auto"/>
              </w:rPr>
            </w:pPr>
          </w:p>
        </w:tc>
        <w:tc>
          <w:tcPr>
            <w:tcW w:w="1180" w:type="dxa"/>
            <w:vAlign w:val="bottom"/>
            <w:tcBorders>
              <w:right w:val="single" w:sz="8" w:color="007CBA"/>
            </w:tcBorders>
            <w:shd w:val="clear" w:color="auto" w:fill="E5F1F8"/>
          </w:tcPr>
          <w:p>
            <w:pPr>
              <w:spacing w:after="0"/>
              <w:rPr>
                <w:sz w:val="4"/>
                <w:szCs w:val="4"/>
                <w:color w:val="auto"/>
              </w:rPr>
            </w:pPr>
          </w:p>
        </w:tc>
        <w:tc>
          <w:tcPr>
            <w:tcW w:w="1200" w:type="dxa"/>
            <w:vAlign w:val="bottom"/>
            <w:tcBorders>
              <w:right w:val="single" w:sz="8" w:color="007CBA"/>
            </w:tcBorders>
            <w:vMerge w:val="continue"/>
            <w:shd w:val="clear" w:color="auto" w:fill="E5F1F8"/>
          </w:tcPr>
          <w:p>
            <w:pPr>
              <w:spacing w:after="0"/>
              <w:rPr>
                <w:sz w:val="4"/>
                <w:szCs w:val="4"/>
                <w:color w:val="auto"/>
              </w:rPr>
            </w:pPr>
          </w:p>
        </w:tc>
        <w:tc>
          <w:tcPr>
            <w:tcW w:w="1180" w:type="dxa"/>
            <w:vAlign w:val="bottom"/>
            <w:tcBorders>
              <w:right w:val="single" w:sz="8" w:color="007CBA"/>
            </w:tcBorders>
            <w:shd w:val="clear" w:color="auto" w:fill="E5F1F8"/>
          </w:tcPr>
          <w:p>
            <w:pPr>
              <w:spacing w:after="0"/>
              <w:rPr>
                <w:sz w:val="4"/>
                <w:szCs w:val="4"/>
                <w:color w:val="auto"/>
              </w:rPr>
            </w:pPr>
          </w:p>
        </w:tc>
        <w:tc>
          <w:tcPr>
            <w:tcW w:w="860" w:type="dxa"/>
            <w:vAlign w:val="bottom"/>
            <w:vMerge w:val="continue"/>
            <w:shd w:val="clear" w:color="auto" w:fill="E5F1F8"/>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720" w:type="dxa"/>
            <w:vAlign w:val="bottom"/>
            <w:tcBorders>
              <w:right w:val="single" w:sz="8" w:color="007CBA"/>
            </w:tcBorders>
            <w:vMerge w:val="continue"/>
            <w:shd w:val="clear" w:color="auto" w:fill="E5F1F8"/>
          </w:tcPr>
          <w:p>
            <w:pPr>
              <w:spacing w:after="0" w:line="20" w:lineRule="exact"/>
              <w:rPr>
                <w:sz w:val="1"/>
                <w:szCs w:val="1"/>
                <w:color w:val="auto"/>
              </w:rPr>
            </w:pPr>
          </w:p>
        </w:tc>
        <w:tc>
          <w:tcPr>
            <w:tcW w:w="80" w:type="dxa"/>
            <w:vAlign w:val="bottom"/>
            <w:shd w:val="clear" w:color="auto" w:fill="E5F1F8"/>
          </w:tcPr>
          <w:p>
            <w:pPr>
              <w:spacing w:after="0" w:line="20" w:lineRule="exact"/>
              <w:rPr>
                <w:sz w:val="1"/>
                <w:szCs w:val="1"/>
                <w:color w:val="auto"/>
              </w:rPr>
            </w:pPr>
          </w:p>
        </w:tc>
        <w:tc>
          <w:tcPr>
            <w:tcW w:w="40" w:type="dxa"/>
            <w:vAlign w:val="bottom"/>
            <w:shd w:val="clear" w:color="auto" w:fill="E5F1F8"/>
          </w:tcPr>
          <w:p>
            <w:pPr>
              <w:spacing w:after="0" w:line="20" w:lineRule="exact"/>
              <w:rPr>
                <w:sz w:val="1"/>
                <w:szCs w:val="1"/>
                <w:color w:val="auto"/>
              </w:rPr>
            </w:pPr>
          </w:p>
        </w:tc>
        <w:tc>
          <w:tcPr>
            <w:tcW w:w="420" w:type="dxa"/>
            <w:vAlign w:val="bottom"/>
            <w:tcBorders>
              <w:right w:val="single" w:sz="8" w:color="007CBA"/>
            </w:tcBorders>
            <w:vMerge w:val="restart"/>
            <w:shd w:val="clear" w:color="auto" w:fill="E5F1F8"/>
          </w:tcPr>
          <w:p>
            <w:pPr>
              <w:spacing w:after="0"/>
              <w:rPr>
                <w:sz w:val="20"/>
                <w:szCs w:val="20"/>
                <w:color w:val="auto"/>
              </w:rPr>
            </w:pPr>
            <w:r>
              <w:rPr>
                <w:rFonts w:ascii="Arial" w:cs="Arial" w:eastAsia="Arial" w:hAnsi="Arial"/>
                <w:sz w:val="14"/>
                <w:szCs w:val="14"/>
                <w:color w:val="auto"/>
              </w:rPr>
              <w:t>2016</w:t>
            </w:r>
          </w:p>
        </w:tc>
        <w:tc>
          <w:tcPr>
            <w:tcW w:w="860" w:type="dxa"/>
            <w:vAlign w:val="bottom"/>
            <w:tcBorders>
              <w:right w:val="single" w:sz="8" w:color="007CBA"/>
            </w:tcBorders>
            <w:vMerge w:val="restart"/>
            <w:shd w:val="clear" w:color="auto" w:fill="E5F1F8"/>
          </w:tcPr>
          <w:p>
            <w:pPr>
              <w:jc w:val="right"/>
              <w:ind w:right="28"/>
              <w:spacing w:after="0"/>
              <w:rPr>
                <w:sz w:val="20"/>
                <w:szCs w:val="20"/>
                <w:color w:val="auto"/>
              </w:rPr>
            </w:pPr>
            <w:r>
              <w:rPr>
                <w:rFonts w:ascii="Arial" w:cs="Arial" w:eastAsia="Arial" w:hAnsi="Arial"/>
                <w:sz w:val="14"/>
                <w:szCs w:val="14"/>
                <w:color w:val="auto"/>
              </w:rPr>
              <w:t>370,050</w:t>
            </w:r>
          </w:p>
        </w:tc>
        <w:tc>
          <w:tcPr>
            <w:tcW w:w="880" w:type="dxa"/>
            <w:vAlign w:val="bottom"/>
            <w:tcBorders>
              <w:right w:val="single" w:sz="8" w:color="007CBA"/>
            </w:tcBorders>
            <w:vMerge w:val="restart"/>
            <w:shd w:val="clear" w:color="auto" w:fill="E5F1F8"/>
          </w:tcPr>
          <w:p>
            <w:pPr>
              <w:jc w:val="right"/>
              <w:ind w:right="49"/>
              <w:spacing w:after="0"/>
              <w:rPr>
                <w:sz w:val="20"/>
                <w:szCs w:val="20"/>
                <w:color w:val="auto"/>
              </w:rPr>
            </w:pPr>
            <w:r>
              <w:rPr>
                <w:rFonts w:ascii="Arial" w:cs="Arial" w:eastAsia="Arial" w:hAnsi="Arial"/>
                <w:sz w:val="14"/>
                <w:szCs w:val="14"/>
                <w:color w:val="auto"/>
              </w:rPr>
              <w:t>323,276</w:t>
            </w:r>
          </w:p>
        </w:tc>
        <w:tc>
          <w:tcPr>
            <w:tcW w:w="860" w:type="dxa"/>
            <w:vAlign w:val="bottom"/>
            <w:tcBorders>
              <w:right w:val="single" w:sz="8" w:color="007CBA"/>
            </w:tcBorders>
            <w:vMerge w:val="restart"/>
            <w:shd w:val="clear" w:color="auto" w:fill="E5F1F8"/>
          </w:tcPr>
          <w:p>
            <w:pPr>
              <w:jc w:val="right"/>
              <w:ind w:right="29"/>
              <w:spacing w:after="0"/>
              <w:rPr>
                <w:sz w:val="20"/>
                <w:szCs w:val="20"/>
                <w:color w:val="auto"/>
              </w:rPr>
            </w:pPr>
            <w:r>
              <w:rPr>
                <w:rFonts w:ascii="Arial" w:cs="Arial" w:eastAsia="Arial" w:hAnsi="Arial"/>
                <w:sz w:val="14"/>
                <w:szCs w:val="14"/>
                <w:color w:val="auto"/>
              </w:rPr>
              <w:t>629,840</w:t>
            </w:r>
          </w:p>
        </w:tc>
        <w:tc>
          <w:tcPr>
            <w:tcW w:w="740" w:type="dxa"/>
            <w:vAlign w:val="bottom"/>
            <w:tcBorders>
              <w:right w:val="single" w:sz="8" w:color="007CBA"/>
            </w:tcBorders>
            <w:shd w:val="clear" w:color="auto" w:fill="E5F1F8"/>
          </w:tcPr>
          <w:p>
            <w:pPr>
              <w:spacing w:after="0" w:line="20" w:lineRule="exact"/>
              <w:rPr>
                <w:sz w:val="1"/>
                <w:szCs w:val="1"/>
                <w:color w:val="auto"/>
              </w:rPr>
            </w:pPr>
          </w:p>
        </w:tc>
        <w:tc>
          <w:tcPr>
            <w:tcW w:w="1180" w:type="dxa"/>
            <w:vAlign w:val="bottom"/>
            <w:tcBorders>
              <w:right w:val="single" w:sz="8" w:color="007CBA"/>
            </w:tcBorders>
            <w:shd w:val="clear" w:color="auto" w:fill="E5F1F8"/>
          </w:tcPr>
          <w:p>
            <w:pPr>
              <w:spacing w:after="0" w:line="20" w:lineRule="exact"/>
              <w:rPr>
                <w:sz w:val="1"/>
                <w:szCs w:val="1"/>
                <w:color w:val="auto"/>
              </w:rPr>
            </w:pPr>
          </w:p>
        </w:tc>
        <w:tc>
          <w:tcPr>
            <w:tcW w:w="1200" w:type="dxa"/>
            <w:vAlign w:val="bottom"/>
            <w:tcBorders>
              <w:right w:val="single" w:sz="8" w:color="007CBA"/>
            </w:tcBorders>
            <w:vMerge w:val="restart"/>
            <w:shd w:val="clear" w:color="auto" w:fill="E5F1F8"/>
          </w:tcPr>
          <w:p>
            <w:pPr>
              <w:jc w:val="right"/>
              <w:ind w:right="29"/>
              <w:spacing w:after="0"/>
              <w:rPr>
                <w:sz w:val="20"/>
                <w:szCs w:val="20"/>
                <w:color w:val="auto"/>
              </w:rPr>
            </w:pPr>
            <w:r>
              <w:rPr>
                <w:rFonts w:ascii="Arial" w:cs="Arial" w:eastAsia="Arial" w:hAnsi="Arial"/>
                <w:sz w:val="14"/>
                <w:szCs w:val="14"/>
                <w:color w:val="auto"/>
              </w:rPr>
              <w:t>160,803</w:t>
            </w:r>
          </w:p>
        </w:tc>
        <w:tc>
          <w:tcPr>
            <w:tcW w:w="1180" w:type="dxa"/>
            <w:vAlign w:val="bottom"/>
            <w:tcBorders>
              <w:right w:val="single" w:sz="8" w:color="007CBA"/>
            </w:tcBorders>
            <w:vMerge w:val="restart"/>
            <w:shd w:val="clear" w:color="auto" w:fill="E5F1F8"/>
          </w:tcPr>
          <w:p>
            <w:pPr>
              <w:jc w:val="right"/>
              <w:ind w:right="29"/>
              <w:spacing w:after="0"/>
              <w:rPr>
                <w:sz w:val="20"/>
                <w:szCs w:val="20"/>
                <w:color w:val="auto"/>
              </w:rPr>
            </w:pPr>
            <w:r>
              <w:rPr>
                <w:rFonts w:ascii="Arial" w:cs="Arial" w:eastAsia="Arial" w:hAnsi="Arial"/>
                <w:sz w:val="14"/>
                <w:szCs w:val="14"/>
                <w:color w:val="auto"/>
              </w:rPr>
              <w:t>71,038</w:t>
            </w:r>
          </w:p>
        </w:tc>
        <w:tc>
          <w:tcPr>
            <w:tcW w:w="860" w:type="dxa"/>
            <w:vAlign w:val="bottom"/>
            <w:vMerge w:val="restart"/>
            <w:shd w:val="clear" w:color="auto" w:fill="E5F1F8"/>
          </w:tcPr>
          <w:p>
            <w:pPr>
              <w:jc w:val="right"/>
              <w:ind w:right="28"/>
              <w:spacing w:after="0"/>
              <w:rPr>
                <w:sz w:val="20"/>
                <w:szCs w:val="20"/>
                <w:color w:val="auto"/>
              </w:rPr>
            </w:pPr>
            <w:r>
              <w:rPr>
                <w:rFonts w:ascii="Arial" w:cs="Arial" w:eastAsia="Arial" w:hAnsi="Arial"/>
                <w:sz w:val="14"/>
                <w:szCs w:val="14"/>
                <w:color w:val="auto"/>
              </w:rPr>
              <w:t>1,555,007</w:t>
            </w:r>
          </w:p>
        </w:tc>
        <w:tc>
          <w:tcPr>
            <w:tcW w:w="0" w:type="dxa"/>
            <w:vAlign w:val="bottom"/>
          </w:tcPr>
          <w:p>
            <w:pPr>
              <w:spacing w:after="0" w:line="20" w:lineRule="exact"/>
              <w:rPr>
                <w:sz w:val="1"/>
                <w:szCs w:val="1"/>
                <w:color w:val="auto"/>
              </w:rPr>
            </w:pPr>
          </w:p>
        </w:tc>
      </w:tr>
      <w:tr>
        <w:trPr>
          <w:trHeight w:val="180"/>
        </w:trPr>
        <w:tc>
          <w:tcPr>
            <w:tcW w:w="272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color w:val="auto"/>
              </w:rPr>
              <w:t>Senior Vice President,</w:t>
            </w:r>
          </w:p>
        </w:tc>
        <w:tc>
          <w:tcPr>
            <w:tcW w:w="80" w:type="dxa"/>
            <w:vAlign w:val="bottom"/>
            <w:shd w:val="clear" w:color="auto" w:fill="E5F1F8"/>
          </w:tcPr>
          <w:p>
            <w:pPr>
              <w:spacing w:after="0"/>
              <w:rPr>
                <w:sz w:val="15"/>
                <w:szCs w:val="15"/>
                <w:color w:val="auto"/>
              </w:rPr>
            </w:pPr>
          </w:p>
        </w:tc>
        <w:tc>
          <w:tcPr>
            <w:tcW w:w="40" w:type="dxa"/>
            <w:vAlign w:val="bottom"/>
            <w:shd w:val="clear" w:color="auto" w:fill="E5F1F8"/>
          </w:tcPr>
          <w:p>
            <w:pPr>
              <w:spacing w:after="0"/>
              <w:rPr>
                <w:sz w:val="15"/>
                <w:szCs w:val="15"/>
                <w:color w:val="auto"/>
              </w:rPr>
            </w:pPr>
          </w:p>
        </w:tc>
        <w:tc>
          <w:tcPr>
            <w:tcW w:w="420" w:type="dxa"/>
            <w:vAlign w:val="bottom"/>
            <w:tcBorders>
              <w:right w:val="single" w:sz="8" w:color="007CBA"/>
            </w:tcBorders>
            <w:vMerge w:val="continue"/>
            <w:shd w:val="clear" w:color="auto" w:fill="E5F1F8"/>
          </w:tcPr>
          <w:p>
            <w:pPr>
              <w:spacing w:after="0"/>
              <w:rPr>
                <w:sz w:val="15"/>
                <w:szCs w:val="15"/>
                <w:color w:val="auto"/>
              </w:rPr>
            </w:pPr>
          </w:p>
        </w:tc>
        <w:tc>
          <w:tcPr>
            <w:tcW w:w="860" w:type="dxa"/>
            <w:vAlign w:val="bottom"/>
            <w:tcBorders>
              <w:right w:val="single" w:sz="8" w:color="007CBA"/>
            </w:tcBorders>
            <w:vMerge w:val="continue"/>
            <w:shd w:val="clear" w:color="auto" w:fill="E5F1F8"/>
          </w:tcPr>
          <w:p>
            <w:pPr>
              <w:spacing w:after="0"/>
              <w:rPr>
                <w:sz w:val="15"/>
                <w:szCs w:val="15"/>
                <w:color w:val="auto"/>
              </w:rPr>
            </w:pPr>
          </w:p>
        </w:tc>
        <w:tc>
          <w:tcPr>
            <w:tcW w:w="880" w:type="dxa"/>
            <w:vAlign w:val="bottom"/>
            <w:tcBorders>
              <w:right w:val="single" w:sz="8" w:color="007CBA"/>
            </w:tcBorders>
            <w:vMerge w:val="continue"/>
            <w:shd w:val="clear" w:color="auto" w:fill="E5F1F8"/>
          </w:tcPr>
          <w:p>
            <w:pPr>
              <w:spacing w:after="0"/>
              <w:rPr>
                <w:sz w:val="15"/>
                <w:szCs w:val="15"/>
                <w:color w:val="auto"/>
              </w:rPr>
            </w:pPr>
          </w:p>
        </w:tc>
        <w:tc>
          <w:tcPr>
            <w:tcW w:w="860" w:type="dxa"/>
            <w:vAlign w:val="bottom"/>
            <w:tcBorders>
              <w:right w:val="single" w:sz="8" w:color="007CBA"/>
            </w:tcBorders>
            <w:vMerge w:val="continue"/>
            <w:shd w:val="clear" w:color="auto" w:fill="E5F1F8"/>
          </w:tcPr>
          <w:p>
            <w:pPr>
              <w:spacing w:after="0"/>
              <w:rPr>
                <w:sz w:val="15"/>
                <w:szCs w:val="15"/>
                <w:color w:val="auto"/>
              </w:rPr>
            </w:pPr>
          </w:p>
        </w:tc>
        <w:tc>
          <w:tcPr>
            <w:tcW w:w="740" w:type="dxa"/>
            <w:vAlign w:val="bottom"/>
            <w:tcBorders>
              <w:right w:val="single" w:sz="8" w:color="007CBA"/>
            </w:tcBorders>
            <w:shd w:val="clear" w:color="auto" w:fill="E5F1F8"/>
          </w:tcPr>
          <w:p>
            <w:pPr>
              <w:jc w:val="right"/>
              <w:ind w:right="29"/>
              <w:spacing w:after="0"/>
              <w:rPr>
                <w:sz w:val="20"/>
                <w:szCs w:val="20"/>
                <w:color w:val="auto"/>
              </w:rPr>
            </w:pPr>
            <w:r>
              <w:rPr>
                <w:rFonts w:ascii="Arial" w:cs="Arial" w:eastAsia="Arial" w:hAnsi="Arial"/>
                <w:sz w:val="14"/>
                <w:szCs w:val="14"/>
                <w:color w:val="auto"/>
              </w:rPr>
              <w:t>—</w:t>
            </w:r>
          </w:p>
        </w:tc>
        <w:tc>
          <w:tcPr>
            <w:tcW w:w="1180" w:type="dxa"/>
            <w:vAlign w:val="bottom"/>
            <w:tcBorders>
              <w:right w:val="single" w:sz="8" w:color="007CBA"/>
            </w:tcBorders>
            <w:shd w:val="clear" w:color="auto" w:fill="E5F1F8"/>
          </w:tcPr>
          <w:p>
            <w:pPr>
              <w:spacing w:after="0"/>
              <w:rPr>
                <w:sz w:val="15"/>
                <w:szCs w:val="15"/>
                <w:color w:val="auto"/>
              </w:rPr>
            </w:pPr>
          </w:p>
        </w:tc>
        <w:tc>
          <w:tcPr>
            <w:tcW w:w="1200" w:type="dxa"/>
            <w:vAlign w:val="bottom"/>
            <w:tcBorders>
              <w:right w:val="single" w:sz="8" w:color="007CBA"/>
            </w:tcBorders>
            <w:vMerge w:val="continue"/>
            <w:shd w:val="clear" w:color="auto" w:fill="E5F1F8"/>
          </w:tcPr>
          <w:p>
            <w:pPr>
              <w:spacing w:after="0"/>
              <w:rPr>
                <w:sz w:val="15"/>
                <w:szCs w:val="15"/>
                <w:color w:val="auto"/>
              </w:rPr>
            </w:pPr>
          </w:p>
        </w:tc>
        <w:tc>
          <w:tcPr>
            <w:tcW w:w="1180" w:type="dxa"/>
            <w:vAlign w:val="bottom"/>
            <w:tcBorders>
              <w:right w:val="single" w:sz="8" w:color="007CBA"/>
            </w:tcBorders>
            <w:vMerge w:val="continue"/>
            <w:shd w:val="clear" w:color="auto" w:fill="E5F1F8"/>
          </w:tcPr>
          <w:p>
            <w:pPr>
              <w:spacing w:after="0"/>
              <w:rPr>
                <w:sz w:val="15"/>
                <w:szCs w:val="15"/>
                <w:color w:val="auto"/>
              </w:rPr>
            </w:pPr>
          </w:p>
        </w:tc>
        <w:tc>
          <w:tcPr>
            <w:tcW w:w="860" w:type="dxa"/>
            <w:vAlign w:val="bottom"/>
            <w:vMerge w:val="continue"/>
            <w:shd w:val="clear" w:color="auto" w:fill="E5F1F8"/>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72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color w:val="auto"/>
              </w:rPr>
              <w:t>Human Resources</w:t>
            </w:r>
          </w:p>
        </w:tc>
        <w:tc>
          <w:tcPr>
            <w:tcW w:w="80" w:type="dxa"/>
            <w:vAlign w:val="bottom"/>
            <w:shd w:val="clear" w:color="auto" w:fill="E5F1F8"/>
          </w:tcPr>
          <w:p>
            <w:pPr>
              <w:spacing w:after="0"/>
              <w:rPr>
                <w:sz w:val="16"/>
                <w:szCs w:val="16"/>
                <w:color w:val="auto"/>
              </w:rPr>
            </w:pPr>
          </w:p>
        </w:tc>
        <w:tc>
          <w:tcPr>
            <w:tcW w:w="40" w:type="dxa"/>
            <w:vAlign w:val="bottom"/>
            <w:shd w:val="clear" w:color="auto" w:fill="E5F1F8"/>
          </w:tcPr>
          <w:p>
            <w:pPr>
              <w:spacing w:after="0"/>
              <w:rPr>
                <w:sz w:val="16"/>
                <w:szCs w:val="16"/>
                <w:color w:val="auto"/>
              </w:rPr>
            </w:pPr>
          </w:p>
        </w:tc>
        <w:tc>
          <w:tcPr>
            <w:tcW w:w="420" w:type="dxa"/>
            <w:vAlign w:val="bottom"/>
            <w:tcBorders>
              <w:right w:val="single" w:sz="8" w:color="007CBA"/>
            </w:tcBorders>
            <w:vMerge w:val="restart"/>
            <w:shd w:val="clear" w:color="auto" w:fill="E5F1F8"/>
          </w:tcPr>
          <w:p>
            <w:pPr>
              <w:spacing w:after="0"/>
              <w:rPr>
                <w:sz w:val="20"/>
                <w:szCs w:val="20"/>
                <w:color w:val="auto"/>
              </w:rPr>
            </w:pPr>
            <w:r>
              <w:rPr>
                <w:rFonts w:ascii="Arial" w:cs="Arial" w:eastAsia="Arial" w:hAnsi="Arial"/>
                <w:sz w:val="14"/>
                <w:szCs w:val="14"/>
                <w:color w:val="auto"/>
              </w:rPr>
              <w:t>2015</w:t>
            </w:r>
          </w:p>
        </w:tc>
        <w:tc>
          <w:tcPr>
            <w:tcW w:w="860" w:type="dxa"/>
            <w:vAlign w:val="bottom"/>
            <w:tcBorders>
              <w:right w:val="single" w:sz="8" w:color="007CBA"/>
            </w:tcBorders>
            <w:vMerge w:val="restart"/>
            <w:shd w:val="clear" w:color="auto" w:fill="E5F1F8"/>
          </w:tcPr>
          <w:p>
            <w:pPr>
              <w:jc w:val="right"/>
              <w:ind w:right="28"/>
              <w:spacing w:after="0"/>
              <w:rPr>
                <w:sz w:val="20"/>
                <w:szCs w:val="20"/>
                <w:color w:val="auto"/>
              </w:rPr>
            </w:pPr>
            <w:r>
              <w:rPr>
                <w:rFonts w:ascii="Arial" w:cs="Arial" w:eastAsia="Arial" w:hAnsi="Arial"/>
                <w:sz w:val="14"/>
                <w:szCs w:val="14"/>
                <w:color w:val="auto"/>
              </w:rPr>
              <w:t>359,425</w:t>
            </w:r>
          </w:p>
        </w:tc>
        <w:tc>
          <w:tcPr>
            <w:tcW w:w="880" w:type="dxa"/>
            <w:vAlign w:val="bottom"/>
            <w:tcBorders>
              <w:right w:val="single" w:sz="8" w:color="007CBA"/>
            </w:tcBorders>
            <w:vMerge w:val="restart"/>
            <w:shd w:val="clear" w:color="auto" w:fill="E5F1F8"/>
          </w:tcPr>
          <w:p>
            <w:pPr>
              <w:jc w:val="right"/>
              <w:ind w:right="49"/>
              <w:spacing w:after="0"/>
              <w:rPr>
                <w:sz w:val="20"/>
                <w:szCs w:val="20"/>
                <w:color w:val="auto"/>
              </w:rPr>
            </w:pPr>
            <w:r>
              <w:rPr>
                <w:rFonts w:ascii="Arial" w:cs="Arial" w:eastAsia="Arial" w:hAnsi="Arial"/>
                <w:sz w:val="14"/>
                <w:szCs w:val="14"/>
                <w:color w:val="auto"/>
              </w:rPr>
              <w:t>191,214</w:t>
            </w:r>
          </w:p>
        </w:tc>
        <w:tc>
          <w:tcPr>
            <w:tcW w:w="860" w:type="dxa"/>
            <w:vAlign w:val="bottom"/>
            <w:tcBorders>
              <w:right w:val="single" w:sz="8" w:color="007CBA"/>
            </w:tcBorders>
            <w:vMerge w:val="restart"/>
            <w:shd w:val="clear" w:color="auto" w:fill="E5F1F8"/>
          </w:tcPr>
          <w:p>
            <w:pPr>
              <w:jc w:val="right"/>
              <w:ind w:right="29"/>
              <w:spacing w:after="0"/>
              <w:rPr>
                <w:sz w:val="20"/>
                <w:szCs w:val="20"/>
                <w:color w:val="auto"/>
              </w:rPr>
            </w:pPr>
            <w:r>
              <w:rPr>
                <w:rFonts w:ascii="Arial" w:cs="Arial" w:eastAsia="Arial" w:hAnsi="Arial"/>
                <w:sz w:val="14"/>
                <w:szCs w:val="14"/>
                <w:color w:val="auto"/>
              </w:rPr>
              <w:t>397,832</w:t>
            </w:r>
          </w:p>
        </w:tc>
        <w:tc>
          <w:tcPr>
            <w:tcW w:w="740" w:type="dxa"/>
            <w:vAlign w:val="bottom"/>
            <w:tcBorders>
              <w:right w:val="single" w:sz="8" w:color="007CBA"/>
            </w:tcBorders>
            <w:vMerge w:val="restart"/>
            <w:shd w:val="clear" w:color="auto" w:fill="E5F1F8"/>
          </w:tcPr>
          <w:p>
            <w:pPr>
              <w:jc w:val="right"/>
              <w:ind w:right="29"/>
              <w:spacing w:after="0"/>
              <w:rPr>
                <w:sz w:val="20"/>
                <w:szCs w:val="20"/>
                <w:color w:val="auto"/>
              </w:rPr>
            </w:pPr>
            <w:r>
              <w:rPr>
                <w:rFonts w:ascii="Arial" w:cs="Arial" w:eastAsia="Arial" w:hAnsi="Arial"/>
                <w:sz w:val="14"/>
                <w:szCs w:val="14"/>
                <w:color w:val="auto"/>
              </w:rPr>
              <w:t>153,682</w:t>
            </w:r>
          </w:p>
        </w:tc>
        <w:tc>
          <w:tcPr>
            <w:tcW w:w="1180" w:type="dxa"/>
            <w:vAlign w:val="bottom"/>
            <w:tcBorders>
              <w:right w:val="single" w:sz="8" w:color="007CBA"/>
            </w:tcBorders>
            <w:shd w:val="clear" w:color="auto" w:fill="E5F1F8"/>
          </w:tcPr>
          <w:p>
            <w:pPr>
              <w:spacing w:after="0"/>
              <w:rPr>
                <w:sz w:val="16"/>
                <w:szCs w:val="16"/>
                <w:color w:val="auto"/>
              </w:rPr>
            </w:pPr>
          </w:p>
        </w:tc>
        <w:tc>
          <w:tcPr>
            <w:tcW w:w="1200" w:type="dxa"/>
            <w:vAlign w:val="bottom"/>
            <w:tcBorders>
              <w:right w:val="single" w:sz="8" w:color="007CBA"/>
            </w:tcBorders>
            <w:vMerge w:val="restart"/>
            <w:shd w:val="clear" w:color="auto" w:fill="E5F1F8"/>
          </w:tcPr>
          <w:p>
            <w:pPr>
              <w:jc w:val="right"/>
              <w:ind w:right="29"/>
              <w:spacing w:after="0"/>
              <w:rPr>
                <w:sz w:val="20"/>
                <w:szCs w:val="20"/>
                <w:color w:val="auto"/>
              </w:rPr>
            </w:pPr>
            <w:r>
              <w:rPr>
                <w:rFonts w:ascii="Arial" w:cs="Arial" w:eastAsia="Arial" w:hAnsi="Arial"/>
                <w:sz w:val="14"/>
                <w:szCs w:val="14"/>
                <w:color w:val="auto"/>
              </w:rPr>
              <w:t>116,533</w:t>
            </w:r>
          </w:p>
        </w:tc>
        <w:tc>
          <w:tcPr>
            <w:tcW w:w="1180" w:type="dxa"/>
            <w:vAlign w:val="bottom"/>
            <w:tcBorders>
              <w:right w:val="single" w:sz="8" w:color="007CBA"/>
            </w:tcBorders>
            <w:vMerge w:val="restart"/>
            <w:shd w:val="clear" w:color="auto" w:fill="E5F1F8"/>
          </w:tcPr>
          <w:p>
            <w:pPr>
              <w:jc w:val="right"/>
              <w:ind w:right="29"/>
              <w:spacing w:after="0"/>
              <w:rPr>
                <w:sz w:val="20"/>
                <w:szCs w:val="20"/>
                <w:color w:val="auto"/>
              </w:rPr>
            </w:pPr>
            <w:r>
              <w:rPr>
                <w:rFonts w:ascii="Arial" w:cs="Arial" w:eastAsia="Arial" w:hAnsi="Arial"/>
                <w:sz w:val="14"/>
                <w:szCs w:val="14"/>
                <w:color w:val="auto"/>
              </w:rPr>
              <w:t>64,564</w:t>
            </w:r>
          </w:p>
        </w:tc>
        <w:tc>
          <w:tcPr>
            <w:tcW w:w="860" w:type="dxa"/>
            <w:vAlign w:val="bottom"/>
            <w:vMerge w:val="restart"/>
            <w:shd w:val="clear" w:color="auto" w:fill="E5F1F8"/>
          </w:tcPr>
          <w:p>
            <w:pPr>
              <w:jc w:val="right"/>
              <w:ind w:right="28"/>
              <w:spacing w:after="0"/>
              <w:rPr>
                <w:sz w:val="20"/>
                <w:szCs w:val="20"/>
                <w:color w:val="auto"/>
              </w:rPr>
            </w:pPr>
            <w:r>
              <w:rPr>
                <w:rFonts w:ascii="Arial" w:cs="Arial" w:eastAsia="Arial" w:hAnsi="Arial"/>
                <w:sz w:val="14"/>
                <w:szCs w:val="14"/>
                <w:color w:val="auto"/>
              </w:rPr>
              <w:t>1,283,250</w:t>
            </w:r>
          </w:p>
        </w:tc>
        <w:tc>
          <w:tcPr>
            <w:tcW w:w="0" w:type="dxa"/>
            <w:vAlign w:val="bottom"/>
          </w:tcPr>
          <w:p>
            <w:pPr>
              <w:spacing w:after="0"/>
              <w:rPr>
                <w:sz w:val="1"/>
                <w:szCs w:val="1"/>
                <w:color w:val="auto"/>
              </w:rPr>
            </w:pPr>
          </w:p>
        </w:tc>
      </w:tr>
      <w:tr>
        <w:trPr>
          <w:trHeight w:val="78"/>
        </w:trPr>
        <w:tc>
          <w:tcPr>
            <w:tcW w:w="2720" w:type="dxa"/>
            <w:vAlign w:val="bottom"/>
            <w:tcBorders>
              <w:bottom w:val="single" w:sz="8" w:color="E5F1F8"/>
              <w:right w:val="single" w:sz="8" w:color="007CBA"/>
            </w:tcBorders>
            <w:shd w:val="clear" w:color="auto" w:fill="E5F1F8"/>
          </w:tcPr>
          <w:p>
            <w:pPr>
              <w:spacing w:after="0"/>
              <w:rPr>
                <w:sz w:val="6"/>
                <w:szCs w:val="6"/>
                <w:color w:val="auto"/>
              </w:rPr>
            </w:pPr>
          </w:p>
        </w:tc>
        <w:tc>
          <w:tcPr>
            <w:tcW w:w="80" w:type="dxa"/>
            <w:vAlign w:val="bottom"/>
            <w:tcBorders>
              <w:bottom w:val="single" w:sz="8" w:color="E5F1F8"/>
            </w:tcBorders>
            <w:shd w:val="clear" w:color="auto" w:fill="E5F1F8"/>
          </w:tcPr>
          <w:p>
            <w:pPr>
              <w:spacing w:after="0"/>
              <w:rPr>
                <w:sz w:val="6"/>
                <w:szCs w:val="6"/>
                <w:color w:val="auto"/>
              </w:rPr>
            </w:pPr>
          </w:p>
        </w:tc>
        <w:tc>
          <w:tcPr>
            <w:tcW w:w="40" w:type="dxa"/>
            <w:vAlign w:val="bottom"/>
            <w:tcBorders>
              <w:bottom w:val="single" w:sz="8" w:color="E5F1F8"/>
            </w:tcBorders>
            <w:shd w:val="clear" w:color="auto" w:fill="E5F1F8"/>
          </w:tcPr>
          <w:p>
            <w:pPr>
              <w:spacing w:after="0"/>
              <w:rPr>
                <w:sz w:val="6"/>
                <w:szCs w:val="6"/>
                <w:color w:val="auto"/>
              </w:rPr>
            </w:pPr>
          </w:p>
        </w:tc>
        <w:tc>
          <w:tcPr>
            <w:tcW w:w="420" w:type="dxa"/>
            <w:vAlign w:val="bottom"/>
            <w:tcBorders>
              <w:bottom w:val="single" w:sz="8" w:color="E5F1F8"/>
              <w:right w:val="single" w:sz="8" w:color="007CBA"/>
            </w:tcBorders>
            <w:vMerge w:val="continue"/>
            <w:shd w:val="clear" w:color="auto" w:fill="E5F1F8"/>
          </w:tcPr>
          <w:p>
            <w:pPr>
              <w:spacing w:after="0"/>
              <w:rPr>
                <w:sz w:val="6"/>
                <w:szCs w:val="6"/>
                <w:color w:val="auto"/>
              </w:rPr>
            </w:pPr>
          </w:p>
        </w:tc>
        <w:tc>
          <w:tcPr>
            <w:tcW w:w="860" w:type="dxa"/>
            <w:vAlign w:val="bottom"/>
            <w:tcBorders>
              <w:bottom w:val="single" w:sz="8" w:color="E5F1F8"/>
              <w:right w:val="single" w:sz="8" w:color="007CBA"/>
            </w:tcBorders>
            <w:vMerge w:val="continue"/>
            <w:shd w:val="clear" w:color="auto" w:fill="E5F1F8"/>
          </w:tcPr>
          <w:p>
            <w:pPr>
              <w:spacing w:after="0"/>
              <w:rPr>
                <w:sz w:val="6"/>
                <w:szCs w:val="6"/>
                <w:color w:val="auto"/>
              </w:rPr>
            </w:pPr>
          </w:p>
        </w:tc>
        <w:tc>
          <w:tcPr>
            <w:tcW w:w="880" w:type="dxa"/>
            <w:vAlign w:val="bottom"/>
            <w:tcBorders>
              <w:bottom w:val="single" w:sz="8" w:color="E5F1F8"/>
              <w:right w:val="single" w:sz="8" w:color="007CBA"/>
            </w:tcBorders>
            <w:vMerge w:val="continue"/>
            <w:shd w:val="clear" w:color="auto" w:fill="E5F1F8"/>
          </w:tcPr>
          <w:p>
            <w:pPr>
              <w:spacing w:after="0"/>
              <w:rPr>
                <w:sz w:val="6"/>
                <w:szCs w:val="6"/>
                <w:color w:val="auto"/>
              </w:rPr>
            </w:pPr>
          </w:p>
        </w:tc>
        <w:tc>
          <w:tcPr>
            <w:tcW w:w="860" w:type="dxa"/>
            <w:vAlign w:val="bottom"/>
            <w:tcBorders>
              <w:bottom w:val="single" w:sz="8" w:color="E5F1F8"/>
              <w:right w:val="single" w:sz="8" w:color="007CBA"/>
            </w:tcBorders>
            <w:vMerge w:val="continue"/>
            <w:shd w:val="clear" w:color="auto" w:fill="E5F1F8"/>
          </w:tcPr>
          <w:p>
            <w:pPr>
              <w:spacing w:after="0"/>
              <w:rPr>
                <w:sz w:val="6"/>
                <w:szCs w:val="6"/>
                <w:color w:val="auto"/>
              </w:rPr>
            </w:pPr>
          </w:p>
        </w:tc>
        <w:tc>
          <w:tcPr>
            <w:tcW w:w="740" w:type="dxa"/>
            <w:vAlign w:val="bottom"/>
            <w:tcBorders>
              <w:bottom w:val="single" w:sz="8" w:color="E5F1F8"/>
              <w:right w:val="single" w:sz="8" w:color="007CBA"/>
            </w:tcBorders>
            <w:vMerge w:val="continue"/>
            <w:shd w:val="clear" w:color="auto" w:fill="E5F1F8"/>
          </w:tcPr>
          <w:p>
            <w:pPr>
              <w:spacing w:after="0"/>
              <w:rPr>
                <w:sz w:val="6"/>
                <w:szCs w:val="6"/>
                <w:color w:val="auto"/>
              </w:rPr>
            </w:pPr>
          </w:p>
        </w:tc>
        <w:tc>
          <w:tcPr>
            <w:tcW w:w="1180" w:type="dxa"/>
            <w:vAlign w:val="bottom"/>
            <w:tcBorders>
              <w:bottom w:val="single" w:sz="8" w:color="E5F1F8"/>
              <w:right w:val="single" w:sz="8" w:color="007CBA"/>
            </w:tcBorders>
            <w:shd w:val="clear" w:color="auto" w:fill="E5F1F8"/>
          </w:tcPr>
          <w:p>
            <w:pPr>
              <w:spacing w:after="0"/>
              <w:rPr>
                <w:sz w:val="6"/>
                <w:szCs w:val="6"/>
                <w:color w:val="auto"/>
              </w:rPr>
            </w:pPr>
          </w:p>
        </w:tc>
        <w:tc>
          <w:tcPr>
            <w:tcW w:w="1200" w:type="dxa"/>
            <w:vAlign w:val="bottom"/>
            <w:tcBorders>
              <w:bottom w:val="single" w:sz="8" w:color="E5F1F8"/>
              <w:right w:val="single" w:sz="8" w:color="007CBA"/>
            </w:tcBorders>
            <w:vMerge w:val="continue"/>
            <w:shd w:val="clear" w:color="auto" w:fill="E5F1F8"/>
          </w:tcPr>
          <w:p>
            <w:pPr>
              <w:spacing w:after="0"/>
              <w:rPr>
                <w:sz w:val="6"/>
                <w:szCs w:val="6"/>
                <w:color w:val="auto"/>
              </w:rPr>
            </w:pPr>
          </w:p>
        </w:tc>
        <w:tc>
          <w:tcPr>
            <w:tcW w:w="1180" w:type="dxa"/>
            <w:vAlign w:val="bottom"/>
            <w:tcBorders>
              <w:bottom w:val="single" w:sz="8" w:color="E5F1F8"/>
              <w:right w:val="single" w:sz="8" w:color="007CBA"/>
            </w:tcBorders>
            <w:vMerge w:val="continue"/>
            <w:shd w:val="clear" w:color="auto" w:fill="E5F1F8"/>
          </w:tcPr>
          <w:p>
            <w:pPr>
              <w:spacing w:after="0"/>
              <w:rPr>
                <w:sz w:val="6"/>
                <w:szCs w:val="6"/>
                <w:color w:val="auto"/>
              </w:rPr>
            </w:pPr>
          </w:p>
        </w:tc>
        <w:tc>
          <w:tcPr>
            <w:tcW w:w="860" w:type="dxa"/>
            <w:vAlign w:val="bottom"/>
            <w:tcBorders>
              <w:bottom w:val="single" w:sz="8" w:color="E5F1F8"/>
            </w:tcBorders>
            <w:vMerge w:val="continue"/>
            <w:shd w:val="clear" w:color="auto" w:fill="E5F1F8"/>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720" w:type="dxa"/>
            <w:vAlign w:val="bottom"/>
            <w:tcBorders>
              <w:right w:val="single" w:sz="8" w:color="007CBA"/>
            </w:tcBorders>
          </w:tcPr>
          <w:p>
            <w:pPr>
              <w:ind w:left="60"/>
              <w:spacing w:after="0"/>
              <w:rPr>
                <w:sz w:val="20"/>
                <w:szCs w:val="20"/>
                <w:color w:val="auto"/>
              </w:rPr>
            </w:pPr>
            <w:r>
              <w:rPr>
                <w:rFonts w:ascii="Arial" w:cs="Arial" w:eastAsia="Arial" w:hAnsi="Arial"/>
                <w:sz w:val="14"/>
                <w:szCs w:val="14"/>
                <w:b w:val="1"/>
                <w:bCs w:val="1"/>
                <w:color w:val="auto"/>
              </w:rPr>
              <w:t>Daniel L. Grant</w:t>
            </w:r>
          </w:p>
        </w:tc>
        <w:tc>
          <w:tcPr>
            <w:tcW w:w="540" w:type="dxa"/>
            <w:vAlign w:val="bottom"/>
            <w:tcBorders>
              <w:right w:val="single" w:sz="8" w:color="007CBA"/>
            </w:tcBorders>
            <w:gridSpan w:val="3"/>
          </w:tcPr>
          <w:p>
            <w:pPr>
              <w:ind w:left="120"/>
              <w:spacing w:after="0"/>
              <w:rPr>
                <w:sz w:val="20"/>
                <w:szCs w:val="20"/>
                <w:color w:val="auto"/>
              </w:rPr>
            </w:pPr>
            <w:r>
              <w:rPr>
                <w:rFonts w:ascii="Arial" w:cs="Arial" w:eastAsia="Arial" w:hAnsi="Arial"/>
                <w:sz w:val="14"/>
                <w:szCs w:val="14"/>
                <w:color w:val="auto"/>
              </w:rPr>
              <w:t>2017</w:t>
            </w:r>
          </w:p>
        </w:tc>
        <w:tc>
          <w:tcPr>
            <w:tcW w:w="860" w:type="dxa"/>
            <w:vAlign w:val="bottom"/>
            <w:tcBorders>
              <w:right w:val="single" w:sz="8" w:color="007CBA"/>
            </w:tcBorders>
          </w:tcPr>
          <w:p>
            <w:pPr>
              <w:jc w:val="right"/>
              <w:ind w:right="28"/>
              <w:spacing w:after="0"/>
              <w:rPr>
                <w:sz w:val="20"/>
                <w:szCs w:val="20"/>
                <w:color w:val="auto"/>
              </w:rPr>
            </w:pPr>
            <w:r>
              <w:rPr>
                <w:rFonts w:ascii="Arial" w:cs="Arial" w:eastAsia="Arial" w:hAnsi="Arial"/>
                <w:sz w:val="14"/>
                <w:szCs w:val="14"/>
                <w:color w:val="auto"/>
              </w:rPr>
              <w:t>360,433</w:t>
            </w:r>
          </w:p>
        </w:tc>
        <w:tc>
          <w:tcPr>
            <w:tcW w:w="88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007CBA"/>
            </w:tcBorders>
          </w:tcPr>
          <w:p>
            <w:pPr>
              <w:jc w:val="right"/>
              <w:ind w:right="29"/>
              <w:spacing w:after="0"/>
              <w:rPr>
                <w:sz w:val="20"/>
                <w:szCs w:val="20"/>
                <w:color w:val="auto"/>
              </w:rPr>
            </w:pPr>
            <w:r>
              <w:rPr>
                <w:rFonts w:ascii="Arial" w:cs="Arial" w:eastAsia="Arial" w:hAnsi="Arial"/>
                <w:sz w:val="14"/>
                <w:szCs w:val="14"/>
                <w:color w:val="auto"/>
              </w:rPr>
              <w:t>947,503</w:t>
            </w:r>
          </w:p>
        </w:tc>
        <w:tc>
          <w:tcPr>
            <w:tcW w:w="740" w:type="dxa"/>
            <w:vAlign w:val="bottom"/>
            <w:tcBorders>
              <w:right w:val="single" w:sz="8" w:color="007CBA"/>
            </w:tcBorders>
          </w:tcPr>
          <w:p>
            <w:pPr>
              <w:jc w:val="right"/>
              <w:ind w:right="29"/>
              <w:spacing w:after="0"/>
              <w:rPr>
                <w:sz w:val="20"/>
                <w:szCs w:val="20"/>
                <w:color w:val="auto"/>
              </w:rPr>
            </w:pPr>
            <w:r>
              <w:rPr>
                <w:rFonts w:ascii="Arial" w:cs="Arial" w:eastAsia="Arial" w:hAnsi="Arial"/>
                <w:sz w:val="14"/>
                <w:szCs w:val="14"/>
                <w:color w:val="auto"/>
              </w:rPr>
              <w:t>—</w:t>
            </w:r>
          </w:p>
        </w:tc>
        <w:tc>
          <w:tcPr>
            <w:tcW w:w="1180" w:type="dxa"/>
            <w:vAlign w:val="bottom"/>
            <w:tcBorders>
              <w:right w:val="single" w:sz="8" w:color="007CBA"/>
            </w:tcBorders>
          </w:tcPr>
          <w:p>
            <w:pPr>
              <w:jc w:val="right"/>
              <w:ind w:right="29"/>
              <w:spacing w:after="0"/>
              <w:rPr>
                <w:sz w:val="20"/>
                <w:szCs w:val="20"/>
                <w:color w:val="auto"/>
              </w:rPr>
            </w:pPr>
            <w:r>
              <w:rPr>
                <w:rFonts w:ascii="Arial" w:cs="Arial" w:eastAsia="Arial" w:hAnsi="Arial"/>
                <w:sz w:val="14"/>
                <w:szCs w:val="14"/>
                <w:color w:val="auto"/>
              </w:rPr>
              <w:t>255,457</w:t>
            </w:r>
          </w:p>
        </w:tc>
        <w:tc>
          <w:tcPr>
            <w:tcW w:w="1200" w:type="dxa"/>
            <w:vAlign w:val="bottom"/>
            <w:tcBorders>
              <w:right w:val="single" w:sz="8" w:color="007CBA"/>
            </w:tcBorders>
          </w:tcPr>
          <w:p>
            <w:pPr>
              <w:jc w:val="right"/>
              <w:ind w:right="29"/>
              <w:spacing w:after="0"/>
              <w:rPr>
                <w:sz w:val="20"/>
                <w:szCs w:val="20"/>
                <w:color w:val="auto"/>
              </w:rPr>
            </w:pPr>
            <w:r>
              <w:rPr>
                <w:rFonts w:ascii="Arial" w:cs="Arial" w:eastAsia="Arial" w:hAnsi="Arial"/>
                <w:sz w:val="14"/>
                <w:szCs w:val="14"/>
                <w:color w:val="auto"/>
              </w:rPr>
              <w:t>193,221</w:t>
            </w:r>
          </w:p>
        </w:tc>
        <w:tc>
          <w:tcPr>
            <w:tcW w:w="1180" w:type="dxa"/>
            <w:vAlign w:val="bottom"/>
            <w:tcBorders>
              <w:right w:val="single" w:sz="8" w:color="007CBA"/>
            </w:tcBorders>
          </w:tcPr>
          <w:p>
            <w:pPr>
              <w:jc w:val="right"/>
              <w:ind w:right="29"/>
              <w:spacing w:after="0"/>
              <w:rPr>
                <w:sz w:val="20"/>
                <w:szCs w:val="20"/>
                <w:color w:val="auto"/>
              </w:rPr>
            </w:pPr>
            <w:r>
              <w:rPr>
                <w:rFonts w:ascii="Arial" w:cs="Arial" w:eastAsia="Arial" w:hAnsi="Arial"/>
                <w:sz w:val="14"/>
                <w:szCs w:val="14"/>
                <w:color w:val="auto"/>
              </w:rPr>
              <w:t>38,825</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1,795,439</w:t>
            </w:r>
          </w:p>
        </w:tc>
        <w:tc>
          <w:tcPr>
            <w:tcW w:w="0" w:type="dxa"/>
            <w:vAlign w:val="bottom"/>
          </w:tcPr>
          <w:p>
            <w:pPr>
              <w:spacing w:after="0"/>
              <w:rPr>
                <w:sz w:val="1"/>
                <w:szCs w:val="1"/>
                <w:color w:val="auto"/>
              </w:rPr>
            </w:pPr>
          </w:p>
        </w:tc>
      </w:tr>
      <w:tr>
        <w:trPr>
          <w:trHeight w:val="194"/>
        </w:trPr>
        <w:tc>
          <w:tcPr>
            <w:tcW w:w="2720" w:type="dxa"/>
            <w:vAlign w:val="bottom"/>
            <w:tcBorders>
              <w:right w:val="single" w:sz="8" w:color="007CBA"/>
            </w:tcBorders>
          </w:tcPr>
          <w:p>
            <w:pPr>
              <w:ind w:left="60"/>
              <w:spacing w:after="0"/>
              <w:rPr>
                <w:sz w:val="20"/>
                <w:szCs w:val="20"/>
                <w:color w:val="auto"/>
              </w:rPr>
            </w:pPr>
            <w:r>
              <w:rPr>
                <w:rFonts w:ascii="Arial" w:cs="Arial" w:eastAsia="Arial" w:hAnsi="Arial"/>
                <w:sz w:val="14"/>
                <w:szCs w:val="14"/>
                <w:color w:val="auto"/>
              </w:rPr>
              <w:t>Senior Vice President,</w:t>
            </w:r>
          </w:p>
        </w:tc>
        <w:tc>
          <w:tcPr>
            <w:tcW w:w="540" w:type="dxa"/>
            <w:vAlign w:val="bottom"/>
            <w:tcBorders>
              <w:right w:val="single" w:sz="8" w:color="007CBA"/>
            </w:tcBorders>
            <w:gridSpan w:val="3"/>
          </w:tcPr>
          <w:p>
            <w:pPr>
              <w:ind w:left="120"/>
              <w:spacing w:after="0"/>
              <w:rPr>
                <w:sz w:val="20"/>
                <w:szCs w:val="20"/>
                <w:color w:val="auto"/>
              </w:rPr>
            </w:pPr>
            <w:r>
              <w:rPr>
                <w:rFonts w:ascii="Arial" w:cs="Arial" w:eastAsia="Arial" w:hAnsi="Arial"/>
                <w:sz w:val="14"/>
                <w:szCs w:val="14"/>
                <w:color w:val="auto"/>
              </w:rPr>
              <w:t>2016</w:t>
            </w:r>
          </w:p>
        </w:tc>
        <w:tc>
          <w:tcPr>
            <w:tcW w:w="860" w:type="dxa"/>
            <w:vAlign w:val="bottom"/>
            <w:tcBorders>
              <w:right w:val="single" w:sz="8" w:color="007CBA"/>
            </w:tcBorders>
          </w:tcPr>
          <w:p>
            <w:pPr>
              <w:jc w:val="right"/>
              <w:ind w:right="28"/>
              <w:spacing w:after="0"/>
              <w:rPr>
                <w:sz w:val="20"/>
                <w:szCs w:val="20"/>
                <w:color w:val="auto"/>
              </w:rPr>
            </w:pPr>
            <w:r>
              <w:rPr>
                <w:rFonts w:ascii="Arial" w:cs="Arial" w:eastAsia="Arial" w:hAnsi="Arial"/>
                <w:sz w:val="14"/>
                <w:szCs w:val="14"/>
                <w:color w:val="auto"/>
              </w:rPr>
              <w:t>349,250</w:t>
            </w:r>
          </w:p>
        </w:tc>
        <w:tc>
          <w:tcPr>
            <w:tcW w:w="88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303,149</w:t>
            </w:r>
          </w:p>
        </w:tc>
        <w:tc>
          <w:tcPr>
            <w:tcW w:w="860" w:type="dxa"/>
            <w:vAlign w:val="bottom"/>
            <w:tcBorders>
              <w:right w:val="single" w:sz="8" w:color="007CBA"/>
            </w:tcBorders>
          </w:tcPr>
          <w:p>
            <w:pPr>
              <w:jc w:val="right"/>
              <w:ind w:right="29"/>
              <w:spacing w:after="0"/>
              <w:rPr>
                <w:sz w:val="20"/>
                <w:szCs w:val="20"/>
                <w:color w:val="auto"/>
              </w:rPr>
            </w:pPr>
            <w:r>
              <w:rPr>
                <w:rFonts w:ascii="Arial" w:cs="Arial" w:eastAsia="Arial" w:hAnsi="Arial"/>
                <w:sz w:val="14"/>
                <w:szCs w:val="14"/>
                <w:color w:val="auto"/>
              </w:rPr>
              <w:t>525,032</w:t>
            </w:r>
          </w:p>
        </w:tc>
        <w:tc>
          <w:tcPr>
            <w:tcW w:w="740" w:type="dxa"/>
            <w:vAlign w:val="bottom"/>
            <w:tcBorders>
              <w:right w:val="single" w:sz="8" w:color="007CBA"/>
            </w:tcBorders>
          </w:tcPr>
          <w:p>
            <w:pPr>
              <w:jc w:val="right"/>
              <w:ind w:right="29"/>
              <w:spacing w:after="0"/>
              <w:rPr>
                <w:sz w:val="20"/>
                <w:szCs w:val="20"/>
                <w:color w:val="auto"/>
              </w:rPr>
            </w:pPr>
            <w:r>
              <w:rPr>
                <w:rFonts w:ascii="Arial" w:cs="Arial" w:eastAsia="Arial" w:hAnsi="Arial"/>
                <w:sz w:val="14"/>
                <w:szCs w:val="14"/>
                <w:color w:val="auto"/>
              </w:rPr>
              <w:t>—</w:t>
            </w:r>
          </w:p>
        </w:tc>
        <w:tc>
          <w:tcPr>
            <w:tcW w:w="1180" w:type="dxa"/>
            <w:vAlign w:val="bottom"/>
            <w:tcBorders>
              <w:right w:val="single" w:sz="8" w:color="007CBA"/>
            </w:tcBorders>
          </w:tcPr>
          <w:p>
            <w:pPr>
              <w:spacing w:after="0"/>
              <w:rPr>
                <w:sz w:val="16"/>
                <w:szCs w:val="16"/>
                <w:color w:val="auto"/>
              </w:rPr>
            </w:pPr>
          </w:p>
        </w:tc>
        <w:tc>
          <w:tcPr>
            <w:tcW w:w="1200" w:type="dxa"/>
            <w:vAlign w:val="bottom"/>
            <w:tcBorders>
              <w:right w:val="single" w:sz="8" w:color="007CBA"/>
            </w:tcBorders>
          </w:tcPr>
          <w:p>
            <w:pPr>
              <w:jc w:val="right"/>
              <w:ind w:right="29"/>
              <w:spacing w:after="0"/>
              <w:rPr>
                <w:sz w:val="20"/>
                <w:szCs w:val="20"/>
                <w:color w:val="auto"/>
              </w:rPr>
            </w:pPr>
            <w:r>
              <w:rPr>
                <w:rFonts w:ascii="Arial" w:cs="Arial" w:eastAsia="Arial" w:hAnsi="Arial"/>
                <w:sz w:val="14"/>
                <w:szCs w:val="14"/>
                <w:color w:val="auto"/>
              </w:rPr>
              <w:t>98,052</w:t>
            </w:r>
          </w:p>
        </w:tc>
        <w:tc>
          <w:tcPr>
            <w:tcW w:w="1180" w:type="dxa"/>
            <w:vAlign w:val="bottom"/>
            <w:tcBorders>
              <w:right w:val="single" w:sz="8" w:color="007CBA"/>
            </w:tcBorders>
          </w:tcPr>
          <w:p>
            <w:pPr>
              <w:jc w:val="right"/>
              <w:ind w:right="29"/>
              <w:spacing w:after="0"/>
              <w:rPr>
                <w:sz w:val="20"/>
                <w:szCs w:val="20"/>
                <w:color w:val="auto"/>
              </w:rPr>
            </w:pPr>
            <w:r>
              <w:rPr>
                <w:rFonts w:ascii="Arial" w:cs="Arial" w:eastAsia="Arial" w:hAnsi="Arial"/>
                <w:sz w:val="14"/>
                <w:szCs w:val="14"/>
                <w:color w:val="auto"/>
              </w:rPr>
              <w:t>63,434</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1,338,917</w:t>
            </w:r>
          </w:p>
        </w:tc>
        <w:tc>
          <w:tcPr>
            <w:tcW w:w="0" w:type="dxa"/>
            <w:vAlign w:val="bottom"/>
          </w:tcPr>
          <w:p>
            <w:pPr>
              <w:spacing w:after="0"/>
              <w:rPr>
                <w:sz w:val="1"/>
                <w:szCs w:val="1"/>
                <w:color w:val="auto"/>
              </w:rPr>
            </w:pPr>
          </w:p>
        </w:tc>
      </w:tr>
      <w:tr>
        <w:trPr>
          <w:trHeight w:val="194"/>
        </w:trPr>
        <w:tc>
          <w:tcPr>
            <w:tcW w:w="2720" w:type="dxa"/>
            <w:vAlign w:val="bottom"/>
            <w:tcBorders>
              <w:right w:val="single" w:sz="8" w:color="007CBA"/>
            </w:tcBorders>
          </w:tcPr>
          <w:p>
            <w:pPr>
              <w:ind w:left="60"/>
              <w:spacing w:after="0"/>
              <w:rPr>
                <w:sz w:val="20"/>
                <w:szCs w:val="20"/>
                <w:color w:val="auto"/>
              </w:rPr>
            </w:pPr>
            <w:r>
              <w:rPr>
                <w:rFonts w:ascii="Arial" w:cs="Arial" w:eastAsia="Arial" w:hAnsi="Arial"/>
                <w:sz w:val="14"/>
                <w:szCs w:val="14"/>
                <w:color w:val="auto"/>
              </w:rPr>
              <w:t>Strategy &amp; Development</w:t>
            </w:r>
          </w:p>
        </w:tc>
        <w:tc>
          <w:tcPr>
            <w:tcW w:w="540" w:type="dxa"/>
            <w:vAlign w:val="bottom"/>
            <w:tcBorders>
              <w:right w:val="single" w:sz="8" w:color="007CBA"/>
            </w:tcBorders>
            <w:gridSpan w:val="3"/>
            <w:vMerge w:val="restart"/>
          </w:tcPr>
          <w:p>
            <w:pPr>
              <w:ind w:left="120"/>
              <w:spacing w:after="0"/>
              <w:rPr>
                <w:sz w:val="20"/>
                <w:szCs w:val="20"/>
                <w:color w:val="auto"/>
              </w:rPr>
            </w:pPr>
            <w:r>
              <w:rPr>
                <w:rFonts w:ascii="Arial" w:cs="Arial" w:eastAsia="Arial" w:hAnsi="Arial"/>
                <w:sz w:val="14"/>
                <w:szCs w:val="14"/>
                <w:color w:val="auto"/>
              </w:rPr>
              <w:t>2015</w:t>
            </w:r>
          </w:p>
        </w:tc>
        <w:tc>
          <w:tcPr>
            <w:tcW w:w="860" w:type="dxa"/>
            <w:vAlign w:val="bottom"/>
            <w:tcBorders>
              <w:right w:val="single" w:sz="8" w:color="007CBA"/>
            </w:tcBorders>
            <w:vMerge w:val="restart"/>
          </w:tcPr>
          <w:p>
            <w:pPr>
              <w:jc w:val="right"/>
              <w:ind w:right="28"/>
              <w:spacing w:after="0"/>
              <w:rPr>
                <w:sz w:val="20"/>
                <w:szCs w:val="20"/>
                <w:color w:val="auto"/>
              </w:rPr>
            </w:pPr>
            <w:r>
              <w:rPr>
                <w:rFonts w:ascii="Arial" w:cs="Arial" w:eastAsia="Arial" w:hAnsi="Arial"/>
                <w:sz w:val="14"/>
                <w:szCs w:val="14"/>
                <w:color w:val="auto"/>
              </w:rPr>
              <w:t>339,083</w:t>
            </w:r>
          </w:p>
        </w:tc>
        <w:tc>
          <w:tcPr>
            <w:tcW w:w="880" w:type="dxa"/>
            <w:vAlign w:val="bottom"/>
            <w:tcBorders>
              <w:right w:val="single" w:sz="8" w:color="007CBA"/>
            </w:tcBorders>
            <w:vMerge w:val="restart"/>
          </w:tcPr>
          <w:p>
            <w:pPr>
              <w:jc w:val="right"/>
              <w:ind w:right="49"/>
              <w:spacing w:after="0"/>
              <w:rPr>
                <w:sz w:val="20"/>
                <w:szCs w:val="20"/>
                <w:color w:val="auto"/>
              </w:rPr>
            </w:pPr>
            <w:r>
              <w:rPr>
                <w:rFonts w:ascii="Arial" w:cs="Arial" w:eastAsia="Arial" w:hAnsi="Arial"/>
                <w:sz w:val="14"/>
                <w:szCs w:val="14"/>
                <w:color w:val="auto"/>
              </w:rPr>
              <w:t>180,392</w:t>
            </w:r>
          </w:p>
        </w:tc>
        <w:tc>
          <w:tcPr>
            <w:tcW w:w="860" w:type="dxa"/>
            <w:vAlign w:val="bottom"/>
            <w:tcBorders>
              <w:right w:val="single" w:sz="8" w:color="007CBA"/>
            </w:tcBorders>
            <w:vMerge w:val="restart"/>
          </w:tcPr>
          <w:p>
            <w:pPr>
              <w:jc w:val="right"/>
              <w:ind w:right="29"/>
              <w:spacing w:after="0"/>
              <w:rPr>
                <w:sz w:val="20"/>
                <w:szCs w:val="20"/>
                <w:color w:val="auto"/>
              </w:rPr>
            </w:pPr>
            <w:r>
              <w:rPr>
                <w:rFonts w:ascii="Arial" w:cs="Arial" w:eastAsia="Arial" w:hAnsi="Arial"/>
                <w:sz w:val="14"/>
                <w:szCs w:val="14"/>
                <w:color w:val="auto"/>
              </w:rPr>
              <w:t>292,075</w:t>
            </w:r>
          </w:p>
        </w:tc>
        <w:tc>
          <w:tcPr>
            <w:tcW w:w="740" w:type="dxa"/>
            <w:vAlign w:val="bottom"/>
            <w:tcBorders>
              <w:right w:val="single" w:sz="8" w:color="007CBA"/>
            </w:tcBorders>
            <w:vMerge w:val="restart"/>
          </w:tcPr>
          <w:p>
            <w:pPr>
              <w:jc w:val="right"/>
              <w:ind w:right="29"/>
              <w:spacing w:after="0"/>
              <w:rPr>
                <w:sz w:val="20"/>
                <w:szCs w:val="20"/>
                <w:color w:val="auto"/>
              </w:rPr>
            </w:pPr>
            <w:r>
              <w:rPr>
                <w:rFonts w:ascii="Arial" w:cs="Arial" w:eastAsia="Arial" w:hAnsi="Arial"/>
                <w:sz w:val="14"/>
                <w:szCs w:val="14"/>
                <w:color w:val="auto"/>
              </w:rPr>
              <w:t>83,853</w:t>
            </w:r>
          </w:p>
        </w:tc>
        <w:tc>
          <w:tcPr>
            <w:tcW w:w="1180" w:type="dxa"/>
            <w:vAlign w:val="bottom"/>
            <w:tcBorders>
              <w:right w:val="single" w:sz="8" w:color="007CBA"/>
            </w:tcBorders>
          </w:tcPr>
          <w:p>
            <w:pPr>
              <w:spacing w:after="0"/>
              <w:rPr>
                <w:sz w:val="16"/>
                <w:szCs w:val="16"/>
                <w:color w:val="auto"/>
              </w:rPr>
            </w:pPr>
          </w:p>
        </w:tc>
        <w:tc>
          <w:tcPr>
            <w:tcW w:w="1200" w:type="dxa"/>
            <w:vAlign w:val="bottom"/>
            <w:tcBorders>
              <w:right w:val="single" w:sz="8" w:color="007CBA"/>
            </w:tcBorders>
            <w:vMerge w:val="restart"/>
          </w:tcPr>
          <w:p>
            <w:pPr>
              <w:jc w:val="right"/>
              <w:ind w:right="29"/>
              <w:spacing w:after="0"/>
              <w:rPr>
                <w:sz w:val="20"/>
                <w:szCs w:val="20"/>
                <w:color w:val="auto"/>
              </w:rPr>
            </w:pPr>
            <w:r>
              <w:rPr>
                <w:rFonts w:ascii="Arial" w:cs="Arial" w:eastAsia="Arial" w:hAnsi="Arial"/>
                <w:sz w:val="14"/>
                <w:szCs w:val="14"/>
                <w:color w:val="auto"/>
              </w:rPr>
              <w:t>130,575</w:t>
            </w:r>
          </w:p>
        </w:tc>
        <w:tc>
          <w:tcPr>
            <w:tcW w:w="1180" w:type="dxa"/>
            <w:vAlign w:val="bottom"/>
            <w:tcBorders>
              <w:right w:val="single" w:sz="8" w:color="007CBA"/>
            </w:tcBorders>
            <w:vMerge w:val="restart"/>
          </w:tcPr>
          <w:p>
            <w:pPr>
              <w:jc w:val="right"/>
              <w:ind w:right="29"/>
              <w:spacing w:after="0"/>
              <w:rPr>
                <w:sz w:val="20"/>
                <w:szCs w:val="20"/>
                <w:color w:val="auto"/>
              </w:rPr>
            </w:pPr>
            <w:r>
              <w:rPr>
                <w:rFonts w:ascii="Arial" w:cs="Arial" w:eastAsia="Arial" w:hAnsi="Arial"/>
                <w:sz w:val="14"/>
                <w:szCs w:val="14"/>
                <w:color w:val="auto"/>
              </w:rPr>
              <w:t>56,853</w:t>
            </w: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1,082,831</w:t>
            </w:r>
          </w:p>
        </w:tc>
        <w:tc>
          <w:tcPr>
            <w:tcW w:w="0" w:type="dxa"/>
            <w:vAlign w:val="bottom"/>
          </w:tcPr>
          <w:p>
            <w:pPr>
              <w:spacing w:after="0"/>
              <w:rPr>
                <w:sz w:val="1"/>
                <w:szCs w:val="1"/>
                <w:color w:val="auto"/>
              </w:rPr>
            </w:pPr>
          </w:p>
        </w:tc>
      </w:tr>
      <w:tr>
        <w:trPr>
          <w:trHeight w:val="63"/>
        </w:trPr>
        <w:tc>
          <w:tcPr>
            <w:tcW w:w="2720" w:type="dxa"/>
            <w:vAlign w:val="bottom"/>
            <w:tcBorders>
              <w:right w:val="single" w:sz="8" w:color="007CBA"/>
            </w:tcBorders>
          </w:tcPr>
          <w:p>
            <w:pPr>
              <w:spacing w:after="0"/>
              <w:rPr>
                <w:sz w:val="5"/>
                <w:szCs w:val="5"/>
                <w:color w:val="auto"/>
              </w:rPr>
            </w:pPr>
          </w:p>
        </w:tc>
        <w:tc>
          <w:tcPr>
            <w:tcW w:w="540" w:type="dxa"/>
            <w:vAlign w:val="bottom"/>
            <w:tcBorders>
              <w:right w:val="single" w:sz="8" w:color="007CBA"/>
            </w:tcBorders>
            <w:gridSpan w:val="3"/>
            <w:vMerge w:val="continue"/>
          </w:tcPr>
          <w:p>
            <w:pPr>
              <w:spacing w:after="0"/>
              <w:rPr>
                <w:sz w:val="5"/>
                <w:szCs w:val="5"/>
                <w:color w:val="auto"/>
              </w:rPr>
            </w:pPr>
          </w:p>
        </w:tc>
        <w:tc>
          <w:tcPr>
            <w:tcW w:w="860" w:type="dxa"/>
            <w:vAlign w:val="bottom"/>
            <w:tcBorders>
              <w:right w:val="single" w:sz="8" w:color="007CBA"/>
            </w:tcBorders>
            <w:vMerge w:val="continue"/>
          </w:tcPr>
          <w:p>
            <w:pPr>
              <w:spacing w:after="0"/>
              <w:rPr>
                <w:sz w:val="5"/>
                <w:szCs w:val="5"/>
                <w:color w:val="auto"/>
              </w:rPr>
            </w:pPr>
          </w:p>
        </w:tc>
        <w:tc>
          <w:tcPr>
            <w:tcW w:w="880" w:type="dxa"/>
            <w:vAlign w:val="bottom"/>
            <w:tcBorders>
              <w:right w:val="single" w:sz="8" w:color="007CBA"/>
            </w:tcBorders>
            <w:vMerge w:val="continue"/>
          </w:tcPr>
          <w:p>
            <w:pPr>
              <w:spacing w:after="0"/>
              <w:rPr>
                <w:sz w:val="5"/>
                <w:szCs w:val="5"/>
                <w:color w:val="auto"/>
              </w:rPr>
            </w:pPr>
          </w:p>
        </w:tc>
        <w:tc>
          <w:tcPr>
            <w:tcW w:w="860" w:type="dxa"/>
            <w:vAlign w:val="bottom"/>
            <w:tcBorders>
              <w:right w:val="single" w:sz="8" w:color="007CBA"/>
            </w:tcBorders>
            <w:vMerge w:val="continue"/>
          </w:tcPr>
          <w:p>
            <w:pPr>
              <w:spacing w:after="0"/>
              <w:rPr>
                <w:sz w:val="5"/>
                <w:szCs w:val="5"/>
                <w:color w:val="auto"/>
              </w:rPr>
            </w:pPr>
          </w:p>
        </w:tc>
        <w:tc>
          <w:tcPr>
            <w:tcW w:w="740" w:type="dxa"/>
            <w:vAlign w:val="bottom"/>
            <w:tcBorders>
              <w:right w:val="single" w:sz="8" w:color="007CBA"/>
            </w:tcBorders>
            <w:vMerge w:val="continue"/>
          </w:tcPr>
          <w:p>
            <w:pPr>
              <w:spacing w:after="0"/>
              <w:rPr>
                <w:sz w:val="5"/>
                <w:szCs w:val="5"/>
                <w:color w:val="auto"/>
              </w:rPr>
            </w:pPr>
          </w:p>
        </w:tc>
        <w:tc>
          <w:tcPr>
            <w:tcW w:w="1180" w:type="dxa"/>
            <w:vAlign w:val="bottom"/>
            <w:tcBorders>
              <w:right w:val="single" w:sz="8" w:color="007CBA"/>
            </w:tcBorders>
          </w:tcPr>
          <w:p>
            <w:pPr>
              <w:spacing w:after="0"/>
              <w:rPr>
                <w:sz w:val="5"/>
                <w:szCs w:val="5"/>
                <w:color w:val="auto"/>
              </w:rPr>
            </w:pPr>
          </w:p>
        </w:tc>
        <w:tc>
          <w:tcPr>
            <w:tcW w:w="1200" w:type="dxa"/>
            <w:vAlign w:val="bottom"/>
            <w:tcBorders>
              <w:right w:val="single" w:sz="8" w:color="007CBA"/>
            </w:tcBorders>
            <w:vMerge w:val="continue"/>
          </w:tcPr>
          <w:p>
            <w:pPr>
              <w:spacing w:after="0"/>
              <w:rPr>
                <w:sz w:val="5"/>
                <w:szCs w:val="5"/>
                <w:color w:val="auto"/>
              </w:rPr>
            </w:pPr>
          </w:p>
        </w:tc>
        <w:tc>
          <w:tcPr>
            <w:tcW w:w="1180" w:type="dxa"/>
            <w:vAlign w:val="bottom"/>
            <w:tcBorders>
              <w:right w:val="single" w:sz="8" w:color="007CBA"/>
            </w:tcBorders>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2720" w:type="dxa"/>
            <w:vAlign w:val="bottom"/>
            <w:tcBorders>
              <w:right w:val="single" w:sz="8" w:color="007CBA"/>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Borders>
              <w:right w:val="single" w:sz="8" w:color="007CBA"/>
            </w:tcBorders>
          </w:tcPr>
          <w:p>
            <w:pPr>
              <w:spacing w:after="0"/>
              <w:rPr>
                <w:sz w:val="3"/>
                <w:szCs w:val="3"/>
                <w:color w:val="auto"/>
              </w:rPr>
            </w:pPr>
          </w:p>
        </w:tc>
        <w:tc>
          <w:tcPr>
            <w:tcW w:w="860" w:type="dxa"/>
            <w:vAlign w:val="bottom"/>
            <w:tcBorders>
              <w:right w:val="single" w:sz="8" w:color="007CBA"/>
            </w:tcBorders>
          </w:tcPr>
          <w:p>
            <w:pPr>
              <w:spacing w:after="0"/>
              <w:rPr>
                <w:sz w:val="3"/>
                <w:szCs w:val="3"/>
                <w:color w:val="auto"/>
              </w:rPr>
            </w:pPr>
          </w:p>
        </w:tc>
        <w:tc>
          <w:tcPr>
            <w:tcW w:w="880" w:type="dxa"/>
            <w:vAlign w:val="bottom"/>
            <w:tcBorders>
              <w:right w:val="single" w:sz="8" w:color="007CBA"/>
            </w:tcBorders>
          </w:tcPr>
          <w:p>
            <w:pPr>
              <w:spacing w:after="0"/>
              <w:rPr>
                <w:sz w:val="3"/>
                <w:szCs w:val="3"/>
                <w:color w:val="auto"/>
              </w:rPr>
            </w:pPr>
          </w:p>
        </w:tc>
        <w:tc>
          <w:tcPr>
            <w:tcW w:w="860" w:type="dxa"/>
            <w:vAlign w:val="bottom"/>
            <w:tcBorders>
              <w:right w:val="single" w:sz="8" w:color="007CBA"/>
            </w:tcBorders>
          </w:tcPr>
          <w:p>
            <w:pPr>
              <w:spacing w:after="0"/>
              <w:rPr>
                <w:sz w:val="3"/>
                <w:szCs w:val="3"/>
                <w:color w:val="auto"/>
              </w:rPr>
            </w:pPr>
          </w:p>
        </w:tc>
        <w:tc>
          <w:tcPr>
            <w:tcW w:w="740" w:type="dxa"/>
            <w:vAlign w:val="bottom"/>
            <w:tcBorders>
              <w:right w:val="single" w:sz="8" w:color="007CBA"/>
            </w:tcBorders>
          </w:tcPr>
          <w:p>
            <w:pPr>
              <w:spacing w:after="0"/>
              <w:rPr>
                <w:sz w:val="3"/>
                <w:szCs w:val="3"/>
                <w:color w:val="auto"/>
              </w:rPr>
            </w:pPr>
          </w:p>
        </w:tc>
        <w:tc>
          <w:tcPr>
            <w:tcW w:w="1180" w:type="dxa"/>
            <w:vAlign w:val="bottom"/>
            <w:tcBorders>
              <w:right w:val="single" w:sz="8" w:color="007CBA"/>
            </w:tcBorders>
          </w:tcPr>
          <w:p>
            <w:pPr>
              <w:spacing w:after="0"/>
              <w:rPr>
                <w:sz w:val="3"/>
                <w:szCs w:val="3"/>
                <w:color w:val="auto"/>
              </w:rPr>
            </w:pPr>
          </w:p>
        </w:tc>
        <w:tc>
          <w:tcPr>
            <w:tcW w:w="1200" w:type="dxa"/>
            <w:vAlign w:val="bottom"/>
            <w:tcBorders>
              <w:right w:val="single" w:sz="8" w:color="007CBA"/>
            </w:tcBorders>
          </w:tcPr>
          <w:p>
            <w:pPr>
              <w:spacing w:after="0"/>
              <w:rPr>
                <w:sz w:val="3"/>
                <w:szCs w:val="3"/>
                <w:color w:val="auto"/>
              </w:rPr>
            </w:pPr>
          </w:p>
        </w:tc>
        <w:tc>
          <w:tcPr>
            <w:tcW w:w="1180" w:type="dxa"/>
            <w:vAlign w:val="bottom"/>
            <w:tcBorders>
              <w:right w:val="single" w:sz="8" w:color="007CBA"/>
            </w:tcBorders>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72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i w:val="1"/>
                <w:iCs w:val="1"/>
                <w:color w:val="auto"/>
              </w:rPr>
              <w:t>Former Executive Officer:</w:t>
            </w:r>
          </w:p>
        </w:tc>
        <w:tc>
          <w:tcPr>
            <w:tcW w:w="80" w:type="dxa"/>
            <w:vAlign w:val="bottom"/>
            <w:shd w:val="clear" w:color="auto" w:fill="E5F1F8"/>
          </w:tcPr>
          <w:p>
            <w:pPr>
              <w:spacing w:after="0"/>
              <w:rPr>
                <w:sz w:val="19"/>
                <w:szCs w:val="19"/>
                <w:color w:val="auto"/>
              </w:rPr>
            </w:pPr>
          </w:p>
        </w:tc>
        <w:tc>
          <w:tcPr>
            <w:tcW w:w="460" w:type="dxa"/>
            <w:vAlign w:val="bottom"/>
            <w:tcBorders>
              <w:right w:val="single" w:sz="8" w:color="007CBA"/>
            </w:tcBorders>
            <w:gridSpan w:val="2"/>
            <w:shd w:val="clear" w:color="auto" w:fill="E5F1F8"/>
          </w:tcPr>
          <w:p>
            <w:pPr>
              <w:ind w:left="40"/>
              <w:spacing w:after="0"/>
              <w:rPr>
                <w:sz w:val="20"/>
                <w:szCs w:val="20"/>
                <w:color w:val="auto"/>
              </w:rPr>
            </w:pPr>
            <w:r>
              <w:rPr>
                <w:rFonts w:ascii="Arial" w:cs="Arial" w:eastAsia="Arial" w:hAnsi="Arial"/>
                <w:sz w:val="14"/>
                <w:szCs w:val="14"/>
                <w:color w:val="auto"/>
              </w:rPr>
              <w:t>2017</w:t>
            </w:r>
          </w:p>
        </w:tc>
        <w:tc>
          <w:tcPr>
            <w:tcW w:w="860" w:type="dxa"/>
            <w:vAlign w:val="bottom"/>
            <w:tcBorders>
              <w:right w:val="single" w:sz="8" w:color="007CBA"/>
            </w:tcBorders>
            <w:shd w:val="clear" w:color="auto" w:fill="E5F1F8"/>
          </w:tcPr>
          <w:p>
            <w:pPr>
              <w:jc w:val="right"/>
              <w:ind w:right="28"/>
              <w:spacing w:after="0"/>
              <w:rPr>
                <w:sz w:val="20"/>
                <w:szCs w:val="20"/>
                <w:color w:val="auto"/>
              </w:rPr>
            </w:pPr>
            <w:r>
              <w:rPr>
                <w:rFonts w:ascii="Arial" w:cs="Arial" w:eastAsia="Arial" w:hAnsi="Arial"/>
                <w:sz w:val="14"/>
                <w:szCs w:val="14"/>
                <w:color w:val="auto"/>
              </w:rPr>
              <w:t>580,423</w:t>
            </w:r>
          </w:p>
        </w:tc>
        <w:tc>
          <w:tcPr>
            <w:tcW w:w="88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007CBA"/>
            </w:tcBorders>
            <w:shd w:val="clear" w:color="auto" w:fill="E5F1F8"/>
          </w:tcPr>
          <w:p>
            <w:pPr>
              <w:jc w:val="right"/>
              <w:ind w:right="29"/>
              <w:spacing w:after="0"/>
              <w:rPr>
                <w:sz w:val="20"/>
                <w:szCs w:val="20"/>
                <w:color w:val="auto"/>
              </w:rPr>
            </w:pPr>
            <w:r>
              <w:rPr>
                <w:rFonts w:ascii="Arial" w:cs="Arial" w:eastAsia="Arial" w:hAnsi="Arial"/>
                <w:sz w:val="14"/>
                <w:szCs w:val="14"/>
                <w:color w:val="auto"/>
              </w:rPr>
              <w:t>1,353,145</w:t>
            </w:r>
          </w:p>
        </w:tc>
        <w:tc>
          <w:tcPr>
            <w:tcW w:w="740" w:type="dxa"/>
            <w:vAlign w:val="bottom"/>
            <w:tcBorders>
              <w:right w:val="single" w:sz="8" w:color="007CBA"/>
            </w:tcBorders>
            <w:shd w:val="clear" w:color="auto" w:fill="E5F1F8"/>
          </w:tcPr>
          <w:p>
            <w:pPr>
              <w:jc w:val="right"/>
              <w:ind w:right="29"/>
              <w:spacing w:after="0"/>
              <w:rPr>
                <w:sz w:val="20"/>
                <w:szCs w:val="20"/>
                <w:color w:val="auto"/>
              </w:rPr>
            </w:pPr>
            <w:r>
              <w:rPr>
                <w:rFonts w:ascii="Arial" w:cs="Arial" w:eastAsia="Arial" w:hAnsi="Arial"/>
                <w:sz w:val="14"/>
                <w:szCs w:val="14"/>
                <w:color w:val="auto"/>
              </w:rPr>
              <w:t>—</w:t>
            </w:r>
          </w:p>
        </w:tc>
        <w:tc>
          <w:tcPr>
            <w:tcW w:w="1180" w:type="dxa"/>
            <w:vAlign w:val="bottom"/>
            <w:tcBorders>
              <w:right w:val="single" w:sz="8" w:color="007CBA"/>
            </w:tcBorders>
            <w:shd w:val="clear" w:color="auto" w:fill="E5F1F8"/>
          </w:tcPr>
          <w:p>
            <w:pPr>
              <w:jc w:val="right"/>
              <w:ind w:right="29"/>
              <w:spacing w:after="0"/>
              <w:rPr>
                <w:sz w:val="20"/>
                <w:szCs w:val="20"/>
                <w:color w:val="auto"/>
              </w:rPr>
            </w:pPr>
            <w:r>
              <w:rPr>
                <w:rFonts w:ascii="Arial" w:cs="Arial" w:eastAsia="Arial" w:hAnsi="Arial"/>
                <w:sz w:val="14"/>
                <w:szCs w:val="14"/>
                <w:color w:val="auto"/>
              </w:rPr>
              <w:t>446,227</w:t>
            </w:r>
          </w:p>
        </w:tc>
        <w:tc>
          <w:tcPr>
            <w:tcW w:w="1200" w:type="dxa"/>
            <w:vAlign w:val="bottom"/>
            <w:tcBorders>
              <w:right w:val="single" w:sz="8" w:color="007CBA"/>
            </w:tcBorders>
            <w:shd w:val="clear" w:color="auto" w:fill="E5F1F8"/>
          </w:tcPr>
          <w:p>
            <w:pPr>
              <w:jc w:val="right"/>
              <w:ind w:right="29"/>
              <w:spacing w:after="0"/>
              <w:rPr>
                <w:sz w:val="20"/>
                <w:szCs w:val="20"/>
                <w:color w:val="auto"/>
              </w:rPr>
            </w:pPr>
            <w:r>
              <w:rPr>
                <w:rFonts w:ascii="Arial" w:cs="Arial" w:eastAsia="Arial" w:hAnsi="Arial"/>
                <w:sz w:val="14"/>
                <w:szCs w:val="14"/>
                <w:color w:val="auto"/>
              </w:rPr>
              <w:t>869,162</w:t>
            </w:r>
          </w:p>
        </w:tc>
        <w:tc>
          <w:tcPr>
            <w:tcW w:w="1180" w:type="dxa"/>
            <w:vAlign w:val="bottom"/>
            <w:tcBorders>
              <w:right w:val="single" w:sz="8" w:color="007CBA"/>
            </w:tcBorders>
            <w:shd w:val="clear" w:color="auto" w:fill="E5F1F8"/>
          </w:tcPr>
          <w:p>
            <w:pPr>
              <w:jc w:val="right"/>
              <w:ind w:right="29"/>
              <w:spacing w:after="0"/>
              <w:rPr>
                <w:sz w:val="20"/>
                <w:szCs w:val="20"/>
                <w:color w:val="auto"/>
              </w:rPr>
            </w:pPr>
            <w:r>
              <w:rPr>
                <w:rFonts w:ascii="Arial" w:cs="Arial" w:eastAsia="Arial" w:hAnsi="Arial"/>
                <w:sz w:val="14"/>
                <w:szCs w:val="14"/>
                <w:color w:val="auto"/>
              </w:rPr>
              <w:t>78,089</w:t>
            </w:r>
          </w:p>
        </w:tc>
        <w:tc>
          <w:tcPr>
            <w:tcW w:w="860" w:type="dxa"/>
            <w:vAlign w:val="bottom"/>
            <w:shd w:val="clear" w:color="auto" w:fill="E5F1F8"/>
          </w:tcPr>
          <w:p>
            <w:pPr>
              <w:jc w:val="right"/>
              <w:ind w:right="28"/>
              <w:spacing w:after="0"/>
              <w:rPr>
                <w:sz w:val="20"/>
                <w:szCs w:val="20"/>
                <w:color w:val="auto"/>
              </w:rPr>
            </w:pPr>
            <w:r>
              <w:rPr>
                <w:rFonts w:ascii="Arial" w:cs="Arial" w:eastAsia="Arial" w:hAnsi="Arial"/>
                <w:sz w:val="14"/>
                <w:szCs w:val="14"/>
                <w:color w:val="auto"/>
              </w:rPr>
              <w:t>3,327,046</w:t>
            </w:r>
          </w:p>
        </w:tc>
        <w:tc>
          <w:tcPr>
            <w:tcW w:w="0" w:type="dxa"/>
            <w:vAlign w:val="bottom"/>
          </w:tcPr>
          <w:p>
            <w:pPr>
              <w:spacing w:after="0"/>
              <w:rPr>
                <w:sz w:val="1"/>
                <w:szCs w:val="1"/>
                <w:color w:val="auto"/>
              </w:rPr>
            </w:pPr>
          </w:p>
        </w:tc>
      </w:tr>
      <w:tr>
        <w:trPr>
          <w:trHeight w:val="135"/>
        </w:trPr>
        <w:tc>
          <w:tcPr>
            <w:tcW w:w="2720" w:type="dxa"/>
            <w:vAlign w:val="bottom"/>
            <w:tcBorders>
              <w:right w:val="single" w:sz="8" w:color="007CBA"/>
            </w:tcBorders>
            <w:shd w:val="clear" w:color="auto" w:fill="E5F1F8"/>
          </w:tcPr>
          <w:p>
            <w:pPr>
              <w:ind w:left="60"/>
              <w:spacing w:after="0" w:line="135" w:lineRule="exact"/>
              <w:rPr>
                <w:sz w:val="20"/>
                <w:szCs w:val="20"/>
                <w:color w:val="auto"/>
              </w:rPr>
            </w:pPr>
            <w:r>
              <w:rPr>
                <w:rFonts w:ascii="Arial" w:cs="Arial" w:eastAsia="Arial" w:hAnsi="Arial"/>
                <w:sz w:val="14"/>
                <w:szCs w:val="14"/>
                <w:b w:val="1"/>
                <w:bCs w:val="1"/>
                <w:color w:val="auto"/>
              </w:rPr>
              <w:t>Anne H. Lloyd</w:t>
            </w:r>
          </w:p>
        </w:tc>
        <w:tc>
          <w:tcPr>
            <w:tcW w:w="80" w:type="dxa"/>
            <w:vAlign w:val="bottom"/>
            <w:shd w:val="clear" w:color="auto" w:fill="E5F1F8"/>
          </w:tcPr>
          <w:p>
            <w:pPr>
              <w:spacing w:after="0"/>
              <w:rPr>
                <w:sz w:val="11"/>
                <w:szCs w:val="11"/>
                <w:color w:val="auto"/>
              </w:rPr>
            </w:pPr>
          </w:p>
        </w:tc>
        <w:tc>
          <w:tcPr>
            <w:tcW w:w="40" w:type="dxa"/>
            <w:vAlign w:val="bottom"/>
            <w:shd w:val="clear" w:color="auto" w:fill="E5F1F8"/>
          </w:tcPr>
          <w:p>
            <w:pPr>
              <w:spacing w:after="0"/>
              <w:rPr>
                <w:sz w:val="11"/>
                <w:szCs w:val="11"/>
                <w:color w:val="auto"/>
              </w:rPr>
            </w:pPr>
          </w:p>
        </w:tc>
        <w:tc>
          <w:tcPr>
            <w:tcW w:w="420" w:type="dxa"/>
            <w:vAlign w:val="bottom"/>
            <w:tcBorders>
              <w:right w:val="single" w:sz="8" w:color="007CBA"/>
            </w:tcBorders>
            <w:vMerge w:val="restart"/>
            <w:shd w:val="clear" w:color="auto" w:fill="E5F1F8"/>
          </w:tcPr>
          <w:p>
            <w:pPr>
              <w:spacing w:after="0"/>
              <w:rPr>
                <w:sz w:val="20"/>
                <w:szCs w:val="20"/>
                <w:color w:val="auto"/>
              </w:rPr>
            </w:pPr>
            <w:r>
              <w:rPr>
                <w:rFonts w:ascii="Arial" w:cs="Arial" w:eastAsia="Arial" w:hAnsi="Arial"/>
                <w:sz w:val="14"/>
                <w:szCs w:val="14"/>
                <w:color w:val="auto"/>
              </w:rPr>
              <w:t>2016</w:t>
            </w:r>
          </w:p>
        </w:tc>
        <w:tc>
          <w:tcPr>
            <w:tcW w:w="860" w:type="dxa"/>
            <w:vAlign w:val="bottom"/>
            <w:tcBorders>
              <w:right w:val="single" w:sz="8" w:color="007CBA"/>
            </w:tcBorders>
            <w:vMerge w:val="restart"/>
            <w:shd w:val="clear" w:color="auto" w:fill="E5F1F8"/>
          </w:tcPr>
          <w:p>
            <w:pPr>
              <w:jc w:val="right"/>
              <w:ind w:right="28"/>
              <w:spacing w:after="0"/>
              <w:rPr>
                <w:sz w:val="20"/>
                <w:szCs w:val="20"/>
                <w:color w:val="auto"/>
              </w:rPr>
            </w:pPr>
            <w:r>
              <w:rPr>
                <w:rFonts w:ascii="Arial" w:cs="Arial" w:eastAsia="Arial" w:hAnsi="Arial"/>
                <w:sz w:val="14"/>
                <w:szCs w:val="14"/>
                <w:color w:val="auto"/>
              </w:rPr>
              <w:t>540,850</w:t>
            </w:r>
          </w:p>
        </w:tc>
        <w:tc>
          <w:tcPr>
            <w:tcW w:w="880" w:type="dxa"/>
            <w:vAlign w:val="bottom"/>
            <w:tcBorders>
              <w:right w:val="single" w:sz="8" w:color="007CBA"/>
            </w:tcBorders>
            <w:vMerge w:val="restart"/>
            <w:shd w:val="clear" w:color="auto" w:fill="E5F1F8"/>
          </w:tcPr>
          <w:p>
            <w:pPr>
              <w:jc w:val="right"/>
              <w:ind w:right="49"/>
              <w:spacing w:after="0"/>
              <w:rPr>
                <w:sz w:val="20"/>
                <w:szCs w:val="20"/>
                <w:color w:val="auto"/>
              </w:rPr>
            </w:pPr>
            <w:r>
              <w:rPr>
                <w:rFonts w:ascii="Arial" w:cs="Arial" w:eastAsia="Arial" w:hAnsi="Arial"/>
                <w:sz w:val="14"/>
                <w:szCs w:val="14"/>
                <w:color w:val="auto"/>
              </w:rPr>
              <w:t>526,139</w:t>
            </w:r>
          </w:p>
        </w:tc>
        <w:tc>
          <w:tcPr>
            <w:tcW w:w="860" w:type="dxa"/>
            <w:vAlign w:val="bottom"/>
            <w:tcBorders>
              <w:right w:val="single" w:sz="8" w:color="007CBA"/>
            </w:tcBorders>
            <w:vMerge w:val="restart"/>
            <w:shd w:val="clear" w:color="auto" w:fill="E5F1F8"/>
          </w:tcPr>
          <w:p>
            <w:pPr>
              <w:jc w:val="right"/>
              <w:ind w:right="29"/>
              <w:spacing w:after="0"/>
              <w:rPr>
                <w:sz w:val="20"/>
                <w:szCs w:val="20"/>
                <w:color w:val="auto"/>
              </w:rPr>
            </w:pPr>
            <w:r>
              <w:rPr>
                <w:rFonts w:ascii="Arial" w:cs="Arial" w:eastAsia="Arial" w:hAnsi="Arial"/>
                <w:sz w:val="14"/>
                <w:szCs w:val="14"/>
                <w:color w:val="auto"/>
              </w:rPr>
              <w:t>1,067,845</w:t>
            </w:r>
          </w:p>
        </w:tc>
        <w:tc>
          <w:tcPr>
            <w:tcW w:w="740" w:type="dxa"/>
            <w:vAlign w:val="bottom"/>
            <w:tcBorders>
              <w:right w:val="single" w:sz="8" w:color="007CBA"/>
            </w:tcBorders>
            <w:vMerge w:val="restart"/>
            <w:shd w:val="clear" w:color="auto" w:fill="E5F1F8"/>
          </w:tcPr>
          <w:p>
            <w:pPr>
              <w:jc w:val="right"/>
              <w:ind w:right="29"/>
              <w:spacing w:after="0"/>
              <w:rPr>
                <w:sz w:val="20"/>
                <w:szCs w:val="20"/>
                <w:color w:val="auto"/>
              </w:rPr>
            </w:pPr>
            <w:r>
              <w:rPr>
                <w:rFonts w:ascii="Arial" w:cs="Arial" w:eastAsia="Arial" w:hAnsi="Arial"/>
                <w:sz w:val="14"/>
                <w:szCs w:val="14"/>
                <w:color w:val="auto"/>
              </w:rPr>
              <w:t>—</w:t>
            </w:r>
          </w:p>
        </w:tc>
        <w:tc>
          <w:tcPr>
            <w:tcW w:w="1180" w:type="dxa"/>
            <w:vAlign w:val="bottom"/>
            <w:tcBorders>
              <w:right w:val="single" w:sz="8" w:color="007CBA"/>
            </w:tcBorders>
            <w:shd w:val="clear" w:color="auto" w:fill="E5F1F8"/>
          </w:tcPr>
          <w:p>
            <w:pPr>
              <w:spacing w:after="0"/>
              <w:rPr>
                <w:sz w:val="11"/>
                <w:szCs w:val="11"/>
                <w:color w:val="auto"/>
              </w:rPr>
            </w:pPr>
          </w:p>
        </w:tc>
        <w:tc>
          <w:tcPr>
            <w:tcW w:w="1200" w:type="dxa"/>
            <w:vAlign w:val="bottom"/>
            <w:tcBorders>
              <w:right w:val="single" w:sz="8" w:color="007CBA"/>
            </w:tcBorders>
            <w:vMerge w:val="restart"/>
            <w:shd w:val="clear" w:color="auto" w:fill="E5F1F8"/>
          </w:tcPr>
          <w:p>
            <w:pPr>
              <w:jc w:val="right"/>
              <w:ind w:right="29"/>
              <w:spacing w:after="0"/>
              <w:rPr>
                <w:sz w:val="20"/>
                <w:szCs w:val="20"/>
                <w:color w:val="auto"/>
              </w:rPr>
            </w:pPr>
            <w:r>
              <w:rPr>
                <w:rFonts w:ascii="Arial" w:cs="Arial" w:eastAsia="Arial" w:hAnsi="Arial"/>
                <w:sz w:val="14"/>
                <w:szCs w:val="14"/>
                <w:color w:val="auto"/>
              </w:rPr>
              <w:t>490,109</w:t>
            </w:r>
          </w:p>
        </w:tc>
        <w:tc>
          <w:tcPr>
            <w:tcW w:w="1180" w:type="dxa"/>
            <w:vAlign w:val="bottom"/>
            <w:tcBorders>
              <w:right w:val="single" w:sz="8" w:color="007CBA"/>
            </w:tcBorders>
            <w:vMerge w:val="restart"/>
            <w:shd w:val="clear" w:color="auto" w:fill="E5F1F8"/>
          </w:tcPr>
          <w:p>
            <w:pPr>
              <w:jc w:val="right"/>
              <w:ind w:right="29"/>
              <w:spacing w:after="0"/>
              <w:rPr>
                <w:sz w:val="20"/>
                <w:szCs w:val="20"/>
                <w:color w:val="auto"/>
              </w:rPr>
            </w:pPr>
            <w:r>
              <w:rPr>
                <w:rFonts w:ascii="Arial" w:cs="Arial" w:eastAsia="Arial" w:hAnsi="Arial"/>
                <w:sz w:val="14"/>
                <w:szCs w:val="14"/>
                <w:color w:val="auto"/>
              </w:rPr>
              <w:t>91,421</w:t>
            </w:r>
          </w:p>
        </w:tc>
        <w:tc>
          <w:tcPr>
            <w:tcW w:w="860" w:type="dxa"/>
            <w:vAlign w:val="bottom"/>
            <w:vMerge w:val="restart"/>
            <w:shd w:val="clear" w:color="auto" w:fill="E5F1F8"/>
          </w:tcPr>
          <w:p>
            <w:pPr>
              <w:jc w:val="right"/>
              <w:ind w:right="28"/>
              <w:spacing w:after="0"/>
              <w:rPr>
                <w:sz w:val="20"/>
                <w:szCs w:val="20"/>
                <w:color w:val="auto"/>
              </w:rPr>
            </w:pPr>
            <w:r>
              <w:rPr>
                <w:rFonts w:ascii="Arial" w:cs="Arial" w:eastAsia="Arial" w:hAnsi="Arial"/>
                <w:sz w:val="14"/>
                <w:szCs w:val="14"/>
                <w:color w:val="auto"/>
              </w:rPr>
              <w:t>2,716,364</w:t>
            </w:r>
          </w:p>
        </w:tc>
        <w:tc>
          <w:tcPr>
            <w:tcW w:w="0" w:type="dxa"/>
            <w:vAlign w:val="bottom"/>
          </w:tcPr>
          <w:p>
            <w:pPr>
              <w:spacing w:after="0"/>
              <w:rPr>
                <w:sz w:val="1"/>
                <w:szCs w:val="1"/>
                <w:color w:val="auto"/>
              </w:rPr>
            </w:pPr>
          </w:p>
        </w:tc>
      </w:tr>
      <w:tr>
        <w:trPr>
          <w:trHeight w:val="113"/>
        </w:trPr>
        <w:tc>
          <w:tcPr>
            <w:tcW w:w="2720" w:type="dxa"/>
            <w:vAlign w:val="bottom"/>
            <w:tcBorders>
              <w:right w:val="single" w:sz="8" w:color="007CBA"/>
            </w:tcBorders>
            <w:vMerge w:val="restart"/>
            <w:shd w:val="clear" w:color="auto" w:fill="E5F1F8"/>
          </w:tcPr>
          <w:p>
            <w:pPr>
              <w:ind w:left="60"/>
              <w:spacing w:after="0"/>
              <w:rPr>
                <w:sz w:val="20"/>
                <w:szCs w:val="20"/>
                <w:color w:val="auto"/>
              </w:rPr>
            </w:pPr>
            <w:r>
              <w:rPr>
                <w:rFonts w:ascii="Arial" w:cs="Arial" w:eastAsia="Arial" w:hAnsi="Arial"/>
                <w:sz w:val="14"/>
                <w:szCs w:val="14"/>
                <w:color w:val="auto"/>
              </w:rPr>
              <w:t>Executive Vice</w:t>
            </w:r>
          </w:p>
        </w:tc>
        <w:tc>
          <w:tcPr>
            <w:tcW w:w="80" w:type="dxa"/>
            <w:vAlign w:val="bottom"/>
            <w:shd w:val="clear" w:color="auto" w:fill="E5F1F8"/>
          </w:tcPr>
          <w:p>
            <w:pPr>
              <w:spacing w:after="0"/>
              <w:rPr>
                <w:sz w:val="9"/>
                <w:szCs w:val="9"/>
                <w:color w:val="auto"/>
              </w:rPr>
            </w:pPr>
          </w:p>
        </w:tc>
        <w:tc>
          <w:tcPr>
            <w:tcW w:w="40" w:type="dxa"/>
            <w:vAlign w:val="bottom"/>
            <w:shd w:val="clear" w:color="auto" w:fill="E5F1F8"/>
          </w:tcPr>
          <w:p>
            <w:pPr>
              <w:spacing w:after="0"/>
              <w:rPr>
                <w:sz w:val="9"/>
                <w:szCs w:val="9"/>
                <w:color w:val="auto"/>
              </w:rPr>
            </w:pPr>
          </w:p>
        </w:tc>
        <w:tc>
          <w:tcPr>
            <w:tcW w:w="420" w:type="dxa"/>
            <w:vAlign w:val="bottom"/>
            <w:tcBorders>
              <w:right w:val="single" w:sz="8" w:color="007CBA"/>
            </w:tcBorders>
            <w:vMerge w:val="continue"/>
            <w:shd w:val="clear" w:color="auto" w:fill="E5F1F8"/>
          </w:tcPr>
          <w:p>
            <w:pPr>
              <w:spacing w:after="0"/>
              <w:rPr>
                <w:sz w:val="9"/>
                <w:szCs w:val="9"/>
                <w:color w:val="auto"/>
              </w:rPr>
            </w:pPr>
          </w:p>
        </w:tc>
        <w:tc>
          <w:tcPr>
            <w:tcW w:w="860" w:type="dxa"/>
            <w:vAlign w:val="bottom"/>
            <w:tcBorders>
              <w:right w:val="single" w:sz="8" w:color="007CBA"/>
            </w:tcBorders>
            <w:vMerge w:val="continue"/>
            <w:shd w:val="clear" w:color="auto" w:fill="E5F1F8"/>
          </w:tcPr>
          <w:p>
            <w:pPr>
              <w:spacing w:after="0"/>
              <w:rPr>
                <w:sz w:val="9"/>
                <w:szCs w:val="9"/>
                <w:color w:val="auto"/>
              </w:rPr>
            </w:pPr>
          </w:p>
        </w:tc>
        <w:tc>
          <w:tcPr>
            <w:tcW w:w="880" w:type="dxa"/>
            <w:vAlign w:val="bottom"/>
            <w:tcBorders>
              <w:right w:val="single" w:sz="8" w:color="007CBA"/>
            </w:tcBorders>
            <w:vMerge w:val="continue"/>
            <w:shd w:val="clear" w:color="auto" w:fill="E5F1F8"/>
          </w:tcPr>
          <w:p>
            <w:pPr>
              <w:spacing w:after="0"/>
              <w:rPr>
                <w:sz w:val="9"/>
                <w:szCs w:val="9"/>
                <w:color w:val="auto"/>
              </w:rPr>
            </w:pPr>
          </w:p>
        </w:tc>
        <w:tc>
          <w:tcPr>
            <w:tcW w:w="860" w:type="dxa"/>
            <w:vAlign w:val="bottom"/>
            <w:tcBorders>
              <w:right w:val="single" w:sz="8" w:color="007CBA"/>
            </w:tcBorders>
            <w:vMerge w:val="continue"/>
            <w:shd w:val="clear" w:color="auto" w:fill="E5F1F8"/>
          </w:tcPr>
          <w:p>
            <w:pPr>
              <w:spacing w:after="0"/>
              <w:rPr>
                <w:sz w:val="9"/>
                <w:szCs w:val="9"/>
                <w:color w:val="auto"/>
              </w:rPr>
            </w:pPr>
          </w:p>
        </w:tc>
        <w:tc>
          <w:tcPr>
            <w:tcW w:w="740" w:type="dxa"/>
            <w:vAlign w:val="bottom"/>
            <w:tcBorders>
              <w:right w:val="single" w:sz="8" w:color="007CBA"/>
            </w:tcBorders>
            <w:vMerge w:val="continue"/>
            <w:shd w:val="clear" w:color="auto" w:fill="E5F1F8"/>
          </w:tcPr>
          <w:p>
            <w:pPr>
              <w:spacing w:after="0"/>
              <w:rPr>
                <w:sz w:val="9"/>
                <w:szCs w:val="9"/>
                <w:color w:val="auto"/>
              </w:rPr>
            </w:pPr>
          </w:p>
        </w:tc>
        <w:tc>
          <w:tcPr>
            <w:tcW w:w="1180" w:type="dxa"/>
            <w:vAlign w:val="bottom"/>
            <w:tcBorders>
              <w:right w:val="single" w:sz="8" w:color="007CBA"/>
            </w:tcBorders>
            <w:shd w:val="clear" w:color="auto" w:fill="E5F1F8"/>
          </w:tcPr>
          <w:p>
            <w:pPr>
              <w:spacing w:after="0"/>
              <w:rPr>
                <w:sz w:val="9"/>
                <w:szCs w:val="9"/>
                <w:color w:val="auto"/>
              </w:rPr>
            </w:pPr>
          </w:p>
        </w:tc>
        <w:tc>
          <w:tcPr>
            <w:tcW w:w="1200" w:type="dxa"/>
            <w:vAlign w:val="bottom"/>
            <w:tcBorders>
              <w:right w:val="single" w:sz="8" w:color="007CBA"/>
            </w:tcBorders>
            <w:vMerge w:val="continue"/>
            <w:shd w:val="clear" w:color="auto" w:fill="E5F1F8"/>
          </w:tcPr>
          <w:p>
            <w:pPr>
              <w:spacing w:after="0"/>
              <w:rPr>
                <w:sz w:val="9"/>
                <w:szCs w:val="9"/>
                <w:color w:val="auto"/>
              </w:rPr>
            </w:pPr>
          </w:p>
        </w:tc>
        <w:tc>
          <w:tcPr>
            <w:tcW w:w="1180" w:type="dxa"/>
            <w:vAlign w:val="bottom"/>
            <w:tcBorders>
              <w:right w:val="single" w:sz="8" w:color="007CBA"/>
            </w:tcBorders>
            <w:vMerge w:val="continue"/>
            <w:shd w:val="clear" w:color="auto" w:fill="E5F1F8"/>
          </w:tcPr>
          <w:p>
            <w:pPr>
              <w:spacing w:after="0"/>
              <w:rPr>
                <w:sz w:val="9"/>
                <w:szCs w:val="9"/>
                <w:color w:val="auto"/>
              </w:rPr>
            </w:pPr>
          </w:p>
        </w:tc>
        <w:tc>
          <w:tcPr>
            <w:tcW w:w="860" w:type="dxa"/>
            <w:vAlign w:val="bottom"/>
            <w:vMerge w:val="continue"/>
            <w:shd w:val="clear" w:color="auto" w:fill="E5F1F8"/>
          </w:tcPr>
          <w:p>
            <w:pPr>
              <w:spacing w:after="0"/>
              <w:rPr>
                <w:sz w:val="9"/>
                <w:szCs w:val="9"/>
                <w:color w:val="auto"/>
              </w:rPr>
            </w:pPr>
          </w:p>
        </w:tc>
        <w:tc>
          <w:tcPr>
            <w:tcW w:w="0" w:type="dxa"/>
            <w:vAlign w:val="bottom"/>
          </w:tcPr>
          <w:p>
            <w:pPr>
              <w:spacing w:after="0"/>
              <w:rPr>
                <w:sz w:val="1"/>
                <w:szCs w:val="1"/>
                <w:color w:val="auto"/>
              </w:rPr>
            </w:pPr>
          </w:p>
        </w:tc>
      </w:tr>
      <w:tr>
        <w:trPr>
          <w:trHeight w:val="49"/>
        </w:trPr>
        <w:tc>
          <w:tcPr>
            <w:tcW w:w="2720" w:type="dxa"/>
            <w:vAlign w:val="bottom"/>
            <w:tcBorders>
              <w:right w:val="single" w:sz="8" w:color="007CBA"/>
            </w:tcBorders>
            <w:vMerge w:val="continue"/>
            <w:shd w:val="clear" w:color="auto" w:fill="E5F1F8"/>
          </w:tcPr>
          <w:p>
            <w:pPr>
              <w:spacing w:after="0"/>
              <w:rPr>
                <w:sz w:val="4"/>
                <w:szCs w:val="4"/>
                <w:color w:val="auto"/>
              </w:rPr>
            </w:pPr>
          </w:p>
        </w:tc>
        <w:tc>
          <w:tcPr>
            <w:tcW w:w="80" w:type="dxa"/>
            <w:vAlign w:val="bottom"/>
            <w:shd w:val="clear" w:color="auto" w:fill="E5F1F8"/>
          </w:tcPr>
          <w:p>
            <w:pPr>
              <w:spacing w:after="0"/>
              <w:rPr>
                <w:sz w:val="4"/>
                <w:szCs w:val="4"/>
                <w:color w:val="auto"/>
              </w:rPr>
            </w:pPr>
          </w:p>
        </w:tc>
        <w:tc>
          <w:tcPr>
            <w:tcW w:w="40" w:type="dxa"/>
            <w:vAlign w:val="bottom"/>
            <w:shd w:val="clear" w:color="auto" w:fill="E5F1F8"/>
          </w:tcPr>
          <w:p>
            <w:pPr>
              <w:spacing w:after="0"/>
              <w:rPr>
                <w:sz w:val="4"/>
                <w:szCs w:val="4"/>
                <w:color w:val="auto"/>
              </w:rPr>
            </w:pPr>
          </w:p>
        </w:tc>
        <w:tc>
          <w:tcPr>
            <w:tcW w:w="420" w:type="dxa"/>
            <w:vAlign w:val="bottom"/>
            <w:tcBorders>
              <w:right w:val="single" w:sz="8" w:color="007CBA"/>
            </w:tcBorders>
            <w:shd w:val="clear" w:color="auto" w:fill="E5F1F8"/>
          </w:tcPr>
          <w:p>
            <w:pPr>
              <w:spacing w:after="0"/>
              <w:rPr>
                <w:sz w:val="4"/>
                <w:szCs w:val="4"/>
                <w:color w:val="auto"/>
              </w:rPr>
            </w:pPr>
          </w:p>
        </w:tc>
        <w:tc>
          <w:tcPr>
            <w:tcW w:w="860" w:type="dxa"/>
            <w:vAlign w:val="bottom"/>
            <w:tcBorders>
              <w:right w:val="single" w:sz="8" w:color="007CBA"/>
            </w:tcBorders>
            <w:shd w:val="clear" w:color="auto" w:fill="E5F1F8"/>
          </w:tcPr>
          <w:p>
            <w:pPr>
              <w:spacing w:after="0"/>
              <w:rPr>
                <w:sz w:val="4"/>
                <w:szCs w:val="4"/>
                <w:color w:val="auto"/>
              </w:rPr>
            </w:pPr>
          </w:p>
        </w:tc>
        <w:tc>
          <w:tcPr>
            <w:tcW w:w="880" w:type="dxa"/>
            <w:vAlign w:val="bottom"/>
            <w:tcBorders>
              <w:right w:val="single" w:sz="8" w:color="007CBA"/>
            </w:tcBorders>
            <w:shd w:val="clear" w:color="auto" w:fill="E5F1F8"/>
          </w:tcPr>
          <w:p>
            <w:pPr>
              <w:spacing w:after="0"/>
              <w:rPr>
                <w:sz w:val="4"/>
                <w:szCs w:val="4"/>
                <w:color w:val="auto"/>
              </w:rPr>
            </w:pPr>
          </w:p>
        </w:tc>
        <w:tc>
          <w:tcPr>
            <w:tcW w:w="860" w:type="dxa"/>
            <w:vAlign w:val="bottom"/>
            <w:tcBorders>
              <w:right w:val="single" w:sz="8" w:color="007CBA"/>
            </w:tcBorders>
            <w:shd w:val="clear" w:color="auto" w:fill="E5F1F8"/>
          </w:tcPr>
          <w:p>
            <w:pPr>
              <w:spacing w:after="0"/>
              <w:rPr>
                <w:sz w:val="4"/>
                <w:szCs w:val="4"/>
                <w:color w:val="auto"/>
              </w:rPr>
            </w:pPr>
          </w:p>
        </w:tc>
        <w:tc>
          <w:tcPr>
            <w:tcW w:w="740" w:type="dxa"/>
            <w:vAlign w:val="bottom"/>
            <w:tcBorders>
              <w:right w:val="single" w:sz="8" w:color="007CBA"/>
            </w:tcBorders>
            <w:vMerge w:val="continue"/>
            <w:shd w:val="clear" w:color="auto" w:fill="E5F1F8"/>
          </w:tcPr>
          <w:p>
            <w:pPr>
              <w:spacing w:after="0"/>
              <w:rPr>
                <w:sz w:val="4"/>
                <w:szCs w:val="4"/>
                <w:color w:val="auto"/>
              </w:rPr>
            </w:pPr>
          </w:p>
        </w:tc>
        <w:tc>
          <w:tcPr>
            <w:tcW w:w="1180" w:type="dxa"/>
            <w:vAlign w:val="bottom"/>
            <w:tcBorders>
              <w:right w:val="single" w:sz="8" w:color="007CBA"/>
            </w:tcBorders>
            <w:shd w:val="clear" w:color="auto" w:fill="E5F1F8"/>
          </w:tcPr>
          <w:p>
            <w:pPr>
              <w:spacing w:after="0"/>
              <w:rPr>
                <w:sz w:val="4"/>
                <w:szCs w:val="4"/>
                <w:color w:val="auto"/>
              </w:rPr>
            </w:pPr>
          </w:p>
        </w:tc>
        <w:tc>
          <w:tcPr>
            <w:tcW w:w="1200" w:type="dxa"/>
            <w:vAlign w:val="bottom"/>
            <w:tcBorders>
              <w:right w:val="single" w:sz="8" w:color="007CBA"/>
            </w:tcBorders>
            <w:shd w:val="clear" w:color="auto" w:fill="E5F1F8"/>
          </w:tcPr>
          <w:p>
            <w:pPr>
              <w:spacing w:after="0"/>
              <w:rPr>
                <w:sz w:val="4"/>
                <w:szCs w:val="4"/>
                <w:color w:val="auto"/>
              </w:rPr>
            </w:pPr>
          </w:p>
        </w:tc>
        <w:tc>
          <w:tcPr>
            <w:tcW w:w="1180" w:type="dxa"/>
            <w:vAlign w:val="bottom"/>
            <w:tcBorders>
              <w:right w:val="single" w:sz="8" w:color="007CBA"/>
            </w:tcBorders>
            <w:shd w:val="clear" w:color="auto" w:fill="E5F1F8"/>
          </w:tcPr>
          <w:p>
            <w:pPr>
              <w:spacing w:after="0"/>
              <w:rPr>
                <w:sz w:val="4"/>
                <w:szCs w:val="4"/>
                <w:color w:val="auto"/>
              </w:rPr>
            </w:pPr>
          </w:p>
        </w:tc>
        <w:tc>
          <w:tcPr>
            <w:tcW w:w="860" w:type="dxa"/>
            <w:vAlign w:val="bottom"/>
            <w:shd w:val="clear" w:color="auto" w:fill="E5F1F8"/>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720" w:type="dxa"/>
            <w:vAlign w:val="bottom"/>
            <w:tcBorders>
              <w:bottom w:val="single" w:sz="8" w:color="E5F1F8"/>
              <w:right w:val="single" w:sz="8" w:color="007CBA"/>
            </w:tcBorders>
            <w:shd w:val="clear" w:color="auto" w:fill="E5F1F8"/>
          </w:tcPr>
          <w:p>
            <w:pPr>
              <w:ind w:left="60"/>
              <w:spacing w:after="0"/>
              <w:rPr>
                <w:sz w:val="20"/>
                <w:szCs w:val="20"/>
                <w:color w:val="auto"/>
              </w:rPr>
            </w:pPr>
            <w:r>
              <w:rPr>
                <w:rFonts w:ascii="Arial" w:cs="Arial" w:eastAsia="Arial" w:hAnsi="Arial"/>
                <w:sz w:val="14"/>
                <w:szCs w:val="14"/>
                <w:color w:val="auto"/>
              </w:rPr>
              <w:t>President and CFO</w:t>
            </w:r>
          </w:p>
        </w:tc>
        <w:tc>
          <w:tcPr>
            <w:tcW w:w="80" w:type="dxa"/>
            <w:vAlign w:val="bottom"/>
            <w:tcBorders>
              <w:bottom w:val="single" w:sz="8" w:color="E5F1F8"/>
            </w:tcBorders>
            <w:shd w:val="clear" w:color="auto" w:fill="E5F1F8"/>
          </w:tcPr>
          <w:p>
            <w:pPr>
              <w:spacing w:after="0"/>
              <w:rPr>
                <w:sz w:val="19"/>
                <w:szCs w:val="19"/>
                <w:color w:val="auto"/>
              </w:rPr>
            </w:pPr>
          </w:p>
        </w:tc>
        <w:tc>
          <w:tcPr>
            <w:tcW w:w="40" w:type="dxa"/>
            <w:vAlign w:val="bottom"/>
            <w:tcBorders>
              <w:bottom w:val="single" w:sz="8" w:color="E5F1F8"/>
            </w:tcBorders>
            <w:shd w:val="clear" w:color="auto" w:fill="E5F1F8"/>
          </w:tcPr>
          <w:p>
            <w:pPr>
              <w:spacing w:after="0"/>
              <w:rPr>
                <w:sz w:val="19"/>
                <w:szCs w:val="19"/>
                <w:color w:val="auto"/>
              </w:rPr>
            </w:pPr>
          </w:p>
        </w:tc>
        <w:tc>
          <w:tcPr>
            <w:tcW w:w="420" w:type="dxa"/>
            <w:vAlign w:val="bottom"/>
            <w:tcBorders>
              <w:bottom w:val="single" w:sz="8" w:color="E5F1F8"/>
              <w:right w:val="single" w:sz="8" w:color="007CBA"/>
            </w:tcBorders>
            <w:shd w:val="clear" w:color="auto" w:fill="E5F1F8"/>
          </w:tcPr>
          <w:p>
            <w:pPr>
              <w:spacing w:after="0"/>
              <w:rPr>
                <w:sz w:val="20"/>
                <w:szCs w:val="20"/>
                <w:color w:val="auto"/>
              </w:rPr>
            </w:pPr>
            <w:r>
              <w:rPr>
                <w:rFonts w:ascii="Arial" w:cs="Arial" w:eastAsia="Arial" w:hAnsi="Arial"/>
                <w:sz w:val="14"/>
                <w:szCs w:val="14"/>
                <w:color w:val="auto"/>
              </w:rPr>
              <w:t>2015</w:t>
            </w:r>
          </w:p>
        </w:tc>
        <w:tc>
          <w:tcPr>
            <w:tcW w:w="860" w:type="dxa"/>
            <w:vAlign w:val="bottom"/>
            <w:tcBorders>
              <w:bottom w:val="single" w:sz="8" w:color="E5F1F8"/>
              <w:right w:val="single" w:sz="8" w:color="007CBA"/>
            </w:tcBorders>
            <w:shd w:val="clear" w:color="auto" w:fill="E5F1F8"/>
          </w:tcPr>
          <w:p>
            <w:pPr>
              <w:jc w:val="right"/>
              <w:ind w:right="28"/>
              <w:spacing w:after="0"/>
              <w:rPr>
                <w:sz w:val="20"/>
                <w:szCs w:val="20"/>
                <w:color w:val="auto"/>
              </w:rPr>
            </w:pPr>
            <w:r>
              <w:rPr>
                <w:rFonts w:ascii="Arial" w:cs="Arial" w:eastAsia="Arial" w:hAnsi="Arial"/>
                <w:sz w:val="14"/>
                <w:szCs w:val="14"/>
                <w:color w:val="auto"/>
              </w:rPr>
              <w:t>525,325</w:t>
            </w:r>
          </w:p>
        </w:tc>
        <w:tc>
          <w:tcPr>
            <w:tcW w:w="880" w:type="dxa"/>
            <w:vAlign w:val="bottom"/>
            <w:tcBorders>
              <w:bottom w:val="single" w:sz="8" w:color="E5F1F8"/>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319,398</w:t>
            </w:r>
          </w:p>
        </w:tc>
        <w:tc>
          <w:tcPr>
            <w:tcW w:w="860" w:type="dxa"/>
            <w:vAlign w:val="bottom"/>
            <w:tcBorders>
              <w:bottom w:val="single" w:sz="8" w:color="E5F1F8"/>
              <w:right w:val="single" w:sz="8" w:color="007CBA"/>
            </w:tcBorders>
            <w:shd w:val="clear" w:color="auto" w:fill="E5F1F8"/>
          </w:tcPr>
          <w:p>
            <w:pPr>
              <w:jc w:val="right"/>
              <w:ind w:right="29"/>
              <w:spacing w:after="0"/>
              <w:rPr>
                <w:sz w:val="20"/>
                <w:szCs w:val="20"/>
                <w:color w:val="auto"/>
              </w:rPr>
            </w:pPr>
            <w:r>
              <w:rPr>
                <w:rFonts w:ascii="Arial" w:cs="Arial" w:eastAsia="Arial" w:hAnsi="Arial"/>
                <w:sz w:val="14"/>
                <w:szCs w:val="14"/>
                <w:color w:val="auto"/>
              </w:rPr>
              <w:t>603,530</w:t>
            </w:r>
          </w:p>
        </w:tc>
        <w:tc>
          <w:tcPr>
            <w:tcW w:w="740" w:type="dxa"/>
            <w:vAlign w:val="bottom"/>
            <w:tcBorders>
              <w:bottom w:val="single" w:sz="8" w:color="E5F1F8"/>
              <w:right w:val="single" w:sz="8" w:color="007CBA"/>
            </w:tcBorders>
            <w:shd w:val="clear" w:color="auto" w:fill="E5F1F8"/>
          </w:tcPr>
          <w:p>
            <w:pPr>
              <w:jc w:val="right"/>
              <w:ind w:right="29"/>
              <w:spacing w:after="0"/>
              <w:rPr>
                <w:sz w:val="20"/>
                <w:szCs w:val="20"/>
                <w:color w:val="auto"/>
              </w:rPr>
            </w:pPr>
            <w:r>
              <w:rPr>
                <w:rFonts w:ascii="Arial" w:cs="Arial" w:eastAsia="Arial" w:hAnsi="Arial"/>
                <w:sz w:val="14"/>
                <w:szCs w:val="14"/>
                <w:color w:val="auto"/>
              </w:rPr>
              <w:t>233,668</w:t>
            </w:r>
          </w:p>
        </w:tc>
        <w:tc>
          <w:tcPr>
            <w:tcW w:w="1180" w:type="dxa"/>
            <w:vAlign w:val="bottom"/>
            <w:tcBorders>
              <w:bottom w:val="single" w:sz="8" w:color="E5F1F8"/>
              <w:right w:val="single" w:sz="8" w:color="007CBA"/>
            </w:tcBorders>
            <w:shd w:val="clear" w:color="auto" w:fill="E5F1F8"/>
          </w:tcPr>
          <w:p>
            <w:pPr>
              <w:spacing w:after="0"/>
              <w:rPr>
                <w:sz w:val="19"/>
                <w:szCs w:val="19"/>
                <w:color w:val="auto"/>
              </w:rPr>
            </w:pPr>
          </w:p>
        </w:tc>
        <w:tc>
          <w:tcPr>
            <w:tcW w:w="1200" w:type="dxa"/>
            <w:vAlign w:val="bottom"/>
            <w:tcBorders>
              <w:bottom w:val="single" w:sz="8" w:color="E5F1F8"/>
              <w:right w:val="single" w:sz="8" w:color="007CBA"/>
            </w:tcBorders>
            <w:shd w:val="clear" w:color="auto" w:fill="E5F1F8"/>
          </w:tcPr>
          <w:p>
            <w:pPr>
              <w:jc w:val="right"/>
              <w:ind w:right="29"/>
              <w:spacing w:after="0"/>
              <w:rPr>
                <w:sz w:val="20"/>
                <w:szCs w:val="20"/>
                <w:color w:val="auto"/>
              </w:rPr>
            </w:pPr>
            <w:r>
              <w:rPr>
                <w:rFonts w:ascii="Arial" w:cs="Arial" w:eastAsia="Arial" w:hAnsi="Arial"/>
                <w:sz w:val="14"/>
                <w:szCs w:val="14"/>
                <w:color w:val="auto"/>
              </w:rPr>
              <w:t>253,253</w:t>
            </w:r>
          </w:p>
        </w:tc>
        <w:tc>
          <w:tcPr>
            <w:tcW w:w="1180" w:type="dxa"/>
            <w:vAlign w:val="bottom"/>
            <w:tcBorders>
              <w:bottom w:val="single" w:sz="8" w:color="E5F1F8"/>
              <w:right w:val="single" w:sz="8" w:color="007CBA"/>
            </w:tcBorders>
            <w:shd w:val="clear" w:color="auto" w:fill="E5F1F8"/>
          </w:tcPr>
          <w:p>
            <w:pPr>
              <w:jc w:val="right"/>
              <w:ind w:right="29"/>
              <w:spacing w:after="0"/>
              <w:rPr>
                <w:sz w:val="20"/>
                <w:szCs w:val="20"/>
                <w:color w:val="auto"/>
              </w:rPr>
            </w:pPr>
            <w:r>
              <w:rPr>
                <w:rFonts w:ascii="Arial" w:cs="Arial" w:eastAsia="Arial" w:hAnsi="Arial"/>
                <w:sz w:val="14"/>
                <w:szCs w:val="14"/>
                <w:color w:val="auto"/>
              </w:rPr>
              <w:t>88,118</w:t>
            </w:r>
          </w:p>
        </w:tc>
        <w:tc>
          <w:tcPr>
            <w:tcW w:w="860" w:type="dxa"/>
            <w:vAlign w:val="bottom"/>
            <w:tcBorders>
              <w:bottom w:val="single" w:sz="8" w:color="E5F1F8"/>
            </w:tcBorders>
            <w:shd w:val="clear" w:color="auto" w:fill="E5F1F8"/>
          </w:tcPr>
          <w:p>
            <w:pPr>
              <w:jc w:val="right"/>
              <w:ind w:right="28"/>
              <w:spacing w:after="0"/>
              <w:rPr>
                <w:sz w:val="20"/>
                <w:szCs w:val="20"/>
                <w:color w:val="auto"/>
              </w:rPr>
            </w:pPr>
            <w:r>
              <w:rPr>
                <w:rFonts w:ascii="Arial" w:cs="Arial" w:eastAsia="Arial" w:hAnsi="Arial"/>
                <w:sz w:val="14"/>
                <w:szCs w:val="14"/>
                <w:color w:val="auto"/>
              </w:rPr>
              <w:t>2,023,292</w:t>
            </w:r>
          </w:p>
        </w:tc>
        <w:tc>
          <w:tcPr>
            <w:tcW w:w="0" w:type="dxa"/>
            <w:vAlign w:val="bottom"/>
          </w:tcPr>
          <w:p>
            <w:pPr>
              <w:spacing w:after="0"/>
              <w:rPr>
                <w:sz w:val="1"/>
                <w:szCs w:val="1"/>
                <w:color w:val="auto"/>
              </w:rPr>
            </w:pPr>
          </w:p>
        </w:tc>
      </w:tr>
      <w:tr>
        <w:trPr>
          <w:trHeight w:val="20"/>
        </w:trPr>
        <w:tc>
          <w:tcPr>
            <w:tcW w:w="2720" w:type="dxa"/>
            <w:vAlign w:val="bottom"/>
            <w:tcBorders>
              <w:right w:val="single" w:sz="8" w:color="007CBA"/>
            </w:tcBorders>
            <w:shd w:val="clear" w:color="auto" w:fill="007CBA"/>
          </w:tcPr>
          <w:p>
            <w:pPr>
              <w:spacing w:after="0" w:line="20" w:lineRule="exact"/>
              <w:rPr>
                <w:sz w:val="1"/>
                <w:szCs w:val="1"/>
                <w:color w:val="auto"/>
              </w:rPr>
            </w:pPr>
          </w:p>
        </w:tc>
        <w:tc>
          <w:tcPr>
            <w:tcW w:w="80" w:type="dxa"/>
            <w:vAlign w:val="bottom"/>
            <w:shd w:val="clear" w:color="auto" w:fill="007CBA"/>
          </w:tcPr>
          <w:p>
            <w:pPr>
              <w:spacing w:after="0" w:line="20" w:lineRule="exact"/>
              <w:rPr>
                <w:sz w:val="1"/>
                <w:szCs w:val="1"/>
                <w:color w:val="auto"/>
              </w:rPr>
            </w:pPr>
          </w:p>
        </w:tc>
        <w:tc>
          <w:tcPr>
            <w:tcW w:w="40" w:type="dxa"/>
            <w:vAlign w:val="bottom"/>
            <w:shd w:val="clear" w:color="auto" w:fill="007CBA"/>
          </w:tcPr>
          <w:p>
            <w:pPr>
              <w:spacing w:after="0" w:line="20" w:lineRule="exact"/>
              <w:rPr>
                <w:sz w:val="1"/>
                <w:szCs w:val="1"/>
                <w:color w:val="auto"/>
              </w:rPr>
            </w:pPr>
          </w:p>
        </w:tc>
        <w:tc>
          <w:tcPr>
            <w:tcW w:w="420" w:type="dxa"/>
            <w:vAlign w:val="bottom"/>
            <w:tcBorders>
              <w:right w:val="single" w:sz="8" w:color="007CBA"/>
            </w:tcBorders>
            <w:shd w:val="clear" w:color="auto" w:fill="007CBA"/>
          </w:tcPr>
          <w:p>
            <w:pPr>
              <w:spacing w:after="0" w:line="20" w:lineRule="exact"/>
              <w:rPr>
                <w:sz w:val="1"/>
                <w:szCs w:val="1"/>
                <w:color w:val="auto"/>
              </w:rPr>
            </w:pPr>
          </w:p>
        </w:tc>
        <w:tc>
          <w:tcPr>
            <w:tcW w:w="860" w:type="dxa"/>
            <w:vAlign w:val="bottom"/>
            <w:tcBorders>
              <w:right w:val="single" w:sz="8" w:color="007CBA"/>
            </w:tcBorders>
            <w:shd w:val="clear" w:color="auto" w:fill="007CBA"/>
          </w:tcPr>
          <w:p>
            <w:pPr>
              <w:spacing w:after="0" w:line="20" w:lineRule="exact"/>
              <w:rPr>
                <w:sz w:val="1"/>
                <w:szCs w:val="1"/>
                <w:color w:val="auto"/>
              </w:rPr>
            </w:pPr>
          </w:p>
        </w:tc>
        <w:tc>
          <w:tcPr>
            <w:tcW w:w="880" w:type="dxa"/>
            <w:vAlign w:val="bottom"/>
            <w:tcBorders>
              <w:right w:val="single" w:sz="8" w:color="007CBA"/>
            </w:tcBorders>
            <w:shd w:val="clear" w:color="auto" w:fill="007CBA"/>
          </w:tcPr>
          <w:p>
            <w:pPr>
              <w:spacing w:after="0" w:line="20" w:lineRule="exact"/>
              <w:rPr>
                <w:sz w:val="1"/>
                <w:szCs w:val="1"/>
                <w:color w:val="auto"/>
              </w:rPr>
            </w:pPr>
          </w:p>
        </w:tc>
        <w:tc>
          <w:tcPr>
            <w:tcW w:w="860" w:type="dxa"/>
            <w:vAlign w:val="bottom"/>
            <w:tcBorders>
              <w:right w:val="single" w:sz="8" w:color="007CBA"/>
            </w:tcBorders>
            <w:shd w:val="clear" w:color="auto" w:fill="007CBA"/>
          </w:tcPr>
          <w:p>
            <w:pPr>
              <w:spacing w:after="0" w:line="20" w:lineRule="exact"/>
              <w:rPr>
                <w:sz w:val="1"/>
                <w:szCs w:val="1"/>
                <w:color w:val="auto"/>
              </w:rPr>
            </w:pPr>
          </w:p>
        </w:tc>
        <w:tc>
          <w:tcPr>
            <w:tcW w:w="740" w:type="dxa"/>
            <w:vAlign w:val="bottom"/>
            <w:tcBorders>
              <w:right w:val="single" w:sz="8" w:color="007CBA"/>
            </w:tcBorders>
            <w:shd w:val="clear" w:color="auto" w:fill="007CBA"/>
          </w:tcPr>
          <w:p>
            <w:pPr>
              <w:spacing w:after="0" w:line="20" w:lineRule="exact"/>
              <w:rPr>
                <w:sz w:val="1"/>
                <w:szCs w:val="1"/>
                <w:color w:val="auto"/>
              </w:rPr>
            </w:pPr>
          </w:p>
        </w:tc>
        <w:tc>
          <w:tcPr>
            <w:tcW w:w="1180" w:type="dxa"/>
            <w:vAlign w:val="bottom"/>
            <w:tcBorders>
              <w:right w:val="single" w:sz="8" w:color="007CBA"/>
            </w:tcBorders>
            <w:shd w:val="clear" w:color="auto" w:fill="007CBA"/>
          </w:tcPr>
          <w:p>
            <w:pPr>
              <w:spacing w:after="0" w:line="20" w:lineRule="exact"/>
              <w:rPr>
                <w:sz w:val="1"/>
                <w:szCs w:val="1"/>
                <w:color w:val="auto"/>
              </w:rPr>
            </w:pPr>
          </w:p>
        </w:tc>
        <w:tc>
          <w:tcPr>
            <w:tcW w:w="1200" w:type="dxa"/>
            <w:vAlign w:val="bottom"/>
            <w:tcBorders>
              <w:right w:val="single" w:sz="8" w:color="007CBA"/>
            </w:tcBorders>
            <w:shd w:val="clear" w:color="auto" w:fill="007CBA"/>
          </w:tcPr>
          <w:p>
            <w:pPr>
              <w:spacing w:after="0" w:line="20" w:lineRule="exact"/>
              <w:rPr>
                <w:sz w:val="1"/>
                <w:szCs w:val="1"/>
                <w:color w:val="auto"/>
              </w:rPr>
            </w:pPr>
          </w:p>
        </w:tc>
        <w:tc>
          <w:tcPr>
            <w:tcW w:w="1180" w:type="dxa"/>
            <w:vAlign w:val="bottom"/>
            <w:tcBorders>
              <w:right w:val="single" w:sz="8" w:color="007CBA"/>
            </w:tcBorders>
            <w:shd w:val="clear" w:color="auto" w:fill="007CBA"/>
          </w:tcPr>
          <w:p>
            <w:pPr>
              <w:spacing w:after="0" w:line="20" w:lineRule="exact"/>
              <w:rPr>
                <w:sz w:val="1"/>
                <w:szCs w:val="1"/>
                <w:color w:val="auto"/>
              </w:rPr>
            </w:pPr>
          </w:p>
        </w:tc>
        <w:tc>
          <w:tcPr>
            <w:tcW w:w="860" w:type="dxa"/>
            <w:vAlign w:val="bottom"/>
            <w:shd w:val="clear" w:color="auto" w:fill="007CB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jc w:val="both"/>
        <w:ind w:left="320" w:right="20" w:hanging="116"/>
        <w:spacing w:after="0" w:line="215" w:lineRule="auto"/>
        <w:tabs>
          <w:tab w:leader="none" w:pos="320" w:val="left"/>
        </w:tabs>
        <w:numPr>
          <w:ilvl w:val="0"/>
          <w:numId w:val="97"/>
        </w:numPr>
        <w:rPr>
          <w:rFonts w:ascii="Arial" w:cs="Arial" w:eastAsia="Arial" w:hAnsi="Arial"/>
          <w:sz w:val="24"/>
          <w:szCs w:val="24"/>
          <w:color w:val="auto"/>
          <w:vertAlign w:val="superscript"/>
        </w:rPr>
      </w:pPr>
      <w:r>
        <w:rPr>
          <w:rFonts w:ascii="Arial" w:cs="Arial" w:eastAsia="Arial" w:hAnsi="Arial"/>
          <w:sz w:val="14"/>
          <w:szCs w:val="14"/>
          <w:color w:val="auto"/>
        </w:rPr>
        <w:t xml:space="preserve">The amounts in column (d) for 2016 and 2015 reflect the cash bonuses to the named individuals earned under annual incentive arrangements. The amounts in this column include the amounts of bonus irrevocably deferred in common stock units at the election of each named executive officer pursuant to Martin Marietta’s Incentive Stock Plan, which is discussed in further detail on page 46 under the heading </w:t>
      </w:r>
      <w:r>
        <w:rPr>
          <w:rFonts w:ascii="Arial" w:cs="Arial" w:eastAsia="Arial" w:hAnsi="Arial"/>
          <w:sz w:val="14"/>
          <w:szCs w:val="14"/>
          <w:i w:val="1"/>
          <w:iCs w:val="1"/>
          <w:color w:val="auto"/>
        </w:rPr>
        <w:t>“Annual Incentive Feature: Performance-Based Stock Purchase Plan.”</w:t>
      </w:r>
      <w:r>
        <w:rPr>
          <w:rFonts w:ascii="Arial" w:cs="Arial" w:eastAsia="Arial" w:hAnsi="Arial"/>
          <w:sz w:val="14"/>
          <w:szCs w:val="14"/>
          <w:color w:val="auto"/>
        </w:rPr>
        <w:t xml:space="preserve"> Column (e) includes the amounts mandatorily deferred in 2016 and 2015 under the Incentive Stock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82550</wp:posOffset>
            </wp:positionV>
            <wp:extent cx="411480" cy="2489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127" w:lineRule="exact"/>
        <w:rPr>
          <w:sz w:val="20"/>
          <w:szCs w:val="20"/>
          <w:color w:val="auto"/>
        </w:rPr>
      </w:pPr>
    </w:p>
    <w:tbl>
      <w:tblPr>
        <w:tblLayout w:type="fixed"/>
        <w:tblInd w:w="9260" w:type="dxa"/>
        <w:tblCellMar>
          <w:top w:w="0" w:type="dxa"/>
          <w:left w:w="0" w:type="dxa"/>
          <w:bottom w:w="0" w:type="dxa"/>
          <w:right w:w="0" w:type="dxa"/>
        </w:tblCellMar>
      </w:tblPr>
      <w:tr>
        <w:trPr>
          <w:trHeight w:val="178"/>
        </w:trPr>
        <w:tc>
          <w:tcPr>
            <w:tcW w:w="1680" w:type="dxa"/>
            <w:vAlign w:val="bottom"/>
          </w:tcPr>
          <w:p>
            <w:pPr>
              <w:spacing w:after="0"/>
              <w:rPr>
                <w:sz w:val="20"/>
                <w:szCs w:val="20"/>
                <w:color w:val="auto"/>
              </w:rPr>
            </w:pPr>
            <w:r>
              <w:rPr>
                <w:rFonts w:ascii="Arial" w:cs="Arial" w:eastAsia="Arial" w:hAnsi="Arial"/>
                <w:sz w:val="13"/>
                <w:szCs w:val="13"/>
                <w:color w:val="007CBA"/>
              </w:rPr>
              <w:t>2018 PROXY STATEMENT</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rPr>
              <w:t>51</w:t>
            </w:r>
          </w:p>
        </w:tc>
      </w:tr>
    </w:tbl>
    <w:p>
      <w:pPr>
        <w:sectPr>
          <w:pgSz w:w="11900" w:h="16838" w:orient="portrait"/>
          <w:cols w:equalWidth="0" w:num="1">
            <w:col w:w="11240"/>
          </w:cols>
          <w:pgMar w:left="240" w:top="455" w:right="41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64" w:lineRule="exact"/>
        <w:rPr>
          <w:sz w:val="20"/>
          <w:szCs w:val="20"/>
          <w:color w:val="auto"/>
        </w:rPr>
      </w:pPr>
    </w:p>
    <w:p>
      <w:pPr>
        <w:ind w:left="200"/>
        <w:spacing w:after="0" w:line="288" w:lineRule="exact"/>
        <w:rPr>
          <w:sz w:val="20"/>
          <w:szCs w:val="20"/>
          <w:color w:val="auto"/>
        </w:rPr>
      </w:pPr>
      <w:r>
        <w:rPr>
          <w:rFonts w:ascii="Arial" w:cs="Arial" w:eastAsia="Arial" w:hAnsi="Arial"/>
          <w:sz w:val="14"/>
          <w:szCs w:val="14"/>
          <w:color w:val="007CBA"/>
        </w:rPr>
        <w:t xml:space="preserve">Executive Compensation </w:t>
      </w:r>
      <w:r>
        <w:rPr>
          <w:rFonts w:ascii="MS PGothic" w:cs="MS PGothic" w:eastAsia="MS PGothic" w:hAnsi="MS PGothic"/>
          <w:sz w:val="25"/>
          <w:szCs w:val="25"/>
          <w:color w:val="007CBA"/>
        </w:rPr>
        <w:t>◆</w:t>
      </w:r>
      <w:r>
        <w:rPr>
          <w:rFonts w:ascii="Arial" w:cs="Arial" w:eastAsia="Arial" w:hAnsi="Arial"/>
          <w:sz w:val="14"/>
          <w:szCs w:val="14"/>
          <w:color w:val="007CBA"/>
        </w:rPr>
        <w:t xml:space="preserve"> </w:t>
      </w:r>
      <w:r>
        <w:rPr>
          <w:rFonts w:ascii="Arial" w:cs="Arial" w:eastAsia="Arial" w:hAnsi="Arial"/>
          <w:sz w:val="14"/>
          <w:szCs w:val="14"/>
          <w:color w:val="000000"/>
        </w:rPr>
        <w:t>Summary Compensation Table</w:t>
      </w:r>
    </w:p>
    <w:p>
      <w:pPr>
        <w:spacing w:after="0" w:line="209" w:lineRule="exact"/>
        <w:rPr>
          <w:sz w:val="20"/>
          <w:szCs w:val="20"/>
          <w:color w:val="auto"/>
        </w:rPr>
      </w:pPr>
    </w:p>
    <w:p>
      <w:pPr>
        <w:jc w:val="both"/>
        <w:ind w:left="320" w:hanging="116"/>
        <w:spacing w:after="0" w:line="232" w:lineRule="auto"/>
        <w:tabs>
          <w:tab w:leader="none" w:pos="320" w:val="left"/>
        </w:tabs>
        <w:numPr>
          <w:ilvl w:val="0"/>
          <w:numId w:val="98"/>
        </w:numPr>
        <w:rPr>
          <w:rFonts w:ascii="Arial" w:cs="Arial" w:eastAsia="Arial" w:hAnsi="Arial"/>
          <w:sz w:val="24"/>
          <w:szCs w:val="24"/>
          <w:color w:val="auto"/>
          <w:vertAlign w:val="superscript"/>
        </w:rPr>
      </w:pPr>
      <w:r>
        <w:rPr>
          <w:rFonts w:ascii="Arial" w:cs="Arial" w:eastAsia="Arial" w:hAnsi="Arial"/>
          <w:sz w:val="14"/>
          <w:szCs w:val="14"/>
          <w:color w:val="auto"/>
        </w:rPr>
        <w:t xml:space="preserve">The amounts in column (e) reflect the aggregate grant date fair value of awards made in the year reported, determined in accordance with FASB ASC Topic 718 (without any assumption for early forfeiture), of awards of RSUs; and awards of PSUs, which are described in more detail on pages 46 to 48 under the heading </w:t>
      </w:r>
      <w:r>
        <w:rPr>
          <w:rFonts w:ascii="Arial" w:cs="Arial" w:eastAsia="Arial" w:hAnsi="Arial"/>
          <w:sz w:val="14"/>
          <w:szCs w:val="14"/>
          <w:i w:val="1"/>
          <w:iCs w:val="1"/>
          <w:color w:val="auto"/>
        </w:rPr>
        <w:t>“Long-Term</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Incentive Compensation.” </w:t>
      </w:r>
      <w:r>
        <w:rPr>
          <w:rFonts w:ascii="Arial" w:cs="Arial" w:eastAsia="Arial" w:hAnsi="Arial"/>
          <w:sz w:val="14"/>
          <w:szCs w:val="14"/>
          <w:color w:val="auto"/>
        </w:rPr>
        <w:t>The amounts included in the table reflects the value of the units granted, which is subject to forfeiture if the executive does not remain in the</w:t>
      </w:r>
      <w:r>
        <w:rPr>
          <w:rFonts w:ascii="Arial" w:cs="Arial" w:eastAsia="Arial" w:hAnsi="Arial"/>
          <w:sz w:val="14"/>
          <w:szCs w:val="14"/>
          <w:i w:val="1"/>
          <w:iCs w:val="1"/>
          <w:color w:val="auto"/>
        </w:rPr>
        <w:t xml:space="preserve"> </w:t>
      </w:r>
      <w:r>
        <w:rPr>
          <w:rFonts w:ascii="Arial" w:cs="Arial" w:eastAsia="Arial" w:hAnsi="Arial"/>
          <w:sz w:val="14"/>
          <w:szCs w:val="14"/>
          <w:color w:val="auto"/>
        </w:rPr>
        <w:t>employment of Martin Marietta for the requisite time period (generally three years) and, in the case of the PSUs, if Martin Marietta does not achieve the applicable performance criteria. The amounts reported for 2016 and 2015 include awards related to the amount of cash bonus irrevocably and mandatorily deferred in common stock units by each named executive officer pursuant to Martin Marietta’s Incentive Stock Plan, which is discussed in further detail on page 46 under the heading “Annual Incentive Feature: Performance-Based Stock Purchase Plan”. The amounts in column (e) for 2016 and 2015 do not include the 20% discount on the Incentive Stock Plan units, which is reported in column (i). The amount in column (e) includes PSUs based on the target level of performance. Assuming the maximum payout under the PSUs granted in 2017, which will be determined in January 2020 based on the Company’s performance in 2017-2019, the amounts reported above for 2017 would be as follows: Mr. Nye, $4,767,283; Mr. Nickolas, $0; Ms. Bar, $1,371,617; Mr. McCunniff, $1,037,005; Mr. Grant, $927,846; and Ms. Lloyd, $1,455,585. Assumptions used in the calculation of these amounts are included in Note A to Martin Marietta’s audited financial statements for the fiscal year ended December 31, 2017, included in Martin Marietta’s Annual Report on Form 10-K filed with the SEC on February 24, 2018. The amounts of cash bonus deferred in 2017 for each named executive officer are included in column (e) as follows: Mr. Nye, $1,000,000; Mr. Nickolas, $0; Ms. Bar, $158,529; Mr. McCunniff, $80,273; Mr. Grant, $85,152; and Ms. Lloyd, $0.</w:t>
      </w:r>
    </w:p>
    <w:p>
      <w:pPr>
        <w:spacing w:after="0" w:line="54" w:lineRule="exact"/>
        <w:rPr>
          <w:sz w:val="20"/>
          <w:szCs w:val="20"/>
          <w:color w:val="auto"/>
        </w:rPr>
      </w:pPr>
    </w:p>
    <w:p>
      <w:pPr>
        <w:ind w:left="320" w:hanging="116"/>
        <w:spacing w:after="0" w:line="195" w:lineRule="auto"/>
        <w:tabs>
          <w:tab w:leader="none" w:pos="320" w:val="left"/>
        </w:tabs>
        <w:numPr>
          <w:ilvl w:val="0"/>
          <w:numId w:val="99"/>
        </w:numPr>
        <w:rPr>
          <w:rFonts w:ascii="Arial" w:cs="Arial" w:eastAsia="Arial" w:hAnsi="Arial"/>
          <w:sz w:val="24"/>
          <w:szCs w:val="24"/>
          <w:color w:val="auto"/>
          <w:vertAlign w:val="superscript"/>
        </w:rPr>
      </w:pPr>
      <w:r>
        <w:rPr>
          <w:rFonts w:ascii="Arial" w:cs="Arial" w:eastAsia="Arial" w:hAnsi="Arial"/>
          <w:sz w:val="14"/>
          <w:szCs w:val="14"/>
          <w:color w:val="auto"/>
        </w:rPr>
        <w:t>The amounts in column (f) reflect the grant date fair value, determined in accordance with FASB ASC Topic 718 (without any assumption for early forfeiture), of option awards made in the year reported.</w:t>
      </w:r>
    </w:p>
    <w:p>
      <w:pPr>
        <w:spacing w:after="0" w:line="50" w:lineRule="exact"/>
        <w:rPr>
          <w:sz w:val="20"/>
          <w:szCs w:val="20"/>
          <w:color w:val="auto"/>
        </w:rPr>
      </w:pPr>
    </w:p>
    <w:p>
      <w:pPr>
        <w:jc w:val="both"/>
        <w:ind w:left="320" w:hanging="116"/>
        <w:spacing w:after="0" w:line="215" w:lineRule="auto"/>
        <w:tabs>
          <w:tab w:leader="none" w:pos="320" w:val="left"/>
        </w:tabs>
        <w:numPr>
          <w:ilvl w:val="0"/>
          <w:numId w:val="100"/>
        </w:numPr>
        <w:rPr>
          <w:rFonts w:ascii="Arial" w:cs="Arial" w:eastAsia="Arial" w:hAnsi="Arial"/>
          <w:sz w:val="24"/>
          <w:szCs w:val="24"/>
          <w:color w:val="auto"/>
          <w:vertAlign w:val="superscript"/>
        </w:rPr>
      </w:pPr>
      <w:r>
        <w:rPr>
          <w:rFonts w:ascii="Arial" w:cs="Arial" w:eastAsia="Arial" w:hAnsi="Arial"/>
          <w:sz w:val="14"/>
          <w:szCs w:val="14"/>
          <w:color w:val="auto"/>
        </w:rPr>
        <w:t xml:space="preserve">The amounts in column (g) for 2017 reflect the cash paid to the named individuals earned in 2017 and paid in 2018 under annual incentive arrangements discussed in further detail on pages 44 to 48 under the headings </w:t>
      </w:r>
      <w:r>
        <w:rPr>
          <w:rFonts w:ascii="Arial" w:cs="Arial" w:eastAsia="Arial" w:hAnsi="Arial"/>
          <w:sz w:val="14"/>
          <w:szCs w:val="14"/>
          <w:i w:val="1"/>
          <w:iCs w:val="1"/>
          <w:color w:val="auto"/>
        </w:rPr>
        <w:t>“Annual Cash Incentive: Executive Cash Incentive Plan”</w:t>
      </w:r>
      <w:r>
        <w:rPr>
          <w:rFonts w:ascii="Arial" w:cs="Arial" w:eastAsia="Arial" w:hAnsi="Arial"/>
          <w:sz w:val="14"/>
          <w:szCs w:val="14"/>
          <w:color w:val="auto"/>
        </w:rPr>
        <w:t xml:space="preserve"> and “</w:t>
      </w:r>
      <w:r>
        <w:rPr>
          <w:rFonts w:ascii="Arial" w:cs="Arial" w:eastAsia="Arial" w:hAnsi="Arial"/>
          <w:sz w:val="14"/>
          <w:szCs w:val="14"/>
          <w:i w:val="1"/>
          <w:iCs w:val="1"/>
          <w:color w:val="auto"/>
        </w:rPr>
        <w:t>2017 CEO Annual Incentive Award Earned</w:t>
      </w:r>
      <w:r>
        <w:rPr>
          <w:rFonts w:ascii="Arial" w:cs="Arial" w:eastAsia="Arial" w:hAnsi="Arial"/>
          <w:sz w:val="14"/>
          <w:szCs w:val="14"/>
          <w:color w:val="auto"/>
        </w:rPr>
        <w:t xml:space="preserve">” and not deferred pursuant to Martin Marietta’s Incentive Stock Plan, which is discussed in further detail on page 46 under the heading </w:t>
      </w:r>
      <w:r>
        <w:rPr>
          <w:rFonts w:ascii="Arial" w:cs="Arial" w:eastAsia="Arial" w:hAnsi="Arial"/>
          <w:sz w:val="14"/>
          <w:szCs w:val="14"/>
          <w:i w:val="1"/>
          <w:iCs w:val="1"/>
          <w:color w:val="auto"/>
        </w:rPr>
        <w:t>“Annual Incentive Feature: Performance-Based Stock Purchase Plan.”</w:t>
      </w:r>
    </w:p>
    <w:p>
      <w:pPr>
        <w:spacing w:after="0" w:line="49" w:lineRule="exact"/>
        <w:rPr>
          <w:sz w:val="20"/>
          <w:szCs w:val="20"/>
          <w:color w:val="auto"/>
        </w:rPr>
      </w:pPr>
    </w:p>
    <w:p>
      <w:pPr>
        <w:jc w:val="both"/>
        <w:ind w:left="320" w:hanging="116"/>
        <w:spacing w:after="0"/>
        <w:tabs>
          <w:tab w:leader="none" w:pos="320" w:val="left"/>
        </w:tabs>
        <w:numPr>
          <w:ilvl w:val="0"/>
          <w:numId w:val="101"/>
        </w:numPr>
        <w:rPr>
          <w:rFonts w:ascii="Arial" w:cs="Arial" w:eastAsia="Arial" w:hAnsi="Arial"/>
          <w:sz w:val="24"/>
          <w:szCs w:val="24"/>
          <w:color w:val="auto"/>
          <w:vertAlign w:val="superscript"/>
        </w:rPr>
      </w:pPr>
      <w:r>
        <w:rPr>
          <w:rFonts w:ascii="Arial" w:cs="Arial" w:eastAsia="Arial" w:hAnsi="Arial"/>
          <w:sz w:val="14"/>
          <w:szCs w:val="14"/>
          <w:color w:val="auto"/>
        </w:rPr>
        <w:t>The amounts in column (h) reflect the aggregate increase in the actuarial present value of the named executive officer’s accumulated benefits during 2017, 2016 and 2015, respectively, under all defined benefit retirement plans established by Martin Marietta determined using interest rate and mortality rate assumptions consistent with those used in Martin Marietta’s financial statements and include amounts which the named executive officer may not currently be entitled to receive because such amounts are not vested.</w:t>
      </w:r>
    </w:p>
    <w:p>
      <w:pPr>
        <w:spacing w:after="0" w:line="131" w:lineRule="exact"/>
        <w:rPr>
          <w:sz w:val="20"/>
          <w:szCs w:val="20"/>
          <w:color w:val="auto"/>
        </w:rPr>
      </w:pPr>
    </w:p>
    <w:p>
      <w:pPr>
        <w:jc w:val="both"/>
        <w:ind w:left="320" w:hanging="116"/>
        <w:spacing w:after="0" w:line="228" w:lineRule="auto"/>
        <w:tabs>
          <w:tab w:leader="none" w:pos="320" w:val="left"/>
        </w:tabs>
        <w:numPr>
          <w:ilvl w:val="0"/>
          <w:numId w:val="102"/>
        </w:numPr>
        <w:rPr>
          <w:rFonts w:ascii="Arial" w:cs="Arial" w:eastAsia="Arial" w:hAnsi="Arial"/>
          <w:sz w:val="24"/>
          <w:szCs w:val="24"/>
          <w:color w:val="auto"/>
          <w:vertAlign w:val="superscript"/>
        </w:rPr>
      </w:pPr>
      <w:r>
        <w:rPr>
          <w:rFonts w:ascii="Arial" w:cs="Arial" w:eastAsia="Arial" w:hAnsi="Arial"/>
          <w:sz w:val="14"/>
          <w:szCs w:val="14"/>
          <w:color w:val="auto"/>
        </w:rPr>
        <w:t>The amount shown in column (i) for 2017 reflects for each named executive officer: matching contributions allocated by Martin Marietta to each of the named executive officers pursuant to the Savings and Investment Plan, which is more fully described on page 56 under the heading “</w:t>
      </w:r>
      <w:r>
        <w:rPr>
          <w:rFonts w:ascii="Arial" w:cs="Arial" w:eastAsia="Arial" w:hAnsi="Arial"/>
          <w:sz w:val="14"/>
          <w:szCs w:val="14"/>
          <w:i w:val="1"/>
          <w:iCs w:val="1"/>
          <w:color w:val="auto"/>
        </w:rPr>
        <w:t>Retirement and Other Benefits</w:t>
      </w:r>
      <w:r>
        <w:rPr>
          <w:rFonts w:ascii="Arial" w:cs="Arial" w:eastAsia="Arial" w:hAnsi="Arial"/>
          <w:sz w:val="14"/>
          <w:szCs w:val="14"/>
          <w:color w:val="auto"/>
        </w:rPr>
        <w:t>,” the value attributable to life insurance benefits provided to the named executive officers, which is more fully described on page 56 under the heading “</w:t>
      </w:r>
      <w:r>
        <w:rPr>
          <w:rFonts w:ascii="Arial" w:cs="Arial" w:eastAsia="Arial" w:hAnsi="Arial"/>
          <w:sz w:val="14"/>
          <w:szCs w:val="14"/>
          <w:i w:val="1"/>
          <w:iCs w:val="1"/>
          <w:color w:val="auto"/>
        </w:rPr>
        <w:t>Retirement and Other Benefits</w:t>
      </w:r>
      <w:r>
        <w:rPr>
          <w:rFonts w:ascii="Arial" w:cs="Arial" w:eastAsia="Arial" w:hAnsi="Arial"/>
          <w:sz w:val="14"/>
          <w:szCs w:val="14"/>
          <w:color w:val="auto"/>
        </w:rPr>
        <w:t>”; and the value attributable to personal use of leased automobiles provided by Martin Marietta. These values are included as compensation on the W-2 of named executive officers who receive such benefits. Each such named executive officer is responsible for paying income tax on such amount. None of the elements that are perquisites or personal benefits exceed the greater of $25,000 or 10% of the total perquisites for each named executive officer. The amounts in column (i) also reflect the 20% discount from the market price of Martin Marietta’s common stock pursuant to the elective deferrals under the Incentive Stock Plan in each of 2016 and 2015, and the dollar value of dividend equivalents on units credited under the equity awards as computed for financial statement reporting purposes for each fiscal year ended December 31, 2017, 2016 and 2015 in accordance with FASB ASC Topic 718.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3512820</wp:posOffset>
            </wp:positionH>
            <wp:positionV relativeFrom="paragraph">
              <wp:posOffset>85725</wp:posOffset>
            </wp:positionV>
            <wp:extent cx="411480" cy="2489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133" w:lineRule="exact"/>
        <w:rPr>
          <w:sz w:val="20"/>
          <w:szCs w:val="20"/>
          <w:color w:val="auto"/>
        </w:rPr>
      </w:pPr>
    </w:p>
    <w:p>
      <w:pPr>
        <w:ind w:left="640" w:hanging="436"/>
        <w:spacing w:after="0"/>
        <w:tabs>
          <w:tab w:leader="none" w:pos="640" w:val="left"/>
        </w:tabs>
        <w:numPr>
          <w:ilvl w:val="0"/>
          <w:numId w:val="103"/>
        </w:numPr>
        <w:rPr>
          <w:rFonts w:ascii="Arial" w:cs="Arial" w:eastAsia="Arial" w:hAnsi="Arial"/>
          <w:sz w:val="13"/>
          <w:szCs w:val="13"/>
          <w:b w:val="1"/>
          <w:bCs w:val="1"/>
          <w:color w:val="auto"/>
        </w:rPr>
      </w:pPr>
      <w:r>
        <w:rPr>
          <w:rFonts w:ascii="Arial" w:cs="Arial" w:eastAsia="Arial" w:hAnsi="Arial"/>
          <w:sz w:val="13"/>
          <w:szCs w:val="13"/>
          <w:color w:val="007CBA"/>
        </w:rPr>
        <w:t>2018 PROXY STATEMENT</w:t>
      </w:r>
    </w:p>
    <w:p>
      <w:pPr>
        <w:sectPr>
          <w:pgSz w:w="11900" w:h="16838" w:orient="portrait"/>
          <w:cols w:equalWidth="0" w:num="1">
            <w:col w:w="11220"/>
          </w:cols>
          <w:pgMar w:left="240" w:top="455" w:right="4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64" w:lineRule="exact"/>
        <w:rPr>
          <w:sz w:val="20"/>
          <w:szCs w:val="20"/>
          <w:color w:val="auto"/>
        </w:rPr>
      </w:pPr>
    </w:p>
    <w:p>
      <w:pPr>
        <w:ind w:left="7600"/>
        <w:spacing w:after="0" w:line="276" w:lineRule="exact"/>
        <w:rPr>
          <w:sz w:val="20"/>
          <w:szCs w:val="20"/>
          <w:color w:val="auto"/>
        </w:rPr>
      </w:pPr>
      <w:r>
        <w:rPr>
          <w:rFonts w:ascii="Arial" w:cs="Arial" w:eastAsia="Arial" w:hAnsi="Arial"/>
          <w:sz w:val="13"/>
          <w:szCs w:val="13"/>
          <w:color w:val="auto"/>
        </w:rPr>
        <w:t xml:space="preserve">Grants of Plan-Based Awards </w:t>
      </w:r>
      <w:r>
        <w:rPr>
          <w:rFonts w:ascii="MS PGothic" w:cs="MS PGothic" w:eastAsia="MS PGothic" w:hAnsi="MS PGothic"/>
          <w:sz w:val="24"/>
          <w:szCs w:val="24"/>
          <w:color w:val="007CBA"/>
        </w:rPr>
        <w:t>◆</w:t>
      </w:r>
      <w:r>
        <w:rPr>
          <w:rFonts w:ascii="Arial" w:cs="Arial" w:eastAsia="Arial" w:hAnsi="Arial"/>
          <w:sz w:val="13"/>
          <w:szCs w:val="13"/>
          <w:color w:val="auto"/>
        </w:rPr>
        <w:t xml:space="preserve"> </w:t>
      </w:r>
      <w:r>
        <w:rPr>
          <w:rFonts w:ascii="Arial" w:cs="Arial" w:eastAsia="Arial" w:hAnsi="Arial"/>
          <w:sz w:val="13"/>
          <w:szCs w:val="13"/>
          <w:color w:val="007CBA"/>
        </w:rPr>
        <w:t>Executive Compensation</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007CBA"/>
        </w:rPr>
        <w:t>Grants of Plan-Based Awards</w:t>
      </w:r>
    </w:p>
    <w:p>
      <w:pPr>
        <w:spacing w:after="0" w:line="134" w:lineRule="exact"/>
        <w:rPr>
          <w:sz w:val="20"/>
          <w:szCs w:val="20"/>
          <w:color w:val="auto"/>
        </w:rPr>
      </w:pPr>
    </w:p>
    <w:p>
      <w:pPr>
        <w:ind w:left="200" w:right="20"/>
        <w:spacing w:after="0" w:line="291" w:lineRule="auto"/>
        <w:rPr>
          <w:sz w:val="20"/>
          <w:szCs w:val="20"/>
          <w:color w:val="auto"/>
        </w:rPr>
      </w:pPr>
      <w:r>
        <w:rPr>
          <w:rFonts w:ascii="Arial" w:cs="Arial" w:eastAsia="Arial" w:hAnsi="Arial"/>
          <w:sz w:val="16"/>
          <w:szCs w:val="16"/>
          <w:color w:val="auto"/>
        </w:rPr>
        <w:t>The table below shows each grant of an award made to a named executive officer in the fiscal year ended December 31, 2017. This includes equity awards made to the named executive officers under the Stock Plan and the Incentive Stock Plan.</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GRANTS OF PLAN-BASED AWARDS TABLE</w:t>
      </w:r>
    </w:p>
    <w:p>
      <w:pPr>
        <w:spacing w:after="0" w:line="209"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3740" w:type="dxa"/>
            <w:vAlign w:val="bottom"/>
            <w:tcBorders>
              <w:right w:val="single" w:sz="8" w:color="007CBA"/>
            </w:tcBorders>
            <w:shd w:val="clear" w:color="auto" w:fill="007CBA"/>
          </w:tcPr>
          <w:p>
            <w:pPr>
              <w:spacing w:after="0"/>
              <w:rPr>
                <w:sz w:val="14"/>
                <w:szCs w:val="14"/>
                <w:color w:val="auto"/>
              </w:rPr>
            </w:pPr>
          </w:p>
        </w:tc>
        <w:tc>
          <w:tcPr>
            <w:tcW w:w="120" w:type="dxa"/>
            <w:vAlign w:val="bottom"/>
            <w:shd w:val="clear" w:color="auto" w:fill="007CBA"/>
          </w:tcPr>
          <w:p>
            <w:pPr>
              <w:spacing w:after="0"/>
              <w:rPr>
                <w:sz w:val="14"/>
                <w:szCs w:val="14"/>
                <w:color w:val="auto"/>
              </w:rPr>
            </w:pPr>
          </w:p>
        </w:tc>
        <w:tc>
          <w:tcPr>
            <w:tcW w:w="640" w:type="dxa"/>
            <w:vAlign w:val="bottom"/>
            <w:tcBorders>
              <w:right w:val="single" w:sz="8" w:color="007CBA"/>
            </w:tcBorders>
            <w:shd w:val="clear" w:color="auto" w:fill="007CBA"/>
          </w:tcPr>
          <w:p>
            <w:pPr>
              <w:spacing w:after="0"/>
              <w:rPr>
                <w:sz w:val="14"/>
                <w:szCs w:val="14"/>
                <w:color w:val="auto"/>
              </w:rPr>
            </w:pPr>
          </w:p>
        </w:tc>
        <w:tc>
          <w:tcPr>
            <w:tcW w:w="860" w:type="dxa"/>
            <w:vAlign w:val="bottom"/>
            <w:tcBorders>
              <w:right w:val="single" w:sz="8" w:color="007CBA"/>
            </w:tcBorders>
            <w:shd w:val="clear" w:color="auto" w:fill="007CBA"/>
          </w:tcPr>
          <w:p>
            <w:pPr>
              <w:spacing w:after="0"/>
              <w:rPr>
                <w:sz w:val="14"/>
                <w:szCs w:val="14"/>
                <w:color w:val="auto"/>
              </w:rPr>
            </w:pPr>
          </w:p>
        </w:tc>
        <w:tc>
          <w:tcPr>
            <w:tcW w:w="760" w:type="dxa"/>
            <w:vAlign w:val="bottom"/>
            <w:tcBorders>
              <w:right w:val="single" w:sz="8" w:color="007CBA"/>
            </w:tcBorders>
            <w:shd w:val="clear" w:color="auto" w:fill="007CBA"/>
          </w:tcPr>
          <w:p>
            <w:pPr>
              <w:spacing w:after="0"/>
              <w:rPr>
                <w:sz w:val="14"/>
                <w:szCs w:val="14"/>
                <w:color w:val="auto"/>
              </w:rPr>
            </w:pPr>
          </w:p>
        </w:tc>
        <w:tc>
          <w:tcPr>
            <w:tcW w:w="60" w:type="dxa"/>
            <w:vAlign w:val="bottom"/>
            <w:shd w:val="clear" w:color="auto" w:fill="007CBA"/>
          </w:tcPr>
          <w:p>
            <w:pPr>
              <w:spacing w:after="0"/>
              <w:rPr>
                <w:sz w:val="14"/>
                <w:szCs w:val="14"/>
                <w:color w:val="auto"/>
              </w:rPr>
            </w:pPr>
          </w:p>
        </w:tc>
        <w:tc>
          <w:tcPr>
            <w:tcW w:w="820" w:type="dxa"/>
            <w:vAlign w:val="bottom"/>
            <w:tcBorders>
              <w:right w:val="single" w:sz="8" w:color="007CBA"/>
            </w:tcBorders>
            <w:shd w:val="clear" w:color="auto" w:fill="007CBA"/>
          </w:tcPr>
          <w:p>
            <w:pPr>
              <w:spacing w:after="0"/>
              <w:rPr>
                <w:sz w:val="14"/>
                <w:szCs w:val="14"/>
                <w:color w:val="auto"/>
              </w:rPr>
            </w:pPr>
          </w:p>
        </w:tc>
        <w:tc>
          <w:tcPr>
            <w:tcW w:w="720" w:type="dxa"/>
            <w:vAlign w:val="bottom"/>
            <w:shd w:val="clear" w:color="auto" w:fill="007CBA"/>
          </w:tcPr>
          <w:p>
            <w:pPr>
              <w:spacing w:after="0"/>
              <w:rPr>
                <w:sz w:val="14"/>
                <w:szCs w:val="14"/>
                <w:color w:val="auto"/>
              </w:rPr>
            </w:pPr>
          </w:p>
        </w:tc>
        <w:tc>
          <w:tcPr>
            <w:tcW w:w="120" w:type="dxa"/>
            <w:vAlign w:val="bottom"/>
            <w:tcBorders>
              <w:right w:val="single" w:sz="8" w:color="007CBA"/>
            </w:tcBorders>
            <w:shd w:val="clear" w:color="auto" w:fill="007CBA"/>
          </w:tcPr>
          <w:p>
            <w:pPr>
              <w:spacing w:after="0"/>
              <w:rPr>
                <w:sz w:val="14"/>
                <w:szCs w:val="14"/>
                <w:color w:val="auto"/>
              </w:rPr>
            </w:pPr>
          </w:p>
        </w:tc>
        <w:tc>
          <w:tcPr>
            <w:tcW w:w="660" w:type="dxa"/>
            <w:vAlign w:val="bottom"/>
            <w:tcBorders>
              <w:right w:val="single" w:sz="8" w:color="007CBA"/>
            </w:tcBorders>
            <w:shd w:val="clear" w:color="auto" w:fill="007CBA"/>
          </w:tcPr>
          <w:p>
            <w:pPr>
              <w:spacing w:after="0"/>
              <w:rPr>
                <w:sz w:val="14"/>
                <w:szCs w:val="14"/>
                <w:color w:val="auto"/>
              </w:rPr>
            </w:pPr>
          </w:p>
        </w:tc>
        <w:tc>
          <w:tcPr>
            <w:tcW w:w="60" w:type="dxa"/>
            <w:vAlign w:val="bottom"/>
            <w:shd w:val="clear" w:color="auto" w:fill="007CBA"/>
          </w:tcPr>
          <w:p>
            <w:pPr>
              <w:spacing w:after="0"/>
              <w:rPr>
                <w:sz w:val="14"/>
                <w:szCs w:val="14"/>
                <w:color w:val="auto"/>
              </w:rPr>
            </w:pPr>
          </w:p>
        </w:tc>
        <w:tc>
          <w:tcPr>
            <w:tcW w:w="760" w:type="dxa"/>
            <w:vAlign w:val="bottom"/>
            <w:tcBorders>
              <w:right w:val="single" w:sz="8" w:color="007CBA"/>
            </w:tcBorders>
            <w:shd w:val="clear" w:color="auto" w:fill="007CBA"/>
          </w:tcPr>
          <w:p>
            <w:pPr>
              <w:spacing w:after="0"/>
              <w:rPr>
                <w:sz w:val="14"/>
                <w:szCs w:val="14"/>
                <w:color w:val="auto"/>
              </w:rPr>
            </w:pPr>
          </w:p>
        </w:tc>
        <w:tc>
          <w:tcPr>
            <w:tcW w:w="8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w w:val="98"/>
              </w:rPr>
              <w:t>All Other</w:t>
            </w:r>
          </w:p>
        </w:tc>
        <w:tc>
          <w:tcPr>
            <w:tcW w:w="780" w:type="dxa"/>
            <w:vAlign w:val="bottom"/>
            <w:shd w:val="clear" w:color="auto" w:fill="007CBA"/>
          </w:tcPr>
          <w:p>
            <w:pPr>
              <w:spacing w:after="0"/>
              <w:rPr>
                <w:sz w:val="14"/>
                <w:szCs w:val="14"/>
                <w:color w:val="auto"/>
              </w:rPr>
            </w:pPr>
          </w:p>
        </w:tc>
        <w:tc>
          <w:tcPr>
            <w:tcW w:w="100" w:type="dxa"/>
            <w:vAlign w:val="bottom"/>
            <w:shd w:val="clear" w:color="auto" w:fill="007CBA"/>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40" w:type="dxa"/>
            <w:vAlign w:val="bottom"/>
            <w:tcBorders>
              <w:right w:val="single" w:sz="8" w:color="007CBA"/>
            </w:tcBorders>
            <w:shd w:val="clear" w:color="auto" w:fill="007CBA"/>
          </w:tcPr>
          <w:p>
            <w:pPr>
              <w:spacing w:after="0"/>
              <w:rPr>
                <w:sz w:val="12"/>
                <w:szCs w:val="12"/>
                <w:color w:val="auto"/>
              </w:rPr>
            </w:pPr>
          </w:p>
        </w:tc>
        <w:tc>
          <w:tcPr>
            <w:tcW w:w="120" w:type="dxa"/>
            <w:vAlign w:val="bottom"/>
            <w:shd w:val="clear" w:color="auto" w:fill="007CBA"/>
          </w:tcPr>
          <w:p>
            <w:pPr>
              <w:spacing w:after="0"/>
              <w:rPr>
                <w:sz w:val="12"/>
                <w:szCs w:val="12"/>
                <w:color w:val="auto"/>
              </w:rPr>
            </w:pPr>
          </w:p>
        </w:tc>
        <w:tc>
          <w:tcPr>
            <w:tcW w:w="640" w:type="dxa"/>
            <w:vAlign w:val="bottom"/>
            <w:tcBorders>
              <w:right w:val="single" w:sz="8" w:color="007CBA"/>
            </w:tcBorders>
            <w:shd w:val="clear" w:color="auto" w:fill="007CBA"/>
          </w:tcPr>
          <w:p>
            <w:pPr>
              <w:spacing w:after="0"/>
              <w:rPr>
                <w:sz w:val="12"/>
                <w:szCs w:val="12"/>
                <w:color w:val="auto"/>
              </w:rPr>
            </w:pPr>
          </w:p>
        </w:tc>
        <w:tc>
          <w:tcPr>
            <w:tcW w:w="860" w:type="dxa"/>
            <w:vAlign w:val="bottom"/>
            <w:tcBorders>
              <w:right w:val="single" w:sz="8" w:color="007CBA"/>
            </w:tcBorders>
            <w:shd w:val="clear" w:color="auto" w:fill="007CBA"/>
          </w:tcPr>
          <w:p>
            <w:pPr>
              <w:spacing w:after="0"/>
              <w:rPr>
                <w:sz w:val="12"/>
                <w:szCs w:val="12"/>
                <w:color w:val="auto"/>
              </w:rPr>
            </w:pPr>
          </w:p>
        </w:tc>
        <w:tc>
          <w:tcPr>
            <w:tcW w:w="760" w:type="dxa"/>
            <w:vAlign w:val="bottom"/>
            <w:tcBorders>
              <w:right w:val="single" w:sz="8" w:color="007CBA"/>
            </w:tcBorders>
            <w:shd w:val="clear" w:color="auto" w:fill="007CBA"/>
          </w:tcPr>
          <w:p>
            <w:pPr>
              <w:spacing w:after="0"/>
              <w:rPr>
                <w:sz w:val="12"/>
                <w:szCs w:val="12"/>
                <w:color w:val="auto"/>
              </w:rPr>
            </w:pPr>
          </w:p>
        </w:tc>
        <w:tc>
          <w:tcPr>
            <w:tcW w:w="60" w:type="dxa"/>
            <w:vAlign w:val="bottom"/>
            <w:shd w:val="clear" w:color="auto" w:fill="007CBA"/>
          </w:tcPr>
          <w:p>
            <w:pPr>
              <w:spacing w:after="0"/>
              <w:rPr>
                <w:sz w:val="12"/>
                <w:szCs w:val="12"/>
                <w:color w:val="auto"/>
              </w:rPr>
            </w:pPr>
          </w:p>
        </w:tc>
        <w:tc>
          <w:tcPr>
            <w:tcW w:w="820" w:type="dxa"/>
            <w:vAlign w:val="bottom"/>
            <w:tcBorders>
              <w:right w:val="single" w:sz="8" w:color="007CBA"/>
            </w:tcBorders>
            <w:shd w:val="clear" w:color="auto" w:fill="007CBA"/>
          </w:tcPr>
          <w:p>
            <w:pPr>
              <w:spacing w:after="0"/>
              <w:rPr>
                <w:sz w:val="12"/>
                <w:szCs w:val="12"/>
                <w:color w:val="auto"/>
              </w:rPr>
            </w:pPr>
          </w:p>
        </w:tc>
        <w:tc>
          <w:tcPr>
            <w:tcW w:w="720" w:type="dxa"/>
            <w:vAlign w:val="bottom"/>
            <w:shd w:val="clear" w:color="auto" w:fill="007CBA"/>
          </w:tcPr>
          <w:p>
            <w:pPr>
              <w:spacing w:after="0"/>
              <w:rPr>
                <w:sz w:val="12"/>
                <w:szCs w:val="12"/>
                <w:color w:val="auto"/>
              </w:rPr>
            </w:pPr>
          </w:p>
        </w:tc>
        <w:tc>
          <w:tcPr>
            <w:tcW w:w="120" w:type="dxa"/>
            <w:vAlign w:val="bottom"/>
            <w:tcBorders>
              <w:right w:val="single" w:sz="8" w:color="007CBA"/>
            </w:tcBorders>
            <w:shd w:val="clear" w:color="auto" w:fill="007CBA"/>
          </w:tcPr>
          <w:p>
            <w:pPr>
              <w:spacing w:after="0"/>
              <w:rPr>
                <w:sz w:val="12"/>
                <w:szCs w:val="12"/>
                <w:color w:val="auto"/>
              </w:rPr>
            </w:pPr>
          </w:p>
        </w:tc>
        <w:tc>
          <w:tcPr>
            <w:tcW w:w="660" w:type="dxa"/>
            <w:vAlign w:val="bottom"/>
            <w:tcBorders>
              <w:right w:val="single" w:sz="8" w:color="007CBA"/>
            </w:tcBorders>
            <w:shd w:val="clear" w:color="auto" w:fill="007CBA"/>
          </w:tcPr>
          <w:p>
            <w:pPr>
              <w:spacing w:after="0"/>
              <w:rPr>
                <w:sz w:val="12"/>
                <w:szCs w:val="12"/>
                <w:color w:val="auto"/>
              </w:rPr>
            </w:pPr>
          </w:p>
        </w:tc>
        <w:tc>
          <w:tcPr>
            <w:tcW w:w="60" w:type="dxa"/>
            <w:vAlign w:val="bottom"/>
            <w:shd w:val="clear" w:color="auto" w:fill="007CBA"/>
          </w:tcPr>
          <w:p>
            <w:pPr>
              <w:spacing w:after="0"/>
              <w:rPr>
                <w:sz w:val="12"/>
                <w:szCs w:val="12"/>
                <w:color w:val="auto"/>
              </w:rPr>
            </w:pPr>
          </w:p>
        </w:tc>
        <w:tc>
          <w:tcPr>
            <w:tcW w:w="760" w:type="dxa"/>
            <w:vAlign w:val="bottom"/>
            <w:tcBorders>
              <w:right w:val="single" w:sz="8" w:color="007CBA"/>
            </w:tcBorders>
            <w:shd w:val="clear" w:color="auto" w:fill="007CBA"/>
          </w:tcPr>
          <w:p>
            <w:pPr>
              <w:spacing w:after="0"/>
              <w:rPr>
                <w:sz w:val="12"/>
                <w:szCs w:val="12"/>
                <w:color w:val="auto"/>
              </w:rPr>
            </w:pPr>
          </w:p>
        </w:tc>
        <w:tc>
          <w:tcPr>
            <w:tcW w:w="820" w:type="dxa"/>
            <w:vAlign w:val="bottom"/>
            <w:tcBorders>
              <w:right w:val="single" w:sz="8" w:color="007CBA"/>
            </w:tcBorders>
            <w:shd w:val="clear" w:color="auto" w:fill="007CBA"/>
          </w:tcPr>
          <w:p>
            <w:pPr>
              <w:jc w:val="center"/>
              <w:spacing w:after="0" w:line="149" w:lineRule="exact"/>
              <w:rPr>
                <w:sz w:val="20"/>
                <w:szCs w:val="20"/>
                <w:color w:val="auto"/>
              </w:rPr>
            </w:pPr>
            <w:r>
              <w:rPr>
                <w:rFonts w:ascii="Arial" w:cs="Arial" w:eastAsia="Arial" w:hAnsi="Arial"/>
                <w:sz w:val="14"/>
                <w:szCs w:val="14"/>
                <w:b w:val="1"/>
                <w:bCs w:val="1"/>
                <w:color w:val="FFFFFF"/>
                <w:w w:val="99"/>
              </w:rPr>
              <w:t>Stock</w:t>
            </w:r>
          </w:p>
        </w:tc>
        <w:tc>
          <w:tcPr>
            <w:tcW w:w="780" w:type="dxa"/>
            <w:vAlign w:val="bottom"/>
            <w:shd w:val="clear" w:color="auto" w:fill="007CBA"/>
          </w:tcPr>
          <w:p>
            <w:pPr>
              <w:spacing w:after="0"/>
              <w:rPr>
                <w:sz w:val="12"/>
                <w:szCs w:val="12"/>
                <w:color w:val="auto"/>
              </w:rPr>
            </w:pPr>
          </w:p>
        </w:tc>
        <w:tc>
          <w:tcPr>
            <w:tcW w:w="100" w:type="dxa"/>
            <w:vAlign w:val="bottom"/>
            <w:shd w:val="clear" w:color="auto" w:fill="007CBA"/>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740" w:type="dxa"/>
            <w:vAlign w:val="bottom"/>
            <w:tcBorders>
              <w:right w:val="single" w:sz="8" w:color="007CBA"/>
            </w:tcBorders>
            <w:shd w:val="clear" w:color="auto" w:fill="007CBA"/>
          </w:tcPr>
          <w:p>
            <w:pPr>
              <w:spacing w:after="0"/>
              <w:rPr>
                <w:sz w:val="13"/>
                <w:szCs w:val="13"/>
                <w:color w:val="auto"/>
              </w:rPr>
            </w:pPr>
          </w:p>
        </w:tc>
        <w:tc>
          <w:tcPr>
            <w:tcW w:w="120" w:type="dxa"/>
            <w:vAlign w:val="bottom"/>
            <w:shd w:val="clear" w:color="auto" w:fill="007CBA"/>
          </w:tcPr>
          <w:p>
            <w:pPr>
              <w:spacing w:after="0"/>
              <w:rPr>
                <w:sz w:val="13"/>
                <w:szCs w:val="13"/>
                <w:color w:val="auto"/>
              </w:rPr>
            </w:pPr>
          </w:p>
        </w:tc>
        <w:tc>
          <w:tcPr>
            <w:tcW w:w="640" w:type="dxa"/>
            <w:vAlign w:val="bottom"/>
            <w:tcBorders>
              <w:right w:val="single" w:sz="8" w:color="007CBA"/>
            </w:tcBorders>
            <w:shd w:val="clear" w:color="auto" w:fill="007CBA"/>
          </w:tcPr>
          <w:p>
            <w:pPr>
              <w:spacing w:after="0"/>
              <w:rPr>
                <w:sz w:val="13"/>
                <w:szCs w:val="13"/>
                <w:color w:val="auto"/>
              </w:rPr>
            </w:pPr>
          </w:p>
        </w:tc>
        <w:tc>
          <w:tcPr>
            <w:tcW w:w="2500" w:type="dxa"/>
            <w:vAlign w:val="bottom"/>
            <w:tcBorders>
              <w:right w:val="single" w:sz="8" w:color="007CBA"/>
            </w:tcBorders>
            <w:gridSpan w:val="4"/>
            <w:vMerge w:val="restart"/>
            <w:shd w:val="clear" w:color="auto" w:fill="007CBA"/>
          </w:tcPr>
          <w:p>
            <w:pPr>
              <w:jc w:val="center"/>
              <w:spacing w:after="0"/>
              <w:rPr>
                <w:sz w:val="20"/>
                <w:szCs w:val="20"/>
                <w:color w:val="auto"/>
              </w:rPr>
            </w:pPr>
            <w:r>
              <w:rPr>
                <w:rFonts w:ascii="Arial" w:cs="Arial" w:eastAsia="Arial" w:hAnsi="Arial"/>
                <w:sz w:val="14"/>
                <w:szCs w:val="14"/>
                <w:b w:val="1"/>
                <w:bCs w:val="1"/>
                <w:color w:val="FFFFFF"/>
                <w:w w:val="96"/>
              </w:rPr>
              <w:t>Estimated Future Payouts</w:t>
            </w:r>
          </w:p>
        </w:tc>
        <w:tc>
          <w:tcPr>
            <w:tcW w:w="2320" w:type="dxa"/>
            <w:vAlign w:val="bottom"/>
            <w:tcBorders>
              <w:right w:val="single" w:sz="8" w:color="007CBA"/>
            </w:tcBorders>
            <w:gridSpan w:val="5"/>
            <w:vMerge w:val="restart"/>
            <w:shd w:val="clear" w:color="auto" w:fill="007CBA"/>
          </w:tcPr>
          <w:p>
            <w:pPr>
              <w:jc w:val="center"/>
              <w:spacing w:after="0"/>
              <w:rPr>
                <w:sz w:val="20"/>
                <w:szCs w:val="20"/>
                <w:color w:val="auto"/>
              </w:rPr>
            </w:pPr>
            <w:r>
              <w:rPr>
                <w:rFonts w:ascii="Arial" w:cs="Arial" w:eastAsia="Arial" w:hAnsi="Arial"/>
                <w:sz w:val="14"/>
                <w:szCs w:val="14"/>
                <w:b w:val="1"/>
                <w:bCs w:val="1"/>
                <w:color w:val="FFFFFF"/>
                <w:w w:val="96"/>
              </w:rPr>
              <w:t>Estimated Future Payouts</w:t>
            </w:r>
          </w:p>
        </w:tc>
        <w:tc>
          <w:tcPr>
            <w:tcW w:w="820" w:type="dxa"/>
            <w:vAlign w:val="bottom"/>
            <w:tcBorders>
              <w:right w:val="single" w:sz="8" w:color="007CBA"/>
            </w:tcBorders>
            <w:shd w:val="clear" w:color="auto" w:fill="007CBA"/>
          </w:tcPr>
          <w:p>
            <w:pPr>
              <w:jc w:val="center"/>
              <w:spacing w:after="0" w:line="154" w:lineRule="exact"/>
              <w:rPr>
                <w:sz w:val="20"/>
                <w:szCs w:val="20"/>
                <w:color w:val="auto"/>
              </w:rPr>
            </w:pPr>
            <w:r>
              <w:rPr>
                <w:rFonts w:ascii="Arial" w:cs="Arial" w:eastAsia="Arial" w:hAnsi="Arial"/>
                <w:sz w:val="14"/>
                <w:szCs w:val="14"/>
                <w:b w:val="1"/>
                <w:bCs w:val="1"/>
                <w:color w:val="FFFFFF"/>
                <w:w w:val="97"/>
              </w:rPr>
              <w:t>Awards:</w:t>
            </w:r>
          </w:p>
        </w:tc>
        <w:tc>
          <w:tcPr>
            <w:tcW w:w="780" w:type="dxa"/>
            <w:vAlign w:val="bottom"/>
            <w:shd w:val="clear" w:color="auto" w:fill="007CBA"/>
          </w:tcPr>
          <w:p>
            <w:pPr>
              <w:jc w:val="center"/>
              <w:spacing w:after="0" w:line="154" w:lineRule="exact"/>
              <w:rPr>
                <w:sz w:val="20"/>
                <w:szCs w:val="20"/>
                <w:color w:val="auto"/>
              </w:rPr>
            </w:pPr>
            <w:r>
              <w:rPr>
                <w:rFonts w:ascii="Arial" w:cs="Arial" w:eastAsia="Arial" w:hAnsi="Arial"/>
                <w:sz w:val="14"/>
                <w:szCs w:val="14"/>
                <w:b w:val="1"/>
                <w:bCs w:val="1"/>
                <w:color w:val="FFFFFF"/>
                <w:w w:val="94"/>
              </w:rPr>
              <w:t>Grant Date</w:t>
            </w:r>
          </w:p>
        </w:tc>
        <w:tc>
          <w:tcPr>
            <w:tcW w:w="100" w:type="dxa"/>
            <w:vAlign w:val="bottom"/>
            <w:shd w:val="clear" w:color="auto" w:fill="007CBA"/>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740" w:type="dxa"/>
            <w:vAlign w:val="bottom"/>
            <w:tcBorders>
              <w:right w:val="single" w:sz="8" w:color="007CBA"/>
            </w:tcBorders>
            <w:shd w:val="clear" w:color="auto" w:fill="007CBA"/>
          </w:tcPr>
          <w:p>
            <w:pPr>
              <w:spacing w:after="0"/>
              <w:rPr>
                <w:sz w:val="10"/>
                <w:szCs w:val="10"/>
                <w:color w:val="auto"/>
              </w:rPr>
            </w:pPr>
          </w:p>
        </w:tc>
        <w:tc>
          <w:tcPr>
            <w:tcW w:w="120" w:type="dxa"/>
            <w:vAlign w:val="bottom"/>
            <w:shd w:val="clear" w:color="auto" w:fill="007CBA"/>
          </w:tcPr>
          <w:p>
            <w:pPr>
              <w:spacing w:after="0"/>
              <w:rPr>
                <w:sz w:val="10"/>
                <w:szCs w:val="10"/>
                <w:color w:val="auto"/>
              </w:rPr>
            </w:pPr>
          </w:p>
        </w:tc>
        <w:tc>
          <w:tcPr>
            <w:tcW w:w="640" w:type="dxa"/>
            <w:vAlign w:val="bottom"/>
            <w:tcBorders>
              <w:right w:val="single" w:sz="8" w:color="007CBA"/>
            </w:tcBorders>
            <w:shd w:val="clear" w:color="auto" w:fill="007CBA"/>
          </w:tcPr>
          <w:p>
            <w:pPr>
              <w:spacing w:after="0"/>
              <w:rPr>
                <w:sz w:val="10"/>
                <w:szCs w:val="10"/>
                <w:color w:val="auto"/>
              </w:rPr>
            </w:pPr>
          </w:p>
        </w:tc>
        <w:tc>
          <w:tcPr>
            <w:tcW w:w="2500" w:type="dxa"/>
            <w:vAlign w:val="bottom"/>
            <w:tcBorders>
              <w:right w:val="single" w:sz="8" w:color="007CBA"/>
            </w:tcBorders>
            <w:gridSpan w:val="4"/>
            <w:vMerge w:val="continue"/>
            <w:shd w:val="clear" w:color="auto" w:fill="007CBA"/>
          </w:tcPr>
          <w:p>
            <w:pPr>
              <w:spacing w:after="0"/>
              <w:rPr>
                <w:sz w:val="10"/>
                <w:szCs w:val="10"/>
                <w:color w:val="auto"/>
              </w:rPr>
            </w:pPr>
          </w:p>
        </w:tc>
        <w:tc>
          <w:tcPr>
            <w:tcW w:w="2320" w:type="dxa"/>
            <w:vAlign w:val="bottom"/>
            <w:tcBorders>
              <w:right w:val="single" w:sz="8" w:color="007CBA"/>
            </w:tcBorders>
            <w:gridSpan w:val="5"/>
            <w:vMerge w:val="continue"/>
            <w:shd w:val="clear" w:color="auto" w:fill="007CBA"/>
          </w:tcPr>
          <w:p>
            <w:pPr>
              <w:spacing w:after="0"/>
              <w:rPr>
                <w:sz w:val="10"/>
                <w:szCs w:val="10"/>
                <w:color w:val="auto"/>
              </w:rPr>
            </w:pPr>
          </w:p>
        </w:tc>
        <w:tc>
          <w:tcPr>
            <w:tcW w:w="820" w:type="dxa"/>
            <w:vAlign w:val="bottom"/>
            <w:tcBorders>
              <w:right w:val="single" w:sz="8" w:color="007CBA"/>
            </w:tcBorders>
            <w:shd w:val="clear" w:color="auto" w:fill="007CBA"/>
          </w:tcPr>
          <w:p>
            <w:pPr>
              <w:jc w:val="center"/>
              <w:spacing w:after="0" w:line="121" w:lineRule="exact"/>
              <w:rPr>
                <w:sz w:val="20"/>
                <w:szCs w:val="20"/>
                <w:color w:val="auto"/>
              </w:rPr>
            </w:pPr>
            <w:r>
              <w:rPr>
                <w:rFonts w:ascii="Arial" w:cs="Arial" w:eastAsia="Arial" w:hAnsi="Arial"/>
                <w:sz w:val="14"/>
                <w:szCs w:val="14"/>
                <w:b w:val="1"/>
                <w:bCs w:val="1"/>
                <w:color w:val="FFFFFF"/>
                <w:w w:val="94"/>
              </w:rPr>
              <w:t>Number</w:t>
            </w:r>
          </w:p>
        </w:tc>
        <w:tc>
          <w:tcPr>
            <w:tcW w:w="780" w:type="dxa"/>
            <w:vAlign w:val="bottom"/>
            <w:shd w:val="clear" w:color="auto" w:fill="007CBA"/>
          </w:tcPr>
          <w:p>
            <w:pPr>
              <w:jc w:val="center"/>
              <w:spacing w:after="0" w:line="121" w:lineRule="exact"/>
              <w:rPr>
                <w:sz w:val="20"/>
                <w:szCs w:val="20"/>
                <w:color w:val="auto"/>
              </w:rPr>
            </w:pPr>
            <w:r>
              <w:rPr>
                <w:rFonts w:ascii="Arial" w:cs="Arial" w:eastAsia="Arial" w:hAnsi="Arial"/>
                <w:sz w:val="14"/>
                <w:szCs w:val="14"/>
                <w:b w:val="1"/>
                <w:bCs w:val="1"/>
                <w:color w:val="FFFFFF"/>
                <w:w w:val="95"/>
              </w:rPr>
              <w:t>Fair Value</w:t>
            </w:r>
          </w:p>
        </w:tc>
        <w:tc>
          <w:tcPr>
            <w:tcW w:w="100" w:type="dxa"/>
            <w:vAlign w:val="bottom"/>
            <w:shd w:val="clear" w:color="auto" w:fill="007CBA"/>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3740" w:type="dxa"/>
            <w:vAlign w:val="bottom"/>
            <w:tcBorders>
              <w:right w:val="single" w:sz="8" w:color="007CBA"/>
            </w:tcBorders>
            <w:shd w:val="clear" w:color="auto" w:fill="007CBA"/>
          </w:tcPr>
          <w:p>
            <w:pPr>
              <w:spacing w:after="0"/>
              <w:rPr>
                <w:sz w:val="14"/>
                <w:szCs w:val="14"/>
                <w:color w:val="auto"/>
              </w:rPr>
            </w:pPr>
          </w:p>
        </w:tc>
        <w:tc>
          <w:tcPr>
            <w:tcW w:w="120" w:type="dxa"/>
            <w:vAlign w:val="bottom"/>
            <w:shd w:val="clear" w:color="auto" w:fill="007CBA"/>
          </w:tcPr>
          <w:p>
            <w:pPr>
              <w:spacing w:after="0"/>
              <w:rPr>
                <w:sz w:val="14"/>
                <w:szCs w:val="14"/>
                <w:color w:val="auto"/>
              </w:rPr>
            </w:pPr>
          </w:p>
        </w:tc>
        <w:tc>
          <w:tcPr>
            <w:tcW w:w="640" w:type="dxa"/>
            <w:vAlign w:val="bottom"/>
            <w:tcBorders>
              <w:right w:val="single" w:sz="8" w:color="007CBA"/>
            </w:tcBorders>
            <w:shd w:val="clear" w:color="auto" w:fill="007CBA"/>
          </w:tcPr>
          <w:p>
            <w:pPr>
              <w:spacing w:after="0"/>
              <w:rPr>
                <w:sz w:val="14"/>
                <w:szCs w:val="14"/>
                <w:color w:val="auto"/>
              </w:rPr>
            </w:pPr>
          </w:p>
        </w:tc>
        <w:tc>
          <w:tcPr>
            <w:tcW w:w="2500" w:type="dxa"/>
            <w:vAlign w:val="bottom"/>
            <w:tcBorders>
              <w:right w:val="single" w:sz="8" w:color="007CBA"/>
            </w:tcBorders>
            <w:gridSpan w:val="4"/>
            <w:shd w:val="clear" w:color="auto" w:fill="007CBA"/>
          </w:tcPr>
          <w:p>
            <w:pPr>
              <w:jc w:val="center"/>
              <w:spacing w:after="0"/>
              <w:rPr>
                <w:sz w:val="20"/>
                <w:szCs w:val="20"/>
                <w:color w:val="auto"/>
              </w:rPr>
            </w:pPr>
            <w:r>
              <w:rPr>
                <w:rFonts w:ascii="Arial" w:cs="Arial" w:eastAsia="Arial" w:hAnsi="Arial"/>
                <w:sz w:val="14"/>
                <w:szCs w:val="14"/>
                <w:b w:val="1"/>
                <w:bCs w:val="1"/>
                <w:color w:val="FFFFFF"/>
                <w:w w:val="95"/>
              </w:rPr>
              <w:t>Under Non-Equity Incentive</w:t>
            </w:r>
          </w:p>
        </w:tc>
        <w:tc>
          <w:tcPr>
            <w:tcW w:w="2320" w:type="dxa"/>
            <w:vAlign w:val="bottom"/>
            <w:tcBorders>
              <w:right w:val="single" w:sz="8" w:color="007CBA"/>
            </w:tcBorders>
            <w:gridSpan w:val="5"/>
            <w:shd w:val="clear" w:color="auto" w:fill="007CBA"/>
          </w:tcPr>
          <w:p>
            <w:pPr>
              <w:jc w:val="center"/>
              <w:spacing w:after="0"/>
              <w:rPr>
                <w:sz w:val="20"/>
                <w:szCs w:val="20"/>
                <w:color w:val="auto"/>
              </w:rPr>
            </w:pPr>
            <w:r>
              <w:rPr>
                <w:rFonts w:ascii="Arial" w:cs="Arial" w:eastAsia="Arial" w:hAnsi="Arial"/>
                <w:sz w:val="14"/>
                <w:szCs w:val="14"/>
                <w:b w:val="1"/>
                <w:bCs w:val="1"/>
                <w:color w:val="FFFFFF"/>
                <w:w w:val="96"/>
              </w:rPr>
              <w:t>Under Equity Incentive</w:t>
            </w:r>
          </w:p>
        </w:tc>
        <w:tc>
          <w:tcPr>
            <w:tcW w:w="8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w w:val="97"/>
              </w:rPr>
              <w:t>of Shares</w:t>
            </w:r>
          </w:p>
        </w:tc>
        <w:tc>
          <w:tcPr>
            <w:tcW w:w="78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w w:val="94"/>
              </w:rPr>
              <w:t>of Stock</w:t>
            </w:r>
          </w:p>
        </w:tc>
        <w:tc>
          <w:tcPr>
            <w:tcW w:w="100" w:type="dxa"/>
            <w:vAlign w:val="bottom"/>
            <w:shd w:val="clear" w:color="auto" w:fill="007CB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tcBorders>
              <w:right w:val="single" w:sz="8" w:color="007CBA"/>
            </w:tcBorders>
            <w:shd w:val="clear" w:color="auto" w:fill="007CBA"/>
          </w:tcPr>
          <w:p>
            <w:pPr>
              <w:spacing w:after="0"/>
              <w:rPr>
                <w:sz w:val="14"/>
                <w:szCs w:val="14"/>
                <w:color w:val="auto"/>
              </w:rPr>
            </w:pPr>
          </w:p>
        </w:tc>
        <w:tc>
          <w:tcPr>
            <w:tcW w:w="120" w:type="dxa"/>
            <w:vAlign w:val="bottom"/>
            <w:shd w:val="clear" w:color="auto" w:fill="007CBA"/>
          </w:tcPr>
          <w:p>
            <w:pPr>
              <w:spacing w:after="0"/>
              <w:rPr>
                <w:sz w:val="14"/>
                <w:szCs w:val="14"/>
                <w:color w:val="auto"/>
              </w:rPr>
            </w:pPr>
          </w:p>
        </w:tc>
        <w:tc>
          <w:tcPr>
            <w:tcW w:w="640" w:type="dxa"/>
            <w:vAlign w:val="bottom"/>
            <w:tcBorders>
              <w:right w:val="single" w:sz="8" w:color="007CBA"/>
            </w:tcBorders>
            <w:shd w:val="clear" w:color="auto" w:fill="007CBA"/>
          </w:tcPr>
          <w:p>
            <w:pPr>
              <w:spacing w:after="0"/>
              <w:rPr>
                <w:sz w:val="14"/>
                <w:szCs w:val="14"/>
                <w:color w:val="auto"/>
              </w:rPr>
            </w:pPr>
          </w:p>
        </w:tc>
        <w:tc>
          <w:tcPr>
            <w:tcW w:w="860" w:type="dxa"/>
            <w:vAlign w:val="bottom"/>
            <w:tcBorders>
              <w:right w:val="single" w:sz="8" w:color="007CBA"/>
            </w:tcBorders>
            <w:shd w:val="clear" w:color="auto" w:fill="007CBA"/>
          </w:tcPr>
          <w:p>
            <w:pPr>
              <w:spacing w:after="0"/>
              <w:rPr>
                <w:sz w:val="14"/>
                <w:szCs w:val="14"/>
                <w:color w:val="auto"/>
              </w:rPr>
            </w:pPr>
          </w:p>
        </w:tc>
        <w:tc>
          <w:tcPr>
            <w:tcW w:w="820" w:type="dxa"/>
            <w:vAlign w:val="bottom"/>
            <w:gridSpan w:val="2"/>
            <w:shd w:val="clear" w:color="auto" w:fill="007CBA"/>
          </w:tcPr>
          <w:p>
            <w:pPr>
              <w:jc w:val="center"/>
              <w:ind w:right="60"/>
              <w:spacing w:after="0"/>
              <w:rPr>
                <w:sz w:val="20"/>
                <w:szCs w:val="20"/>
                <w:color w:val="auto"/>
              </w:rPr>
            </w:pPr>
            <w:r>
              <w:rPr>
                <w:rFonts w:ascii="Arial" w:cs="Arial" w:eastAsia="Arial" w:hAnsi="Arial"/>
                <w:sz w:val="14"/>
                <w:szCs w:val="14"/>
                <w:b w:val="1"/>
                <w:bCs w:val="1"/>
                <w:color w:val="FFFFFF"/>
                <w:w w:val="90"/>
              </w:rPr>
              <w:t>Plan Awards</w:t>
            </w:r>
          </w:p>
        </w:tc>
        <w:tc>
          <w:tcPr>
            <w:tcW w:w="820" w:type="dxa"/>
            <w:vAlign w:val="bottom"/>
            <w:tcBorders>
              <w:right w:val="single" w:sz="8" w:color="007CBA"/>
            </w:tcBorders>
            <w:shd w:val="clear" w:color="auto" w:fill="007CBA"/>
          </w:tcPr>
          <w:p>
            <w:pPr>
              <w:spacing w:after="0"/>
              <w:rPr>
                <w:sz w:val="14"/>
                <w:szCs w:val="14"/>
                <w:color w:val="auto"/>
              </w:rPr>
            </w:pPr>
          </w:p>
        </w:tc>
        <w:tc>
          <w:tcPr>
            <w:tcW w:w="720" w:type="dxa"/>
            <w:vAlign w:val="bottom"/>
            <w:shd w:val="clear" w:color="auto" w:fill="007CBA"/>
          </w:tcPr>
          <w:p>
            <w:pPr>
              <w:spacing w:after="0"/>
              <w:rPr>
                <w:sz w:val="14"/>
                <w:szCs w:val="14"/>
                <w:color w:val="auto"/>
              </w:rPr>
            </w:pPr>
          </w:p>
        </w:tc>
        <w:tc>
          <w:tcPr>
            <w:tcW w:w="840" w:type="dxa"/>
            <w:vAlign w:val="bottom"/>
            <w:gridSpan w:val="3"/>
            <w:shd w:val="clear" w:color="auto" w:fill="007CBA"/>
          </w:tcPr>
          <w:p>
            <w:pPr>
              <w:jc w:val="center"/>
              <w:spacing w:after="0"/>
              <w:rPr>
                <w:sz w:val="20"/>
                <w:szCs w:val="20"/>
                <w:color w:val="auto"/>
              </w:rPr>
            </w:pPr>
            <w:r>
              <w:rPr>
                <w:rFonts w:ascii="Arial" w:cs="Arial" w:eastAsia="Arial" w:hAnsi="Arial"/>
                <w:sz w:val="14"/>
                <w:szCs w:val="14"/>
                <w:b w:val="1"/>
                <w:bCs w:val="1"/>
                <w:color w:val="FFFFFF"/>
                <w:w w:val="95"/>
              </w:rPr>
              <w:t>Plan Awards</w:t>
            </w:r>
          </w:p>
        </w:tc>
        <w:tc>
          <w:tcPr>
            <w:tcW w:w="760" w:type="dxa"/>
            <w:vAlign w:val="bottom"/>
            <w:tcBorders>
              <w:right w:val="single" w:sz="8" w:color="007CBA"/>
            </w:tcBorders>
            <w:shd w:val="clear" w:color="auto" w:fill="007CBA"/>
          </w:tcPr>
          <w:p>
            <w:pPr>
              <w:spacing w:after="0"/>
              <w:rPr>
                <w:sz w:val="14"/>
                <w:szCs w:val="14"/>
                <w:color w:val="auto"/>
              </w:rPr>
            </w:pPr>
          </w:p>
        </w:tc>
        <w:tc>
          <w:tcPr>
            <w:tcW w:w="8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w w:val="97"/>
              </w:rPr>
              <w:t>of Stock</w:t>
            </w:r>
          </w:p>
        </w:tc>
        <w:tc>
          <w:tcPr>
            <w:tcW w:w="78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w w:val="96"/>
              </w:rPr>
              <w:t>and</w:t>
            </w:r>
          </w:p>
        </w:tc>
        <w:tc>
          <w:tcPr>
            <w:tcW w:w="100" w:type="dxa"/>
            <w:vAlign w:val="bottom"/>
            <w:shd w:val="clear" w:color="auto" w:fill="007CBA"/>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40" w:type="dxa"/>
            <w:vAlign w:val="bottom"/>
            <w:tcBorders>
              <w:right w:val="single" w:sz="8" w:color="007CBA"/>
            </w:tcBorders>
            <w:vMerge w:val="restart"/>
            <w:shd w:val="clear" w:color="auto" w:fill="007CBA"/>
          </w:tcPr>
          <w:p>
            <w:pPr>
              <w:ind w:left="60"/>
              <w:spacing w:after="0"/>
              <w:rPr>
                <w:sz w:val="20"/>
                <w:szCs w:val="20"/>
                <w:color w:val="auto"/>
              </w:rPr>
            </w:pPr>
            <w:r>
              <w:rPr>
                <w:rFonts w:ascii="Arial" w:cs="Arial" w:eastAsia="Arial" w:hAnsi="Arial"/>
                <w:sz w:val="14"/>
                <w:szCs w:val="14"/>
                <w:b w:val="1"/>
                <w:bCs w:val="1"/>
                <w:color w:val="FFFFFF"/>
              </w:rPr>
              <w:t>Name</w:t>
            </w:r>
          </w:p>
        </w:tc>
        <w:tc>
          <w:tcPr>
            <w:tcW w:w="120" w:type="dxa"/>
            <w:vAlign w:val="bottom"/>
            <w:shd w:val="clear" w:color="auto" w:fill="007CBA"/>
          </w:tcPr>
          <w:p>
            <w:pPr>
              <w:spacing w:after="0"/>
              <w:rPr>
                <w:sz w:val="12"/>
                <w:szCs w:val="12"/>
                <w:color w:val="auto"/>
              </w:rPr>
            </w:pPr>
          </w:p>
        </w:tc>
        <w:tc>
          <w:tcPr>
            <w:tcW w:w="640" w:type="dxa"/>
            <w:vAlign w:val="bottom"/>
            <w:tcBorders>
              <w:right w:val="single" w:sz="8" w:color="007CBA"/>
            </w:tcBorders>
            <w:shd w:val="clear" w:color="auto" w:fill="007CBA"/>
          </w:tcPr>
          <w:p>
            <w:pPr>
              <w:jc w:val="center"/>
              <w:ind w:right="171"/>
              <w:spacing w:after="0" w:line="149" w:lineRule="exact"/>
              <w:rPr>
                <w:sz w:val="20"/>
                <w:szCs w:val="20"/>
                <w:color w:val="auto"/>
              </w:rPr>
            </w:pPr>
            <w:r>
              <w:rPr>
                <w:rFonts w:ascii="Arial" w:cs="Arial" w:eastAsia="Arial" w:hAnsi="Arial"/>
                <w:sz w:val="14"/>
                <w:szCs w:val="14"/>
                <w:b w:val="1"/>
                <w:bCs w:val="1"/>
                <w:color w:val="FFFFFF"/>
                <w:w w:val="96"/>
              </w:rPr>
              <w:t>Grant</w:t>
            </w:r>
          </w:p>
        </w:tc>
        <w:tc>
          <w:tcPr>
            <w:tcW w:w="860" w:type="dxa"/>
            <w:vAlign w:val="bottom"/>
            <w:tcBorders>
              <w:right w:val="single" w:sz="8" w:color="007CBA"/>
            </w:tcBorders>
            <w:shd w:val="clear" w:color="auto" w:fill="007CBA"/>
          </w:tcPr>
          <w:p>
            <w:pPr>
              <w:jc w:val="center"/>
              <w:spacing w:after="0" w:line="149" w:lineRule="exact"/>
              <w:rPr>
                <w:sz w:val="20"/>
                <w:szCs w:val="20"/>
                <w:color w:val="auto"/>
              </w:rPr>
            </w:pPr>
            <w:r>
              <w:rPr>
                <w:rFonts w:ascii="Arial" w:cs="Arial" w:eastAsia="Arial" w:hAnsi="Arial"/>
                <w:sz w:val="14"/>
                <w:szCs w:val="14"/>
                <w:b w:val="1"/>
                <w:bCs w:val="1"/>
                <w:color w:val="FFFFFF"/>
                <w:w w:val="97"/>
              </w:rPr>
              <w:t>Threshold</w:t>
            </w:r>
          </w:p>
        </w:tc>
        <w:tc>
          <w:tcPr>
            <w:tcW w:w="820" w:type="dxa"/>
            <w:vAlign w:val="bottom"/>
            <w:gridSpan w:val="2"/>
            <w:shd w:val="clear" w:color="auto" w:fill="007CBA"/>
          </w:tcPr>
          <w:p>
            <w:pPr>
              <w:jc w:val="center"/>
              <w:ind w:right="120"/>
              <w:spacing w:after="0" w:line="149" w:lineRule="exact"/>
              <w:rPr>
                <w:sz w:val="20"/>
                <w:szCs w:val="20"/>
                <w:color w:val="auto"/>
              </w:rPr>
            </w:pPr>
            <w:r>
              <w:rPr>
                <w:rFonts w:ascii="Arial" w:cs="Arial" w:eastAsia="Arial" w:hAnsi="Arial"/>
                <w:sz w:val="14"/>
                <w:szCs w:val="14"/>
                <w:b w:val="1"/>
                <w:bCs w:val="1"/>
                <w:color w:val="FFFFFF"/>
                <w:w w:val="98"/>
              </w:rPr>
              <w:t>Target</w:t>
            </w:r>
          </w:p>
        </w:tc>
        <w:tc>
          <w:tcPr>
            <w:tcW w:w="820" w:type="dxa"/>
            <w:vAlign w:val="bottom"/>
            <w:tcBorders>
              <w:right w:val="single" w:sz="8" w:color="007CBA"/>
            </w:tcBorders>
            <w:shd w:val="clear" w:color="auto" w:fill="007CBA"/>
          </w:tcPr>
          <w:p>
            <w:pPr>
              <w:ind w:left="40"/>
              <w:spacing w:after="0" w:line="149" w:lineRule="exact"/>
              <w:rPr>
                <w:sz w:val="20"/>
                <w:szCs w:val="20"/>
                <w:color w:val="auto"/>
              </w:rPr>
            </w:pPr>
            <w:r>
              <w:rPr>
                <w:rFonts w:ascii="Arial" w:cs="Arial" w:eastAsia="Arial" w:hAnsi="Arial"/>
                <w:sz w:val="14"/>
                <w:szCs w:val="14"/>
                <w:b w:val="1"/>
                <w:bCs w:val="1"/>
                <w:color w:val="FFFFFF"/>
              </w:rPr>
              <w:t>Maximum</w:t>
            </w:r>
          </w:p>
        </w:tc>
        <w:tc>
          <w:tcPr>
            <w:tcW w:w="720" w:type="dxa"/>
            <w:vAlign w:val="bottom"/>
            <w:shd w:val="clear" w:color="auto" w:fill="007CBA"/>
          </w:tcPr>
          <w:p>
            <w:pPr>
              <w:jc w:val="right"/>
              <w:spacing w:after="0" w:line="149" w:lineRule="exact"/>
              <w:rPr>
                <w:sz w:val="20"/>
                <w:szCs w:val="20"/>
                <w:color w:val="auto"/>
              </w:rPr>
            </w:pPr>
            <w:r>
              <w:rPr>
                <w:rFonts w:ascii="Arial" w:cs="Arial" w:eastAsia="Arial" w:hAnsi="Arial"/>
                <w:sz w:val="14"/>
                <w:szCs w:val="14"/>
                <w:b w:val="1"/>
                <w:bCs w:val="1"/>
                <w:color w:val="FFFFFF"/>
              </w:rPr>
              <w:t>Threshold</w:t>
            </w:r>
          </w:p>
        </w:tc>
        <w:tc>
          <w:tcPr>
            <w:tcW w:w="120" w:type="dxa"/>
            <w:vAlign w:val="bottom"/>
            <w:tcBorders>
              <w:right w:val="single" w:sz="8" w:color="007CBA"/>
            </w:tcBorders>
            <w:shd w:val="clear" w:color="auto" w:fill="007CBA"/>
          </w:tcPr>
          <w:p>
            <w:pPr>
              <w:spacing w:after="0"/>
              <w:rPr>
                <w:sz w:val="12"/>
                <w:szCs w:val="12"/>
                <w:color w:val="auto"/>
              </w:rPr>
            </w:pPr>
          </w:p>
        </w:tc>
        <w:tc>
          <w:tcPr>
            <w:tcW w:w="720" w:type="dxa"/>
            <w:vAlign w:val="bottom"/>
            <w:gridSpan w:val="2"/>
            <w:shd w:val="clear" w:color="auto" w:fill="007CBA"/>
          </w:tcPr>
          <w:p>
            <w:pPr>
              <w:jc w:val="center"/>
              <w:ind w:right="120"/>
              <w:spacing w:after="0" w:line="149" w:lineRule="exact"/>
              <w:rPr>
                <w:sz w:val="20"/>
                <w:szCs w:val="20"/>
                <w:color w:val="auto"/>
              </w:rPr>
            </w:pPr>
            <w:r>
              <w:rPr>
                <w:rFonts w:ascii="Arial" w:cs="Arial" w:eastAsia="Arial" w:hAnsi="Arial"/>
                <w:sz w:val="14"/>
                <w:szCs w:val="14"/>
                <w:b w:val="1"/>
                <w:bCs w:val="1"/>
                <w:color w:val="FFFFFF"/>
                <w:w w:val="93"/>
              </w:rPr>
              <w:t>Target</w:t>
            </w:r>
          </w:p>
        </w:tc>
        <w:tc>
          <w:tcPr>
            <w:tcW w:w="760" w:type="dxa"/>
            <w:vAlign w:val="bottom"/>
            <w:tcBorders>
              <w:right w:val="single" w:sz="8" w:color="007CBA"/>
            </w:tcBorders>
            <w:shd w:val="clear" w:color="auto" w:fill="007CBA"/>
          </w:tcPr>
          <w:p>
            <w:pPr>
              <w:jc w:val="right"/>
              <w:ind w:right="49"/>
              <w:spacing w:after="0" w:line="149" w:lineRule="exact"/>
              <w:rPr>
                <w:sz w:val="20"/>
                <w:szCs w:val="20"/>
                <w:color w:val="auto"/>
              </w:rPr>
            </w:pPr>
            <w:r>
              <w:rPr>
                <w:rFonts w:ascii="Arial" w:cs="Arial" w:eastAsia="Arial" w:hAnsi="Arial"/>
                <w:sz w:val="14"/>
                <w:szCs w:val="14"/>
                <w:b w:val="1"/>
                <w:bCs w:val="1"/>
                <w:color w:val="FFFFFF"/>
                <w:w w:val="95"/>
              </w:rPr>
              <w:t>Maximum</w:t>
            </w:r>
          </w:p>
        </w:tc>
        <w:tc>
          <w:tcPr>
            <w:tcW w:w="820" w:type="dxa"/>
            <w:vAlign w:val="bottom"/>
            <w:tcBorders>
              <w:right w:val="single" w:sz="8" w:color="007CBA"/>
            </w:tcBorders>
            <w:shd w:val="clear" w:color="auto" w:fill="007CBA"/>
          </w:tcPr>
          <w:p>
            <w:pPr>
              <w:jc w:val="center"/>
              <w:spacing w:after="0" w:line="149" w:lineRule="exact"/>
              <w:rPr>
                <w:sz w:val="20"/>
                <w:szCs w:val="20"/>
                <w:color w:val="auto"/>
              </w:rPr>
            </w:pPr>
            <w:r>
              <w:rPr>
                <w:rFonts w:ascii="Arial" w:cs="Arial" w:eastAsia="Arial" w:hAnsi="Arial"/>
                <w:sz w:val="14"/>
                <w:szCs w:val="14"/>
                <w:b w:val="1"/>
                <w:bCs w:val="1"/>
                <w:color w:val="FFFFFF"/>
                <w:w w:val="94"/>
              </w:rPr>
              <w:t>or Units</w:t>
            </w:r>
          </w:p>
        </w:tc>
        <w:tc>
          <w:tcPr>
            <w:tcW w:w="780" w:type="dxa"/>
            <w:vAlign w:val="bottom"/>
            <w:shd w:val="clear" w:color="auto" w:fill="007CBA"/>
          </w:tcPr>
          <w:p>
            <w:pPr>
              <w:jc w:val="center"/>
              <w:spacing w:after="0" w:line="149" w:lineRule="exact"/>
              <w:rPr>
                <w:sz w:val="20"/>
                <w:szCs w:val="20"/>
                <w:color w:val="auto"/>
              </w:rPr>
            </w:pPr>
            <w:r>
              <w:rPr>
                <w:rFonts w:ascii="Arial" w:cs="Arial" w:eastAsia="Arial" w:hAnsi="Arial"/>
                <w:sz w:val="14"/>
                <w:szCs w:val="14"/>
                <w:b w:val="1"/>
                <w:bCs w:val="1"/>
                <w:color w:val="FFFFFF"/>
                <w:w w:val="97"/>
              </w:rPr>
              <w:t>Option</w:t>
            </w:r>
          </w:p>
        </w:tc>
        <w:tc>
          <w:tcPr>
            <w:tcW w:w="100" w:type="dxa"/>
            <w:vAlign w:val="bottom"/>
            <w:shd w:val="clear" w:color="auto" w:fill="007CBA"/>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740" w:type="dxa"/>
            <w:vAlign w:val="bottom"/>
            <w:tcBorders>
              <w:right w:val="single" w:sz="8" w:color="007CBA"/>
            </w:tcBorders>
            <w:vMerge w:val="continue"/>
            <w:shd w:val="clear" w:color="auto" w:fill="007CBA"/>
          </w:tcPr>
          <w:p>
            <w:pPr>
              <w:spacing w:after="0"/>
              <w:rPr>
                <w:sz w:val="13"/>
                <w:szCs w:val="13"/>
                <w:color w:val="auto"/>
              </w:rPr>
            </w:pPr>
          </w:p>
        </w:tc>
        <w:tc>
          <w:tcPr>
            <w:tcW w:w="120" w:type="dxa"/>
            <w:vAlign w:val="bottom"/>
            <w:shd w:val="clear" w:color="auto" w:fill="007CBA"/>
          </w:tcPr>
          <w:p>
            <w:pPr>
              <w:spacing w:after="0"/>
              <w:rPr>
                <w:sz w:val="13"/>
                <w:szCs w:val="13"/>
                <w:color w:val="auto"/>
              </w:rPr>
            </w:pPr>
          </w:p>
        </w:tc>
        <w:tc>
          <w:tcPr>
            <w:tcW w:w="640" w:type="dxa"/>
            <w:vAlign w:val="bottom"/>
            <w:tcBorders>
              <w:right w:val="single" w:sz="8" w:color="007CBA"/>
            </w:tcBorders>
            <w:shd w:val="clear" w:color="auto" w:fill="007CBA"/>
          </w:tcPr>
          <w:p>
            <w:pPr>
              <w:jc w:val="center"/>
              <w:ind w:right="151"/>
              <w:spacing w:after="0" w:line="157" w:lineRule="exact"/>
              <w:rPr>
                <w:sz w:val="20"/>
                <w:szCs w:val="20"/>
                <w:color w:val="auto"/>
              </w:rPr>
            </w:pPr>
            <w:r>
              <w:rPr>
                <w:rFonts w:ascii="Arial" w:cs="Arial" w:eastAsia="Arial" w:hAnsi="Arial"/>
                <w:sz w:val="14"/>
                <w:szCs w:val="14"/>
                <w:b w:val="1"/>
                <w:bCs w:val="1"/>
                <w:color w:val="FFFFFF"/>
                <w:w w:val="98"/>
              </w:rPr>
              <w:t>Date</w:t>
            </w:r>
          </w:p>
        </w:tc>
        <w:tc>
          <w:tcPr>
            <w:tcW w:w="860" w:type="dxa"/>
            <w:vAlign w:val="bottom"/>
            <w:tcBorders>
              <w:right w:val="single" w:sz="8" w:color="007CBA"/>
            </w:tcBorders>
            <w:shd w:val="clear" w:color="auto" w:fill="007CBA"/>
          </w:tcPr>
          <w:p>
            <w:pPr>
              <w:jc w:val="center"/>
              <w:spacing w:after="0" w:line="157" w:lineRule="exact"/>
              <w:rPr>
                <w:sz w:val="20"/>
                <w:szCs w:val="20"/>
                <w:color w:val="auto"/>
              </w:rPr>
            </w:pPr>
            <w:r>
              <w:rPr>
                <w:rFonts w:ascii="Arial" w:cs="Arial" w:eastAsia="Arial" w:hAnsi="Arial"/>
                <w:sz w:val="14"/>
                <w:szCs w:val="14"/>
                <w:b w:val="1"/>
                <w:bCs w:val="1"/>
                <w:color w:val="FFFFFF"/>
                <w:w w:val="93"/>
              </w:rPr>
              <w:t>($)</w:t>
            </w:r>
          </w:p>
        </w:tc>
        <w:tc>
          <w:tcPr>
            <w:tcW w:w="760" w:type="dxa"/>
            <w:vAlign w:val="bottom"/>
            <w:tcBorders>
              <w:right w:val="single" w:sz="8" w:color="007CBA"/>
            </w:tcBorders>
            <w:shd w:val="clear" w:color="auto" w:fill="007CBA"/>
          </w:tcPr>
          <w:p>
            <w:pPr>
              <w:jc w:val="center"/>
              <w:spacing w:after="0" w:line="157" w:lineRule="exact"/>
              <w:rPr>
                <w:sz w:val="20"/>
                <w:szCs w:val="20"/>
                <w:color w:val="auto"/>
              </w:rPr>
            </w:pPr>
            <w:r>
              <w:rPr>
                <w:rFonts w:ascii="Arial" w:cs="Arial" w:eastAsia="Arial" w:hAnsi="Arial"/>
                <w:sz w:val="14"/>
                <w:szCs w:val="14"/>
                <w:b w:val="1"/>
                <w:bCs w:val="1"/>
                <w:color w:val="FFFFFF"/>
              </w:rPr>
              <w:t>($)</w:t>
            </w:r>
          </w:p>
        </w:tc>
        <w:tc>
          <w:tcPr>
            <w:tcW w:w="60" w:type="dxa"/>
            <w:vAlign w:val="bottom"/>
            <w:shd w:val="clear" w:color="auto" w:fill="007CBA"/>
          </w:tcPr>
          <w:p>
            <w:pPr>
              <w:spacing w:after="0"/>
              <w:rPr>
                <w:sz w:val="13"/>
                <w:szCs w:val="13"/>
                <w:color w:val="auto"/>
              </w:rPr>
            </w:pPr>
          </w:p>
        </w:tc>
        <w:tc>
          <w:tcPr>
            <w:tcW w:w="820" w:type="dxa"/>
            <w:vAlign w:val="bottom"/>
            <w:tcBorders>
              <w:right w:val="single" w:sz="8" w:color="007CBA"/>
            </w:tcBorders>
            <w:shd w:val="clear" w:color="auto" w:fill="007CBA"/>
          </w:tcPr>
          <w:p>
            <w:pPr>
              <w:ind w:left="260"/>
              <w:spacing w:after="0" w:line="157" w:lineRule="exact"/>
              <w:rPr>
                <w:sz w:val="20"/>
                <w:szCs w:val="20"/>
                <w:color w:val="auto"/>
              </w:rPr>
            </w:pPr>
            <w:r>
              <w:rPr>
                <w:rFonts w:ascii="Arial" w:cs="Arial" w:eastAsia="Arial" w:hAnsi="Arial"/>
                <w:sz w:val="14"/>
                <w:szCs w:val="14"/>
                <w:b w:val="1"/>
                <w:bCs w:val="1"/>
                <w:color w:val="FFFFFF"/>
              </w:rPr>
              <w:t>($)</w:t>
            </w:r>
          </w:p>
        </w:tc>
        <w:tc>
          <w:tcPr>
            <w:tcW w:w="720" w:type="dxa"/>
            <w:vAlign w:val="bottom"/>
            <w:shd w:val="clear" w:color="auto" w:fill="007CBA"/>
          </w:tcPr>
          <w:p>
            <w:pPr>
              <w:jc w:val="right"/>
              <w:ind w:right="170"/>
              <w:spacing w:after="0" w:line="157" w:lineRule="exact"/>
              <w:rPr>
                <w:sz w:val="20"/>
                <w:szCs w:val="20"/>
                <w:color w:val="auto"/>
              </w:rPr>
            </w:pPr>
            <w:r>
              <w:rPr>
                <w:rFonts w:ascii="Arial" w:cs="Arial" w:eastAsia="Arial" w:hAnsi="Arial"/>
                <w:sz w:val="14"/>
                <w:szCs w:val="14"/>
                <w:b w:val="1"/>
                <w:bCs w:val="1"/>
                <w:color w:val="FFFFFF"/>
              </w:rPr>
              <w:t>(#)</w:t>
            </w:r>
          </w:p>
        </w:tc>
        <w:tc>
          <w:tcPr>
            <w:tcW w:w="780" w:type="dxa"/>
            <w:vAlign w:val="bottom"/>
            <w:tcBorders>
              <w:right w:val="single" w:sz="8" w:color="007CBA"/>
            </w:tcBorders>
            <w:gridSpan w:val="2"/>
            <w:shd w:val="clear" w:color="auto" w:fill="007CBA"/>
          </w:tcPr>
          <w:p>
            <w:pPr>
              <w:jc w:val="center"/>
              <w:ind w:left="12"/>
              <w:spacing w:after="0" w:line="157" w:lineRule="exact"/>
              <w:rPr>
                <w:sz w:val="20"/>
                <w:szCs w:val="20"/>
                <w:color w:val="auto"/>
              </w:rPr>
            </w:pPr>
            <w:r>
              <w:rPr>
                <w:rFonts w:ascii="Arial" w:cs="Arial" w:eastAsia="Arial" w:hAnsi="Arial"/>
                <w:sz w:val="14"/>
                <w:szCs w:val="14"/>
                <w:b w:val="1"/>
                <w:bCs w:val="1"/>
                <w:color w:val="FFFFFF"/>
              </w:rPr>
              <w:t>(#)</w:t>
            </w:r>
          </w:p>
        </w:tc>
        <w:tc>
          <w:tcPr>
            <w:tcW w:w="60" w:type="dxa"/>
            <w:vAlign w:val="bottom"/>
            <w:shd w:val="clear" w:color="auto" w:fill="007CBA"/>
          </w:tcPr>
          <w:p>
            <w:pPr>
              <w:spacing w:after="0"/>
              <w:rPr>
                <w:sz w:val="13"/>
                <w:szCs w:val="13"/>
                <w:color w:val="auto"/>
              </w:rPr>
            </w:pPr>
          </w:p>
        </w:tc>
        <w:tc>
          <w:tcPr>
            <w:tcW w:w="760" w:type="dxa"/>
            <w:vAlign w:val="bottom"/>
            <w:tcBorders>
              <w:right w:val="single" w:sz="8" w:color="007CBA"/>
            </w:tcBorders>
            <w:shd w:val="clear" w:color="auto" w:fill="007CBA"/>
          </w:tcPr>
          <w:p>
            <w:pPr>
              <w:jc w:val="right"/>
              <w:ind w:right="269"/>
              <w:spacing w:after="0" w:line="157" w:lineRule="exact"/>
              <w:rPr>
                <w:sz w:val="20"/>
                <w:szCs w:val="20"/>
                <w:color w:val="auto"/>
              </w:rPr>
            </w:pPr>
            <w:r>
              <w:rPr>
                <w:rFonts w:ascii="Arial" w:cs="Arial" w:eastAsia="Arial" w:hAnsi="Arial"/>
                <w:sz w:val="14"/>
                <w:szCs w:val="14"/>
                <w:b w:val="1"/>
                <w:bCs w:val="1"/>
                <w:color w:val="FFFFFF"/>
              </w:rPr>
              <w:t>(#)</w:t>
            </w:r>
          </w:p>
        </w:tc>
        <w:tc>
          <w:tcPr>
            <w:tcW w:w="820" w:type="dxa"/>
            <w:vAlign w:val="bottom"/>
            <w:tcBorders>
              <w:right w:val="single" w:sz="8" w:color="007CBA"/>
            </w:tcBorders>
            <w:shd w:val="clear" w:color="auto" w:fill="007CBA"/>
          </w:tcPr>
          <w:p>
            <w:pPr>
              <w:jc w:val="center"/>
              <w:spacing w:after="0" w:line="157" w:lineRule="exact"/>
              <w:rPr>
                <w:sz w:val="20"/>
                <w:szCs w:val="20"/>
                <w:color w:val="auto"/>
              </w:rPr>
            </w:pPr>
            <w:r>
              <w:rPr>
                <w:rFonts w:ascii="Arial" w:cs="Arial" w:eastAsia="Arial" w:hAnsi="Arial"/>
                <w:sz w:val="14"/>
                <w:szCs w:val="14"/>
                <w:b w:val="1"/>
                <w:bCs w:val="1"/>
                <w:color w:val="FFFFFF"/>
              </w:rPr>
              <w:t>(#)</w:t>
            </w:r>
          </w:p>
        </w:tc>
        <w:tc>
          <w:tcPr>
            <w:tcW w:w="780" w:type="dxa"/>
            <w:vAlign w:val="bottom"/>
            <w:shd w:val="clear" w:color="auto" w:fill="007CBA"/>
          </w:tcPr>
          <w:p>
            <w:pPr>
              <w:jc w:val="center"/>
              <w:spacing w:after="0" w:line="157" w:lineRule="exact"/>
              <w:rPr>
                <w:sz w:val="20"/>
                <w:szCs w:val="20"/>
                <w:color w:val="auto"/>
              </w:rPr>
            </w:pPr>
            <w:r>
              <w:rPr>
                <w:rFonts w:ascii="Arial" w:cs="Arial" w:eastAsia="Arial" w:hAnsi="Arial"/>
                <w:sz w:val="14"/>
                <w:szCs w:val="14"/>
                <w:b w:val="1"/>
                <w:bCs w:val="1"/>
                <w:color w:val="FFFFFF"/>
                <w:w w:val="98"/>
              </w:rPr>
              <w:t>Awards</w:t>
            </w:r>
            <w:r>
              <w:rPr>
                <w:rFonts w:ascii="Arial" w:cs="Arial" w:eastAsia="Arial" w:hAnsi="Arial"/>
                <w:sz w:val="11"/>
                <w:szCs w:val="11"/>
                <w:b w:val="1"/>
                <w:bCs w:val="1"/>
                <w:color w:val="FFFFFF"/>
                <w:w w:val="98"/>
              </w:rPr>
              <w:t>4</w:t>
            </w:r>
          </w:p>
        </w:tc>
        <w:tc>
          <w:tcPr>
            <w:tcW w:w="100" w:type="dxa"/>
            <w:vAlign w:val="bottom"/>
            <w:shd w:val="clear" w:color="auto" w:fill="007CBA"/>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374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4"/>
                <w:szCs w:val="14"/>
                <w:b w:val="1"/>
                <w:bCs w:val="1"/>
                <w:color w:val="FFFFFF"/>
              </w:rPr>
              <w:t>(a)</w:t>
            </w:r>
          </w:p>
        </w:tc>
        <w:tc>
          <w:tcPr>
            <w:tcW w:w="120" w:type="dxa"/>
            <w:vAlign w:val="bottom"/>
            <w:shd w:val="clear" w:color="auto" w:fill="007CBA"/>
          </w:tcPr>
          <w:p>
            <w:pPr>
              <w:spacing w:after="0"/>
              <w:rPr>
                <w:sz w:val="14"/>
                <w:szCs w:val="14"/>
                <w:color w:val="auto"/>
              </w:rPr>
            </w:pPr>
          </w:p>
        </w:tc>
        <w:tc>
          <w:tcPr>
            <w:tcW w:w="640" w:type="dxa"/>
            <w:vAlign w:val="bottom"/>
            <w:tcBorders>
              <w:right w:val="single" w:sz="8" w:color="007CBA"/>
            </w:tcBorders>
            <w:shd w:val="clear" w:color="auto" w:fill="007CBA"/>
          </w:tcPr>
          <w:p>
            <w:pPr>
              <w:jc w:val="center"/>
              <w:ind w:right="151"/>
              <w:spacing w:after="0"/>
              <w:rPr>
                <w:sz w:val="20"/>
                <w:szCs w:val="20"/>
                <w:color w:val="auto"/>
              </w:rPr>
            </w:pPr>
            <w:r>
              <w:rPr>
                <w:rFonts w:ascii="Arial" w:cs="Arial" w:eastAsia="Arial" w:hAnsi="Arial"/>
                <w:sz w:val="14"/>
                <w:szCs w:val="14"/>
                <w:b w:val="1"/>
                <w:bCs w:val="1"/>
                <w:color w:val="FFFFFF"/>
              </w:rPr>
              <w:t>(b)</w:t>
            </w:r>
          </w:p>
        </w:tc>
        <w:tc>
          <w:tcPr>
            <w:tcW w:w="8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w w:val="93"/>
              </w:rPr>
              <w:t>(c)</w:t>
            </w:r>
          </w:p>
        </w:tc>
        <w:tc>
          <w:tcPr>
            <w:tcW w:w="820" w:type="dxa"/>
            <w:vAlign w:val="bottom"/>
            <w:gridSpan w:val="2"/>
            <w:shd w:val="clear" w:color="auto" w:fill="007CBA"/>
          </w:tcPr>
          <w:p>
            <w:pPr>
              <w:jc w:val="center"/>
              <w:ind w:right="120"/>
              <w:spacing w:after="0"/>
              <w:rPr>
                <w:sz w:val="20"/>
                <w:szCs w:val="20"/>
                <w:color w:val="auto"/>
              </w:rPr>
            </w:pPr>
            <w:r>
              <w:rPr>
                <w:rFonts w:ascii="Arial" w:cs="Arial" w:eastAsia="Arial" w:hAnsi="Arial"/>
                <w:sz w:val="14"/>
                <w:szCs w:val="14"/>
                <w:b w:val="1"/>
                <w:bCs w:val="1"/>
                <w:color w:val="FFFFFF"/>
              </w:rPr>
              <w:t>(d)</w:t>
            </w:r>
          </w:p>
        </w:tc>
        <w:tc>
          <w:tcPr>
            <w:tcW w:w="820" w:type="dxa"/>
            <w:vAlign w:val="bottom"/>
            <w:tcBorders>
              <w:right w:val="single" w:sz="8" w:color="007CBA"/>
            </w:tcBorders>
            <w:shd w:val="clear" w:color="auto" w:fill="007CBA"/>
          </w:tcPr>
          <w:p>
            <w:pPr>
              <w:ind w:left="260"/>
              <w:spacing w:after="0"/>
              <w:rPr>
                <w:sz w:val="20"/>
                <w:szCs w:val="20"/>
                <w:color w:val="auto"/>
              </w:rPr>
            </w:pPr>
            <w:r>
              <w:rPr>
                <w:rFonts w:ascii="Arial" w:cs="Arial" w:eastAsia="Arial" w:hAnsi="Arial"/>
                <w:sz w:val="14"/>
                <w:szCs w:val="14"/>
                <w:b w:val="1"/>
                <w:bCs w:val="1"/>
                <w:color w:val="FFFFFF"/>
              </w:rPr>
              <w:t>(e)</w:t>
            </w:r>
          </w:p>
        </w:tc>
        <w:tc>
          <w:tcPr>
            <w:tcW w:w="720" w:type="dxa"/>
            <w:vAlign w:val="bottom"/>
            <w:shd w:val="clear" w:color="auto" w:fill="007CBA"/>
          </w:tcPr>
          <w:p>
            <w:pPr>
              <w:jc w:val="right"/>
              <w:ind w:right="190"/>
              <w:spacing w:after="0"/>
              <w:rPr>
                <w:sz w:val="20"/>
                <w:szCs w:val="20"/>
                <w:color w:val="auto"/>
              </w:rPr>
            </w:pPr>
            <w:r>
              <w:rPr>
                <w:rFonts w:ascii="Arial" w:cs="Arial" w:eastAsia="Arial" w:hAnsi="Arial"/>
                <w:sz w:val="14"/>
                <w:szCs w:val="14"/>
                <w:b w:val="1"/>
                <w:bCs w:val="1"/>
                <w:color w:val="FFFFFF"/>
              </w:rPr>
              <w:t>(f)</w:t>
            </w:r>
          </w:p>
        </w:tc>
        <w:tc>
          <w:tcPr>
            <w:tcW w:w="120" w:type="dxa"/>
            <w:vAlign w:val="bottom"/>
            <w:tcBorders>
              <w:right w:val="single" w:sz="8" w:color="007CBA"/>
            </w:tcBorders>
            <w:shd w:val="clear" w:color="auto" w:fill="007CBA"/>
          </w:tcPr>
          <w:p>
            <w:pPr>
              <w:spacing w:after="0"/>
              <w:rPr>
                <w:sz w:val="14"/>
                <w:szCs w:val="14"/>
                <w:color w:val="auto"/>
              </w:rPr>
            </w:pPr>
          </w:p>
        </w:tc>
        <w:tc>
          <w:tcPr>
            <w:tcW w:w="720" w:type="dxa"/>
            <w:vAlign w:val="bottom"/>
            <w:gridSpan w:val="2"/>
            <w:shd w:val="clear" w:color="auto" w:fill="007CBA"/>
          </w:tcPr>
          <w:p>
            <w:pPr>
              <w:jc w:val="center"/>
              <w:ind w:right="100"/>
              <w:spacing w:after="0"/>
              <w:rPr>
                <w:sz w:val="20"/>
                <w:szCs w:val="20"/>
                <w:color w:val="auto"/>
              </w:rPr>
            </w:pPr>
            <w:r>
              <w:rPr>
                <w:rFonts w:ascii="Arial" w:cs="Arial" w:eastAsia="Arial" w:hAnsi="Arial"/>
                <w:sz w:val="14"/>
                <w:szCs w:val="14"/>
                <w:b w:val="1"/>
                <w:bCs w:val="1"/>
                <w:color w:val="FFFFFF"/>
              </w:rPr>
              <w:t>(g)</w:t>
            </w:r>
          </w:p>
        </w:tc>
        <w:tc>
          <w:tcPr>
            <w:tcW w:w="760" w:type="dxa"/>
            <w:vAlign w:val="bottom"/>
            <w:tcBorders>
              <w:right w:val="single" w:sz="8" w:color="007CBA"/>
            </w:tcBorders>
            <w:shd w:val="clear" w:color="auto" w:fill="007CBA"/>
          </w:tcPr>
          <w:p>
            <w:pPr>
              <w:jc w:val="right"/>
              <w:ind w:right="269"/>
              <w:spacing w:after="0"/>
              <w:rPr>
                <w:sz w:val="20"/>
                <w:szCs w:val="20"/>
                <w:color w:val="auto"/>
              </w:rPr>
            </w:pPr>
            <w:r>
              <w:rPr>
                <w:rFonts w:ascii="Arial" w:cs="Arial" w:eastAsia="Arial" w:hAnsi="Arial"/>
                <w:sz w:val="14"/>
                <w:szCs w:val="14"/>
                <w:b w:val="1"/>
                <w:bCs w:val="1"/>
                <w:color w:val="FFFFFF"/>
              </w:rPr>
              <w:t>(h)</w:t>
            </w:r>
          </w:p>
        </w:tc>
        <w:tc>
          <w:tcPr>
            <w:tcW w:w="8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(i)</w:t>
            </w:r>
          </w:p>
        </w:tc>
        <w:tc>
          <w:tcPr>
            <w:tcW w:w="78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w w:val="90"/>
              </w:rPr>
              <w:t>(l)</w:t>
            </w:r>
          </w:p>
        </w:tc>
        <w:tc>
          <w:tcPr>
            <w:tcW w:w="100" w:type="dxa"/>
            <w:vAlign w:val="bottom"/>
            <w:shd w:val="clear" w:color="auto" w:fill="007CBA"/>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3740" w:type="dxa"/>
            <w:vAlign w:val="bottom"/>
            <w:tcBorders>
              <w:right w:val="single" w:sz="8" w:color="007CBA"/>
            </w:tcBorders>
          </w:tcPr>
          <w:p>
            <w:pPr>
              <w:ind w:left="60"/>
              <w:spacing w:after="0"/>
              <w:rPr>
                <w:sz w:val="20"/>
                <w:szCs w:val="20"/>
                <w:color w:val="auto"/>
              </w:rPr>
            </w:pPr>
            <w:r>
              <w:rPr>
                <w:rFonts w:ascii="Arial" w:cs="Arial" w:eastAsia="Arial" w:hAnsi="Arial"/>
                <w:sz w:val="14"/>
                <w:szCs w:val="14"/>
                <w:b w:val="1"/>
                <w:bCs w:val="1"/>
                <w:color w:val="auto"/>
              </w:rPr>
              <w:t>C. Howard Nye</w:t>
            </w:r>
          </w:p>
        </w:tc>
        <w:tc>
          <w:tcPr>
            <w:tcW w:w="760" w:type="dxa"/>
            <w:vAlign w:val="bottom"/>
            <w:tcBorders>
              <w:right w:val="single" w:sz="8" w:color="007CBA"/>
            </w:tcBorders>
            <w:gridSpan w:val="2"/>
          </w:tcPr>
          <w:p>
            <w:pPr>
              <w:jc w:val="right"/>
              <w:ind w:right="31"/>
              <w:spacing w:after="0"/>
              <w:rPr>
                <w:sz w:val="20"/>
                <w:szCs w:val="20"/>
                <w:color w:val="auto"/>
              </w:rPr>
            </w:pPr>
            <w:r>
              <w:rPr>
                <w:rFonts w:ascii="Arial" w:cs="Arial" w:eastAsia="Arial" w:hAnsi="Arial"/>
                <w:sz w:val="14"/>
                <w:szCs w:val="14"/>
                <w:color w:val="auto"/>
              </w:rPr>
              <w:t>2/22/18</w:t>
            </w:r>
            <w:r>
              <w:rPr>
                <w:rFonts w:ascii="Arial" w:cs="Arial" w:eastAsia="Arial" w:hAnsi="Arial"/>
                <w:sz w:val="24"/>
                <w:szCs w:val="24"/>
                <w:color w:val="auto"/>
                <w:vertAlign w:val="superscript"/>
              </w:rPr>
              <w:t>1</w:t>
            </w:r>
          </w:p>
        </w:tc>
        <w:tc>
          <w:tcPr>
            <w:tcW w:w="860" w:type="dxa"/>
            <w:vAlign w:val="bottom"/>
            <w:tcBorders>
              <w:right w:val="single" w:sz="8" w:color="007CBA"/>
            </w:tcBorders>
          </w:tcPr>
          <w:p>
            <w:pPr>
              <w:spacing w:after="0"/>
              <w:rPr>
                <w:sz w:val="24"/>
                <w:szCs w:val="24"/>
                <w:color w:val="auto"/>
              </w:rPr>
            </w:pPr>
          </w:p>
        </w:tc>
        <w:tc>
          <w:tcPr>
            <w:tcW w:w="7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571,542</w:t>
            </w:r>
          </w:p>
        </w:tc>
        <w:tc>
          <w:tcPr>
            <w:tcW w:w="60" w:type="dxa"/>
            <w:vAlign w:val="bottom"/>
          </w:tcPr>
          <w:p>
            <w:pPr>
              <w:spacing w:after="0"/>
              <w:rPr>
                <w:sz w:val="24"/>
                <w:szCs w:val="24"/>
                <w:color w:val="auto"/>
              </w:rPr>
            </w:pPr>
          </w:p>
        </w:tc>
        <w:tc>
          <w:tcPr>
            <w:tcW w:w="820" w:type="dxa"/>
            <w:vAlign w:val="bottom"/>
            <w:tcBorders>
              <w:right w:val="single" w:sz="8" w:color="007CBA"/>
            </w:tcBorders>
          </w:tcPr>
          <w:p>
            <w:pPr>
              <w:ind w:left="60"/>
              <w:spacing w:after="0"/>
              <w:rPr>
                <w:sz w:val="20"/>
                <w:szCs w:val="20"/>
                <w:color w:val="auto"/>
              </w:rPr>
            </w:pPr>
            <w:r>
              <w:rPr>
                <w:rFonts w:ascii="Arial" w:cs="Arial" w:eastAsia="Arial" w:hAnsi="Arial"/>
                <w:sz w:val="14"/>
                <w:szCs w:val="14"/>
                <w:color w:val="auto"/>
              </w:rPr>
              <w:t>3,750,000</w:t>
            </w:r>
          </w:p>
        </w:tc>
        <w:tc>
          <w:tcPr>
            <w:tcW w:w="720" w:type="dxa"/>
            <w:vAlign w:val="bottom"/>
          </w:tcPr>
          <w:p>
            <w:pPr>
              <w:spacing w:after="0"/>
              <w:rPr>
                <w:sz w:val="24"/>
                <w:szCs w:val="24"/>
                <w:color w:val="auto"/>
              </w:rPr>
            </w:pPr>
          </w:p>
        </w:tc>
        <w:tc>
          <w:tcPr>
            <w:tcW w:w="120" w:type="dxa"/>
            <w:vAlign w:val="bottom"/>
            <w:tcBorders>
              <w:right w:val="single" w:sz="8" w:color="007CBA"/>
            </w:tcBorders>
          </w:tcPr>
          <w:p>
            <w:pPr>
              <w:spacing w:after="0"/>
              <w:rPr>
                <w:sz w:val="24"/>
                <w:szCs w:val="24"/>
                <w:color w:val="auto"/>
              </w:rPr>
            </w:pPr>
          </w:p>
        </w:tc>
        <w:tc>
          <w:tcPr>
            <w:tcW w:w="66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3,233</w:t>
            </w:r>
          </w:p>
        </w:tc>
        <w:tc>
          <w:tcPr>
            <w:tcW w:w="60" w:type="dxa"/>
            <w:vAlign w:val="bottom"/>
          </w:tcPr>
          <w:p>
            <w:pPr>
              <w:spacing w:after="0"/>
              <w:rPr>
                <w:sz w:val="24"/>
                <w:szCs w:val="24"/>
                <w:color w:val="auto"/>
              </w:rPr>
            </w:pPr>
          </w:p>
        </w:tc>
        <w:tc>
          <w:tcPr>
            <w:tcW w:w="76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21,214</w:t>
            </w:r>
          </w:p>
        </w:tc>
        <w:tc>
          <w:tcPr>
            <w:tcW w:w="820" w:type="dxa"/>
            <w:vAlign w:val="bottom"/>
            <w:tcBorders>
              <w:right w:val="single" w:sz="8" w:color="007CBA"/>
            </w:tcBorders>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685,784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740" w:type="dxa"/>
            <w:vAlign w:val="bottom"/>
            <w:tcBorders>
              <w:right w:val="single" w:sz="8" w:color="007CBA"/>
            </w:tcBorders>
          </w:tcPr>
          <w:p>
            <w:pPr>
              <w:spacing w:after="0"/>
              <w:rPr>
                <w:sz w:val="16"/>
                <w:szCs w:val="16"/>
                <w:color w:val="auto"/>
              </w:rPr>
            </w:pPr>
          </w:p>
        </w:tc>
        <w:tc>
          <w:tcPr>
            <w:tcW w:w="760" w:type="dxa"/>
            <w:vAlign w:val="bottom"/>
            <w:tcBorders>
              <w:right w:val="single" w:sz="8" w:color="007CBA"/>
            </w:tcBorders>
            <w:gridSpan w:val="2"/>
          </w:tcPr>
          <w:p>
            <w:pPr>
              <w:jc w:val="right"/>
              <w:ind w:right="91"/>
              <w:spacing w:after="0"/>
              <w:rPr>
                <w:sz w:val="20"/>
                <w:szCs w:val="20"/>
                <w:color w:val="auto"/>
              </w:rPr>
            </w:pPr>
            <w:r>
              <w:rPr>
                <w:rFonts w:ascii="Arial" w:cs="Arial" w:eastAsia="Arial" w:hAnsi="Arial"/>
                <w:sz w:val="14"/>
                <w:szCs w:val="14"/>
                <w:color w:val="auto"/>
              </w:rPr>
              <w:t>3/28/17</w:t>
            </w:r>
          </w:p>
        </w:tc>
        <w:tc>
          <w:tcPr>
            <w:tcW w:w="860" w:type="dxa"/>
            <w:vAlign w:val="bottom"/>
            <w:tcBorders>
              <w:right w:val="single" w:sz="8" w:color="007CBA"/>
            </w:tcBorders>
          </w:tcPr>
          <w:p>
            <w:pPr>
              <w:spacing w:after="0"/>
              <w:rPr>
                <w:sz w:val="16"/>
                <w:szCs w:val="16"/>
                <w:color w:val="auto"/>
              </w:rPr>
            </w:pPr>
          </w:p>
        </w:tc>
        <w:tc>
          <w:tcPr>
            <w:tcW w:w="760" w:type="dxa"/>
            <w:vAlign w:val="bottom"/>
            <w:tcBorders>
              <w:right w:val="single" w:sz="8" w:color="007CBA"/>
            </w:tcBorders>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Borders>
              <w:right w:val="single" w:sz="8" w:color="007CBA"/>
            </w:tcBorders>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5,678</w:t>
            </w:r>
          </w:p>
        </w:tc>
        <w:tc>
          <w:tcPr>
            <w:tcW w:w="120" w:type="dxa"/>
            <w:vAlign w:val="bottom"/>
            <w:tcBorders>
              <w:right w:val="single" w:sz="8" w:color="007CBA"/>
            </w:tcBorders>
          </w:tcPr>
          <w:p>
            <w:pPr>
              <w:spacing w:after="0"/>
              <w:rPr>
                <w:sz w:val="16"/>
                <w:szCs w:val="16"/>
                <w:color w:val="auto"/>
              </w:rPr>
            </w:pPr>
          </w:p>
        </w:tc>
        <w:tc>
          <w:tcPr>
            <w:tcW w:w="66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11,355</w:t>
            </w:r>
          </w:p>
        </w:tc>
        <w:tc>
          <w:tcPr>
            <w:tcW w:w="60" w:type="dxa"/>
            <w:vAlign w:val="bottom"/>
          </w:tcPr>
          <w:p>
            <w:pPr>
              <w:spacing w:after="0"/>
              <w:rPr>
                <w:sz w:val="16"/>
                <w:szCs w:val="16"/>
                <w:color w:val="auto"/>
              </w:rPr>
            </w:pPr>
          </w:p>
        </w:tc>
        <w:tc>
          <w:tcPr>
            <w:tcW w:w="76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22,710</w:t>
            </w:r>
          </w:p>
        </w:tc>
        <w:tc>
          <w:tcPr>
            <w:tcW w:w="820" w:type="dxa"/>
            <w:vAlign w:val="bottom"/>
            <w:tcBorders>
              <w:right w:val="single" w:sz="8" w:color="007CBA"/>
            </w:tcBorders>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2,383,642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2"/>
        </w:trPr>
        <w:tc>
          <w:tcPr>
            <w:tcW w:w="3740" w:type="dxa"/>
            <w:vAlign w:val="bottom"/>
            <w:tcBorders>
              <w:right w:val="single" w:sz="8" w:color="007CBA"/>
            </w:tcBorders>
          </w:tcPr>
          <w:p>
            <w:pPr>
              <w:spacing w:after="0"/>
              <w:rPr>
                <w:sz w:val="24"/>
                <w:szCs w:val="24"/>
                <w:color w:val="auto"/>
              </w:rPr>
            </w:pPr>
          </w:p>
        </w:tc>
        <w:tc>
          <w:tcPr>
            <w:tcW w:w="760" w:type="dxa"/>
            <w:vAlign w:val="bottom"/>
            <w:tcBorders>
              <w:right w:val="single" w:sz="8" w:color="007CBA"/>
            </w:tcBorders>
            <w:gridSpan w:val="2"/>
          </w:tcPr>
          <w:p>
            <w:pPr>
              <w:jc w:val="right"/>
              <w:ind w:right="31"/>
              <w:spacing w:after="0"/>
              <w:rPr>
                <w:sz w:val="20"/>
                <w:szCs w:val="20"/>
                <w:color w:val="auto"/>
              </w:rPr>
            </w:pPr>
            <w:r>
              <w:rPr>
                <w:rFonts w:ascii="Arial" w:cs="Arial" w:eastAsia="Arial" w:hAnsi="Arial"/>
                <w:sz w:val="14"/>
                <w:szCs w:val="14"/>
                <w:color w:val="auto"/>
              </w:rPr>
              <w:t>3/28/17</w:t>
            </w:r>
            <w:r>
              <w:rPr>
                <w:rFonts w:ascii="Arial" w:cs="Arial" w:eastAsia="Arial" w:hAnsi="Arial"/>
                <w:sz w:val="24"/>
                <w:szCs w:val="24"/>
                <w:color w:val="auto"/>
                <w:vertAlign w:val="superscript"/>
              </w:rPr>
              <w:t>2</w:t>
            </w:r>
          </w:p>
        </w:tc>
        <w:tc>
          <w:tcPr>
            <w:tcW w:w="860" w:type="dxa"/>
            <w:vAlign w:val="bottom"/>
            <w:tcBorders>
              <w:right w:val="single" w:sz="8" w:color="007CBA"/>
            </w:tcBorders>
          </w:tcPr>
          <w:p>
            <w:pPr>
              <w:spacing w:after="0"/>
              <w:rPr>
                <w:sz w:val="24"/>
                <w:szCs w:val="24"/>
                <w:color w:val="auto"/>
              </w:rPr>
            </w:pPr>
          </w:p>
        </w:tc>
        <w:tc>
          <w:tcPr>
            <w:tcW w:w="760" w:type="dxa"/>
            <w:vAlign w:val="bottom"/>
            <w:tcBorders>
              <w:right w:val="single" w:sz="8" w:color="007CBA"/>
            </w:tcBorders>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Borders>
              <w:right w:val="single" w:sz="8" w:color="007CBA"/>
            </w:tcBorders>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Borders>
              <w:right w:val="single" w:sz="8" w:color="007CBA"/>
            </w:tcBorders>
          </w:tcPr>
          <w:p>
            <w:pPr>
              <w:spacing w:after="0"/>
              <w:rPr>
                <w:sz w:val="24"/>
                <w:szCs w:val="24"/>
                <w:color w:val="auto"/>
              </w:rPr>
            </w:pPr>
          </w:p>
        </w:tc>
        <w:tc>
          <w:tcPr>
            <w:tcW w:w="660" w:type="dxa"/>
            <w:vAlign w:val="bottom"/>
            <w:tcBorders>
              <w:right w:val="single" w:sz="8" w:color="007CBA"/>
            </w:tcBorders>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Borders>
              <w:right w:val="single" w:sz="8" w:color="007CBA"/>
            </w:tcBorders>
          </w:tcPr>
          <w:p>
            <w:pPr>
              <w:spacing w:after="0"/>
              <w:rPr>
                <w:sz w:val="24"/>
                <w:szCs w:val="24"/>
                <w:color w:val="auto"/>
              </w:rPr>
            </w:pPr>
          </w:p>
        </w:tc>
        <w:tc>
          <w:tcPr>
            <w:tcW w:w="820" w:type="dxa"/>
            <w:vAlign w:val="bottom"/>
            <w:tcBorders>
              <w:right w:val="single" w:sz="8" w:color="007CBA"/>
            </w:tcBorders>
          </w:tcPr>
          <w:p>
            <w:pPr>
              <w:jc w:val="right"/>
              <w:ind w:right="51"/>
              <w:spacing w:after="0"/>
              <w:rPr>
                <w:sz w:val="20"/>
                <w:szCs w:val="20"/>
                <w:color w:val="auto"/>
              </w:rPr>
            </w:pPr>
            <w:r>
              <w:rPr>
                <w:rFonts w:ascii="Arial" w:cs="Arial" w:eastAsia="Arial" w:hAnsi="Arial"/>
                <w:sz w:val="14"/>
                <w:szCs w:val="14"/>
                <w:color w:val="auto"/>
              </w:rPr>
              <w:t>9,755</w:t>
            </w:r>
          </w:p>
        </w:tc>
        <w:tc>
          <w:tcPr>
            <w:tcW w:w="780" w:type="dxa"/>
            <w:vAlign w:val="bottom"/>
          </w:tcPr>
          <w:p>
            <w:pPr>
              <w:jc w:val="right"/>
              <w:spacing w:after="0"/>
              <w:rPr>
                <w:sz w:val="20"/>
                <w:szCs w:val="20"/>
                <w:color w:val="auto"/>
              </w:rPr>
            </w:pPr>
            <w:r>
              <w:rPr>
                <w:rFonts w:ascii="Arial" w:cs="Arial" w:eastAsia="Arial" w:hAnsi="Arial"/>
                <w:sz w:val="14"/>
                <w:szCs w:val="14"/>
                <w:color w:val="auto"/>
              </w:rPr>
              <w:t>2,047,770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74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b w:val="1"/>
                <w:bCs w:val="1"/>
                <w:color w:val="auto"/>
              </w:rPr>
              <w:t>James A. J. Nickolas</w:t>
            </w:r>
          </w:p>
        </w:tc>
        <w:tc>
          <w:tcPr>
            <w:tcW w:w="760" w:type="dxa"/>
            <w:vAlign w:val="bottom"/>
            <w:tcBorders>
              <w:right w:val="single" w:sz="8" w:color="007CBA"/>
            </w:tcBorders>
            <w:gridSpan w:val="2"/>
            <w:shd w:val="clear" w:color="auto" w:fill="E5F1F8"/>
          </w:tcPr>
          <w:p>
            <w:pPr>
              <w:jc w:val="right"/>
              <w:ind w:right="31"/>
              <w:spacing w:after="0" w:line="237" w:lineRule="exact"/>
              <w:rPr>
                <w:sz w:val="20"/>
                <w:szCs w:val="20"/>
                <w:color w:val="auto"/>
              </w:rPr>
            </w:pPr>
            <w:r>
              <w:rPr>
                <w:rFonts w:ascii="Arial" w:cs="Arial" w:eastAsia="Arial" w:hAnsi="Arial"/>
                <w:sz w:val="14"/>
                <w:szCs w:val="14"/>
                <w:color w:val="auto"/>
              </w:rPr>
              <w:t>2/22/18</w:t>
            </w:r>
            <w:r>
              <w:rPr>
                <w:rFonts w:ascii="Arial" w:cs="Arial" w:eastAsia="Arial" w:hAnsi="Arial"/>
                <w:sz w:val="24"/>
                <w:szCs w:val="24"/>
                <w:color w:val="auto"/>
                <w:vertAlign w:val="superscript"/>
              </w:rPr>
              <w:t>1</w:t>
            </w:r>
          </w:p>
        </w:tc>
        <w:tc>
          <w:tcPr>
            <w:tcW w:w="860" w:type="dxa"/>
            <w:vAlign w:val="bottom"/>
            <w:tcBorders>
              <w:right w:val="single" w:sz="8" w:color="007CBA"/>
            </w:tcBorders>
            <w:shd w:val="clear" w:color="auto" w:fill="E5F1F8"/>
          </w:tcPr>
          <w:p>
            <w:pPr>
              <w:spacing w:after="0"/>
              <w:rPr>
                <w:sz w:val="20"/>
                <w:szCs w:val="20"/>
                <w:color w:val="auto"/>
              </w:rPr>
            </w:pPr>
          </w:p>
        </w:tc>
        <w:tc>
          <w:tcPr>
            <w:tcW w:w="7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129,702</w:t>
            </w:r>
          </w:p>
        </w:tc>
        <w:tc>
          <w:tcPr>
            <w:tcW w:w="60" w:type="dxa"/>
            <w:vAlign w:val="bottom"/>
            <w:shd w:val="clear" w:color="auto" w:fill="E5F1F8"/>
          </w:tcPr>
          <w:p>
            <w:pPr>
              <w:spacing w:after="0"/>
              <w:rPr>
                <w:sz w:val="20"/>
                <w:szCs w:val="20"/>
                <w:color w:val="auto"/>
              </w:rPr>
            </w:pPr>
          </w:p>
        </w:tc>
        <w:tc>
          <w:tcPr>
            <w:tcW w:w="82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color w:val="auto"/>
              </w:rPr>
              <w:t>7,500,000</w:t>
            </w:r>
          </w:p>
        </w:tc>
        <w:tc>
          <w:tcPr>
            <w:tcW w:w="720" w:type="dxa"/>
            <w:vAlign w:val="bottom"/>
            <w:shd w:val="clear" w:color="auto" w:fill="E5F1F8"/>
          </w:tcPr>
          <w:p>
            <w:pPr>
              <w:spacing w:after="0"/>
              <w:rPr>
                <w:sz w:val="20"/>
                <w:szCs w:val="20"/>
                <w:color w:val="auto"/>
              </w:rPr>
            </w:pPr>
          </w:p>
        </w:tc>
        <w:tc>
          <w:tcPr>
            <w:tcW w:w="120" w:type="dxa"/>
            <w:vAlign w:val="bottom"/>
            <w:tcBorders>
              <w:right w:val="single" w:sz="8" w:color="007CBA"/>
            </w:tcBorders>
            <w:shd w:val="clear" w:color="auto" w:fill="E5F1F8"/>
          </w:tcPr>
          <w:p>
            <w:pPr>
              <w:spacing w:after="0"/>
              <w:rPr>
                <w:sz w:val="20"/>
                <w:szCs w:val="20"/>
                <w:color w:val="auto"/>
              </w:rPr>
            </w:pPr>
          </w:p>
        </w:tc>
        <w:tc>
          <w:tcPr>
            <w:tcW w:w="660" w:type="dxa"/>
            <w:vAlign w:val="bottom"/>
            <w:tcBorders>
              <w:right w:val="single" w:sz="8" w:color="007CBA"/>
            </w:tcBorders>
            <w:shd w:val="clear" w:color="auto" w:fill="E5F1F8"/>
          </w:tcPr>
          <w:p>
            <w:pPr>
              <w:spacing w:after="0"/>
              <w:rPr>
                <w:sz w:val="20"/>
                <w:szCs w:val="20"/>
                <w:color w:val="auto"/>
              </w:rPr>
            </w:pPr>
          </w:p>
        </w:tc>
        <w:tc>
          <w:tcPr>
            <w:tcW w:w="60" w:type="dxa"/>
            <w:vAlign w:val="bottom"/>
            <w:shd w:val="clear" w:color="auto" w:fill="E5F1F8"/>
          </w:tcPr>
          <w:p>
            <w:pPr>
              <w:spacing w:after="0"/>
              <w:rPr>
                <w:sz w:val="20"/>
                <w:szCs w:val="20"/>
                <w:color w:val="auto"/>
              </w:rPr>
            </w:pPr>
          </w:p>
        </w:tc>
        <w:tc>
          <w:tcPr>
            <w:tcW w:w="760" w:type="dxa"/>
            <w:vAlign w:val="bottom"/>
            <w:tcBorders>
              <w:right w:val="single" w:sz="8" w:color="007CBA"/>
            </w:tcBorders>
            <w:shd w:val="clear" w:color="auto" w:fill="E5F1F8"/>
          </w:tcPr>
          <w:p>
            <w:pPr>
              <w:spacing w:after="0"/>
              <w:rPr>
                <w:sz w:val="20"/>
                <w:szCs w:val="20"/>
                <w:color w:val="auto"/>
              </w:rPr>
            </w:pPr>
          </w:p>
        </w:tc>
        <w:tc>
          <w:tcPr>
            <w:tcW w:w="820" w:type="dxa"/>
            <w:vAlign w:val="bottom"/>
            <w:tcBorders>
              <w:right w:val="single" w:sz="8" w:color="007CBA"/>
            </w:tcBorders>
            <w:shd w:val="clear" w:color="auto" w:fill="E5F1F8"/>
          </w:tcPr>
          <w:p>
            <w:pPr>
              <w:spacing w:after="0"/>
              <w:rPr>
                <w:sz w:val="20"/>
                <w:szCs w:val="20"/>
                <w:color w:val="auto"/>
              </w:rPr>
            </w:pPr>
          </w:p>
        </w:tc>
        <w:tc>
          <w:tcPr>
            <w:tcW w:w="780" w:type="dxa"/>
            <w:vAlign w:val="bottom"/>
            <w:shd w:val="clear" w:color="auto" w:fill="E5F1F8"/>
          </w:tcPr>
          <w:p>
            <w:pPr>
              <w:spacing w:after="0"/>
              <w:rPr>
                <w:sz w:val="20"/>
                <w:szCs w:val="20"/>
                <w:color w:val="auto"/>
              </w:rPr>
            </w:pPr>
          </w:p>
        </w:tc>
        <w:tc>
          <w:tcPr>
            <w:tcW w:w="100" w:type="dxa"/>
            <w:vAlign w:val="bottom"/>
            <w:shd w:val="clear" w:color="auto" w:fill="E5F1F8"/>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3740" w:type="dxa"/>
            <w:vAlign w:val="bottom"/>
            <w:tcBorders>
              <w:right w:val="single" w:sz="8" w:color="007CBA"/>
            </w:tcBorders>
            <w:shd w:val="clear" w:color="auto" w:fill="E5F1F8"/>
          </w:tcPr>
          <w:p>
            <w:pPr>
              <w:spacing w:after="0"/>
              <w:rPr>
                <w:sz w:val="15"/>
                <w:szCs w:val="15"/>
                <w:color w:val="auto"/>
              </w:rPr>
            </w:pPr>
          </w:p>
        </w:tc>
        <w:tc>
          <w:tcPr>
            <w:tcW w:w="760" w:type="dxa"/>
            <w:vAlign w:val="bottom"/>
            <w:tcBorders>
              <w:right w:val="single" w:sz="8" w:color="007CBA"/>
            </w:tcBorders>
            <w:gridSpan w:val="2"/>
            <w:shd w:val="clear" w:color="auto" w:fill="E5F1F8"/>
          </w:tcPr>
          <w:p>
            <w:pPr>
              <w:jc w:val="right"/>
              <w:ind w:right="31"/>
              <w:spacing w:after="0" w:line="181" w:lineRule="exact"/>
              <w:rPr>
                <w:sz w:val="20"/>
                <w:szCs w:val="20"/>
                <w:color w:val="auto"/>
              </w:rPr>
            </w:pPr>
            <w:r>
              <w:rPr>
                <w:rFonts w:ascii="Arial" w:cs="Arial" w:eastAsia="Arial" w:hAnsi="Arial"/>
                <w:sz w:val="12"/>
                <w:szCs w:val="12"/>
                <w:color w:val="auto"/>
              </w:rPr>
              <w:t>8/21/17</w:t>
            </w:r>
            <w:r>
              <w:rPr>
                <w:rFonts w:ascii="Arial" w:cs="Arial" w:eastAsia="Arial" w:hAnsi="Arial"/>
                <w:sz w:val="20"/>
                <w:szCs w:val="20"/>
                <w:color w:val="auto"/>
                <w:vertAlign w:val="superscript"/>
              </w:rPr>
              <w:t>2</w:t>
            </w:r>
          </w:p>
        </w:tc>
        <w:tc>
          <w:tcPr>
            <w:tcW w:w="860" w:type="dxa"/>
            <w:vAlign w:val="bottom"/>
            <w:tcBorders>
              <w:right w:val="single" w:sz="8" w:color="007CBA"/>
            </w:tcBorders>
            <w:shd w:val="clear" w:color="auto" w:fill="E5F1F8"/>
          </w:tcPr>
          <w:p>
            <w:pPr>
              <w:spacing w:after="0"/>
              <w:rPr>
                <w:sz w:val="15"/>
                <w:szCs w:val="15"/>
                <w:color w:val="auto"/>
              </w:rPr>
            </w:pPr>
          </w:p>
        </w:tc>
        <w:tc>
          <w:tcPr>
            <w:tcW w:w="760" w:type="dxa"/>
            <w:vAlign w:val="bottom"/>
            <w:tcBorders>
              <w:right w:val="single" w:sz="8" w:color="007CBA"/>
            </w:tcBorders>
            <w:shd w:val="clear" w:color="auto" w:fill="E5F1F8"/>
          </w:tcPr>
          <w:p>
            <w:pPr>
              <w:spacing w:after="0"/>
              <w:rPr>
                <w:sz w:val="15"/>
                <w:szCs w:val="15"/>
                <w:color w:val="auto"/>
              </w:rPr>
            </w:pPr>
          </w:p>
        </w:tc>
        <w:tc>
          <w:tcPr>
            <w:tcW w:w="60" w:type="dxa"/>
            <w:vAlign w:val="bottom"/>
            <w:shd w:val="clear" w:color="auto" w:fill="E5F1F8"/>
          </w:tcPr>
          <w:p>
            <w:pPr>
              <w:spacing w:after="0"/>
              <w:rPr>
                <w:sz w:val="15"/>
                <w:szCs w:val="15"/>
                <w:color w:val="auto"/>
              </w:rPr>
            </w:pPr>
          </w:p>
        </w:tc>
        <w:tc>
          <w:tcPr>
            <w:tcW w:w="820" w:type="dxa"/>
            <w:vAlign w:val="bottom"/>
            <w:tcBorders>
              <w:right w:val="single" w:sz="8" w:color="007CBA"/>
            </w:tcBorders>
            <w:shd w:val="clear" w:color="auto" w:fill="E5F1F8"/>
          </w:tcPr>
          <w:p>
            <w:pPr>
              <w:spacing w:after="0"/>
              <w:rPr>
                <w:sz w:val="15"/>
                <w:szCs w:val="15"/>
                <w:color w:val="auto"/>
              </w:rPr>
            </w:pPr>
          </w:p>
        </w:tc>
        <w:tc>
          <w:tcPr>
            <w:tcW w:w="720" w:type="dxa"/>
            <w:vAlign w:val="bottom"/>
            <w:shd w:val="clear" w:color="auto" w:fill="E5F1F8"/>
          </w:tcPr>
          <w:p>
            <w:pPr>
              <w:spacing w:after="0"/>
              <w:rPr>
                <w:sz w:val="15"/>
                <w:szCs w:val="15"/>
                <w:color w:val="auto"/>
              </w:rPr>
            </w:pPr>
          </w:p>
        </w:tc>
        <w:tc>
          <w:tcPr>
            <w:tcW w:w="120" w:type="dxa"/>
            <w:vAlign w:val="bottom"/>
            <w:tcBorders>
              <w:right w:val="single" w:sz="8" w:color="007CBA"/>
            </w:tcBorders>
            <w:shd w:val="clear" w:color="auto" w:fill="E5F1F8"/>
          </w:tcPr>
          <w:p>
            <w:pPr>
              <w:spacing w:after="0"/>
              <w:rPr>
                <w:sz w:val="15"/>
                <w:szCs w:val="15"/>
                <w:color w:val="auto"/>
              </w:rPr>
            </w:pPr>
          </w:p>
        </w:tc>
        <w:tc>
          <w:tcPr>
            <w:tcW w:w="660" w:type="dxa"/>
            <w:vAlign w:val="bottom"/>
            <w:tcBorders>
              <w:right w:val="single" w:sz="8" w:color="007CBA"/>
            </w:tcBorders>
            <w:shd w:val="clear" w:color="auto" w:fill="E5F1F8"/>
          </w:tcPr>
          <w:p>
            <w:pPr>
              <w:spacing w:after="0"/>
              <w:rPr>
                <w:sz w:val="15"/>
                <w:szCs w:val="15"/>
                <w:color w:val="auto"/>
              </w:rPr>
            </w:pPr>
          </w:p>
        </w:tc>
        <w:tc>
          <w:tcPr>
            <w:tcW w:w="60" w:type="dxa"/>
            <w:vAlign w:val="bottom"/>
            <w:shd w:val="clear" w:color="auto" w:fill="E5F1F8"/>
          </w:tcPr>
          <w:p>
            <w:pPr>
              <w:spacing w:after="0"/>
              <w:rPr>
                <w:sz w:val="15"/>
                <w:szCs w:val="15"/>
                <w:color w:val="auto"/>
              </w:rPr>
            </w:pPr>
          </w:p>
        </w:tc>
        <w:tc>
          <w:tcPr>
            <w:tcW w:w="760" w:type="dxa"/>
            <w:vAlign w:val="bottom"/>
            <w:tcBorders>
              <w:right w:val="single" w:sz="8" w:color="007CBA"/>
            </w:tcBorders>
            <w:shd w:val="clear" w:color="auto" w:fill="E5F1F8"/>
          </w:tcPr>
          <w:p>
            <w:pPr>
              <w:spacing w:after="0"/>
              <w:rPr>
                <w:sz w:val="15"/>
                <w:szCs w:val="15"/>
                <w:color w:val="auto"/>
              </w:rPr>
            </w:pPr>
          </w:p>
        </w:tc>
        <w:tc>
          <w:tcPr>
            <w:tcW w:w="820" w:type="dxa"/>
            <w:vAlign w:val="bottom"/>
            <w:tcBorders>
              <w:right w:val="single" w:sz="8" w:color="007CBA"/>
            </w:tcBorders>
            <w:shd w:val="clear" w:color="auto" w:fill="E5F1F8"/>
          </w:tcPr>
          <w:p>
            <w:pPr>
              <w:jc w:val="right"/>
              <w:ind w:right="51"/>
              <w:spacing w:after="0"/>
              <w:rPr>
                <w:sz w:val="20"/>
                <w:szCs w:val="20"/>
                <w:color w:val="auto"/>
              </w:rPr>
            </w:pPr>
            <w:r>
              <w:rPr>
                <w:rFonts w:ascii="Arial" w:cs="Arial" w:eastAsia="Arial" w:hAnsi="Arial"/>
                <w:sz w:val="14"/>
                <w:szCs w:val="14"/>
                <w:color w:val="auto"/>
              </w:rPr>
              <w:t>6,636</w:t>
            </w:r>
          </w:p>
        </w:tc>
        <w:tc>
          <w:tcPr>
            <w:tcW w:w="780" w:type="dxa"/>
            <w:vAlign w:val="bottom"/>
            <w:shd w:val="clear" w:color="auto" w:fill="E5F1F8"/>
          </w:tcPr>
          <w:p>
            <w:pPr>
              <w:jc w:val="right"/>
              <w:spacing w:after="0"/>
              <w:rPr>
                <w:sz w:val="20"/>
                <w:szCs w:val="20"/>
                <w:color w:val="auto"/>
              </w:rPr>
            </w:pPr>
            <w:r>
              <w:rPr>
                <w:rFonts w:ascii="Arial" w:cs="Arial" w:eastAsia="Arial" w:hAnsi="Arial"/>
                <w:sz w:val="14"/>
                <w:szCs w:val="14"/>
                <w:color w:val="auto"/>
              </w:rPr>
              <w:t>1,320,232</w:t>
            </w:r>
          </w:p>
        </w:tc>
        <w:tc>
          <w:tcPr>
            <w:tcW w:w="100" w:type="dxa"/>
            <w:vAlign w:val="bottom"/>
            <w:shd w:val="clear" w:color="auto" w:fill="E5F1F8"/>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3740" w:type="dxa"/>
            <w:vAlign w:val="bottom"/>
            <w:tcBorders>
              <w:right w:val="single" w:sz="8" w:color="007CBA"/>
            </w:tcBorders>
          </w:tcPr>
          <w:p>
            <w:pPr>
              <w:ind w:left="60"/>
              <w:spacing w:after="0"/>
              <w:rPr>
                <w:sz w:val="20"/>
                <w:szCs w:val="20"/>
                <w:color w:val="auto"/>
              </w:rPr>
            </w:pPr>
            <w:r>
              <w:rPr>
                <w:rFonts w:ascii="Arial" w:cs="Arial" w:eastAsia="Arial" w:hAnsi="Arial"/>
                <w:sz w:val="14"/>
                <w:szCs w:val="14"/>
                <w:b w:val="1"/>
                <w:bCs w:val="1"/>
                <w:color w:val="auto"/>
              </w:rPr>
              <w:t>Roselyn R. Bar</w:t>
            </w:r>
          </w:p>
        </w:tc>
        <w:tc>
          <w:tcPr>
            <w:tcW w:w="760" w:type="dxa"/>
            <w:vAlign w:val="bottom"/>
            <w:tcBorders>
              <w:right w:val="single" w:sz="8" w:color="007CBA"/>
            </w:tcBorders>
            <w:gridSpan w:val="2"/>
          </w:tcPr>
          <w:p>
            <w:pPr>
              <w:jc w:val="right"/>
              <w:ind w:right="31"/>
              <w:spacing w:after="0"/>
              <w:rPr>
                <w:sz w:val="20"/>
                <w:szCs w:val="20"/>
                <w:color w:val="auto"/>
              </w:rPr>
            </w:pPr>
            <w:r>
              <w:rPr>
                <w:rFonts w:ascii="Arial" w:cs="Arial" w:eastAsia="Arial" w:hAnsi="Arial"/>
                <w:sz w:val="14"/>
                <w:szCs w:val="14"/>
                <w:color w:val="auto"/>
              </w:rPr>
              <w:t>2/22/18</w:t>
            </w:r>
            <w:r>
              <w:rPr>
                <w:rFonts w:ascii="Arial" w:cs="Arial" w:eastAsia="Arial" w:hAnsi="Arial"/>
                <w:sz w:val="24"/>
                <w:szCs w:val="24"/>
                <w:color w:val="auto"/>
                <w:vertAlign w:val="superscript"/>
              </w:rPr>
              <w:t>1</w:t>
            </w:r>
          </w:p>
        </w:tc>
        <w:tc>
          <w:tcPr>
            <w:tcW w:w="860" w:type="dxa"/>
            <w:vAlign w:val="bottom"/>
            <w:tcBorders>
              <w:right w:val="single" w:sz="8" w:color="007CBA"/>
            </w:tcBorders>
          </w:tcPr>
          <w:p>
            <w:pPr>
              <w:spacing w:after="0"/>
              <w:rPr>
                <w:sz w:val="24"/>
                <w:szCs w:val="24"/>
                <w:color w:val="auto"/>
              </w:rPr>
            </w:pPr>
          </w:p>
        </w:tc>
        <w:tc>
          <w:tcPr>
            <w:tcW w:w="7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306,830</w:t>
            </w:r>
          </w:p>
        </w:tc>
        <w:tc>
          <w:tcPr>
            <w:tcW w:w="60" w:type="dxa"/>
            <w:vAlign w:val="bottom"/>
          </w:tcPr>
          <w:p>
            <w:pPr>
              <w:spacing w:after="0"/>
              <w:rPr>
                <w:sz w:val="24"/>
                <w:szCs w:val="24"/>
                <w:color w:val="auto"/>
              </w:rPr>
            </w:pPr>
          </w:p>
        </w:tc>
        <w:tc>
          <w:tcPr>
            <w:tcW w:w="820" w:type="dxa"/>
            <w:vAlign w:val="bottom"/>
            <w:tcBorders>
              <w:right w:val="single" w:sz="8" w:color="007CBA"/>
            </w:tcBorders>
          </w:tcPr>
          <w:p>
            <w:pPr>
              <w:ind w:left="60"/>
              <w:spacing w:after="0"/>
              <w:rPr>
                <w:sz w:val="20"/>
                <w:szCs w:val="20"/>
                <w:color w:val="auto"/>
              </w:rPr>
            </w:pPr>
            <w:r>
              <w:rPr>
                <w:rFonts w:ascii="Arial" w:cs="Arial" w:eastAsia="Arial" w:hAnsi="Arial"/>
                <w:sz w:val="14"/>
                <w:szCs w:val="14"/>
                <w:color w:val="auto"/>
              </w:rPr>
              <w:t>5,625,000</w:t>
            </w:r>
          </w:p>
        </w:tc>
        <w:tc>
          <w:tcPr>
            <w:tcW w:w="720" w:type="dxa"/>
            <w:vAlign w:val="bottom"/>
          </w:tcPr>
          <w:p>
            <w:pPr>
              <w:spacing w:after="0"/>
              <w:rPr>
                <w:sz w:val="24"/>
                <w:szCs w:val="24"/>
                <w:color w:val="auto"/>
              </w:rPr>
            </w:pPr>
          </w:p>
        </w:tc>
        <w:tc>
          <w:tcPr>
            <w:tcW w:w="120" w:type="dxa"/>
            <w:vAlign w:val="bottom"/>
            <w:tcBorders>
              <w:right w:val="single" w:sz="8" w:color="007CBA"/>
            </w:tcBorders>
          </w:tcPr>
          <w:p>
            <w:pPr>
              <w:spacing w:after="0"/>
              <w:rPr>
                <w:sz w:val="24"/>
                <w:szCs w:val="24"/>
                <w:color w:val="auto"/>
              </w:rPr>
            </w:pPr>
          </w:p>
        </w:tc>
        <w:tc>
          <w:tcPr>
            <w:tcW w:w="66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579</w:t>
            </w:r>
          </w:p>
        </w:tc>
        <w:tc>
          <w:tcPr>
            <w:tcW w:w="60" w:type="dxa"/>
            <w:vAlign w:val="bottom"/>
          </w:tcPr>
          <w:p>
            <w:pPr>
              <w:spacing w:after="0"/>
              <w:rPr>
                <w:sz w:val="24"/>
                <w:szCs w:val="24"/>
                <w:color w:val="auto"/>
              </w:rPr>
            </w:pPr>
          </w:p>
        </w:tc>
        <w:tc>
          <w:tcPr>
            <w:tcW w:w="76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10,607</w:t>
            </w:r>
          </w:p>
        </w:tc>
        <w:tc>
          <w:tcPr>
            <w:tcW w:w="820" w:type="dxa"/>
            <w:vAlign w:val="bottom"/>
            <w:tcBorders>
              <w:right w:val="single" w:sz="8" w:color="007CBA"/>
            </w:tcBorders>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122,817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740" w:type="dxa"/>
            <w:vAlign w:val="bottom"/>
            <w:tcBorders>
              <w:right w:val="single" w:sz="8" w:color="007CBA"/>
            </w:tcBorders>
          </w:tcPr>
          <w:p>
            <w:pPr>
              <w:spacing w:after="0"/>
              <w:rPr>
                <w:sz w:val="22"/>
                <w:szCs w:val="22"/>
                <w:color w:val="auto"/>
              </w:rPr>
            </w:pPr>
          </w:p>
        </w:tc>
        <w:tc>
          <w:tcPr>
            <w:tcW w:w="760" w:type="dxa"/>
            <w:vAlign w:val="bottom"/>
            <w:tcBorders>
              <w:right w:val="single" w:sz="8" w:color="007CBA"/>
            </w:tcBorders>
            <w:gridSpan w:val="2"/>
          </w:tcPr>
          <w:p>
            <w:pPr>
              <w:jc w:val="right"/>
              <w:ind w:right="31"/>
              <w:spacing w:after="0" w:line="257" w:lineRule="exact"/>
              <w:rPr>
                <w:sz w:val="20"/>
                <w:szCs w:val="20"/>
                <w:color w:val="auto"/>
              </w:rPr>
            </w:pPr>
            <w:r>
              <w:rPr>
                <w:rFonts w:ascii="Arial" w:cs="Arial" w:eastAsia="Arial" w:hAnsi="Arial"/>
                <w:sz w:val="14"/>
                <w:szCs w:val="14"/>
                <w:color w:val="auto"/>
              </w:rPr>
              <w:t>3/28/17</w:t>
            </w:r>
            <w:r>
              <w:rPr>
                <w:rFonts w:ascii="Arial" w:cs="Arial" w:eastAsia="Arial" w:hAnsi="Arial"/>
                <w:sz w:val="24"/>
                <w:szCs w:val="24"/>
                <w:color w:val="auto"/>
                <w:vertAlign w:val="superscript"/>
              </w:rPr>
              <w:t>3</w:t>
            </w:r>
          </w:p>
        </w:tc>
        <w:tc>
          <w:tcPr>
            <w:tcW w:w="860" w:type="dxa"/>
            <w:vAlign w:val="bottom"/>
            <w:tcBorders>
              <w:right w:val="single" w:sz="8" w:color="007CBA"/>
            </w:tcBorders>
          </w:tcPr>
          <w:p>
            <w:pPr>
              <w:spacing w:after="0"/>
              <w:rPr>
                <w:sz w:val="22"/>
                <w:szCs w:val="22"/>
                <w:color w:val="auto"/>
              </w:rPr>
            </w:pPr>
          </w:p>
        </w:tc>
        <w:tc>
          <w:tcPr>
            <w:tcW w:w="760" w:type="dxa"/>
            <w:vAlign w:val="bottom"/>
            <w:tcBorders>
              <w:right w:val="single" w:sz="8" w:color="007CBA"/>
            </w:tcBorders>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Borders>
              <w:right w:val="single" w:sz="8" w:color="007CBA"/>
            </w:tcBorders>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1,634</w:t>
            </w:r>
          </w:p>
        </w:tc>
        <w:tc>
          <w:tcPr>
            <w:tcW w:w="120" w:type="dxa"/>
            <w:vAlign w:val="bottom"/>
            <w:tcBorders>
              <w:right w:val="single" w:sz="8" w:color="007CBA"/>
            </w:tcBorders>
          </w:tcPr>
          <w:p>
            <w:pPr>
              <w:spacing w:after="0"/>
              <w:rPr>
                <w:sz w:val="22"/>
                <w:szCs w:val="22"/>
                <w:color w:val="auto"/>
              </w:rPr>
            </w:pPr>
          </w:p>
        </w:tc>
        <w:tc>
          <w:tcPr>
            <w:tcW w:w="66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3,267</w:t>
            </w:r>
          </w:p>
        </w:tc>
        <w:tc>
          <w:tcPr>
            <w:tcW w:w="60" w:type="dxa"/>
            <w:vAlign w:val="bottom"/>
          </w:tcPr>
          <w:p>
            <w:pPr>
              <w:spacing w:after="0"/>
              <w:rPr>
                <w:sz w:val="22"/>
                <w:szCs w:val="22"/>
                <w:color w:val="auto"/>
              </w:rPr>
            </w:pPr>
          </w:p>
        </w:tc>
        <w:tc>
          <w:tcPr>
            <w:tcW w:w="76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6,534</w:t>
            </w:r>
          </w:p>
        </w:tc>
        <w:tc>
          <w:tcPr>
            <w:tcW w:w="820" w:type="dxa"/>
            <w:vAlign w:val="bottom"/>
            <w:tcBorders>
              <w:right w:val="single" w:sz="8" w:color="007CBA"/>
            </w:tcBorders>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685,809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3740" w:type="dxa"/>
            <w:vAlign w:val="bottom"/>
            <w:tcBorders>
              <w:right w:val="single" w:sz="8" w:color="007CBA"/>
            </w:tcBorders>
          </w:tcPr>
          <w:p>
            <w:pPr>
              <w:spacing w:after="0"/>
              <w:rPr>
                <w:sz w:val="20"/>
                <w:szCs w:val="20"/>
                <w:color w:val="auto"/>
              </w:rPr>
            </w:pPr>
          </w:p>
        </w:tc>
        <w:tc>
          <w:tcPr>
            <w:tcW w:w="760" w:type="dxa"/>
            <w:vAlign w:val="bottom"/>
            <w:tcBorders>
              <w:right w:val="single" w:sz="8" w:color="007CBA"/>
            </w:tcBorders>
            <w:gridSpan w:val="2"/>
          </w:tcPr>
          <w:p>
            <w:pPr>
              <w:jc w:val="right"/>
              <w:ind w:right="31"/>
              <w:spacing w:after="0" w:line="235" w:lineRule="exact"/>
              <w:rPr>
                <w:sz w:val="20"/>
                <w:szCs w:val="20"/>
                <w:color w:val="auto"/>
              </w:rPr>
            </w:pPr>
            <w:r>
              <w:rPr>
                <w:rFonts w:ascii="Arial" w:cs="Arial" w:eastAsia="Arial" w:hAnsi="Arial"/>
                <w:sz w:val="14"/>
                <w:szCs w:val="14"/>
                <w:color w:val="auto"/>
              </w:rPr>
              <w:t>3/28/17</w:t>
            </w:r>
            <w:r>
              <w:rPr>
                <w:rFonts w:ascii="Arial" w:cs="Arial" w:eastAsia="Arial" w:hAnsi="Arial"/>
                <w:sz w:val="24"/>
                <w:szCs w:val="24"/>
                <w:color w:val="auto"/>
                <w:vertAlign w:val="superscript"/>
              </w:rPr>
              <w:t>2</w:t>
            </w:r>
          </w:p>
        </w:tc>
        <w:tc>
          <w:tcPr>
            <w:tcW w:w="860" w:type="dxa"/>
            <w:vAlign w:val="bottom"/>
            <w:tcBorders>
              <w:right w:val="single" w:sz="8" w:color="007CBA"/>
            </w:tcBorders>
          </w:tcPr>
          <w:p>
            <w:pPr>
              <w:spacing w:after="0"/>
              <w:rPr>
                <w:sz w:val="20"/>
                <w:szCs w:val="20"/>
                <w:color w:val="auto"/>
              </w:rPr>
            </w:pPr>
          </w:p>
        </w:tc>
        <w:tc>
          <w:tcPr>
            <w:tcW w:w="760" w:type="dxa"/>
            <w:vAlign w:val="bottom"/>
            <w:tcBorders>
              <w:right w:val="single" w:sz="8" w:color="007CBA"/>
            </w:tcBorders>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Borders>
              <w:right w:val="single" w:sz="8" w:color="007CBA"/>
            </w:tcBorders>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Borders>
              <w:right w:val="single" w:sz="8" w:color="007CBA"/>
            </w:tcBorders>
          </w:tcPr>
          <w:p>
            <w:pPr>
              <w:spacing w:after="0"/>
              <w:rPr>
                <w:sz w:val="20"/>
                <w:szCs w:val="20"/>
                <w:color w:val="auto"/>
              </w:rPr>
            </w:pPr>
          </w:p>
        </w:tc>
        <w:tc>
          <w:tcPr>
            <w:tcW w:w="660" w:type="dxa"/>
            <w:vAlign w:val="bottom"/>
            <w:tcBorders>
              <w:right w:val="single" w:sz="8" w:color="007CBA"/>
            </w:tcBorders>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Borders>
              <w:right w:val="single" w:sz="8" w:color="007CBA"/>
            </w:tcBorders>
          </w:tcPr>
          <w:p>
            <w:pPr>
              <w:spacing w:after="0"/>
              <w:rPr>
                <w:sz w:val="20"/>
                <w:szCs w:val="20"/>
                <w:color w:val="auto"/>
              </w:rPr>
            </w:pPr>
          </w:p>
        </w:tc>
        <w:tc>
          <w:tcPr>
            <w:tcW w:w="820" w:type="dxa"/>
            <w:vAlign w:val="bottom"/>
            <w:tcBorders>
              <w:right w:val="single" w:sz="8" w:color="007CBA"/>
            </w:tcBorders>
          </w:tcPr>
          <w:p>
            <w:pPr>
              <w:jc w:val="right"/>
              <w:ind w:right="51"/>
              <w:spacing w:after="0"/>
              <w:rPr>
                <w:sz w:val="20"/>
                <w:szCs w:val="20"/>
                <w:color w:val="auto"/>
              </w:rPr>
            </w:pPr>
            <w:r>
              <w:rPr>
                <w:rFonts w:ascii="Arial" w:cs="Arial" w:eastAsia="Arial" w:hAnsi="Arial"/>
                <w:sz w:val="14"/>
                <w:szCs w:val="14"/>
                <w:color w:val="auto"/>
              </w:rPr>
              <w:t>2,807</w:t>
            </w:r>
          </w:p>
        </w:tc>
        <w:tc>
          <w:tcPr>
            <w:tcW w:w="780" w:type="dxa"/>
            <w:vAlign w:val="bottom"/>
          </w:tcPr>
          <w:p>
            <w:pPr>
              <w:jc w:val="right"/>
              <w:spacing w:after="0"/>
              <w:rPr>
                <w:sz w:val="20"/>
                <w:szCs w:val="20"/>
                <w:color w:val="auto"/>
              </w:rPr>
            </w:pPr>
            <w:r>
              <w:rPr>
                <w:rFonts w:ascii="Arial" w:cs="Arial" w:eastAsia="Arial" w:hAnsi="Arial"/>
                <w:sz w:val="14"/>
                <w:szCs w:val="14"/>
                <w:color w:val="auto"/>
              </w:rPr>
              <w:t>589,245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4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b w:val="1"/>
                <w:bCs w:val="1"/>
                <w:color w:val="auto"/>
              </w:rPr>
              <w:t>Donald A. McCunniff</w:t>
            </w:r>
          </w:p>
        </w:tc>
        <w:tc>
          <w:tcPr>
            <w:tcW w:w="760" w:type="dxa"/>
            <w:vAlign w:val="bottom"/>
            <w:tcBorders>
              <w:right w:val="single" w:sz="8" w:color="007CBA"/>
            </w:tcBorders>
            <w:gridSpan w:val="2"/>
            <w:shd w:val="clear" w:color="auto" w:fill="E5F1F8"/>
          </w:tcPr>
          <w:p>
            <w:pPr>
              <w:jc w:val="right"/>
              <w:ind w:right="31"/>
              <w:spacing w:after="0" w:line="216" w:lineRule="exact"/>
              <w:rPr>
                <w:sz w:val="20"/>
                <w:szCs w:val="20"/>
                <w:color w:val="auto"/>
              </w:rPr>
            </w:pPr>
            <w:r>
              <w:rPr>
                <w:rFonts w:ascii="Arial" w:cs="Arial" w:eastAsia="Arial" w:hAnsi="Arial"/>
                <w:sz w:val="14"/>
                <w:szCs w:val="14"/>
                <w:color w:val="auto"/>
              </w:rPr>
              <w:t>2/22/18</w:t>
            </w:r>
            <w:r>
              <w:rPr>
                <w:rFonts w:ascii="Arial" w:cs="Arial" w:eastAsia="Arial" w:hAnsi="Arial"/>
                <w:sz w:val="24"/>
                <w:szCs w:val="24"/>
                <w:color w:val="auto"/>
                <w:vertAlign w:val="superscript"/>
              </w:rPr>
              <w:t>1</w:t>
            </w:r>
          </w:p>
        </w:tc>
        <w:tc>
          <w:tcPr>
            <w:tcW w:w="860" w:type="dxa"/>
            <w:vAlign w:val="bottom"/>
            <w:tcBorders>
              <w:right w:val="single" w:sz="8" w:color="007CBA"/>
            </w:tcBorders>
            <w:shd w:val="clear" w:color="auto" w:fill="E5F1F8"/>
          </w:tcPr>
          <w:p>
            <w:pPr>
              <w:spacing w:after="0"/>
              <w:rPr>
                <w:sz w:val="18"/>
                <w:szCs w:val="18"/>
                <w:color w:val="auto"/>
              </w:rPr>
            </w:pPr>
          </w:p>
        </w:tc>
        <w:tc>
          <w:tcPr>
            <w:tcW w:w="7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214,060</w:t>
            </w:r>
          </w:p>
        </w:tc>
        <w:tc>
          <w:tcPr>
            <w:tcW w:w="60" w:type="dxa"/>
            <w:vAlign w:val="bottom"/>
            <w:shd w:val="clear" w:color="auto" w:fill="E5F1F8"/>
          </w:tcPr>
          <w:p>
            <w:pPr>
              <w:spacing w:after="0"/>
              <w:rPr>
                <w:sz w:val="18"/>
                <w:szCs w:val="18"/>
                <w:color w:val="auto"/>
              </w:rPr>
            </w:pPr>
          </w:p>
        </w:tc>
        <w:tc>
          <w:tcPr>
            <w:tcW w:w="82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color w:val="auto"/>
              </w:rPr>
              <w:t>6,000,000</w:t>
            </w:r>
          </w:p>
        </w:tc>
        <w:tc>
          <w:tcPr>
            <w:tcW w:w="720" w:type="dxa"/>
            <w:vAlign w:val="bottom"/>
            <w:shd w:val="clear" w:color="auto" w:fill="E5F1F8"/>
          </w:tcPr>
          <w:p>
            <w:pPr>
              <w:spacing w:after="0"/>
              <w:rPr>
                <w:sz w:val="18"/>
                <w:szCs w:val="18"/>
                <w:color w:val="auto"/>
              </w:rPr>
            </w:pPr>
          </w:p>
        </w:tc>
        <w:tc>
          <w:tcPr>
            <w:tcW w:w="120" w:type="dxa"/>
            <w:vAlign w:val="bottom"/>
            <w:tcBorders>
              <w:right w:val="single" w:sz="8" w:color="007CBA"/>
            </w:tcBorders>
            <w:shd w:val="clear" w:color="auto" w:fill="E5F1F8"/>
          </w:tcPr>
          <w:p>
            <w:pPr>
              <w:spacing w:after="0"/>
              <w:rPr>
                <w:sz w:val="18"/>
                <w:szCs w:val="18"/>
                <w:color w:val="auto"/>
              </w:rPr>
            </w:pPr>
          </w:p>
        </w:tc>
        <w:tc>
          <w:tcPr>
            <w:tcW w:w="66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303</w:t>
            </w:r>
          </w:p>
        </w:tc>
        <w:tc>
          <w:tcPr>
            <w:tcW w:w="60" w:type="dxa"/>
            <w:vAlign w:val="bottom"/>
            <w:shd w:val="clear" w:color="auto" w:fill="E5F1F8"/>
          </w:tcPr>
          <w:p>
            <w:pPr>
              <w:spacing w:after="0"/>
              <w:rPr>
                <w:sz w:val="18"/>
                <w:szCs w:val="18"/>
                <w:color w:val="auto"/>
              </w:rPr>
            </w:pPr>
          </w:p>
        </w:tc>
        <w:tc>
          <w:tcPr>
            <w:tcW w:w="76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8,486</w:t>
            </w:r>
          </w:p>
        </w:tc>
        <w:tc>
          <w:tcPr>
            <w:tcW w:w="820" w:type="dxa"/>
            <w:vAlign w:val="bottom"/>
            <w:tcBorders>
              <w:right w:val="single" w:sz="8" w:color="007CBA"/>
            </w:tcBorders>
            <w:shd w:val="clear" w:color="auto" w:fill="E5F1F8"/>
          </w:tcPr>
          <w:p>
            <w:pPr>
              <w:spacing w:after="0"/>
              <w:rPr>
                <w:sz w:val="18"/>
                <w:szCs w:val="18"/>
                <w:color w:val="auto"/>
              </w:rPr>
            </w:pPr>
          </w:p>
        </w:tc>
        <w:tc>
          <w:tcPr>
            <w:tcW w:w="780" w:type="dxa"/>
            <w:vAlign w:val="bottom"/>
            <w:shd w:val="clear" w:color="auto" w:fill="E5F1F8"/>
          </w:tcPr>
          <w:p>
            <w:pPr>
              <w:jc w:val="right"/>
              <w:spacing w:after="0"/>
              <w:rPr>
                <w:sz w:val="20"/>
                <w:szCs w:val="20"/>
                <w:color w:val="auto"/>
              </w:rPr>
            </w:pPr>
            <w:r>
              <w:rPr>
                <w:rFonts w:ascii="Arial" w:cs="Arial" w:eastAsia="Arial" w:hAnsi="Arial"/>
                <w:sz w:val="14"/>
                <w:szCs w:val="14"/>
                <w:color w:val="auto"/>
              </w:rPr>
              <w:t>64,272</w:t>
            </w:r>
          </w:p>
        </w:tc>
        <w:tc>
          <w:tcPr>
            <w:tcW w:w="100" w:type="dxa"/>
            <w:vAlign w:val="bottom"/>
            <w:shd w:val="clear" w:color="auto" w:fill="E5F1F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Borders>
              <w:right w:val="single" w:sz="8" w:color="007CBA"/>
            </w:tcBorders>
            <w:shd w:val="clear" w:color="auto" w:fill="E5F1F8"/>
          </w:tcPr>
          <w:p>
            <w:pPr>
              <w:spacing w:after="0"/>
              <w:rPr>
                <w:sz w:val="18"/>
                <w:szCs w:val="18"/>
                <w:color w:val="auto"/>
              </w:rPr>
            </w:pPr>
          </w:p>
        </w:tc>
        <w:tc>
          <w:tcPr>
            <w:tcW w:w="760" w:type="dxa"/>
            <w:vAlign w:val="bottom"/>
            <w:tcBorders>
              <w:right w:val="single" w:sz="8" w:color="007CBA"/>
            </w:tcBorders>
            <w:gridSpan w:val="2"/>
            <w:shd w:val="clear" w:color="auto" w:fill="E5F1F8"/>
          </w:tcPr>
          <w:p>
            <w:pPr>
              <w:jc w:val="right"/>
              <w:ind w:right="31"/>
              <w:spacing w:after="0" w:line="216" w:lineRule="exact"/>
              <w:rPr>
                <w:sz w:val="20"/>
                <w:szCs w:val="20"/>
                <w:color w:val="auto"/>
              </w:rPr>
            </w:pPr>
            <w:r>
              <w:rPr>
                <w:rFonts w:ascii="Arial" w:cs="Arial" w:eastAsia="Arial" w:hAnsi="Arial"/>
                <w:sz w:val="14"/>
                <w:szCs w:val="14"/>
                <w:color w:val="auto"/>
              </w:rPr>
              <w:t>3/28/17</w:t>
            </w:r>
            <w:r>
              <w:rPr>
                <w:rFonts w:ascii="Arial" w:cs="Arial" w:eastAsia="Arial" w:hAnsi="Arial"/>
                <w:sz w:val="24"/>
                <w:szCs w:val="24"/>
                <w:color w:val="auto"/>
                <w:vertAlign w:val="superscript"/>
              </w:rPr>
              <w:t>3</w:t>
            </w:r>
          </w:p>
        </w:tc>
        <w:tc>
          <w:tcPr>
            <w:tcW w:w="860" w:type="dxa"/>
            <w:vAlign w:val="bottom"/>
            <w:tcBorders>
              <w:right w:val="single" w:sz="8" w:color="007CBA"/>
            </w:tcBorders>
            <w:shd w:val="clear" w:color="auto" w:fill="E5F1F8"/>
          </w:tcPr>
          <w:p>
            <w:pPr>
              <w:spacing w:after="0"/>
              <w:rPr>
                <w:sz w:val="18"/>
                <w:szCs w:val="18"/>
                <w:color w:val="auto"/>
              </w:rPr>
            </w:pPr>
          </w:p>
        </w:tc>
        <w:tc>
          <w:tcPr>
            <w:tcW w:w="760" w:type="dxa"/>
            <w:vAlign w:val="bottom"/>
            <w:tcBorders>
              <w:right w:val="single" w:sz="8" w:color="007CBA"/>
            </w:tcBorders>
            <w:shd w:val="clear" w:color="auto" w:fill="E5F1F8"/>
          </w:tcPr>
          <w:p>
            <w:pPr>
              <w:spacing w:after="0"/>
              <w:rPr>
                <w:sz w:val="18"/>
                <w:szCs w:val="18"/>
                <w:color w:val="auto"/>
              </w:rPr>
            </w:pPr>
          </w:p>
        </w:tc>
        <w:tc>
          <w:tcPr>
            <w:tcW w:w="60" w:type="dxa"/>
            <w:vAlign w:val="bottom"/>
            <w:shd w:val="clear" w:color="auto" w:fill="E5F1F8"/>
          </w:tcPr>
          <w:p>
            <w:pPr>
              <w:spacing w:after="0"/>
              <w:rPr>
                <w:sz w:val="18"/>
                <w:szCs w:val="18"/>
                <w:color w:val="auto"/>
              </w:rPr>
            </w:pPr>
          </w:p>
        </w:tc>
        <w:tc>
          <w:tcPr>
            <w:tcW w:w="820" w:type="dxa"/>
            <w:vAlign w:val="bottom"/>
            <w:tcBorders>
              <w:right w:val="single" w:sz="8" w:color="007CBA"/>
            </w:tcBorders>
            <w:shd w:val="clear" w:color="auto" w:fill="E5F1F8"/>
          </w:tcPr>
          <w:p>
            <w:pPr>
              <w:spacing w:after="0"/>
              <w:rPr>
                <w:sz w:val="18"/>
                <w:szCs w:val="18"/>
                <w:color w:val="auto"/>
              </w:rPr>
            </w:pPr>
          </w:p>
        </w:tc>
        <w:tc>
          <w:tcPr>
            <w:tcW w:w="720" w:type="dxa"/>
            <w:vAlign w:val="bottom"/>
            <w:shd w:val="clear" w:color="auto" w:fill="E5F1F8"/>
          </w:tcPr>
          <w:p>
            <w:pPr>
              <w:jc w:val="right"/>
              <w:spacing w:after="0"/>
              <w:rPr>
                <w:sz w:val="20"/>
                <w:szCs w:val="20"/>
                <w:color w:val="auto"/>
              </w:rPr>
            </w:pPr>
            <w:r>
              <w:rPr>
                <w:rFonts w:ascii="Arial" w:cs="Arial" w:eastAsia="Arial" w:hAnsi="Arial"/>
                <w:sz w:val="14"/>
                <w:szCs w:val="14"/>
                <w:color w:val="auto"/>
              </w:rPr>
              <w:t>1,235</w:t>
            </w:r>
          </w:p>
        </w:tc>
        <w:tc>
          <w:tcPr>
            <w:tcW w:w="120" w:type="dxa"/>
            <w:vAlign w:val="bottom"/>
            <w:tcBorders>
              <w:right w:val="single" w:sz="8" w:color="007CBA"/>
            </w:tcBorders>
            <w:shd w:val="clear" w:color="auto" w:fill="E5F1F8"/>
          </w:tcPr>
          <w:p>
            <w:pPr>
              <w:spacing w:after="0"/>
              <w:rPr>
                <w:sz w:val="18"/>
                <w:szCs w:val="18"/>
                <w:color w:val="auto"/>
              </w:rPr>
            </w:pPr>
          </w:p>
        </w:tc>
        <w:tc>
          <w:tcPr>
            <w:tcW w:w="66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2,470</w:t>
            </w:r>
          </w:p>
        </w:tc>
        <w:tc>
          <w:tcPr>
            <w:tcW w:w="60" w:type="dxa"/>
            <w:vAlign w:val="bottom"/>
            <w:shd w:val="clear" w:color="auto" w:fill="E5F1F8"/>
          </w:tcPr>
          <w:p>
            <w:pPr>
              <w:spacing w:after="0"/>
              <w:rPr>
                <w:sz w:val="18"/>
                <w:szCs w:val="18"/>
                <w:color w:val="auto"/>
              </w:rPr>
            </w:pPr>
          </w:p>
        </w:tc>
        <w:tc>
          <w:tcPr>
            <w:tcW w:w="76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4,940</w:t>
            </w:r>
          </w:p>
        </w:tc>
        <w:tc>
          <w:tcPr>
            <w:tcW w:w="820" w:type="dxa"/>
            <w:vAlign w:val="bottom"/>
            <w:tcBorders>
              <w:right w:val="single" w:sz="8" w:color="007CBA"/>
            </w:tcBorders>
            <w:shd w:val="clear" w:color="auto" w:fill="E5F1F8"/>
          </w:tcPr>
          <w:p>
            <w:pPr>
              <w:spacing w:after="0"/>
              <w:rPr>
                <w:sz w:val="18"/>
                <w:szCs w:val="18"/>
                <w:color w:val="auto"/>
              </w:rPr>
            </w:pPr>
          </w:p>
        </w:tc>
        <w:tc>
          <w:tcPr>
            <w:tcW w:w="780" w:type="dxa"/>
            <w:vAlign w:val="bottom"/>
            <w:shd w:val="clear" w:color="auto" w:fill="E5F1F8"/>
          </w:tcPr>
          <w:p>
            <w:pPr>
              <w:jc w:val="right"/>
              <w:spacing w:after="0"/>
              <w:rPr>
                <w:sz w:val="20"/>
                <w:szCs w:val="20"/>
                <w:color w:val="auto"/>
              </w:rPr>
            </w:pPr>
            <w:r>
              <w:rPr>
                <w:rFonts w:ascii="Arial" w:cs="Arial" w:eastAsia="Arial" w:hAnsi="Arial"/>
                <w:sz w:val="14"/>
                <w:szCs w:val="14"/>
                <w:color w:val="auto"/>
              </w:rPr>
              <w:t>518,502</w:t>
            </w:r>
          </w:p>
        </w:tc>
        <w:tc>
          <w:tcPr>
            <w:tcW w:w="100" w:type="dxa"/>
            <w:vAlign w:val="bottom"/>
            <w:shd w:val="clear" w:color="auto" w:fill="E5F1F8"/>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740" w:type="dxa"/>
            <w:vAlign w:val="bottom"/>
            <w:tcBorders>
              <w:right w:val="single" w:sz="8" w:color="007CBA"/>
            </w:tcBorders>
            <w:shd w:val="clear" w:color="auto" w:fill="E5F1F8"/>
          </w:tcPr>
          <w:p>
            <w:pPr>
              <w:spacing w:after="0"/>
              <w:rPr>
                <w:sz w:val="22"/>
                <w:szCs w:val="22"/>
                <w:color w:val="auto"/>
              </w:rPr>
            </w:pPr>
          </w:p>
        </w:tc>
        <w:tc>
          <w:tcPr>
            <w:tcW w:w="760" w:type="dxa"/>
            <w:vAlign w:val="bottom"/>
            <w:tcBorders>
              <w:right w:val="single" w:sz="8" w:color="007CBA"/>
            </w:tcBorders>
            <w:gridSpan w:val="2"/>
            <w:shd w:val="clear" w:color="auto" w:fill="E5F1F8"/>
          </w:tcPr>
          <w:p>
            <w:pPr>
              <w:jc w:val="right"/>
              <w:ind w:right="31"/>
              <w:spacing w:after="0" w:line="257" w:lineRule="exact"/>
              <w:rPr>
                <w:sz w:val="20"/>
                <w:szCs w:val="20"/>
                <w:color w:val="auto"/>
              </w:rPr>
            </w:pPr>
            <w:r>
              <w:rPr>
                <w:rFonts w:ascii="Arial" w:cs="Arial" w:eastAsia="Arial" w:hAnsi="Arial"/>
                <w:sz w:val="14"/>
                <w:szCs w:val="14"/>
                <w:color w:val="auto"/>
              </w:rPr>
              <w:t>3/28/17</w:t>
            </w:r>
            <w:r>
              <w:rPr>
                <w:rFonts w:ascii="Arial" w:cs="Arial" w:eastAsia="Arial" w:hAnsi="Arial"/>
                <w:sz w:val="24"/>
                <w:szCs w:val="24"/>
                <w:color w:val="auto"/>
                <w:vertAlign w:val="superscript"/>
              </w:rPr>
              <w:t>2</w:t>
            </w:r>
          </w:p>
        </w:tc>
        <w:tc>
          <w:tcPr>
            <w:tcW w:w="860" w:type="dxa"/>
            <w:vAlign w:val="bottom"/>
            <w:tcBorders>
              <w:right w:val="single" w:sz="8" w:color="007CBA"/>
            </w:tcBorders>
            <w:shd w:val="clear" w:color="auto" w:fill="E5F1F8"/>
          </w:tcPr>
          <w:p>
            <w:pPr>
              <w:spacing w:after="0"/>
              <w:rPr>
                <w:sz w:val="22"/>
                <w:szCs w:val="22"/>
                <w:color w:val="auto"/>
              </w:rPr>
            </w:pPr>
          </w:p>
        </w:tc>
        <w:tc>
          <w:tcPr>
            <w:tcW w:w="760" w:type="dxa"/>
            <w:vAlign w:val="bottom"/>
            <w:tcBorders>
              <w:right w:val="single" w:sz="8" w:color="007CBA"/>
            </w:tcBorders>
            <w:shd w:val="clear" w:color="auto" w:fill="E5F1F8"/>
          </w:tcPr>
          <w:p>
            <w:pPr>
              <w:spacing w:after="0"/>
              <w:rPr>
                <w:sz w:val="22"/>
                <w:szCs w:val="22"/>
                <w:color w:val="auto"/>
              </w:rPr>
            </w:pPr>
          </w:p>
        </w:tc>
        <w:tc>
          <w:tcPr>
            <w:tcW w:w="60" w:type="dxa"/>
            <w:vAlign w:val="bottom"/>
            <w:shd w:val="clear" w:color="auto" w:fill="E5F1F8"/>
          </w:tcPr>
          <w:p>
            <w:pPr>
              <w:spacing w:after="0"/>
              <w:rPr>
                <w:sz w:val="22"/>
                <w:szCs w:val="22"/>
                <w:color w:val="auto"/>
              </w:rPr>
            </w:pPr>
          </w:p>
        </w:tc>
        <w:tc>
          <w:tcPr>
            <w:tcW w:w="820" w:type="dxa"/>
            <w:vAlign w:val="bottom"/>
            <w:tcBorders>
              <w:right w:val="single" w:sz="8" w:color="007CBA"/>
            </w:tcBorders>
            <w:shd w:val="clear" w:color="auto" w:fill="E5F1F8"/>
          </w:tcPr>
          <w:p>
            <w:pPr>
              <w:spacing w:after="0"/>
              <w:rPr>
                <w:sz w:val="22"/>
                <w:szCs w:val="22"/>
                <w:color w:val="auto"/>
              </w:rPr>
            </w:pPr>
          </w:p>
        </w:tc>
        <w:tc>
          <w:tcPr>
            <w:tcW w:w="720" w:type="dxa"/>
            <w:vAlign w:val="bottom"/>
            <w:shd w:val="clear" w:color="auto" w:fill="E5F1F8"/>
          </w:tcPr>
          <w:p>
            <w:pPr>
              <w:spacing w:after="0"/>
              <w:rPr>
                <w:sz w:val="22"/>
                <w:szCs w:val="22"/>
                <w:color w:val="auto"/>
              </w:rPr>
            </w:pPr>
          </w:p>
        </w:tc>
        <w:tc>
          <w:tcPr>
            <w:tcW w:w="120" w:type="dxa"/>
            <w:vAlign w:val="bottom"/>
            <w:tcBorders>
              <w:right w:val="single" w:sz="8" w:color="007CBA"/>
            </w:tcBorders>
            <w:shd w:val="clear" w:color="auto" w:fill="E5F1F8"/>
          </w:tcPr>
          <w:p>
            <w:pPr>
              <w:spacing w:after="0"/>
              <w:rPr>
                <w:sz w:val="22"/>
                <w:szCs w:val="22"/>
                <w:color w:val="auto"/>
              </w:rPr>
            </w:pPr>
          </w:p>
        </w:tc>
        <w:tc>
          <w:tcPr>
            <w:tcW w:w="660" w:type="dxa"/>
            <w:vAlign w:val="bottom"/>
            <w:tcBorders>
              <w:right w:val="single" w:sz="8" w:color="007CBA"/>
            </w:tcBorders>
            <w:shd w:val="clear" w:color="auto" w:fill="E5F1F8"/>
          </w:tcPr>
          <w:p>
            <w:pPr>
              <w:spacing w:after="0"/>
              <w:rPr>
                <w:sz w:val="22"/>
                <w:szCs w:val="22"/>
                <w:color w:val="auto"/>
              </w:rPr>
            </w:pPr>
          </w:p>
        </w:tc>
        <w:tc>
          <w:tcPr>
            <w:tcW w:w="60" w:type="dxa"/>
            <w:vAlign w:val="bottom"/>
            <w:shd w:val="clear" w:color="auto" w:fill="E5F1F8"/>
          </w:tcPr>
          <w:p>
            <w:pPr>
              <w:spacing w:after="0"/>
              <w:rPr>
                <w:sz w:val="22"/>
                <w:szCs w:val="22"/>
                <w:color w:val="auto"/>
              </w:rPr>
            </w:pPr>
          </w:p>
        </w:tc>
        <w:tc>
          <w:tcPr>
            <w:tcW w:w="760" w:type="dxa"/>
            <w:vAlign w:val="bottom"/>
            <w:tcBorders>
              <w:right w:val="single" w:sz="8" w:color="007CBA"/>
            </w:tcBorders>
            <w:shd w:val="clear" w:color="auto" w:fill="E5F1F8"/>
          </w:tcPr>
          <w:p>
            <w:pPr>
              <w:spacing w:after="0"/>
              <w:rPr>
                <w:sz w:val="22"/>
                <w:szCs w:val="22"/>
                <w:color w:val="auto"/>
              </w:rPr>
            </w:pPr>
          </w:p>
        </w:tc>
        <w:tc>
          <w:tcPr>
            <w:tcW w:w="820" w:type="dxa"/>
            <w:vAlign w:val="bottom"/>
            <w:tcBorders>
              <w:right w:val="single" w:sz="8" w:color="007CBA"/>
            </w:tcBorders>
            <w:shd w:val="clear" w:color="auto" w:fill="E5F1F8"/>
          </w:tcPr>
          <w:p>
            <w:pPr>
              <w:jc w:val="right"/>
              <w:ind w:right="51"/>
              <w:spacing w:after="0"/>
              <w:rPr>
                <w:sz w:val="20"/>
                <w:szCs w:val="20"/>
                <w:color w:val="auto"/>
              </w:rPr>
            </w:pPr>
            <w:r>
              <w:rPr>
                <w:rFonts w:ascii="Arial" w:cs="Arial" w:eastAsia="Arial" w:hAnsi="Arial"/>
                <w:sz w:val="14"/>
                <w:szCs w:val="14"/>
                <w:color w:val="auto"/>
              </w:rPr>
              <w:t>2,122</w:t>
            </w:r>
          </w:p>
        </w:tc>
        <w:tc>
          <w:tcPr>
            <w:tcW w:w="780" w:type="dxa"/>
            <w:vAlign w:val="bottom"/>
            <w:shd w:val="clear" w:color="auto" w:fill="E5F1F8"/>
          </w:tcPr>
          <w:p>
            <w:pPr>
              <w:jc w:val="right"/>
              <w:spacing w:after="0"/>
              <w:rPr>
                <w:sz w:val="20"/>
                <w:szCs w:val="20"/>
                <w:color w:val="auto"/>
              </w:rPr>
            </w:pPr>
            <w:r>
              <w:rPr>
                <w:rFonts w:ascii="Arial" w:cs="Arial" w:eastAsia="Arial" w:hAnsi="Arial"/>
                <w:sz w:val="14"/>
                <w:szCs w:val="14"/>
                <w:color w:val="auto"/>
              </w:rPr>
              <w:t>445,450</w:t>
            </w:r>
          </w:p>
        </w:tc>
        <w:tc>
          <w:tcPr>
            <w:tcW w:w="100" w:type="dxa"/>
            <w:vAlign w:val="bottom"/>
            <w:shd w:val="clear" w:color="auto" w:fill="E5F1F8"/>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3740" w:type="dxa"/>
            <w:vAlign w:val="bottom"/>
            <w:tcBorders>
              <w:right w:val="single" w:sz="8" w:color="007CBA"/>
            </w:tcBorders>
          </w:tcPr>
          <w:p>
            <w:pPr>
              <w:ind w:left="60"/>
              <w:spacing w:after="0"/>
              <w:rPr>
                <w:sz w:val="20"/>
                <w:szCs w:val="20"/>
                <w:color w:val="auto"/>
              </w:rPr>
            </w:pPr>
            <w:r>
              <w:rPr>
                <w:rFonts w:ascii="Arial" w:cs="Arial" w:eastAsia="Arial" w:hAnsi="Arial"/>
                <w:sz w:val="14"/>
                <w:szCs w:val="14"/>
                <w:b w:val="1"/>
                <w:bCs w:val="1"/>
                <w:color w:val="auto"/>
              </w:rPr>
              <w:t>Daniel L. Grant</w:t>
            </w:r>
          </w:p>
        </w:tc>
        <w:tc>
          <w:tcPr>
            <w:tcW w:w="760" w:type="dxa"/>
            <w:vAlign w:val="bottom"/>
            <w:tcBorders>
              <w:right w:val="single" w:sz="8" w:color="007CBA"/>
            </w:tcBorders>
            <w:gridSpan w:val="2"/>
          </w:tcPr>
          <w:p>
            <w:pPr>
              <w:jc w:val="right"/>
              <w:ind w:right="31"/>
              <w:spacing w:after="0"/>
              <w:rPr>
                <w:sz w:val="20"/>
                <w:szCs w:val="20"/>
                <w:color w:val="auto"/>
              </w:rPr>
            </w:pPr>
            <w:r>
              <w:rPr>
                <w:rFonts w:ascii="Arial" w:cs="Arial" w:eastAsia="Arial" w:hAnsi="Arial"/>
                <w:sz w:val="14"/>
                <w:szCs w:val="14"/>
                <w:color w:val="auto"/>
              </w:rPr>
              <w:t>2/22/18</w:t>
            </w:r>
            <w:r>
              <w:rPr>
                <w:rFonts w:ascii="Arial" w:cs="Arial" w:eastAsia="Arial" w:hAnsi="Arial"/>
                <w:sz w:val="24"/>
                <w:szCs w:val="24"/>
                <w:color w:val="auto"/>
                <w:vertAlign w:val="superscript"/>
              </w:rPr>
              <w:t>1</w:t>
            </w:r>
          </w:p>
        </w:tc>
        <w:tc>
          <w:tcPr>
            <w:tcW w:w="860" w:type="dxa"/>
            <w:vAlign w:val="bottom"/>
            <w:tcBorders>
              <w:right w:val="single" w:sz="8" w:color="007CBA"/>
            </w:tcBorders>
          </w:tcPr>
          <w:p>
            <w:pPr>
              <w:spacing w:after="0"/>
              <w:rPr>
                <w:sz w:val="24"/>
                <w:szCs w:val="24"/>
                <w:color w:val="auto"/>
              </w:rPr>
            </w:pPr>
          </w:p>
        </w:tc>
        <w:tc>
          <w:tcPr>
            <w:tcW w:w="7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189,227</w:t>
            </w:r>
          </w:p>
        </w:tc>
        <w:tc>
          <w:tcPr>
            <w:tcW w:w="60" w:type="dxa"/>
            <w:vAlign w:val="bottom"/>
          </w:tcPr>
          <w:p>
            <w:pPr>
              <w:spacing w:after="0"/>
              <w:rPr>
                <w:sz w:val="24"/>
                <w:szCs w:val="24"/>
                <w:color w:val="auto"/>
              </w:rPr>
            </w:pPr>
          </w:p>
        </w:tc>
        <w:tc>
          <w:tcPr>
            <w:tcW w:w="820" w:type="dxa"/>
            <w:vAlign w:val="bottom"/>
            <w:tcBorders>
              <w:right w:val="single" w:sz="8" w:color="007CBA"/>
            </w:tcBorders>
          </w:tcPr>
          <w:p>
            <w:pPr>
              <w:ind w:left="60"/>
              <w:spacing w:after="0"/>
              <w:rPr>
                <w:sz w:val="20"/>
                <w:szCs w:val="20"/>
                <w:color w:val="auto"/>
              </w:rPr>
            </w:pPr>
            <w:r>
              <w:rPr>
                <w:rFonts w:ascii="Arial" w:cs="Arial" w:eastAsia="Arial" w:hAnsi="Arial"/>
                <w:sz w:val="14"/>
                <w:szCs w:val="14"/>
                <w:color w:val="auto"/>
              </w:rPr>
              <w:t>5,625,000</w:t>
            </w:r>
          </w:p>
        </w:tc>
        <w:tc>
          <w:tcPr>
            <w:tcW w:w="720" w:type="dxa"/>
            <w:vAlign w:val="bottom"/>
          </w:tcPr>
          <w:p>
            <w:pPr>
              <w:spacing w:after="0"/>
              <w:rPr>
                <w:sz w:val="24"/>
                <w:szCs w:val="24"/>
                <w:color w:val="auto"/>
              </w:rPr>
            </w:pPr>
          </w:p>
        </w:tc>
        <w:tc>
          <w:tcPr>
            <w:tcW w:w="120" w:type="dxa"/>
            <w:vAlign w:val="bottom"/>
            <w:tcBorders>
              <w:right w:val="single" w:sz="8" w:color="007CBA"/>
            </w:tcBorders>
          </w:tcPr>
          <w:p>
            <w:pPr>
              <w:spacing w:after="0"/>
              <w:rPr>
                <w:sz w:val="24"/>
                <w:szCs w:val="24"/>
                <w:color w:val="auto"/>
              </w:rPr>
            </w:pPr>
          </w:p>
        </w:tc>
        <w:tc>
          <w:tcPr>
            <w:tcW w:w="66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357</w:t>
            </w:r>
          </w:p>
        </w:tc>
        <w:tc>
          <w:tcPr>
            <w:tcW w:w="60" w:type="dxa"/>
            <w:vAlign w:val="bottom"/>
          </w:tcPr>
          <w:p>
            <w:pPr>
              <w:spacing w:after="0"/>
              <w:rPr>
                <w:sz w:val="24"/>
                <w:szCs w:val="24"/>
                <w:color w:val="auto"/>
              </w:rPr>
            </w:pPr>
          </w:p>
        </w:tc>
        <w:tc>
          <w:tcPr>
            <w:tcW w:w="76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10,607</w:t>
            </w:r>
          </w:p>
        </w:tc>
        <w:tc>
          <w:tcPr>
            <w:tcW w:w="820" w:type="dxa"/>
            <w:vAlign w:val="bottom"/>
            <w:tcBorders>
              <w:right w:val="single" w:sz="8" w:color="007CBA"/>
            </w:tcBorders>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75,727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740" w:type="dxa"/>
            <w:vAlign w:val="bottom"/>
            <w:tcBorders>
              <w:right w:val="single" w:sz="8" w:color="007CBA"/>
            </w:tcBorders>
          </w:tcPr>
          <w:p>
            <w:pPr>
              <w:spacing w:after="0"/>
              <w:rPr>
                <w:sz w:val="22"/>
                <w:szCs w:val="22"/>
                <w:color w:val="auto"/>
              </w:rPr>
            </w:pPr>
          </w:p>
        </w:tc>
        <w:tc>
          <w:tcPr>
            <w:tcW w:w="760" w:type="dxa"/>
            <w:vAlign w:val="bottom"/>
            <w:tcBorders>
              <w:right w:val="single" w:sz="8" w:color="007CBA"/>
            </w:tcBorders>
            <w:gridSpan w:val="2"/>
          </w:tcPr>
          <w:p>
            <w:pPr>
              <w:jc w:val="right"/>
              <w:ind w:right="31"/>
              <w:spacing w:after="0" w:line="257" w:lineRule="exact"/>
              <w:rPr>
                <w:sz w:val="20"/>
                <w:szCs w:val="20"/>
                <w:color w:val="auto"/>
              </w:rPr>
            </w:pPr>
            <w:r>
              <w:rPr>
                <w:rFonts w:ascii="Arial" w:cs="Arial" w:eastAsia="Arial" w:hAnsi="Arial"/>
                <w:sz w:val="14"/>
                <w:szCs w:val="14"/>
                <w:color w:val="auto"/>
              </w:rPr>
              <w:t>3/28/17</w:t>
            </w:r>
            <w:r>
              <w:rPr>
                <w:rFonts w:ascii="Arial" w:cs="Arial" w:eastAsia="Arial" w:hAnsi="Arial"/>
                <w:sz w:val="24"/>
                <w:szCs w:val="24"/>
                <w:color w:val="auto"/>
                <w:vertAlign w:val="superscript"/>
              </w:rPr>
              <w:t>3</w:t>
            </w:r>
          </w:p>
        </w:tc>
        <w:tc>
          <w:tcPr>
            <w:tcW w:w="860" w:type="dxa"/>
            <w:vAlign w:val="bottom"/>
            <w:tcBorders>
              <w:right w:val="single" w:sz="8" w:color="007CBA"/>
            </w:tcBorders>
          </w:tcPr>
          <w:p>
            <w:pPr>
              <w:spacing w:after="0"/>
              <w:rPr>
                <w:sz w:val="22"/>
                <w:szCs w:val="22"/>
                <w:color w:val="auto"/>
              </w:rPr>
            </w:pPr>
          </w:p>
        </w:tc>
        <w:tc>
          <w:tcPr>
            <w:tcW w:w="760" w:type="dxa"/>
            <w:vAlign w:val="bottom"/>
            <w:tcBorders>
              <w:right w:val="single" w:sz="8" w:color="007CBA"/>
            </w:tcBorders>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Borders>
              <w:right w:val="single" w:sz="8" w:color="007CBA"/>
            </w:tcBorders>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1,105</w:t>
            </w:r>
          </w:p>
        </w:tc>
        <w:tc>
          <w:tcPr>
            <w:tcW w:w="120" w:type="dxa"/>
            <w:vAlign w:val="bottom"/>
            <w:tcBorders>
              <w:right w:val="single" w:sz="8" w:color="007CBA"/>
            </w:tcBorders>
          </w:tcPr>
          <w:p>
            <w:pPr>
              <w:spacing w:after="0"/>
              <w:rPr>
                <w:sz w:val="22"/>
                <w:szCs w:val="22"/>
                <w:color w:val="auto"/>
              </w:rPr>
            </w:pPr>
          </w:p>
        </w:tc>
        <w:tc>
          <w:tcPr>
            <w:tcW w:w="66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2,210</w:t>
            </w:r>
          </w:p>
        </w:tc>
        <w:tc>
          <w:tcPr>
            <w:tcW w:w="60" w:type="dxa"/>
            <w:vAlign w:val="bottom"/>
          </w:tcPr>
          <w:p>
            <w:pPr>
              <w:spacing w:after="0"/>
              <w:rPr>
                <w:sz w:val="22"/>
                <w:szCs w:val="22"/>
                <w:color w:val="auto"/>
              </w:rPr>
            </w:pPr>
          </w:p>
        </w:tc>
        <w:tc>
          <w:tcPr>
            <w:tcW w:w="76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4,420</w:t>
            </w:r>
          </w:p>
        </w:tc>
        <w:tc>
          <w:tcPr>
            <w:tcW w:w="820" w:type="dxa"/>
            <w:vAlign w:val="bottom"/>
            <w:tcBorders>
              <w:right w:val="single" w:sz="8" w:color="007CBA"/>
            </w:tcBorders>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463,923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3740" w:type="dxa"/>
            <w:vAlign w:val="bottom"/>
            <w:tcBorders>
              <w:right w:val="single" w:sz="8" w:color="007CBA"/>
            </w:tcBorders>
          </w:tcPr>
          <w:p>
            <w:pPr>
              <w:spacing w:after="0"/>
              <w:rPr>
                <w:sz w:val="20"/>
                <w:szCs w:val="20"/>
                <w:color w:val="auto"/>
              </w:rPr>
            </w:pPr>
          </w:p>
        </w:tc>
        <w:tc>
          <w:tcPr>
            <w:tcW w:w="760" w:type="dxa"/>
            <w:vAlign w:val="bottom"/>
            <w:tcBorders>
              <w:right w:val="single" w:sz="8" w:color="007CBA"/>
            </w:tcBorders>
            <w:gridSpan w:val="2"/>
          </w:tcPr>
          <w:p>
            <w:pPr>
              <w:jc w:val="right"/>
              <w:ind w:right="31"/>
              <w:spacing w:after="0" w:line="235" w:lineRule="exact"/>
              <w:rPr>
                <w:sz w:val="20"/>
                <w:szCs w:val="20"/>
                <w:color w:val="auto"/>
              </w:rPr>
            </w:pPr>
            <w:r>
              <w:rPr>
                <w:rFonts w:ascii="Arial" w:cs="Arial" w:eastAsia="Arial" w:hAnsi="Arial"/>
                <w:sz w:val="14"/>
                <w:szCs w:val="14"/>
                <w:color w:val="auto"/>
              </w:rPr>
              <w:t>3/28/17</w:t>
            </w:r>
            <w:r>
              <w:rPr>
                <w:rFonts w:ascii="Arial" w:cs="Arial" w:eastAsia="Arial" w:hAnsi="Arial"/>
                <w:sz w:val="24"/>
                <w:szCs w:val="24"/>
                <w:color w:val="auto"/>
                <w:vertAlign w:val="superscript"/>
              </w:rPr>
              <w:t>2</w:t>
            </w:r>
          </w:p>
        </w:tc>
        <w:tc>
          <w:tcPr>
            <w:tcW w:w="860" w:type="dxa"/>
            <w:vAlign w:val="bottom"/>
            <w:tcBorders>
              <w:right w:val="single" w:sz="8" w:color="007CBA"/>
            </w:tcBorders>
          </w:tcPr>
          <w:p>
            <w:pPr>
              <w:spacing w:after="0"/>
              <w:rPr>
                <w:sz w:val="20"/>
                <w:szCs w:val="20"/>
                <w:color w:val="auto"/>
              </w:rPr>
            </w:pPr>
          </w:p>
        </w:tc>
        <w:tc>
          <w:tcPr>
            <w:tcW w:w="760" w:type="dxa"/>
            <w:vAlign w:val="bottom"/>
            <w:tcBorders>
              <w:right w:val="single" w:sz="8" w:color="007CBA"/>
            </w:tcBorders>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Borders>
              <w:right w:val="single" w:sz="8" w:color="007CBA"/>
            </w:tcBorders>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Borders>
              <w:right w:val="single" w:sz="8" w:color="007CBA"/>
            </w:tcBorders>
          </w:tcPr>
          <w:p>
            <w:pPr>
              <w:spacing w:after="0"/>
              <w:rPr>
                <w:sz w:val="20"/>
                <w:szCs w:val="20"/>
                <w:color w:val="auto"/>
              </w:rPr>
            </w:pPr>
          </w:p>
        </w:tc>
        <w:tc>
          <w:tcPr>
            <w:tcW w:w="660" w:type="dxa"/>
            <w:vAlign w:val="bottom"/>
            <w:tcBorders>
              <w:right w:val="single" w:sz="8" w:color="007CBA"/>
            </w:tcBorders>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Borders>
              <w:right w:val="single" w:sz="8" w:color="007CBA"/>
            </w:tcBorders>
          </w:tcPr>
          <w:p>
            <w:pPr>
              <w:spacing w:after="0"/>
              <w:rPr>
                <w:sz w:val="20"/>
                <w:szCs w:val="20"/>
                <w:color w:val="auto"/>
              </w:rPr>
            </w:pPr>
          </w:p>
        </w:tc>
        <w:tc>
          <w:tcPr>
            <w:tcW w:w="820" w:type="dxa"/>
            <w:vAlign w:val="bottom"/>
            <w:tcBorders>
              <w:right w:val="single" w:sz="8" w:color="007CBA"/>
            </w:tcBorders>
          </w:tcPr>
          <w:p>
            <w:pPr>
              <w:jc w:val="right"/>
              <w:ind w:right="51"/>
              <w:spacing w:after="0"/>
              <w:rPr>
                <w:sz w:val="20"/>
                <w:szCs w:val="20"/>
                <w:color w:val="auto"/>
              </w:rPr>
            </w:pPr>
            <w:r>
              <w:rPr>
                <w:rFonts w:ascii="Arial" w:cs="Arial" w:eastAsia="Arial" w:hAnsi="Arial"/>
                <w:sz w:val="14"/>
                <w:szCs w:val="14"/>
                <w:color w:val="auto"/>
              </w:rPr>
              <w:t>1,898</w:t>
            </w:r>
          </w:p>
        </w:tc>
        <w:tc>
          <w:tcPr>
            <w:tcW w:w="780" w:type="dxa"/>
            <w:vAlign w:val="bottom"/>
          </w:tcPr>
          <w:p>
            <w:pPr>
              <w:jc w:val="right"/>
              <w:spacing w:after="0"/>
              <w:rPr>
                <w:sz w:val="20"/>
                <w:szCs w:val="20"/>
                <w:color w:val="auto"/>
              </w:rPr>
            </w:pPr>
            <w:r>
              <w:rPr>
                <w:rFonts w:ascii="Arial" w:cs="Arial" w:eastAsia="Arial" w:hAnsi="Arial"/>
                <w:sz w:val="14"/>
                <w:szCs w:val="14"/>
                <w:color w:val="auto"/>
              </w:rPr>
              <w:t>398,428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74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i w:val="1"/>
                <w:iCs w:val="1"/>
                <w:color w:val="auto"/>
              </w:rPr>
              <w:t>Former Executive Officer:</w:t>
            </w:r>
          </w:p>
        </w:tc>
        <w:tc>
          <w:tcPr>
            <w:tcW w:w="760" w:type="dxa"/>
            <w:vAlign w:val="bottom"/>
            <w:tcBorders>
              <w:right w:val="single" w:sz="8" w:color="007CBA"/>
            </w:tcBorders>
            <w:gridSpan w:val="2"/>
            <w:shd w:val="clear" w:color="auto" w:fill="E5F1F8"/>
          </w:tcPr>
          <w:p>
            <w:pPr>
              <w:jc w:val="right"/>
              <w:ind w:right="31"/>
              <w:spacing w:after="0" w:line="188" w:lineRule="exact"/>
              <w:rPr>
                <w:sz w:val="20"/>
                <w:szCs w:val="20"/>
                <w:color w:val="auto"/>
              </w:rPr>
            </w:pPr>
            <w:r>
              <w:rPr>
                <w:rFonts w:ascii="Arial" w:cs="Arial" w:eastAsia="Arial" w:hAnsi="Arial"/>
                <w:sz w:val="13"/>
                <w:szCs w:val="13"/>
                <w:color w:val="auto"/>
              </w:rPr>
              <w:t>2/22/18</w:t>
            </w:r>
            <w:r>
              <w:rPr>
                <w:rFonts w:ascii="Arial" w:cs="Arial" w:eastAsia="Arial" w:hAnsi="Arial"/>
                <w:sz w:val="21"/>
                <w:szCs w:val="21"/>
                <w:color w:val="auto"/>
                <w:vertAlign w:val="superscript"/>
              </w:rPr>
              <w:t>1</w:t>
            </w:r>
          </w:p>
        </w:tc>
        <w:tc>
          <w:tcPr>
            <w:tcW w:w="860" w:type="dxa"/>
            <w:vAlign w:val="bottom"/>
            <w:tcBorders>
              <w:right w:val="single" w:sz="8" w:color="007CBA"/>
            </w:tcBorders>
            <w:shd w:val="clear" w:color="auto" w:fill="E5F1F8"/>
          </w:tcPr>
          <w:p>
            <w:pPr>
              <w:spacing w:after="0"/>
              <w:rPr>
                <w:sz w:val="16"/>
                <w:szCs w:val="16"/>
                <w:color w:val="auto"/>
              </w:rPr>
            </w:pPr>
          </w:p>
        </w:tc>
        <w:tc>
          <w:tcPr>
            <w:tcW w:w="7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446,227</w:t>
            </w:r>
          </w:p>
        </w:tc>
        <w:tc>
          <w:tcPr>
            <w:tcW w:w="60" w:type="dxa"/>
            <w:vAlign w:val="bottom"/>
            <w:shd w:val="clear" w:color="auto" w:fill="E5F1F8"/>
          </w:tcPr>
          <w:p>
            <w:pPr>
              <w:spacing w:after="0"/>
              <w:rPr>
                <w:sz w:val="16"/>
                <w:szCs w:val="16"/>
                <w:color w:val="auto"/>
              </w:rPr>
            </w:pPr>
          </w:p>
        </w:tc>
        <w:tc>
          <w:tcPr>
            <w:tcW w:w="82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color w:val="auto"/>
              </w:rPr>
              <w:t>7,500,000</w:t>
            </w:r>
          </w:p>
        </w:tc>
        <w:tc>
          <w:tcPr>
            <w:tcW w:w="720" w:type="dxa"/>
            <w:vAlign w:val="bottom"/>
            <w:shd w:val="clear" w:color="auto" w:fill="E5F1F8"/>
          </w:tcPr>
          <w:p>
            <w:pPr>
              <w:spacing w:after="0"/>
              <w:rPr>
                <w:sz w:val="16"/>
                <w:szCs w:val="16"/>
                <w:color w:val="auto"/>
              </w:rPr>
            </w:pPr>
          </w:p>
        </w:tc>
        <w:tc>
          <w:tcPr>
            <w:tcW w:w="120" w:type="dxa"/>
            <w:vAlign w:val="bottom"/>
            <w:tcBorders>
              <w:right w:val="single" w:sz="8" w:color="007CBA"/>
            </w:tcBorders>
            <w:shd w:val="clear" w:color="auto" w:fill="E5F1F8"/>
          </w:tcPr>
          <w:p>
            <w:pPr>
              <w:spacing w:after="0"/>
              <w:rPr>
                <w:sz w:val="16"/>
                <w:szCs w:val="16"/>
                <w:color w:val="auto"/>
              </w:rPr>
            </w:pPr>
          </w:p>
        </w:tc>
        <w:tc>
          <w:tcPr>
            <w:tcW w:w="660" w:type="dxa"/>
            <w:vAlign w:val="bottom"/>
            <w:tcBorders>
              <w:right w:val="single" w:sz="8" w:color="007CBA"/>
            </w:tcBorders>
            <w:shd w:val="clear" w:color="auto" w:fill="E5F1F8"/>
          </w:tcPr>
          <w:p>
            <w:pPr>
              <w:spacing w:after="0"/>
              <w:rPr>
                <w:sz w:val="16"/>
                <w:szCs w:val="16"/>
                <w:color w:val="auto"/>
              </w:rPr>
            </w:pPr>
          </w:p>
        </w:tc>
        <w:tc>
          <w:tcPr>
            <w:tcW w:w="60" w:type="dxa"/>
            <w:vAlign w:val="bottom"/>
            <w:shd w:val="clear" w:color="auto" w:fill="E5F1F8"/>
          </w:tcPr>
          <w:p>
            <w:pPr>
              <w:spacing w:after="0"/>
              <w:rPr>
                <w:sz w:val="16"/>
                <w:szCs w:val="16"/>
                <w:color w:val="auto"/>
              </w:rPr>
            </w:pPr>
          </w:p>
        </w:tc>
        <w:tc>
          <w:tcPr>
            <w:tcW w:w="760" w:type="dxa"/>
            <w:vAlign w:val="bottom"/>
            <w:tcBorders>
              <w:right w:val="single" w:sz="8" w:color="007CBA"/>
            </w:tcBorders>
            <w:shd w:val="clear" w:color="auto" w:fill="E5F1F8"/>
          </w:tcPr>
          <w:p>
            <w:pPr>
              <w:spacing w:after="0"/>
              <w:rPr>
                <w:sz w:val="16"/>
                <w:szCs w:val="16"/>
                <w:color w:val="auto"/>
              </w:rPr>
            </w:pPr>
          </w:p>
        </w:tc>
        <w:tc>
          <w:tcPr>
            <w:tcW w:w="820" w:type="dxa"/>
            <w:vAlign w:val="bottom"/>
            <w:tcBorders>
              <w:right w:val="single" w:sz="8" w:color="007CBA"/>
            </w:tcBorders>
            <w:shd w:val="clear" w:color="auto" w:fill="E5F1F8"/>
          </w:tcPr>
          <w:p>
            <w:pPr>
              <w:spacing w:after="0"/>
              <w:rPr>
                <w:sz w:val="16"/>
                <w:szCs w:val="16"/>
                <w:color w:val="auto"/>
              </w:rPr>
            </w:pPr>
          </w:p>
        </w:tc>
        <w:tc>
          <w:tcPr>
            <w:tcW w:w="780" w:type="dxa"/>
            <w:vAlign w:val="bottom"/>
            <w:shd w:val="clear" w:color="auto" w:fill="E5F1F8"/>
          </w:tcPr>
          <w:p>
            <w:pPr>
              <w:spacing w:after="0"/>
              <w:rPr>
                <w:sz w:val="16"/>
                <w:szCs w:val="16"/>
                <w:color w:val="auto"/>
              </w:rPr>
            </w:pPr>
          </w:p>
        </w:tc>
        <w:tc>
          <w:tcPr>
            <w:tcW w:w="100" w:type="dxa"/>
            <w:vAlign w:val="bottom"/>
            <w:shd w:val="clear" w:color="auto" w:fill="E5F1F8"/>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74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b w:val="1"/>
                <w:bCs w:val="1"/>
                <w:color w:val="auto"/>
              </w:rPr>
              <w:t>Anne H. Lloyd</w:t>
            </w:r>
          </w:p>
        </w:tc>
        <w:tc>
          <w:tcPr>
            <w:tcW w:w="120" w:type="dxa"/>
            <w:vAlign w:val="bottom"/>
            <w:shd w:val="clear" w:color="auto" w:fill="E5F1F8"/>
          </w:tcPr>
          <w:p>
            <w:pPr>
              <w:spacing w:after="0"/>
              <w:rPr>
                <w:sz w:val="17"/>
                <w:szCs w:val="17"/>
                <w:color w:val="auto"/>
              </w:rPr>
            </w:pPr>
          </w:p>
        </w:tc>
        <w:tc>
          <w:tcPr>
            <w:tcW w:w="640" w:type="dxa"/>
            <w:vAlign w:val="bottom"/>
            <w:tcBorders>
              <w:right w:val="single" w:sz="8" w:color="007CBA"/>
            </w:tcBorders>
            <w:vMerge w:val="restart"/>
            <w:shd w:val="clear" w:color="auto" w:fill="E5F1F8"/>
          </w:tcPr>
          <w:p>
            <w:pPr>
              <w:jc w:val="right"/>
              <w:ind w:right="31"/>
              <w:spacing w:after="0"/>
              <w:rPr>
                <w:sz w:val="20"/>
                <w:szCs w:val="20"/>
                <w:color w:val="auto"/>
              </w:rPr>
            </w:pPr>
            <w:r>
              <w:rPr>
                <w:rFonts w:ascii="Arial" w:cs="Arial" w:eastAsia="Arial" w:hAnsi="Arial"/>
                <w:sz w:val="14"/>
                <w:szCs w:val="14"/>
                <w:color w:val="auto"/>
                <w:w w:val="93"/>
              </w:rPr>
              <w:t>3/28/17</w:t>
            </w:r>
            <w:r>
              <w:rPr>
                <w:rFonts w:ascii="Arial" w:cs="Arial" w:eastAsia="Arial" w:hAnsi="Arial"/>
                <w:sz w:val="24"/>
                <w:szCs w:val="24"/>
                <w:color w:val="auto"/>
                <w:w w:val="93"/>
                <w:vertAlign w:val="superscript"/>
              </w:rPr>
              <w:t>3</w:t>
            </w:r>
          </w:p>
        </w:tc>
        <w:tc>
          <w:tcPr>
            <w:tcW w:w="860" w:type="dxa"/>
            <w:vAlign w:val="bottom"/>
            <w:tcBorders>
              <w:right w:val="single" w:sz="8" w:color="007CBA"/>
            </w:tcBorders>
            <w:shd w:val="clear" w:color="auto" w:fill="E5F1F8"/>
          </w:tcPr>
          <w:p>
            <w:pPr>
              <w:spacing w:after="0"/>
              <w:rPr>
                <w:sz w:val="17"/>
                <w:szCs w:val="17"/>
                <w:color w:val="auto"/>
              </w:rPr>
            </w:pPr>
          </w:p>
        </w:tc>
        <w:tc>
          <w:tcPr>
            <w:tcW w:w="760" w:type="dxa"/>
            <w:vAlign w:val="bottom"/>
            <w:tcBorders>
              <w:right w:val="single" w:sz="8" w:color="007CBA"/>
            </w:tcBorders>
            <w:shd w:val="clear" w:color="auto" w:fill="E5F1F8"/>
          </w:tcPr>
          <w:p>
            <w:pPr>
              <w:spacing w:after="0"/>
              <w:rPr>
                <w:sz w:val="17"/>
                <w:szCs w:val="17"/>
                <w:color w:val="auto"/>
              </w:rPr>
            </w:pPr>
          </w:p>
        </w:tc>
        <w:tc>
          <w:tcPr>
            <w:tcW w:w="60" w:type="dxa"/>
            <w:vAlign w:val="bottom"/>
            <w:shd w:val="clear" w:color="auto" w:fill="E5F1F8"/>
          </w:tcPr>
          <w:p>
            <w:pPr>
              <w:spacing w:after="0"/>
              <w:rPr>
                <w:sz w:val="17"/>
                <w:szCs w:val="17"/>
                <w:color w:val="auto"/>
              </w:rPr>
            </w:pPr>
          </w:p>
        </w:tc>
        <w:tc>
          <w:tcPr>
            <w:tcW w:w="820" w:type="dxa"/>
            <w:vAlign w:val="bottom"/>
            <w:tcBorders>
              <w:right w:val="single" w:sz="8" w:color="007CBA"/>
            </w:tcBorders>
            <w:shd w:val="clear" w:color="auto" w:fill="E5F1F8"/>
          </w:tcPr>
          <w:p>
            <w:pPr>
              <w:spacing w:after="0"/>
              <w:rPr>
                <w:sz w:val="17"/>
                <w:szCs w:val="17"/>
                <w:color w:val="auto"/>
              </w:rPr>
            </w:pPr>
          </w:p>
        </w:tc>
        <w:tc>
          <w:tcPr>
            <w:tcW w:w="720" w:type="dxa"/>
            <w:vAlign w:val="bottom"/>
            <w:vMerge w:val="restart"/>
            <w:shd w:val="clear" w:color="auto" w:fill="E5F1F8"/>
          </w:tcPr>
          <w:p>
            <w:pPr>
              <w:jc w:val="right"/>
              <w:spacing w:after="0"/>
              <w:rPr>
                <w:sz w:val="20"/>
                <w:szCs w:val="20"/>
                <w:color w:val="auto"/>
              </w:rPr>
            </w:pPr>
            <w:r>
              <w:rPr>
                <w:rFonts w:ascii="Arial" w:cs="Arial" w:eastAsia="Arial" w:hAnsi="Arial"/>
                <w:sz w:val="14"/>
                <w:szCs w:val="14"/>
                <w:color w:val="auto"/>
              </w:rPr>
              <w:t>1,734</w:t>
            </w:r>
          </w:p>
        </w:tc>
        <w:tc>
          <w:tcPr>
            <w:tcW w:w="120" w:type="dxa"/>
            <w:vAlign w:val="bottom"/>
            <w:tcBorders>
              <w:right w:val="single" w:sz="8" w:color="007CBA"/>
            </w:tcBorders>
            <w:shd w:val="clear" w:color="auto" w:fill="E5F1F8"/>
          </w:tcPr>
          <w:p>
            <w:pPr>
              <w:spacing w:after="0"/>
              <w:rPr>
                <w:sz w:val="17"/>
                <w:szCs w:val="17"/>
                <w:color w:val="auto"/>
              </w:rPr>
            </w:pPr>
          </w:p>
        </w:tc>
        <w:tc>
          <w:tcPr>
            <w:tcW w:w="660" w:type="dxa"/>
            <w:vAlign w:val="bottom"/>
            <w:tcBorders>
              <w:right w:val="single" w:sz="8" w:color="007CBA"/>
            </w:tcBorders>
            <w:vMerge w:val="restart"/>
            <w:shd w:val="clear" w:color="auto" w:fill="E5F1F8"/>
          </w:tcPr>
          <w:p>
            <w:pPr>
              <w:jc w:val="right"/>
              <w:ind w:right="49"/>
              <w:spacing w:after="0"/>
              <w:rPr>
                <w:sz w:val="20"/>
                <w:szCs w:val="20"/>
                <w:color w:val="auto"/>
              </w:rPr>
            </w:pPr>
            <w:r>
              <w:rPr>
                <w:rFonts w:ascii="Arial" w:cs="Arial" w:eastAsia="Arial" w:hAnsi="Arial"/>
                <w:sz w:val="14"/>
                <w:szCs w:val="14"/>
                <w:color w:val="auto"/>
              </w:rPr>
              <w:t>3,467</w:t>
            </w:r>
          </w:p>
        </w:tc>
        <w:tc>
          <w:tcPr>
            <w:tcW w:w="60" w:type="dxa"/>
            <w:vAlign w:val="bottom"/>
            <w:shd w:val="clear" w:color="auto" w:fill="E5F1F8"/>
          </w:tcPr>
          <w:p>
            <w:pPr>
              <w:spacing w:after="0"/>
              <w:rPr>
                <w:sz w:val="17"/>
                <w:szCs w:val="17"/>
                <w:color w:val="auto"/>
              </w:rPr>
            </w:pPr>
          </w:p>
        </w:tc>
        <w:tc>
          <w:tcPr>
            <w:tcW w:w="760" w:type="dxa"/>
            <w:vAlign w:val="bottom"/>
            <w:tcBorders>
              <w:right w:val="single" w:sz="8" w:color="007CBA"/>
            </w:tcBorders>
            <w:vMerge w:val="restart"/>
            <w:shd w:val="clear" w:color="auto" w:fill="E5F1F8"/>
          </w:tcPr>
          <w:p>
            <w:pPr>
              <w:jc w:val="right"/>
              <w:ind w:right="49"/>
              <w:spacing w:after="0"/>
              <w:rPr>
                <w:sz w:val="20"/>
                <w:szCs w:val="20"/>
                <w:color w:val="auto"/>
              </w:rPr>
            </w:pPr>
            <w:r>
              <w:rPr>
                <w:rFonts w:ascii="Arial" w:cs="Arial" w:eastAsia="Arial" w:hAnsi="Arial"/>
                <w:sz w:val="14"/>
                <w:szCs w:val="14"/>
                <w:color w:val="auto"/>
              </w:rPr>
              <w:t>6,934</w:t>
            </w:r>
          </w:p>
        </w:tc>
        <w:tc>
          <w:tcPr>
            <w:tcW w:w="820" w:type="dxa"/>
            <w:vAlign w:val="bottom"/>
            <w:tcBorders>
              <w:right w:val="single" w:sz="8" w:color="007CBA"/>
            </w:tcBorders>
            <w:shd w:val="clear" w:color="auto" w:fill="E5F1F8"/>
          </w:tcPr>
          <w:p>
            <w:pPr>
              <w:spacing w:after="0"/>
              <w:rPr>
                <w:sz w:val="17"/>
                <w:szCs w:val="17"/>
                <w:color w:val="auto"/>
              </w:rPr>
            </w:pPr>
          </w:p>
        </w:tc>
        <w:tc>
          <w:tcPr>
            <w:tcW w:w="780" w:type="dxa"/>
            <w:vAlign w:val="bottom"/>
            <w:vMerge w:val="restart"/>
            <w:shd w:val="clear" w:color="auto" w:fill="E5F1F8"/>
          </w:tcPr>
          <w:p>
            <w:pPr>
              <w:jc w:val="right"/>
              <w:spacing w:after="0"/>
              <w:rPr>
                <w:sz w:val="20"/>
                <w:szCs w:val="20"/>
                <w:color w:val="auto"/>
              </w:rPr>
            </w:pPr>
            <w:r>
              <w:rPr>
                <w:rFonts w:ascii="Arial" w:cs="Arial" w:eastAsia="Arial" w:hAnsi="Arial"/>
                <w:sz w:val="14"/>
                <w:szCs w:val="14"/>
                <w:color w:val="auto"/>
              </w:rPr>
              <w:t>727,793</w:t>
            </w:r>
          </w:p>
        </w:tc>
        <w:tc>
          <w:tcPr>
            <w:tcW w:w="100" w:type="dxa"/>
            <w:vAlign w:val="bottom"/>
            <w:shd w:val="clear" w:color="auto" w:fill="E5F1F8"/>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3740" w:type="dxa"/>
            <w:vAlign w:val="bottom"/>
            <w:tcBorders>
              <w:right w:val="single" w:sz="8" w:color="007CBA"/>
            </w:tcBorders>
            <w:shd w:val="clear" w:color="auto" w:fill="E5F1F8"/>
          </w:tcPr>
          <w:p>
            <w:pPr>
              <w:spacing w:after="0"/>
              <w:rPr>
                <w:sz w:val="10"/>
                <w:szCs w:val="10"/>
                <w:color w:val="auto"/>
              </w:rPr>
            </w:pPr>
          </w:p>
        </w:tc>
        <w:tc>
          <w:tcPr>
            <w:tcW w:w="120" w:type="dxa"/>
            <w:vAlign w:val="bottom"/>
            <w:shd w:val="clear" w:color="auto" w:fill="E5F1F8"/>
          </w:tcPr>
          <w:p>
            <w:pPr>
              <w:spacing w:after="0"/>
              <w:rPr>
                <w:sz w:val="10"/>
                <w:szCs w:val="10"/>
                <w:color w:val="auto"/>
              </w:rPr>
            </w:pPr>
          </w:p>
        </w:tc>
        <w:tc>
          <w:tcPr>
            <w:tcW w:w="640" w:type="dxa"/>
            <w:vAlign w:val="bottom"/>
            <w:tcBorders>
              <w:right w:val="single" w:sz="8" w:color="007CBA"/>
            </w:tcBorders>
            <w:vMerge w:val="continue"/>
            <w:shd w:val="clear" w:color="auto" w:fill="E5F1F8"/>
          </w:tcPr>
          <w:p>
            <w:pPr>
              <w:spacing w:after="0"/>
              <w:rPr>
                <w:sz w:val="10"/>
                <w:szCs w:val="10"/>
                <w:color w:val="auto"/>
              </w:rPr>
            </w:pPr>
          </w:p>
        </w:tc>
        <w:tc>
          <w:tcPr>
            <w:tcW w:w="860" w:type="dxa"/>
            <w:vAlign w:val="bottom"/>
            <w:tcBorders>
              <w:right w:val="single" w:sz="8" w:color="007CBA"/>
            </w:tcBorders>
            <w:shd w:val="clear" w:color="auto" w:fill="E5F1F8"/>
          </w:tcPr>
          <w:p>
            <w:pPr>
              <w:spacing w:after="0"/>
              <w:rPr>
                <w:sz w:val="10"/>
                <w:szCs w:val="10"/>
                <w:color w:val="auto"/>
              </w:rPr>
            </w:pPr>
          </w:p>
        </w:tc>
        <w:tc>
          <w:tcPr>
            <w:tcW w:w="760" w:type="dxa"/>
            <w:vAlign w:val="bottom"/>
            <w:tcBorders>
              <w:right w:val="single" w:sz="8" w:color="007CBA"/>
            </w:tcBorders>
            <w:shd w:val="clear" w:color="auto" w:fill="E5F1F8"/>
          </w:tcPr>
          <w:p>
            <w:pPr>
              <w:spacing w:after="0"/>
              <w:rPr>
                <w:sz w:val="10"/>
                <w:szCs w:val="10"/>
                <w:color w:val="auto"/>
              </w:rPr>
            </w:pPr>
          </w:p>
        </w:tc>
        <w:tc>
          <w:tcPr>
            <w:tcW w:w="60" w:type="dxa"/>
            <w:vAlign w:val="bottom"/>
            <w:shd w:val="clear" w:color="auto" w:fill="E5F1F8"/>
          </w:tcPr>
          <w:p>
            <w:pPr>
              <w:spacing w:after="0"/>
              <w:rPr>
                <w:sz w:val="10"/>
                <w:szCs w:val="10"/>
                <w:color w:val="auto"/>
              </w:rPr>
            </w:pPr>
          </w:p>
        </w:tc>
        <w:tc>
          <w:tcPr>
            <w:tcW w:w="820" w:type="dxa"/>
            <w:vAlign w:val="bottom"/>
            <w:tcBorders>
              <w:right w:val="single" w:sz="8" w:color="007CBA"/>
            </w:tcBorders>
            <w:shd w:val="clear" w:color="auto" w:fill="E5F1F8"/>
          </w:tcPr>
          <w:p>
            <w:pPr>
              <w:spacing w:after="0"/>
              <w:rPr>
                <w:sz w:val="10"/>
                <w:szCs w:val="10"/>
                <w:color w:val="auto"/>
              </w:rPr>
            </w:pPr>
          </w:p>
        </w:tc>
        <w:tc>
          <w:tcPr>
            <w:tcW w:w="720" w:type="dxa"/>
            <w:vAlign w:val="bottom"/>
            <w:vMerge w:val="continue"/>
            <w:shd w:val="clear" w:color="auto" w:fill="E5F1F8"/>
          </w:tcPr>
          <w:p>
            <w:pPr>
              <w:spacing w:after="0"/>
              <w:rPr>
                <w:sz w:val="10"/>
                <w:szCs w:val="10"/>
                <w:color w:val="auto"/>
              </w:rPr>
            </w:pPr>
          </w:p>
        </w:tc>
        <w:tc>
          <w:tcPr>
            <w:tcW w:w="120" w:type="dxa"/>
            <w:vAlign w:val="bottom"/>
            <w:tcBorders>
              <w:right w:val="single" w:sz="8" w:color="007CBA"/>
            </w:tcBorders>
            <w:shd w:val="clear" w:color="auto" w:fill="E5F1F8"/>
          </w:tcPr>
          <w:p>
            <w:pPr>
              <w:spacing w:after="0"/>
              <w:rPr>
                <w:sz w:val="10"/>
                <w:szCs w:val="10"/>
                <w:color w:val="auto"/>
              </w:rPr>
            </w:pPr>
          </w:p>
        </w:tc>
        <w:tc>
          <w:tcPr>
            <w:tcW w:w="660" w:type="dxa"/>
            <w:vAlign w:val="bottom"/>
            <w:tcBorders>
              <w:right w:val="single" w:sz="8" w:color="007CBA"/>
            </w:tcBorders>
            <w:vMerge w:val="continue"/>
            <w:shd w:val="clear" w:color="auto" w:fill="E5F1F8"/>
          </w:tcPr>
          <w:p>
            <w:pPr>
              <w:spacing w:after="0"/>
              <w:rPr>
                <w:sz w:val="10"/>
                <w:szCs w:val="10"/>
                <w:color w:val="auto"/>
              </w:rPr>
            </w:pPr>
          </w:p>
        </w:tc>
        <w:tc>
          <w:tcPr>
            <w:tcW w:w="60" w:type="dxa"/>
            <w:vAlign w:val="bottom"/>
            <w:shd w:val="clear" w:color="auto" w:fill="E5F1F8"/>
          </w:tcPr>
          <w:p>
            <w:pPr>
              <w:spacing w:after="0"/>
              <w:rPr>
                <w:sz w:val="10"/>
                <w:szCs w:val="10"/>
                <w:color w:val="auto"/>
              </w:rPr>
            </w:pPr>
          </w:p>
        </w:tc>
        <w:tc>
          <w:tcPr>
            <w:tcW w:w="760" w:type="dxa"/>
            <w:vAlign w:val="bottom"/>
            <w:tcBorders>
              <w:right w:val="single" w:sz="8" w:color="007CBA"/>
            </w:tcBorders>
            <w:vMerge w:val="continue"/>
            <w:shd w:val="clear" w:color="auto" w:fill="E5F1F8"/>
          </w:tcPr>
          <w:p>
            <w:pPr>
              <w:spacing w:after="0"/>
              <w:rPr>
                <w:sz w:val="10"/>
                <w:szCs w:val="10"/>
                <w:color w:val="auto"/>
              </w:rPr>
            </w:pPr>
          </w:p>
        </w:tc>
        <w:tc>
          <w:tcPr>
            <w:tcW w:w="820" w:type="dxa"/>
            <w:vAlign w:val="bottom"/>
            <w:tcBorders>
              <w:right w:val="single" w:sz="8" w:color="007CBA"/>
            </w:tcBorders>
            <w:shd w:val="clear" w:color="auto" w:fill="E5F1F8"/>
          </w:tcPr>
          <w:p>
            <w:pPr>
              <w:spacing w:after="0"/>
              <w:rPr>
                <w:sz w:val="10"/>
                <w:szCs w:val="10"/>
                <w:color w:val="auto"/>
              </w:rPr>
            </w:pPr>
          </w:p>
        </w:tc>
        <w:tc>
          <w:tcPr>
            <w:tcW w:w="780" w:type="dxa"/>
            <w:vAlign w:val="bottom"/>
            <w:vMerge w:val="continue"/>
            <w:shd w:val="clear" w:color="auto" w:fill="E5F1F8"/>
          </w:tcPr>
          <w:p>
            <w:pPr>
              <w:spacing w:after="0"/>
              <w:rPr>
                <w:sz w:val="10"/>
                <w:szCs w:val="10"/>
                <w:color w:val="auto"/>
              </w:rPr>
            </w:pPr>
          </w:p>
        </w:tc>
        <w:tc>
          <w:tcPr>
            <w:tcW w:w="100" w:type="dxa"/>
            <w:vAlign w:val="bottom"/>
            <w:shd w:val="clear" w:color="auto" w:fill="E5F1F8"/>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3740" w:type="dxa"/>
            <w:vAlign w:val="bottom"/>
            <w:tcBorders>
              <w:bottom w:val="single" w:sz="8" w:color="007CBA"/>
              <w:right w:val="single" w:sz="8" w:color="007CBA"/>
            </w:tcBorders>
            <w:shd w:val="clear" w:color="auto" w:fill="E5F1F8"/>
          </w:tcPr>
          <w:p>
            <w:pPr>
              <w:spacing w:after="0"/>
              <w:rPr>
                <w:sz w:val="22"/>
                <w:szCs w:val="22"/>
                <w:color w:val="auto"/>
              </w:rPr>
            </w:pPr>
          </w:p>
        </w:tc>
        <w:tc>
          <w:tcPr>
            <w:tcW w:w="120" w:type="dxa"/>
            <w:vAlign w:val="bottom"/>
            <w:tcBorders>
              <w:bottom w:val="single" w:sz="8" w:color="007CBA"/>
            </w:tcBorders>
            <w:shd w:val="clear" w:color="auto" w:fill="E5F1F8"/>
          </w:tcPr>
          <w:p>
            <w:pPr>
              <w:spacing w:after="0"/>
              <w:rPr>
                <w:sz w:val="22"/>
                <w:szCs w:val="22"/>
                <w:color w:val="auto"/>
              </w:rPr>
            </w:pPr>
          </w:p>
        </w:tc>
        <w:tc>
          <w:tcPr>
            <w:tcW w:w="640" w:type="dxa"/>
            <w:vAlign w:val="bottom"/>
            <w:tcBorders>
              <w:bottom w:val="single" w:sz="8" w:color="007CBA"/>
              <w:right w:val="single" w:sz="8" w:color="007CBA"/>
            </w:tcBorders>
            <w:shd w:val="clear" w:color="auto" w:fill="E5F1F8"/>
          </w:tcPr>
          <w:p>
            <w:pPr>
              <w:jc w:val="right"/>
              <w:ind w:right="31"/>
              <w:spacing w:after="0" w:line="257" w:lineRule="exact"/>
              <w:rPr>
                <w:sz w:val="20"/>
                <w:szCs w:val="20"/>
                <w:color w:val="auto"/>
              </w:rPr>
            </w:pPr>
            <w:r>
              <w:rPr>
                <w:rFonts w:ascii="Arial" w:cs="Arial" w:eastAsia="Arial" w:hAnsi="Arial"/>
                <w:sz w:val="14"/>
                <w:szCs w:val="14"/>
                <w:color w:val="auto"/>
                <w:w w:val="93"/>
              </w:rPr>
              <w:t>3/28/17</w:t>
            </w:r>
            <w:r>
              <w:rPr>
                <w:rFonts w:ascii="Arial" w:cs="Arial" w:eastAsia="Arial" w:hAnsi="Arial"/>
                <w:sz w:val="24"/>
                <w:szCs w:val="24"/>
                <w:color w:val="auto"/>
                <w:w w:val="93"/>
                <w:vertAlign w:val="superscript"/>
              </w:rPr>
              <w:t>2</w:t>
            </w:r>
          </w:p>
        </w:tc>
        <w:tc>
          <w:tcPr>
            <w:tcW w:w="860" w:type="dxa"/>
            <w:vAlign w:val="bottom"/>
            <w:tcBorders>
              <w:bottom w:val="single" w:sz="8" w:color="007CBA"/>
              <w:right w:val="single" w:sz="8" w:color="007CBA"/>
            </w:tcBorders>
            <w:shd w:val="clear" w:color="auto" w:fill="E5F1F8"/>
          </w:tcPr>
          <w:p>
            <w:pPr>
              <w:spacing w:after="0"/>
              <w:rPr>
                <w:sz w:val="22"/>
                <w:szCs w:val="22"/>
                <w:color w:val="auto"/>
              </w:rPr>
            </w:pPr>
          </w:p>
        </w:tc>
        <w:tc>
          <w:tcPr>
            <w:tcW w:w="760" w:type="dxa"/>
            <w:vAlign w:val="bottom"/>
            <w:tcBorders>
              <w:bottom w:val="single" w:sz="8" w:color="007CBA"/>
              <w:right w:val="single" w:sz="8" w:color="007CBA"/>
            </w:tcBorders>
            <w:shd w:val="clear" w:color="auto" w:fill="E5F1F8"/>
          </w:tcPr>
          <w:p>
            <w:pPr>
              <w:spacing w:after="0"/>
              <w:rPr>
                <w:sz w:val="22"/>
                <w:szCs w:val="22"/>
                <w:color w:val="auto"/>
              </w:rPr>
            </w:pPr>
          </w:p>
        </w:tc>
        <w:tc>
          <w:tcPr>
            <w:tcW w:w="60" w:type="dxa"/>
            <w:vAlign w:val="bottom"/>
            <w:tcBorders>
              <w:bottom w:val="single" w:sz="8" w:color="007CBA"/>
            </w:tcBorders>
            <w:shd w:val="clear" w:color="auto" w:fill="E5F1F8"/>
          </w:tcPr>
          <w:p>
            <w:pPr>
              <w:spacing w:after="0"/>
              <w:rPr>
                <w:sz w:val="22"/>
                <w:szCs w:val="22"/>
                <w:color w:val="auto"/>
              </w:rPr>
            </w:pPr>
          </w:p>
        </w:tc>
        <w:tc>
          <w:tcPr>
            <w:tcW w:w="820" w:type="dxa"/>
            <w:vAlign w:val="bottom"/>
            <w:tcBorders>
              <w:bottom w:val="single" w:sz="8" w:color="007CBA"/>
              <w:right w:val="single" w:sz="8" w:color="007CBA"/>
            </w:tcBorders>
            <w:shd w:val="clear" w:color="auto" w:fill="E5F1F8"/>
          </w:tcPr>
          <w:p>
            <w:pPr>
              <w:spacing w:after="0"/>
              <w:rPr>
                <w:sz w:val="22"/>
                <w:szCs w:val="22"/>
                <w:color w:val="auto"/>
              </w:rPr>
            </w:pPr>
          </w:p>
        </w:tc>
        <w:tc>
          <w:tcPr>
            <w:tcW w:w="720" w:type="dxa"/>
            <w:vAlign w:val="bottom"/>
            <w:tcBorders>
              <w:bottom w:val="single" w:sz="8" w:color="007CBA"/>
            </w:tcBorders>
            <w:shd w:val="clear" w:color="auto" w:fill="E5F1F8"/>
          </w:tcPr>
          <w:p>
            <w:pPr>
              <w:spacing w:after="0"/>
              <w:rPr>
                <w:sz w:val="22"/>
                <w:szCs w:val="22"/>
                <w:color w:val="auto"/>
              </w:rPr>
            </w:pPr>
          </w:p>
        </w:tc>
        <w:tc>
          <w:tcPr>
            <w:tcW w:w="120" w:type="dxa"/>
            <w:vAlign w:val="bottom"/>
            <w:tcBorders>
              <w:bottom w:val="single" w:sz="8" w:color="007CBA"/>
              <w:right w:val="single" w:sz="8" w:color="007CBA"/>
            </w:tcBorders>
            <w:shd w:val="clear" w:color="auto" w:fill="E5F1F8"/>
          </w:tcPr>
          <w:p>
            <w:pPr>
              <w:spacing w:after="0"/>
              <w:rPr>
                <w:sz w:val="22"/>
                <w:szCs w:val="22"/>
                <w:color w:val="auto"/>
              </w:rPr>
            </w:pPr>
          </w:p>
        </w:tc>
        <w:tc>
          <w:tcPr>
            <w:tcW w:w="660" w:type="dxa"/>
            <w:vAlign w:val="bottom"/>
            <w:tcBorders>
              <w:bottom w:val="single" w:sz="8" w:color="007CBA"/>
              <w:right w:val="single" w:sz="8" w:color="007CBA"/>
            </w:tcBorders>
            <w:shd w:val="clear" w:color="auto" w:fill="E5F1F8"/>
          </w:tcPr>
          <w:p>
            <w:pPr>
              <w:spacing w:after="0"/>
              <w:rPr>
                <w:sz w:val="22"/>
                <w:szCs w:val="22"/>
                <w:color w:val="auto"/>
              </w:rPr>
            </w:pPr>
          </w:p>
        </w:tc>
        <w:tc>
          <w:tcPr>
            <w:tcW w:w="60" w:type="dxa"/>
            <w:vAlign w:val="bottom"/>
            <w:tcBorders>
              <w:bottom w:val="single" w:sz="8" w:color="007CBA"/>
            </w:tcBorders>
            <w:shd w:val="clear" w:color="auto" w:fill="E5F1F8"/>
          </w:tcPr>
          <w:p>
            <w:pPr>
              <w:spacing w:after="0"/>
              <w:rPr>
                <w:sz w:val="22"/>
                <w:szCs w:val="22"/>
                <w:color w:val="auto"/>
              </w:rPr>
            </w:pPr>
          </w:p>
        </w:tc>
        <w:tc>
          <w:tcPr>
            <w:tcW w:w="760" w:type="dxa"/>
            <w:vAlign w:val="bottom"/>
            <w:tcBorders>
              <w:bottom w:val="single" w:sz="8" w:color="007CBA"/>
              <w:right w:val="single" w:sz="8" w:color="007CBA"/>
            </w:tcBorders>
            <w:shd w:val="clear" w:color="auto" w:fill="E5F1F8"/>
          </w:tcPr>
          <w:p>
            <w:pPr>
              <w:spacing w:after="0"/>
              <w:rPr>
                <w:sz w:val="22"/>
                <w:szCs w:val="22"/>
                <w:color w:val="auto"/>
              </w:rPr>
            </w:pPr>
          </w:p>
        </w:tc>
        <w:tc>
          <w:tcPr>
            <w:tcW w:w="820" w:type="dxa"/>
            <w:vAlign w:val="bottom"/>
            <w:tcBorders>
              <w:bottom w:val="single" w:sz="8" w:color="007CBA"/>
              <w:right w:val="single" w:sz="8" w:color="007CBA"/>
            </w:tcBorders>
            <w:shd w:val="clear" w:color="auto" w:fill="E5F1F8"/>
          </w:tcPr>
          <w:p>
            <w:pPr>
              <w:jc w:val="right"/>
              <w:ind w:right="51"/>
              <w:spacing w:after="0"/>
              <w:rPr>
                <w:sz w:val="20"/>
                <w:szCs w:val="20"/>
                <w:color w:val="auto"/>
              </w:rPr>
            </w:pPr>
            <w:r>
              <w:rPr>
                <w:rFonts w:ascii="Arial" w:cs="Arial" w:eastAsia="Arial" w:hAnsi="Arial"/>
                <w:sz w:val="14"/>
                <w:szCs w:val="14"/>
                <w:color w:val="auto"/>
              </w:rPr>
              <w:t>2,979</w:t>
            </w:r>
          </w:p>
        </w:tc>
        <w:tc>
          <w:tcPr>
            <w:tcW w:w="780" w:type="dxa"/>
            <w:vAlign w:val="bottom"/>
            <w:tcBorders>
              <w:bottom w:val="single" w:sz="8" w:color="007CBA"/>
            </w:tcBorders>
            <w:shd w:val="clear" w:color="auto" w:fill="E5F1F8"/>
          </w:tcPr>
          <w:p>
            <w:pPr>
              <w:jc w:val="right"/>
              <w:spacing w:after="0"/>
              <w:rPr>
                <w:sz w:val="20"/>
                <w:szCs w:val="20"/>
                <w:color w:val="auto"/>
              </w:rPr>
            </w:pPr>
            <w:r>
              <w:rPr>
                <w:rFonts w:ascii="Arial" w:cs="Arial" w:eastAsia="Arial" w:hAnsi="Arial"/>
                <w:sz w:val="14"/>
                <w:szCs w:val="14"/>
                <w:color w:val="auto"/>
              </w:rPr>
              <w:t>625,352</w:t>
            </w:r>
          </w:p>
        </w:tc>
        <w:tc>
          <w:tcPr>
            <w:tcW w:w="100" w:type="dxa"/>
            <w:vAlign w:val="bottom"/>
            <w:tcBorders>
              <w:bottom w:val="single" w:sz="8" w:color="007CBA"/>
            </w:tcBorders>
            <w:shd w:val="clear" w:color="auto" w:fill="E5F1F8"/>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-2974975</wp:posOffset>
            </wp:positionV>
            <wp:extent cx="29413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48" w:lineRule="exact"/>
        <w:rPr>
          <w:sz w:val="20"/>
          <w:szCs w:val="20"/>
          <w:color w:val="auto"/>
        </w:rPr>
      </w:pPr>
    </w:p>
    <w:p>
      <w:pPr>
        <w:jc w:val="both"/>
        <w:ind w:left="320" w:right="20" w:hanging="116"/>
        <w:spacing w:after="0" w:line="227" w:lineRule="auto"/>
        <w:tabs>
          <w:tab w:leader="none" w:pos="320" w:val="left"/>
        </w:tabs>
        <w:numPr>
          <w:ilvl w:val="0"/>
          <w:numId w:val="104"/>
        </w:numPr>
        <w:rPr>
          <w:rFonts w:ascii="Arial" w:cs="Arial" w:eastAsia="Arial" w:hAnsi="Arial"/>
          <w:sz w:val="24"/>
          <w:szCs w:val="24"/>
          <w:color w:val="auto"/>
          <w:vertAlign w:val="superscript"/>
        </w:rPr>
      </w:pPr>
      <w:r>
        <w:rPr>
          <w:rFonts w:ascii="Arial" w:cs="Arial" w:eastAsia="Arial" w:hAnsi="Arial"/>
          <w:sz w:val="14"/>
          <w:szCs w:val="14"/>
          <w:color w:val="auto"/>
        </w:rPr>
        <w:t>The amounts shown in this row reflect the annual bonus that could have been earned in 2017, payable in 2018, pursuant to the Executive Cash Incentive Plan. For each named executive officer, the amounts shown in columns (d) and (e) reflect the portion of the annual bonus that would have been paid in cash if, respectively, target and maximum performance was achieved for the year (i.e., after reduction for the total portion that would be deferred pursuant to the Incentive Stock Plan pursuant to both mandatory and voluntary deferrals). The amounts shown in columns (g) and (h) reflect the portion of the annual bonus that would have been deferred pursuant to the Incentive Stock Plan if, respectively, target and maximum performance was achieved for the year, inclusive of the 20% discount. Participants in the Incentive Stock Plan for 2017 were approved on May 18, 2017. Therefore, Mr. Nickolas, who commenced employment with the Company in August 2017, did not participate in the Incentive Stock Plan in 2017. These awards are discussed under the heading “</w:t>
      </w:r>
      <w:r>
        <w:rPr>
          <w:rFonts w:ascii="Arial" w:cs="Arial" w:eastAsia="Arial" w:hAnsi="Arial"/>
          <w:sz w:val="14"/>
          <w:szCs w:val="14"/>
          <w:i w:val="1"/>
          <w:iCs w:val="1"/>
          <w:color w:val="auto"/>
        </w:rPr>
        <w:t>Annual Incentive Feature: Performance-Based Stock Purchase Plan</w:t>
      </w:r>
      <w:r>
        <w:rPr>
          <w:rFonts w:ascii="Arial" w:cs="Arial" w:eastAsia="Arial" w:hAnsi="Arial"/>
          <w:sz w:val="14"/>
          <w:szCs w:val="14"/>
          <w:color w:val="auto"/>
        </w:rPr>
        <w:t>” on page 46. The actual amounts paid are reflected in the Summary Compensation Table on page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83185</wp:posOffset>
            </wp:positionV>
            <wp:extent cx="411480" cy="2489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128" w:lineRule="exact"/>
        <w:rPr>
          <w:sz w:val="20"/>
          <w:szCs w:val="20"/>
          <w:color w:val="auto"/>
        </w:rPr>
      </w:pPr>
    </w:p>
    <w:tbl>
      <w:tblPr>
        <w:tblLayout w:type="fixed"/>
        <w:tblInd w:w="9260" w:type="dxa"/>
        <w:tblCellMar>
          <w:top w:w="0" w:type="dxa"/>
          <w:left w:w="0" w:type="dxa"/>
          <w:bottom w:w="0" w:type="dxa"/>
          <w:right w:w="0" w:type="dxa"/>
        </w:tblCellMar>
      </w:tblPr>
      <w:tr>
        <w:trPr>
          <w:trHeight w:val="178"/>
        </w:trPr>
        <w:tc>
          <w:tcPr>
            <w:tcW w:w="1680" w:type="dxa"/>
            <w:vAlign w:val="bottom"/>
          </w:tcPr>
          <w:p>
            <w:pPr>
              <w:spacing w:after="0"/>
              <w:rPr>
                <w:sz w:val="20"/>
                <w:szCs w:val="20"/>
                <w:color w:val="auto"/>
              </w:rPr>
            </w:pPr>
            <w:r>
              <w:rPr>
                <w:rFonts w:ascii="Arial" w:cs="Arial" w:eastAsia="Arial" w:hAnsi="Arial"/>
                <w:sz w:val="13"/>
                <w:szCs w:val="13"/>
                <w:color w:val="007CBA"/>
              </w:rPr>
              <w:t>2018 PROXY STATEMENT</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rPr>
              <w:t>53</w:t>
            </w:r>
          </w:p>
        </w:tc>
      </w:tr>
    </w:tbl>
    <w:p>
      <w:pPr>
        <w:sectPr>
          <w:pgSz w:w="11900" w:h="16838" w:orient="portrait"/>
          <w:cols w:equalWidth="0" w:num="1">
            <w:col w:w="11240"/>
          </w:cols>
          <w:pgMar w:left="240" w:top="455" w:right="41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64" w:lineRule="exact"/>
        <w:rPr>
          <w:sz w:val="20"/>
          <w:szCs w:val="20"/>
          <w:color w:val="auto"/>
        </w:rPr>
      </w:pPr>
    </w:p>
    <w:p>
      <w:pPr>
        <w:ind w:left="200"/>
        <w:spacing w:after="0" w:line="288" w:lineRule="exact"/>
        <w:rPr>
          <w:sz w:val="20"/>
          <w:szCs w:val="20"/>
          <w:color w:val="auto"/>
        </w:rPr>
      </w:pPr>
      <w:r>
        <w:rPr>
          <w:rFonts w:ascii="Arial" w:cs="Arial" w:eastAsia="Arial" w:hAnsi="Arial"/>
          <w:sz w:val="14"/>
          <w:szCs w:val="14"/>
          <w:color w:val="007CBA"/>
        </w:rPr>
        <w:t xml:space="preserve">Executive Compensation </w:t>
      </w:r>
      <w:r>
        <w:rPr>
          <w:rFonts w:ascii="MS PGothic" w:cs="MS PGothic" w:eastAsia="MS PGothic" w:hAnsi="MS PGothic"/>
          <w:sz w:val="25"/>
          <w:szCs w:val="25"/>
          <w:color w:val="007CBA"/>
        </w:rPr>
        <w:t>◆</w:t>
      </w:r>
      <w:r>
        <w:rPr>
          <w:rFonts w:ascii="Arial" w:cs="Arial" w:eastAsia="Arial" w:hAnsi="Arial"/>
          <w:sz w:val="14"/>
          <w:szCs w:val="14"/>
          <w:color w:val="007CBA"/>
        </w:rPr>
        <w:t xml:space="preserve"> </w:t>
      </w:r>
      <w:r>
        <w:rPr>
          <w:rFonts w:ascii="Arial" w:cs="Arial" w:eastAsia="Arial" w:hAnsi="Arial"/>
          <w:sz w:val="14"/>
          <w:szCs w:val="14"/>
          <w:color w:val="000000"/>
        </w:rPr>
        <w:t>Grants of Plan-Based Awards</w:t>
      </w:r>
    </w:p>
    <w:p>
      <w:pPr>
        <w:spacing w:after="0" w:line="209" w:lineRule="exact"/>
        <w:rPr>
          <w:sz w:val="20"/>
          <w:szCs w:val="20"/>
          <w:color w:val="auto"/>
        </w:rPr>
      </w:pPr>
    </w:p>
    <w:p>
      <w:pPr>
        <w:jc w:val="both"/>
        <w:ind w:left="320" w:hanging="116"/>
        <w:spacing w:after="0" w:line="208" w:lineRule="auto"/>
        <w:tabs>
          <w:tab w:leader="none" w:pos="320" w:val="left"/>
        </w:tabs>
        <w:numPr>
          <w:ilvl w:val="0"/>
          <w:numId w:val="105"/>
        </w:numPr>
        <w:rPr>
          <w:rFonts w:ascii="Arial" w:cs="Arial" w:eastAsia="Arial" w:hAnsi="Arial"/>
          <w:sz w:val="24"/>
          <w:szCs w:val="24"/>
          <w:color w:val="auto"/>
          <w:vertAlign w:val="superscript"/>
        </w:rPr>
      </w:pPr>
      <w:r>
        <w:rPr>
          <w:rFonts w:ascii="Arial" w:cs="Arial" w:eastAsia="Arial" w:hAnsi="Arial"/>
          <w:sz w:val="14"/>
          <w:szCs w:val="14"/>
          <w:color w:val="auto"/>
        </w:rPr>
        <w:t>The amounts shown in column (i) reflect the number of RSUs granted in 2017 to each of the named executive officers pursuant to the Stock-Based Award Plan. These awards are discussed under the heading “</w:t>
      </w:r>
      <w:r>
        <w:rPr>
          <w:rFonts w:ascii="Arial" w:cs="Arial" w:eastAsia="Arial" w:hAnsi="Arial"/>
          <w:sz w:val="14"/>
          <w:szCs w:val="14"/>
          <w:i w:val="1"/>
          <w:iCs w:val="1"/>
          <w:color w:val="auto"/>
        </w:rPr>
        <w:t>Long-Term Incentive Compensation”</w:t>
      </w:r>
      <w:r>
        <w:rPr>
          <w:rFonts w:ascii="Arial" w:cs="Arial" w:eastAsia="Arial" w:hAnsi="Arial"/>
          <w:sz w:val="14"/>
          <w:szCs w:val="14"/>
          <w:color w:val="auto"/>
        </w:rPr>
        <w:t xml:space="preserve"> on pages 46 to 48. These awards are also included in column (e) of the Summary Compensation Table on page 51.</w:t>
      </w:r>
    </w:p>
    <w:p>
      <w:pPr>
        <w:spacing w:after="0" w:line="49" w:lineRule="exact"/>
        <w:rPr>
          <w:sz w:val="20"/>
          <w:szCs w:val="20"/>
          <w:color w:val="auto"/>
        </w:rPr>
      </w:pPr>
    </w:p>
    <w:p>
      <w:pPr>
        <w:ind w:left="320" w:hanging="116"/>
        <w:spacing w:after="0" w:line="195" w:lineRule="auto"/>
        <w:tabs>
          <w:tab w:leader="none" w:pos="320" w:val="left"/>
        </w:tabs>
        <w:numPr>
          <w:ilvl w:val="0"/>
          <w:numId w:val="106"/>
        </w:numPr>
        <w:rPr>
          <w:rFonts w:ascii="Arial" w:cs="Arial" w:eastAsia="Arial" w:hAnsi="Arial"/>
          <w:sz w:val="24"/>
          <w:szCs w:val="24"/>
          <w:color w:val="auto"/>
          <w:vertAlign w:val="superscript"/>
        </w:rPr>
      </w:pPr>
      <w:r>
        <w:rPr>
          <w:rFonts w:ascii="Arial" w:cs="Arial" w:eastAsia="Arial" w:hAnsi="Arial"/>
          <w:sz w:val="14"/>
          <w:szCs w:val="14"/>
          <w:color w:val="auto"/>
        </w:rPr>
        <w:t>The amounts shown in columns (f), (g) and (h) reflect the threshold, target and maximum, respectively, levels of PSUs payable if the performance measurements are satisfied in the period 2017-2019. These awards are discussed under the heading “</w:t>
      </w:r>
      <w:r>
        <w:rPr>
          <w:rFonts w:ascii="Arial" w:cs="Arial" w:eastAsia="Arial" w:hAnsi="Arial"/>
          <w:sz w:val="14"/>
          <w:szCs w:val="14"/>
          <w:i w:val="1"/>
          <w:iCs w:val="1"/>
          <w:color w:val="auto"/>
        </w:rPr>
        <w:t>Long-Term Incentive Compensation</w:t>
      </w:r>
      <w:r>
        <w:rPr>
          <w:rFonts w:ascii="Arial" w:cs="Arial" w:eastAsia="Arial" w:hAnsi="Arial"/>
          <w:sz w:val="14"/>
          <w:szCs w:val="14"/>
          <w:color w:val="auto"/>
        </w:rPr>
        <w:t>” on pages 46 to 48.</w:t>
      </w:r>
    </w:p>
    <w:p>
      <w:pPr>
        <w:spacing w:after="0" w:line="50" w:lineRule="exact"/>
        <w:rPr>
          <w:sz w:val="20"/>
          <w:szCs w:val="20"/>
          <w:color w:val="auto"/>
        </w:rPr>
      </w:pPr>
    </w:p>
    <w:p>
      <w:pPr>
        <w:ind w:left="320" w:hanging="116"/>
        <w:spacing w:after="0" w:line="195" w:lineRule="auto"/>
        <w:tabs>
          <w:tab w:leader="none" w:pos="320" w:val="left"/>
        </w:tabs>
        <w:numPr>
          <w:ilvl w:val="0"/>
          <w:numId w:val="107"/>
        </w:numPr>
        <w:rPr>
          <w:rFonts w:ascii="Arial" w:cs="Arial" w:eastAsia="Arial" w:hAnsi="Arial"/>
          <w:sz w:val="24"/>
          <w:szCs w:val="24"/>
          <w:color w:val="auto"/>
          <w:vertAlign w:val="superscript"/>
        </w:rPr>
      </w:pPr>
      <w:r>
        <w:rPr>
          <w:rFonts w:ascii="Arial" w:cs="Arial" w:eastAsia="Arial" w:hAnsi="Arial"/>
          <w:sz w:val="14"/>
          <w:szCs w:val="14"/>
          <w:color w:val="auto"/>
        </w:rPr>
        <w:t>No options to purchase shares of Martin Marietta’s common stock were granted in 2017. The amounts shown in column (l) reflect the grant date fair value of each equity award computed in accordance with FASB ASC Topic 718.</w:t>
      </w:r>
    </w:p>
    <w:p>
      <w:pPr>
        <w:sectPr>
          <w:pgSz w:w="11900" w:h="16838" w:orient="portrait"/>
          <w:cols w:equalWidth="0" w:num="1">
            <w:col w:w="11220"/>
          </w:cols>
          <w:pgMar w:left="240" w:top="455" w:right="439" w:bottom="1440" w:gutter="0" w:footer="0" w:header="0"/>
        </w:sectPr>
      </w:pPr>
    </w:p>
    <w:p>
      <w:pPr>
        <w:spacing w:after="0" w:line="234" w:lineRule="exact"/>
        <w:rPr>
          <w:sz w:val="20"/>
          <w:szCs w:val="20"/>
          <w:color w:val="auto"/>
        </w:rPr>
      </w:pPr>
    </w:p>
    <w:p>
      <w:pPr>
        <w:jc w:val="both"/>
        <w:ind w:left="220"/>
        <w:spacing w:after="0" w:line="250" w:lineRule="auto"/>
        <w:rPr>
          <w:sz w:val="20"/>
          <w:szCs w:val="20"/>
          <w:color w:val="auto"/>
        </w:rPr>
      </w:pPr>
      <w:r>
        <w:rPr>
          <w:rFonts w:ascii="Arial" w:cs="Arial" w:eastAsia="Arial" w:hAnsi="Arial"/>
          <w:sz w:val="16"/>
          <w:szCs w:val="16"/>
          <w:color w:val="auto"/>
        </w:rPr>
        <w:t>Stock-based incentive awards have been a significant component of Martin Marietta’s management compensation. In 1998, the Board of Directors adopted and Martin Marietta’s shareholders approved the Stock Plan. In 2016, the Board of Directors and the shareholders approved amendments to the plan increasing the number of shares of Martin Marietta’s common stock available for equity awards. They also approved amendments to the plan designed to more directly tie long-term compensation incentives to Martin Marietta’s performance and enhance flexibility in structuring long-term incentive compensation packages by providing a mix of different types of long-term stock-based incentives. In addition, dividend equivalents that would have been paid in cash during the vesting period will be paid only if and when an award vests.</w:t>
      </w:r>
    </w:p>
    <w:p>
      <w:pPr>
        <w:spacing w:after="0" w:line="158" w:lineRule="exact"/>
        <w:rPr>
          <w:sz w:val="20"/>
          <w:szCs w:val="20"/>
          <w:color w:val="auto"/>
        </w:rPr>
      </w:pPr>
    </w:p>
    <w:p>
      <w:pPr>
        <w:jc w:val="both"/>
        <w:ind w:left="220" w:right="20"/>
        <w:spacing w:after="0" w:line="261" w:lineRule="auto"/>
        <w:rPr>
          <w:sz w:val="20"/>
          <w:szCs w:val="20"/>
          <w:color w:val="auto"/>
        </w:rPr>
      </w:pPr>
      <w:r>
        <w:rPr>
          <w:rFonts w:ascii="Arial" w:cs="Arial" w:eastAsia="Arial" w:hAnsi="Arial"/>
          <w:sz w:val="16"/>
          <w:szCs w:val="16"/>
          <w:color w:val="auto"/>
        </w:rPr>
        <w:t>As amended, the plan authorizes the Management Development and Compensation Committee to award stock options, restricted stock and other stock-based incentive awards to employees of Martin Marietta for the purpose of attracting,</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motivating, retaining and rewarding talented and experienced employees. Since 2016, Martin Marietta’s long-term compensation program consists of a mix of RSUs and PSUs for senior level employees and other select employees.</w:t>
      </w:r>
    </w:p>
    <w:p>
      <w:pPr>
        <w:spacing w:after="0" w:line="145"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 xml:space="preserve">Vesting of the awards granted in 2017 is based on the achievement by Martin Marietta of performance measures described under </w:t>
      </w:r>
      <w:r>
        <w:rPr>
          <w:rFonts w:ascii="Arial" w:cs="Arial" w:eastAsia="Arial" w:hAnsi="Arial"/>
          <w:sz w:val="16"/>
          <w:szCs w:val="16"/>
          <w:i w:val="1"/>
          <w:iCs w:val="1"/>
          <w:color w:val="auto"/>
        </w:rPr>
        <w:t>“Long-Term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Incentive Compensation” </w:t>
      </w:r>
      <w:r>
        <w:rPr>
          <w:rFonts w:ascii="Arial" w:cs="Arial" w:eastAsia="Arial" w:hAnsi="Arial"/>
          <w:sz w:val="16"/>
          <w:szCs w:val="16"/>
          <w:color w:val="auto"/>
        </w:rPr>
        <w:t>on pages 46 to 48.</w:t>
      </w:r>
    </w:p>
    <w:p>
      <w:pPr>
        <w:spacing w:after="0" w:line="12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 maximum of 5,800,000 shares of Martin Marietta’s common stock are authorized under the plan for grants to key employees. Each award under the plan is evidenced by an award agreement setting forth the number and type of stock-based incentives subject to the award and such other terms and conditions applicable to the award as determined by the Committee. No employee may receive annual grants for more than 300,000 shares of common stock with respect to (i) full-value awards or (ii) stock options or stock appreciation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175260</wp:posOffset>
            </wp:positionV>
            <wp:extent cx="411480" cy="2489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218" w:lineRule="exact"/>
        <w:rPr>
          <w:sz w:val="20"/>
          <w:szCs w:val="20"/>
          <w:color w:val="auto"/>
        </w:rPr>
      </w:pPr>
    </w:p>
    <w:p>
      <w:pPr>
        <w:sectPr>
          <w:pgSz w:w="11900" w:h="16838" w:orient="portrait"/>
          <w:cols w:equalWidth="0" w:num="2">
            <w:col w:w="5500" w:space="320"/>
            <w:col w:w="5400"/>
          </w:cols>
          <w:pgMar w:left="240" w:top="455" w:right="439" w:bottom="1440" w:gutter="0" w:footer="0" w:header="0"/>
          <w:type w:val="continuous"/>
        </w:sectPr>
      </w:pPr>
    </w:p>
    <w:p>
      <w:pPr>
        <w:spacing w:after="0" w:line="76" w:lineRule="exact"/>
        <w:rPr>
          <w:sz w:val="20"/>
          <w:szCs w:val="20"/>
          <w:color w:val="auto"/>
        </w:rPr>
      </w:pPr>
    </w:p>
    <w:p>
      <w:pPr>
        <w:ind w:left="640" w:hanging="436"/>
        <w:spacing w:after="0"/>
        <w:tabs>
          <w:tab w:leader="none" w:pos="640" w:val="left"/>
        </w:tabs>
        <w:numPr>
          <w:ilvl w:val="0"/>
          <w:numId w:val="108"/>
        </w:numPr>
        <w:rPr>
          <w:rFonts w:ascii="Arial" w:cs="Arial" w:eastAsia="Arial" w:hAnsi="Arial"/>
          <w:sz w:val="12"/>
          <w:szCs w:val="12"/>
          <w:b w:val="1"/>
          <w:bCs w:val="1"/>
          <w:color w:val="auto"/>
        </w:rPr>
      </w:pPr>
      <w:r>
        <w:rPr>
          <w:rFonts w:ascii="Arial" w:cs="Arial" w:eastAsia="Arial" w:hAnsi="Arial"/>
          <w:sz w:val="12"/>
          <w:szCs w:val="12"/>
          <w:color w:val="007CBA"/>
        </w:rPr>
        <w:t>2018 PROXY STATEMENT</w:t>
      </w:r>
    </w:p>
    <w:p>
      <w:pPr>
        <w:sectPr>
          <w:pgSz w:w="11900" w:h="16838" w:orient="portrait"/>
          <w:cols w:equalWidth="0" w:num="1">
            <w:col w:w="11220"/>
          </w:cols>
          <w:pgMar w:left="240" w:top="455" w:right="439" w:bottom="1440" w:gutter="0" w:footer="0" w:header="0"/>
          <w:type w:val="continuous"/>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64" w:lineRule="exact"/>
        <w:rPr>
          <w:sz w:val="20"/>
          <w:szCs w:val="20"/>
          <w:color w:val="auto"/>
        </w:rPr>
      </w:pPr>
    </w:p>
    <w:p>
      <w:pPr>
        <w:ind w:left="6580"/>
        <w:spacing w:after="0" w:line="241" w:lineRule="exact"/>
        <w:tabs>
          <w:tab w:leader="none" w:pos="9440" w:val="left"/>
        </w:tabs>
        <w:rPr>
          <w:sz w:val="20"/>
          <w:szCs w:val="20"/>
          <w:color w:val="auto"/>
        </w:rPr>
      </w:pPr>
      <w:r>
        <w:rPr>
          <w:rFonts w:ascii="Arial" w:cs="Arial" w:eastAsia="Arial" w:hAnsi="Arial"/>
          <w:sz w:val="14"/>
          <w:szCs w:val="14"/>
          <w:color w:val="auto"/>
        </w:rPr>
        <w:t>Outstanding Equity Awards at Fiscal Year-End</w:t>
      </w:r>
      <w:r>
        <w:rPr>
          <w:sz w:val="20"/>
          <w:szCs w:val="20"/>
          <w:color w:val="auto"/>
        </w:rPr>
        <w:tab/>
      </w:r>
      <w:r>
        <w:rPr>
          <w:rFonts w:ascii="MS PGothic" w:cs="MS PGothic" w:eastAsia="MS PGothic" w:hAnsi="MS PGothic"/>
          <w:sz w:val="24"/>
          <w:szCs w:val="24"/>
          <w:color w:val="007CBA"/>
        </w:rPr>
        <w:t xml:space="preserve">◆ </w:t>
      </w:r>
      <w:r>
        <w:rPr>
          <w:rFonts w:ascii="Arial" w:cs="Arial" w:eastAsia="Arial" w:hAnsi="Arial"/>
          <w:sz w:val="13"/>
          <w:szCs w:val="13"/>
          <w:color w:val="007CBA"/>
        </w:rPr>
        <w:t>Executive Compensation</w:t>
      </w:r>
    </w:p>
    <w:p>
      <w:pPr>
        <w:spacing w:after="0" w:line="235"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007CBA"/>
        </w:rPr>
        <w:t>Outstanding Equity Awards at Fiscal Year-End</w:t>
      </w:r>
    </w:p>
    <w:p>
      <w:pPr>
        <w:spacing w:after="0" w:line="134" w:lineRule="exact"/>
        <w:rPr>
          <w:sz w:val="20"/>
          <w:szCs w:val="20"/>
          <w:color w:val="auto"/>
        </w:rPr>
      </w:pPr>
    </w:p>
    <w:p>
      <w:pPr>
        <w:jc w:val="both"/>
        <w:ind w:left="200" w:right="20"/>
        <w:spacing w:after="0" w:line="279" w:lineRule="auto"/>
        <w:rPr>
          <w:sz w:val="20"/>
          <w:szCs w:val="20"/>
          <w:color w:val="auto"/>
        </w:rPr>
      </w:pPr>
      <w:r>
        <w:rPr>
          <w:rFonts w:ascii="Arial" w:cs="Arial" w:eastAsia="Arial" w:hAnsi="Arial"/>
          <w:sz w:val="16"/>
          <w:szCs w:val="16"/>
          <w:color w:val="auto"/>
        </w:rPr>
        <w:t>The table below shows for each of the named executive officers information with respect to the unexercised stock options (columns (b), (c), (e), and (f)), stock unit awards (columns (g) and (h)) that have not vested, and equity incentive plan awards (columns (d), (i), and (j)) outstanding on December 31, 2017.</w:t>
      </w:r>
    </w:p>
    <w:p>
      <w:pPr>
        <w:spacing w:after="0" w:line="343"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OUTSTANDING EQUITY AWARDS AT FISCAL YEAR-END TABLE</w:t>
      </w:r>
    </w:p>
    <w:p>
      <w:pPr>
        <w:spacing w:after="0" w:line="254"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3240" w:type="dxa"/>
            <w:vAlign w:val="bottom"/>
            <w:tcBorders>
              <w:right w:val="single" w:sz="8" w:color="007CBA"/>
            </w:tcBorders>
            <w:shd w:val="clear" w:color="auto" w:fill="007CBA"/>
          </w:tcPr>
          <w:p>
            <w:pPr>
              <w:spacing w:after="0"/>
              <w:rPr>
                <w:sz w:val="14"/>
                <w:szCs w:val="14"/>
                <w:color w:val="auto"/>
              </w:rPr>
            </w:pPr>
          </w:p>
        </w:tc>
        <w:tc>
          <w:tcPr>
            <w:tcW w:w="80" w:type="dxa"/>
            <w:vAlign w:val="bottom"/>
            <w:shd w:val="clear" w:color="auto" w:fill="007CBA"/>
          </w:tcPr>
          <w:p>
            <w:pPr>
              <w:spacing w:after="0"/>
              <w:rPr>
                <w:sz w:val="14"/>
                <w:szCs w:val="14"/>
                <w:color w:val="auto"/>
              </w:rPr>
            </w:pPr>
          </w:p>
        </w:tc>
        <w:tc>
          <w:tcPr>
            <w:tcW w:w="920" w:type="dxa"/>
            <w:vAlign w:val="bottom"/>
            <w:tcBorders>
              <w:right w:val="single" w:sz="8" w:color="007CBA"/>
            </w:tcBorders>
            <w:shd w:val="clear" w:color="auto" w:fill="007CBA"/>
          </w:tcPr>
          <w:p>
            <w:pPr>
              <w:spacing w:after="0"/>
              <w:rPr>
                <w:sz w:val="14"/>
                <w:szCs w:val="14"/>
                <w:color w:val="auto"/>
              </w:rPr>
            </w:pPr>
          </w:p>
        </w:tc>
        <w:tc>
          <w:tcPr>
            <w:tcW w:w="1880" w:type="dxa"/>
            <w:vAlign w:val="bottom"/>
            <w:tcBorders>
              <w:right w:val="single" w:sz="8" w:color="007CBA"/>
            </w:tcBorders>
            <w:gridSpan w:val="2"/>
            <w:shd w:val="clear" w:color="auto" w:fill="007CBA"/>
          </w:tcPr>
          <w:p>
            <w:pPr>
              <w:jc w:val="right"/>
              <w:ind w:right="389"/>
              <w:spacing w:after="0"/>
              <w:rPr>
                <w:sz w:val="20"/>
                <w:szCs w:val="20"/>
                <w:color w:val="auto"/>
              </w:rPr>
            </w:pPr>
            <w:r>
              <w:rPr>
                <w:rFonts w:ascii="Arial" w:cs="Arial" w:eastAsia="Arial" w:hAnsi="Arial"/>
                <w:sz w:val="14"/>
                <w:szCs w:val="14"/>
                <w:b w:val="1"/>
                <w:bCs w:val="1"/>
                <w:color w:val="FFFFFF"/>
              </w:rPr>
              <w:t>OPTION AWARDS</w:t>
            </w:r>
          </w:p>
        </w:tc>
        <w:tc>
          <w:tcPr>
            <w:tcW w:w="880" w:type="dxa"/>
            <w:vAlign w:val="bottom"/>
            <w:tcBorders>
              <w:right w:val="single" w:sz="8" w:color="007CBA"/>
            </w:tcBorders>
            <w:shd w:val="clear" w:color="auto" w:fill="007CBA"/>
          </w:tcPr>
          <w:p>
            <w:pPr>
              <w:spacing w:after="0"/>
              <w:rPr>
                <w:sz w:val="14"/>
                <w:szCs w:val="14"/>
                <w:color w:val="auto"/>
              </w:rPr>
            </w:pPr>
          </w:p>
        </w:tc>
        <w:tc>
          <w:tcPr>
            <w:tcW w:w="1000" w:type="dxa"/>
            <w:vAlign w:val="bottom"/>
            <w:tcBorders>
              <w:right w:val="single" w:sz="8" w:color="007CBA"/>
            </w:tcBorders>
            <w:shd w:val="clear" w:color="auto" w:fill="007CBA"/>
          </w:tcPr>
          <w:p>
            <w:pPr>
              <w:spacing w:after="0"/>
              <w:rPr>
                <w:sz w:val="14"/>
                <w:szCs w:val="14"/>
                <w:color w:val="auto"/>
              </w:rPr>
            </w:pPr>
          </w:p>
        </w:tc>
        <w:tc>
          <w:tcPr>
            <w:tcW w:w="2160" w:type="dxa"/>
            <w:vAlign w:val="bottom"/>
            <w:tcBorders>
              <w:right w:val="single" w:sz="8" w:color="007CBA"/>
            </w:tcBorders>
            <w:gridSpan w:val="2"/>
            <w:shd w:val="clear" w:color="auto" w:fill="007CBA"/>
          </w:tcPr>
          <w:p>
            <w:pPr>
              <w:ind w:left="440"/>
              <w:spacing w:after="0"/>
              <w:rPr>
                <w:sz w:val="20"/>
                <w:szCs w:val="20"/>
                <w:color w:val="auto"/>
              </w:rPr>
            </w:pPr>
            <w:r>
              <w:rPr>
                <w:rFonts w:ascii="Arial" w:cs="Arial" w:eastAsia="Arial" w:hAnsi="Arial"/>
                <w:sz w:val="14"/>
                <w:szCs w:val="14"/>
                <w:b w:val="1"/>
                <w:bCs w:val="1"/>
                <w:color w:val="FFFFFF"/>
              </w:rPr>
              <w:t>STOCK AWARDS</w:t>
            </w:r>
          </w:p>
        </w:tc>
        <w:tc>
          <w:tcPr>
            <w:tcW w:w="860" w:type="dxa"/>
            <w:vAlign w:val="bottom"/>
            <w:vMerge w:val="restart"/>
            <w:shd w:val="clear" w:color="auto" w:fill="007CBA"/>
          </w:tcPr>
          <w:p>
            <w:pPr>
              <w:jc w:val="center"/>
              <w:spacing w:after="0"/>
              <w:rPr>
                <w:sz w:val="20"/>
                <w:szCs w:val="20"/>
                <w:color w:val="auto"/>
              </w:rPr>
            </w:pPr>
            <w:r>
              <w:rPr>
                <w:rFonts w:ascii="Arial" w:cs="Arial" w:eastAsia="Arial" w:hAnsi="Arial"/>
                <w:sz w:val="14"/>
                <w:szCs w:val="14"/>
                <w:b w:val="1"/>
                <w:bCs w:val="1"/>
                <w:color w:val="FFFFFF"/>
                <w:w w:val="98"/>
              </w:rPr>
              <w:t>Equity</w:t>
            </w:r>
          </w:p>
        </w:tc>
        <w:tc>
          <w:tcPr>
            <w:tcW w:w="0" w:type="dxa"/>
            <w:vAlign w:val="bottom"/>
          </w:tcPr>
          <w:p>
            <w:pPr>
              <w:spacing w:after="0"/>
              <w:rPr>
                <w:sz w:val="1"/>
                <w:szCs w:val="1"/>
                <w:color w:val="auto"/>
              </w:rPr>
            </w:pPr>
          </w:p>
        </w:tc>
      </w:tr>
      <w:tr>
        <w:trPr>
          <w:trHeight w:val="143"/>
        </w:trPr>
        <w:tc>
          <w:tcPr>
            <w:tcW w:w="3240" w:type="dxa"/>
            <w:vAlign w:val="bottom"/>
            <w:tcBorders>
              <w:right w:val="single" w:sz="8" w:color="007CBA"/>
            </w:tcBorders>
            <w:shd w:val="clear" w:color="auto" w:fill="007CBA"/>
          </w:tcPr>
          <w:p>
            <w:pPr>
              <w:spacing w:after="0"/>
              <w:rPr>
                <w:sz w:val="12"/>
                <w:szCs w:val="12"/>
                <w:color w:val="auto"/>
              </w:rPr>
            </w:pPr>
          </w:p>
        </w:tc>
        <w:tc>
          <w:tcPr>
            <w:tcW w:w="80" w:type="dxa"/>
            <w:vAlign w:val="bottom"/>
            <w:shd w:val="clear" w:color="auto" w:fill="007CBA"/>
          </w:tcPr>
          <w:p>
            <w:pPr>
              <w:spacing w:after="0"/>
              <w:rPr>
                <w:sz w:val="12"/>
                <w:szCs w:val="12"/>
                <w:color w:val="auto"/>
              </w:rPr>
            </w:pPr>
          </w:p>
        </w:tc>
        <w:tc>
          <w:tcPr>
            <w:tcW w:w="920" w:type="dxa"/>
            <w:vAlign w:val="bottom"/>
            <w:tcBorders>
              <w:right w:val="single" w:sz="8" w:color="007CBA"/>
            </w:tcBorders>
            <w:shd w:val="clear" w:color="auto" w:fill="007CBA"/>
          </w:tcPr>
          <w:p>
            <w:pPr>
              <w:spacing w:after="0"/>
              <w:rPr>
                <w:sz w:val="12"/>
                <w:szCs w:val="12"/>
                <w:color w:val="auto"/>
              </w:rPr>
            </w:pPr>
          </w:p>
        </w:tc>
        <w:tc>
          <w:tcPr>
            <w:tcW w:w="1140" w:type="dxa"/>
            <w:vAlign w:val="bottom"/>
            <w:tcBorders>
              <w:right w:val="single" w:sz="8" w:color="007CBA"/>
            </w:tcBorders>
            <w:shd w:val="clear" w:color="auto" w:fill="007CBA"/>
          </w:tcPr>
          <w:p>
            <w:pPr>
              <w:spacing w:after="0"/>
              <w:rPr>
                <w:sz w:val="12"/>
                <w:szCs w:val="12"/>
                <w:color w:val="auto"/>
              </w:rPr>
            </w:pPr>
          </w:p>
        </w:tc>
        <w:tc>
          <w:tcPr>
            <w:tcW w:w="740" w:type="dxa"/>
            <w:vAlign w:val="bottom"/>
            <w:tcBorders>
              <w:right w:val="single" w:sz="8" w:color="007CBA"/>
            </w:tcBorders>
            <w:shd w:val="clear" w:color="auto" w:fill="007CBA"/>
          </w:tcPr>
          <w:p>
            <w:pPr>
              <w:spacing w:after="0"/>
              <w:rPr>
                <w:sz w:val="12"/>
                <w:szCs w:val="12"/>
                <w:color w:val="auto"/>
              </w:rPr>
            </w:pPr>
          </w:p>
        </w:tc>
        <w:tc>
          <w:tcPr>
            <w:tcW w:w="880" w:type="dxa"/>
            <w:vAlign w:val="bottom"/>
            <w:tcBorders>
              <w:right w:val="single" w:sz="8" w:color="007CBA"/>
            </w:tcBorders>
            <w:shd w:val="clear" w:color="auto" w:fill="007CBA"/>
          </w:tcPr>
          <w:p>
            <w:pPr>
              <w:spacing w:after="0"/>
              <w:rPr>
                <w:sz w:val="12"/>
                <w:szCs w:val="12"/>
                <w:color w:val="auto"/>
              </w:rPr>
            </w:pPr>
          </w:p>
        </w:tc>
        <w:tc>
          <w:tcPr>
            <w:tcW w:w="1000" w:type="dxa"/>
            <w:vAlign w:val="bottom"/>
            <w:tcBorders>
              <w:right w:val="single" w:sz="8" w:color="007CBA"/>
            </w:tcBorders>
            <w:shd w:val="clear" w:color="auto" w:fill="007CBA"/>
          </w:tcPr>
          <w:p>
            <w:pPr>
              <w:spacing w:after="0"/>
              <w:rPr>
                <w:sz w:val="12"/>
                <w:szCs w:val="12"/>
                <w:color w:val="auto"/>
              </w:rPr>
            </w:pPr>
          </w:p>
        </w:tc>
        <w:tc>
          <w:tcPr>
            <w:tcW w:w="960" w:type="dxa"/>
            <w:vAlign w:val="bottom"/>
            <w:tcBorders>
              <w:right w:val="single" w:sz="8" w:color="007CBA"/>
            </w:tcBorders>
            <w:shd w:val="clear" w:color="auto" w:fill="007CBA"/>
          </w:tcPr>
          <w:p>
            <w:pPr>
              <w:spacing w:after="0"/>
              <w:rPr>
                <w:sz w:val="12"/>
                <w:szCs w:val="12"/>
                <w:color w:val="auto"/>
              </w:rPr>
            </w:pPr>
          </w:p>
        </w:tc>
        <w:tc>
          <w:tcPr>
            <w:tcW w:w="1200" w:type="dxa"/>
            <w:vAlign w:val="bottom"/>
            <w:tcBorders>
              <w:right w:val="single" w:sz="8" w:color="007CBA"/>
            </w:tcBorders>
            <w:shd w:val="clear" w:color="auto" w:fill="007CBA"/>
          </w:tcPr>
          <w:p>
            <w:pPr>
              <w:spacing w:after="0"/>
              <w:rPr>
                <w:sz w:val="12"/>
                <w:szCs w:val="12"/>
                <w:color w:val="auto"/>
              </w:rPr>
            </w:pPr>
          </w:p>
        </w:tc>
        <w:tc>
          <w:tcPr>
            <w:tcW w:w="860" w:type="dxa"/>
            <w:vAlign w:val="bottom"/>
            <w:vMerge w:val="continue"/>
            <w:shd w:val="clear" w:color="auto" w:fill="007CBA"/>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Borders>
              <w:right w:val="single" w:sz="8" w:color="007CBA"/>
            </w:tcBorders>
            <w:shd w:val="clear" w:color="auto" w:fill="007CBA"/>
          </w:tcPr>
          <w:p>
            <w:pPr>
              <w:spacing w:after="0"/>
              <w:rPr>
                <w:sz w:val="12"/>
                <w:szCs w:val="12"/>
                <w:color w:val="auto"/>
              </w:rPr>
            </w:pPr>
          </w:p>
        </w:tc>
        <w:tc>
          <w:tcPr>
            <w:tcW w:w="80" w:type="dxa"/>
            <w:vAlign w:val="bottom"/>
            <w:shd w:val="clear" w:color="auto" w:fill="007CBA"/>
          </w:tcPr>
          <w:p>
            <w:pPr>
              <w:spacing w:after="0"/>
              <w:rPr>
                <w:sz w:val="12"/>
                <w:szCs w:val="12"/>
                <w:color w:val="auto"/>
              </w:rPr>
            </w:pPr>
          </w:p>
        </w:tc>
        <w:tc>
          <w:tcPr>
            <w:tcW w:w="920" w:type="dxa"/>
            <w:vAlign w:val="bottom"/>
            <w:tcBorders>
              <w:right w:val="single" w:sz="8" w:color="007CBA"/>
            </w:tcBorders>
            <w:shd w:val="clear" w:color="auto" w:fill="007CBA"/>
          </w:tcPr>
          <w:p>
            <w:pPr>
              <w:spacing w:after="0"/>
              <w:rPr>
                <w:sz w:val="12"/>
                <w:szCs w:val="12"/>
                <w:color w:val="auto"/>
              </w:rPr>
            </w:pPr>
          </w:p>
        </w:tc>
        <w:tc>
          <w:tcPr>
            <w:tcW w:w="1140" w:type="dxa"/>
            <w:vAlign w:val="bottom"/>
            <w:tcBorders>
              <w:right w:val="single" w:sz="8" w:color="007CBA"/>
            </w:tcBorders>
            <w:shd w:val="clear" w:color="auto" w:fill="007CBA"/>
          </w:tcPr>
          <w:p>
            <w:pPr>
              <w:spacing w:after="0"/>
              <w:rPr>
                <w:sz w:val="12"/>
                <w:szCs w:val="12"/>
                <w:color w:val="auto"/>
              </w:rPr>
            </w:pPr>
          </w:p>
        </w:tc>
        <w:tc>
          <w:tcPr>
            <w:tcW w:w="740" w:type="dxa"/>
            <w:vAlign w:val="bottom"/>
            <w:tcBorders>
              <w:right w:val="single" w:sz="8" w:color="007CBA"/>
            </w:tcBorders>
            <w:shd w:val="clear" w:color="auto" w:fill="007CBA"/>
          </w:tcPr>
          <w:p>
            <w:pPr>
              <w:spacing w:after="0"/>
              <w:rPr>
                <w:sz w:val="12"/>
                <w:szCs w:val="12"/>
                <w:color w:val="auto"/>
              </w:rPr>
            </w:pPr>
          </w:p>
        </w:tc>
        <w:tc>
          <w:tcPr>
            <w:tcW w:w="880" w:type="dxa"/>
            <w:vAlign w:val="bottom"/>
            <w:tcBorders>
              <w:right w:val="single" w:sz="8" w:color="007CBA"/>
            </w:tcBorders>
            <w:shd w:val="clear" w:color="auto" w:fill="007CBA"/>
          </w:tcPr>
          <w:p>
            <w:pPr>
              <w:spacing w:after="0"/>
              <w:rPr>
                <w:sz w:val="12"/>
                <w:szCs w:val="12"/>
                <w:color w:val="auto"/>
              </w:rPr>
            </w:pPr>
          </w:p>
        </w:tc>
        <w:tc>
          <w:tcPr>
            <w:tcW w:w="1000" w:type="dxa"/>
            <w:vAlign w:val="bottom"/>
            <w:tcBorders>
              <w:right w:val="single" w:sz="8" w:color="007CBA"/>
            </w:tcBorders>
            <w:shd w:val="clear" w:color="auto" w:fill="007CBA"/>
          </w:tcPr>
          <w:p>
            <w:pPr>
              <w:spacing w:after="0"/>
              <w:rPr>
                <w:sz w:val="12"/>
                <w:szCs w:val="12"/>
                <w:color w:val="auto"/>
              </w:rPr>
            </w:pPr>
          </w:p>
        </w:tc>
        <w:tc>
          <w:tcPr>
            <w:tcW w:w="960" w:type="dxa"/>
            <w:vAlign w:val="bottom"/>
            <w:tcBorders>
              <w:right w:val="single" w:sz="8" w:color="007CBA"/>
            </w:tcBorders>
            <w:shd w:val="clear" w:color="auto" w:fill="007CBA"/>
          </w:tcPr>
          <w:p>
            <w:pPr>
              <w:spacing w:after="0"/>
              <w:rPr>
                <w:sz w:val="12"/>
                <w:szCs w:val="12"/>
                <w:color w:val="auto"/>
              </w:rPr>
            </w:pPr>
          </w:p>
        </w:tc>
        <w:tc>
          <w:tcPr>
            <w:tcW w:w="1200" w:type="dxa"/>
            <w:vAlign w:val="bottom"/>
            <w:tcBorders>
              <w:right w:val="single" w:sz="8" w:color="007CBA"/>
            </w:tcBorders>
            <w:shd w:val="clear" w:color="auto" w:fill="007CBA"/>
          </w:tcPr>
          <w:p>
            <w:pPr>
              <w:spacing w:after="0"/>
              <w:rPr>
                <w:sz w:val="12"/>
                <w:szCs w:val="12"/>
                <w:color w:val="auto"/>
              </w:rPr>
            </w:pPr>
          </w:p>
        </w:tc>
        <w:tc>
          <w:tcPr>
            <w:tcW w:w="860" w:type="dxa"/>
            <w:vAlign w:val="bottom"/>
            <w:shd w:val="clear" w:color="auto" w:fill="007CBA"/>
          </w:tcPr>
          <w:p>
            <w:pPr>
              <w:jc w:val="center"/>
              <w:spacing w:after="0" w:line="149" w:lineRule="exact"/>
              <w:rPr>
                <w:sz w:val="20"/>
                <w:szCs w:val="20"/>
                <w:color w:val="auto"/>
              </w:rPr>
            </w:pPr>
            <w:r>
              <w:rPr>
                <w:rFonts w:ascii="Arial" w:cs="Arial" w:eastAsia="Arial" w:hAnsi="Arial"/>
                <w:sz w:val="14"/>
                <w:szCs w:val="14"/>
                <w:b w:val="1"/>
                <w:bCs w:val="1"/>
                <w:color w:val="FFFFFF"/>
                <w:w w:val="95"/>
              </w:rPr>
              <w:t>Incentive</w:t>
            </w:r>
          </w:p>
        </w:tc>
        <w:tc>
          <w:tcPr>
            <w:tcW w:w="0" w:type="dxa"/>
            <w:vAlign w:val="bottom"/>
          </w:tcPr>
          <w:p>
            <w:pPr>
              <w:spacing w:after="0"/>
              <w:rPr>
                <w:sz w:val="1"/>
                <w:szCs w:val="1"/>
                <w:color w:val="auto"/>
              </w:rPr>
            </w:pPr>
          </w:p>
        </w:tc>
      </w:tr>
      <w:tr>
        <w:trPr>
          <w:trHeight w:val="149"/>
        </w:trPr>
        <w:tc>
          <w:tcPr>
            <w:tcW w:w="3240" w:type="dxa"/>
            <w:vAlign w:val="bottom"/>
            <w:tcBorders>
              <w:right w:val="single" w:sz="8" w:color="007CBA"/>
            </w:tcBorders>
            <w:shd w:val="clear" w:color="auto" w:fill="007CBA"/>
          </w:tcPr>
          <w:p>
            <w:pPr>
              <w:spacing w:after="0"/>
              <w:rPr>
                <w:sz w:val="12"/>
                <w:szCs w:val="12"/>
                <w:color w:val="auto"/>
              </w:rPr>
            </w:pPr>
          </w:p>
        </w:tc>
        <w:tc>
          <w:tcPr>
            <w:tcW w:w="80" w:type="dxa"/>
            <w:vAlign w:val="bottom"/>
            <w:shd w:val="clear" w:color="auto" w:fill="007CBA"/>
          </w:tcPr>
          <w:p>
            <w:pPr>
              <w:spacing w:after="0"/>
              <w:rPr>
                <w:sz w:val="12"/>
                <w:szCs w:val="12"/>
                <w:color w:val="auto"/>
              </w:rPr>
            </w:pPr>
          </w:p>
        </w:tc>
        <w:tc>
          <w:tcPr>
            <w:tcW w:w="920" w:type="dxa"/>
            <w:vAlign w:val="bottom"/>
            <w:tcBorders>
              <w:right w:val="single" w:sz="8" w:color="007CBA"/>
            </w:tcBorders>
            <w:shd w:val="clear" w:color="auto" w:fill="007CBA"/>
          </w:tcPr>
          <w:p>
            <w:pPr>
              <w:spacing w:after="0"/>
              <w:rPr>
                <w:sz w:val="12"/>
                <w:szCs w:val="12"/>
                <w:color w:val="auto"/>
              </w:rPr>
            </w:pPr>
          </w:p>
        </w:tc>
        <w:tc>
          <w:tcPr>
            <w:tcW w:w="1140" w:type="dxa"/>
            <w:vAlign w:val="bottom"/>
            <w:tcBorders>
              <w:right w:val="single" w:sz="8" w:color="007CBA"/>
            </w:tcBorders>
            <w:shd w:val="clear" w:color="auto" w:fill="007CBA"/>
          </w:tcPr>
          <w:p>
            <w:pPr>
              <w:spacing w:after="0"/>
              <w:rPr>
                <w:sz w:val="12"/>
                <w:szCs w:val="12"/>
                <w:color w:val="auto"/>
              </w:rPr>
            </w:pPr>
          </w:p>
        </w:tc>
        <w:tc>
          <w:tcPr>
            <w:tcW w:w="740" w:type="dxa"/>
            <w:vAlign w:val="bottom"/>
            <w:tcBorders>
              <w:right w:val="single" w:sz="8" w:color="007CBA"/>
            </w:tcBorders>
            <w:shd w:val="clear" w:color="auto" w:fill="007CBA"/>
          </w:tcPr>
          <w:p>
            <w:pPr>
              <w:spacing w:after="0"/>
              <w:rPr>
                <w:sz w:val="12"/>
                <w:szCs w:val="12"/>
                <w:color w:val="auto"/>
              </w:rPr>
            </w:pPr>
          </w:p>
        </w:tc>
        <w:tc>
          <w:tcPr>
            <w:tcW w:w="880" w:type="dxa"/>
            <w:vAlign w:val="bottom"/>
            <w:tcBorders>
              <w:right w:val="single" w:sz="8" w:color="007CBA"/>
            </w:tcBorders>
            <w:shd w:val="clear" w:color="auto" w:fill="007CBA"/>
          </w:tcPr>
          <w:p>
            <w:pPr>
              <w:spacing w:after="0"/>
              <w:rPr>
                <w:sz w:val="12"/>
                <w:szCs w:val="12"/>
                <w:color w:val="auto"/>
              </w:rPr>
            </w:pPr>
          </w:p>
        </w:tc>
        <w:tc>
          <w:tcPr>
            <w:tcW w:w="1000" w:type="dxa"/>
            <w:vAlign w:val="bottom"/>
            <w:tcBorders>
              <w:right w:val="single" w:sz="8" w:color="007CBA"/>
            </w:tcBorders>
            <w:shd w:val="clear" w:color="auto" w:fill="007CBA"/>
          </w:tcPr>
          <w:p>
            <w:pPr>
              <w:spacing w:after="0"/>
              <w:rPr>
                <w:sz w:val="12"/>
                <w:szCs w:val="12"/>
                <w:color w:val="auto"/>
              </w:rPr>
            </w:pPr>
          </w:p>
        </w:tc>
        <w:tc>
          <w:tcPr>
            <w:tcW w:w="960" w:type="dxa"/>
            <w:vAlign w:val="bottom"/>
            <w:tcBorders>
              <w:right w:val="single" w:sz="8" w:color="007CBA"/>
            </w:tcBorders>
            <w:shd w:val="clear" w:color="auto" w:fill="007CBA"/>
          </w:tcPr>
          <w:p>
            <w:pPr>
              <w:spacing w:after="0"/>
              <w:rPr>
                <w:sz w:val="12"/>
                <w:szCs w:val="12"/>
                <w:color w:val="auto"/>
              </w:rPr>
            </w:pPr>
          </w:p>
        </w:tc>
        <w:tc>
          <w:tcPr>
            <w:tcW w:w="1200" w:type="dxa"/>
            <w:vAlign w:val="bottom"/>
            <w:tcBorders>
              <w:right w:val="single" w:sz="8" w:color="007CBA"/>
            </w:tcBorders>
            <w:shd w:val="clear" w:color="auto" w:fill="007CBA"/>
          </w:tcPr>
          <w:p>
            <w:pPr>
              <w:spacing w:after="0"/>
              <w:rPr>
                <w:sz w:val="12"/>
                <w:szCs w:val="12"/>
                <w:color w:val="auto"/>
              </w:rPr>
            </w:pPr>
          </w:p>
        </w:tc>
        <w:tc>
          <w:tcPr>
            <w:tcW w:w="860" w:type="dxa"/>
            <w:vAlign w:val="bottom"/>
            <w:shd w:val="clear" w:color="auto" w:fill="007CBA"/>
          </w:tcPr>
          <w:p>
            <w:pPr>
              <w:jc w:val="center"/>
              <w:spacing w:after="0" w:line="149" w:lineRule="exact"/>
              <w:rPr>
                <w:sz w:val="20"/>
                <w:szCs w:val="20"/>
                <w:color w:val="auto"/>
              </w:rPr>
            </w:pPr>
            <w:r>
              <w:rPr>
                <w:rFonts w:ascii="Arial" w:cs="Arial" w:eastAsia="Arial" w:hAnsi="Arial"/>
                <w:sz w:val="14"/>
                <w:szCs w:val="14"/>
                <w:b w:val="1"/>
                <w:bCs w:val="1"/>
                <w:color w:val="FFFFFF"/>
                <w:w w:val="94"/>
              </w:rPr>
              <w:t>Plan</w:t>
            </w:r>
          </w:p>
        </w:tc>
        <w:tc>
          <w:tcPr>
            <w:tcW w:w="0" w:type="dxa"/>
            <w:vAlign w:val="bottom"/>
          </w:tcPr>
          <w:p>
            <w:pPr>
              <w:spacing w:after="0"/>
              <w:rPr>
                <w:sz w:val="1"/>
                <w:szCs w:val="1"/>
                <w:color w:val="auto"/>
              </w:rPr>
            </w:pPr>
          </w:p>
        </w:tc>
      </w:tr>
      <w:tr>
        <w:trPr>
          <w:trHeight w:val="149"/>
        </w:trPr>
        <w:tc>
          <w:tcPr>
            <w:tcW w:w="3240" w:type="dxa"/>
            <w:vAlign w:val="bottom"/>
            <w:tcBorders>
              <w:right w:val="single" w:sz="8" w:color="007CBA"/>
            </w:tcBorders>
            <w:shd w:val="clear" w:color="auto" w:fill="007CBA"/>
          </w:tcPr>
          <w:p>
            <w:pPr>
              <w:spacing w:after="0"/>
              <w:rPr>
                <w:sz w:val="12"/>
                <w:szCs w:val="12"/>
                <w:color w:val="auto"/>
              </w:rPr>
            </w:pPr>
          </w:p>
        </w:tc>
        <w:tc>
          <w:tcPr>
            <w:tcW w:w="80" w:type="dxa"/>
            <w:vAlign w:val="bottom"/>
            <w:shd w:val="clear" w:color="auto" w:fill="007CBA"/>
          </w:tcPr>
          <w:p>
            <w:pPr>
              <w:spacing w:after="0"/>
              <w:rPr>
                <w:sz w:val="12"/>
                <w:szCs w:val="12"/>
                <w:color w:val="auto"/>
              </w:rPr>
            </w:pPr>
          </w:p>
        </w:tc>
        <w:tc>
          <w:tcPr>
            <w:tcW w:w="920" w:type="dxa"/>
            <w:vAlign w:val="bottom"/>
            <w:tcBorders>
              <w:right w:val="single" w:sz="8" w:color="007CBA"/>
            </w:tcBorders>
            <w:shd w:val="clear" w:color="auto" w:fill="007CBA"/>
          </w:tcPr>
          <w:p>
            <w:pPr>
              <w:spacing w:after="0"/>
              <w:rPr>
                <w:sz w:val="12"/>
                <w:szCs w:val="12"/>
                <w:color w:val="auto"/>
              </w:rPr>
            </w:pPr>
          </w:p>
        </w:tc>
        <w:tc>
          <w:tcPr>
            <w:tcW w:w="1140" w:type="dxa"/>
            <w:vAlign w:val="bottom"/>
            <w:tcBorders>
              <w:right w:val="single" w:sz="8" w:color="007CBA"/>
            </w:tcBorders>
            <w:shd w:val="clear" w:color="auto" w:fill="007CBA"/>
          </w:tcPr>
          <w:p>
            <w:pPr>
              <w:spacing w:after="0"/>
              <w:rPr>
                <w:sz w:val="12"/>
                <w:szCs w:val="12"/>
                <w:color w:val="auto"/>
              </w:rPr>
            </w:pPr>
          </w:p>
        </w:tc>
        <w:tc>
          <w:tcPr>
            <w:tcW w:w="740" w:type="dxa"/>
            <w:vAlign w:val="bottom"/>
            <w:tcBorders>
              <w:right w:val="single" w:sz="8" w:color="007CBA"/>
            </w:tcBorders>
            <w:shd w:val="clear" w:color="auto" w:fill="007CBA"/>
          </w:tcPr>
          <w:p>
            <w:pPr>
              <w:spacing w:after="0"/>
              <w:rPr>
                <w:sz w:val="12"/>
                <w:szCs w:val="12"/>
                <w:color w:val="auto"/>
              </w:rPr>
            </w:pPr>
          </w:p>
        </w:tc>
        <w:tc>
          <w:tcPr>
            <w:tcW w:w="880" w:type="dxa"/>
            <w:vAlign w:val="bottom"/>
            <w:tcBorders>
              <w:right w:val="single" w:sz="8" w:color="007CBA"/>
            </w:tcBorders>
            <w:shd w:val="clear" w:color="auto" w:fill="007CBA"/>
          </w:tcPr>
          <w:p>
            <w:pPr>
              <w:spacing w:after="0"/>
              <w:rPr>
                <w:sz w:val="12"/>
                <w:szCs w:val="12"/>
                <w:color w:val="auto"/>
              </w:rPr>
            </w:pPr>
          </w:p>
        </w:tc>
        <w:tc>
          <w:tcPr>
            <w:tcW w:w="1000" w:type="dxa"/>
            <w:vAlign w:val="bottom"/>
            <w:tcBorders>
              <w:right w:val="single" w:sz="8" w:color="007CBA"/>
            </w:tcBorders>
            <w:shd w:val="clear" w:color="auto" w:fill="007CBA"/>
          </w:tcPr>
          <w:p>
            <w:pPr>
              <w:spacing w:after="0"/>
              <w:rPr>
                <w:sz w:val="12"/>
                <w:szCs w:val="12"/>
                <w:color w:val="auto"/>
              </w:rPr>
            </w:pPr>
          </w:p>
        </w:tc>
        <w:tc>
          <w:tcPr>
            <w:tcW w:w="960" w:type="dxa"/>
            <w:vAlign w:val="bottom"/>
            <w:tcBorders>
              <w:right w:val="single" w:sz="8" w:color="007CBA"/>
            </w:tcBorders>
            <w:shd w:val="clear" w:color="auto" w:fill="007CBA"/>
          </w:tcPr>
          <w:p>
            <w:pPr>
              <w:spacing w:after="0"/>
              <w:rPr>
                <w:sz w:val="12"/>
                <w:szCs w:val="12"/>
                <w:color w:val="auto"/>
              </w:rPr>
            </w:pPr>
          </w:p>
        </w:tc>
        <w:tc>
          <w:tcPr>
            <w:tcW w:w="1200" w:type="dxa"/>
            <w:vAlign w:val="bottom"/>
            <w:tcBorders>
              <w:right w:val="single" w:sz="8" w:color="007CBA"/>
            </w:tcBorders>
            <w:shd w:val="clear" w:color="auto" w:fill="007CBA"/>
          </w:tcPr>
          <w:p>
            <w:pPr>
              <w:spacing w:after="0"/>
              <w:rPr>
                <w:sz w:val="12"/>
                <w:szCs w:val="12"/>
                <w:color w:val="auto"/>
              </w:rPr>
            </w:pPr>
          </w:p>
        </w:tc>
        <w:tc>
          <w:tcPr>
            <w:tcW w:w="860" w:type="dxa"/>
            <w:vAlign w:val="bottom"/>
            <w:shd w:val="clear" w:color="auto" w:fill="007CBA"/>
          </w:tcPr>
          <w:p>
            <w:pPr>
              <w:jc w:val="center"/>
              <w:spacing w:after="0" w:line="149" w:lineRule="exact"/>
              <w:rPr>
                <w:sz w:val="20"/>
                <w:szCs w:val="20"/>
                <w:color w:val="auto"/>
              </w:rPr>
            </w:pPr>
            <w:r>
              <w:rPr>
                <w:rFonts w:ascii="Arial" w:cs="Arial" w:eastAsia="Arial" w:hAnsi="Arial"/>
                <w:sz w:val="14"/>
                <w:szCs w:val="14"/>
                <w:b w:val="1"/>
                <w:bCs w:val="1"/>
                <w:color w:val="FFFFFF"/>
                <w:w w:val="97"/>
              </w:rPr>
              <w:t>Awards:</w:t>
            </w:r>
          </w:p>
        </w:tc>
        <w:tc>
          <w:tcPr>
            <w:tcW w:w="0" w:type="dxa"/>
            <w:vAlign w:val="bottom"/>
          </w:tcPr>
          <w:p>
            <w:pPr>
              <w:spacing w:after="0"/>
              <w:rPr>
                <w:sz w:val="1"/>
                <w:szCs w:val="1"/>
                <w:color w:val="auto"/>
              </w:rPr>
            </w:pPr>
          </w:p>
        </w:tc>
      </w:tr>
      <w:tr>
        <w:trPr>
          <w:trHeight w:val="149"/>
        </w:trPr>
        <w:tc>
          <w:tcPr>
            <w:tcW w:w="3240" w:type="dxa"/>
            <w:vAlign w:val="bottom"/>
            <w:tcBorders>
              <w:right w:val="single" w:sz="8" w:color="007CBA"/>
            </w:tcBorders>
            <w:shd w:val="clear" w:color="auto" w:fill="007CBA"/>
          </w:tcPr>
          <w:p>
            <w:pPr>
              <w:spacing w:after="0"/>
              <w:rPr>
                <w:sz w:val="12"/>
                <w:szCs w:val="12"/>
                <w:color w:val="auto"/>
              </w:rPr>
            </w:pPr>
          </w:p>
        </w:tc>
        <w:tc>
          <w:tcPr>
            <w:tcW w:w="80" w:type="dxa"/>
            <w:vAlign w:val="bottom"/>
            <w:shd w:val="clear" w:color="auto" w:fill="007CBA"/>
          </w:tcPr>
          <w:p>
            <w:pPr>
              <w:spacing w:after="0"/>
              <w:rPr>
                <w:sz w:val="12"/>
                <w:szCs w:val="12"/>
                <w:color w:val="auto"/>
              </w:rPr>
            </w:pPr>
          </w:p>
        </w:tc>
        <w:tc>
          <w:tcPr>
            <w:tcW w:w="920" w:type="dxa"/>
            <w:vAlign w:val="bottom"/>
            <w:tcBorders>
              <w:right w:val="single" w:sz="8" w:color="007CBA"/>
            </w:tcBorders>
            <w:shd w:val="clear" w:color="auto" w:fill="007CBA"/>
          </w:tcPr>
          <w:p>
            <w:pPr>
              <w:spacing w:after="0"/>
              <w:rPr>
                <w:sz w:val="12"/>
                <w:szCs w:val="12"/>
                <w:color w:val="auto"/>
              </w:rPr>
            </w:pPr>
          </w:p>
        </w:tc>
        <w:tc>
          <w:tcPr>
            <w:tcW w:w="1140" w:type="dxa"/>
            <w:vAlign w:val="bottom"/>
            <w:tcBorders>
              <w:right w:val="single" w:sz="8" w:color="007CBA"/>
            </w:tcBorders>
            <w:shd w:val="clear" w:color="auto" w:fill="007CBA"/>
          </w:tcPr>
          <w:p>
            <w:pPr>
              <w:spacing w:after="0"/>
              <w:rPr>
                <w:sz w:val="12"/>
                <w:szCs w:val="12"/>
                <w:color w:val="auto"/>
              </w:rPr>
            </w:pPr>
          </w:p>
        </w:tc>
        <w:tc>
          <w:tcPr>
            <w:tcW w:w="740" w:type="dxa"/>
            <w:vAlign w:val="bottom"/>
            <w:tcBorders>
              <w:right w:val="single" w:sz="8" w:color="007CBA"/>
            </w:tcBorders>
            <w:shd w:val="clear" w:color="auto" w:fill="007CBA"/>
          </w:tcPr>
          <w:p>
            <w:pPr>
              <w:spacing w:after="0"/>
              <w:rPr>
                <w:sz w:val="12"/>
                <w:szCs w:val="12"/>
                <w:color w:val="auto"/>
              </w:rPr>
            </w:pPr>
          </w:p>
        </w:tc>
        <w:tc>
          <w:tcPr>
            <w:tcW w:w="880" w:type="dxa"/>
            <w:vAlign w:val="bottom"/>
            <w:tcBorders>
              <w:right w:val="single" w:sz="8" w:color="007CBA"/>
            </w:tcBorders>
            <w:shd w:val="clear" w:color="auto" w:fill="007CBA"/>
          </w:tcPr>
          <w:p>
            <w:pPr>
              <w:spacing w:after="0"/>
              <w:rPr>
                <w:sz w:val="12"/>
                <w:szCs w:val="12"/>
                <w:color w:val="auto"/>
              </w:rPr>
            </w:pPr>
          </w:p>
        </w:tc>
        <w:tc>
          <w:tcPr>
            <w:tcW w:w="1000" w:type="dxa"/>
            <w:vAlign w:val="bottom"/>
            <w:tcBorders>
              <w:right w:val="single" w:sz="8" w:color="007CBA"/>
            </w:tcBorders>
            <w:shd w:val="clear" w:color="auto" w:fill="007CBA"/>
          </w:tcPr>
          <w:p>
            <w:pPr>
              <w:spacing w:after="0"/>
              <w:rPr>
                <w:sz w:val="12"/>
                <w:szCs w:val="12"/>
                <w:color w:val="auto"/>
              </w:rPr>
            </w:pPr>
          </w:p>
        </w:tc>
        <w:tc>
          <w:tcPr>
            <w:tcW w:w="960" w:type="dxa"/>
            <w:vAlign w:val="bottom"/>
            <w:tcBorders>
              <w:right w:val="single" w:sz="8" w:color="007CBA"/>
            </w:tcBorders>
            <w:shd w:val="clear" w:color="auto" w:fill="007CBA"/>
          </w:tcPr>
          <w:p>
            <w:pPr>
              <w:spacing w:after="0"/>
              <w:rPr>
                <w:sz w:val="12"/>
                <w:szCs w:val="12"/>
                <w:color w:val="auto"/>
              </w:rPr>
            </w:pPr>
          </w:p>
        </w:tc>
        <w:tc>
          <w:tcPr>
            <w:tcW w:w="1200" w:type="dxa"/>
            <w:vAlign w:val="bottom"/>
            <w:tcBorders>
              <w:right w:val="single" w:sz="8" w:color="007CBA"/>
            </w:tcBorders>
            <w:vMerge w:val="restart"/>
            <w:shd w:val="clear" w:color="auto" w:fill="007CBA"/>
          </w:tcPr>
          <w:p>
            <w:pPr>
              <w:jc w:val="center"/>
              <w:ind w:right="99"/>
              <w:spacing w:after="0"/>
              <w:rPr>
                <w:sz w:val="20"/>
                <w:szCs w:val="20"/>
                <w:color w:val="auto"/>
              </w:rPr>
            </w:pPr>
            <w:r>
              <w:rPr>
                <w:rFonts w:ascii="Arial" w:cs="Arial" w:eastAsia="Arial" w:hAnsi="Arial"/>
                <w:sz w:val="14"/>
                <w:szCs w:val="14"/>
                <w:b w:val="1"/>
                <w:bCs w:val="1"/>
                <w:color w:val="FFFFFF"/>
                <w:w w:val="93"/>
              </w:rPr>
              <w:t>Equity</w:t>
            </w:r>
          </w:p>
        </w:tc>
        <w:tc>
          <w:tcPr>
            <w:tcW w:w="860" w:type="dxa"/>
            <w:vAlign w:val="bottom"/>
            <w:shd w:val="clear" w:color="auto" w:fill="007CBA"/>
          </w:tcPr>
          <w:p>
            <w:pPr>
              <w:jc w:val="center"/>
              <w:spacing w:after="0" w:line="149" w:lineRule="exact"/>
              <w:rPr>
                <w:sz w:val="20"/>
                <w:szCs w:val="20"/>
                <w:color w:val="auto"/>
              </w:rPr>
            </w:pPr>
            <w:r>
              <w:rPr>
                <w:rFonts w:ascii="Arial" w:cs="Arial" w:eastAsia="Arial" w:hAnsi="Arial"/>
                <w:sz w:val="14"/>
                <w:szCs w:val="14"/>
                <w:b w:val="1"/>
                <w:bCs w:val="1"/>
                <w:color w:val="FFFFFF"/>
                <w:w w:val="95"/>
              </w:rPr>
              <w:t>Market or</w:t>
            </w:r>
          </w:p>
        </w:tc>
        <w:tc>
          <w:tcPr>
            <w:tcW w:w="0" w:type="dxa"/>
            <w:vAlign w:val="bottom"/>
          </w:tcPr>
          <w:p>
            <w:pPr>
              <w:spacing w:after="0"/>
              <w:rPr>
                <w:sz w:val="1"/>
                <w:szCs w:val="1"/>
                <w:color w:val="auto"/>
              </w:rPr>
            </w:pPr>
          </w:p>
        </w:tc>
      </w:tr>
      <w:tr>
        <w:trPr>
          <w:trHeight w:val="149"/>
        </w:trPr>
        <w:tc>
          <w:tcPr>
            <w:tcW w:w="3240" w:type="dxa"/>
            <w:vAlign w:val="bottom"/>
            <w:tcBorders>
              <w:right w:val="single" w:sz="8" w:color="007CBA"/>
            </w:tcBorders>
            <w:shd w:val="clear" w:color="auto" w:fill="007CBA"/>
          </w:tcPr>
          <w:p>
            <w:pPr>
              <w:spacing w:after="0"/>
              <w:rPr>
                <w:sz w:val="12"/>
                <w:szCs w:val="12"/>
                <w:color w:val="auto"/>
              </w:rPr>
            </w:pPr>
          </w:p>
        </w:tc>
        <w:tc>
          <w:tcPr>
            <w:tcW w:w="80" w:type="dxa"/>
            <w:vAlign w:val="bottom"/>
            <w:shd w:val="clear" w:color="auto" w:fill="007CBA"/>
          </w:tcPr>
          <w:p>
            <w:pPr>
              <w:spacing w:after="0"/>
              <w:rPr>
                <w:sz w:val="12"/>
                <w:szCs w:val="12"/>
                <w:color w:val="auto"/>
              </w:rPr>
            </w:pPr>
          </w:p>
        </w:tc>
        <w:tc>
          <w:tcPr>
            <w:tcW w:w="920" w:type="dxa"/>
            <w:vAlign w:val="bottom"/>
            <w:tcBorders>
              <w:right w:val="single" w:sz="8" w:color="007CBA"/>
            </w:tcBorders>
            <w:shd w:val="clear" w:color="auto" w:fill="007CBA"/>
          </w:tcPr>
          <w:p>
            <w:pPr>
              <w:spacing w:after="0"/>
              <w:rPr>
                <w:sz w:val="12"/>
                <w:szCs w:val="12"/>
                <w:color w:val="auto"/>
              </w:rPr>
            </w:pPr>
          </w:p>
        </w:tc>
        <w:tc>
          <w:tcPr>
            <w:tcW w:w="1140" w:type="dxa"/>
            <w:vAlign w:val="bottom"/>
            <w:tcBorders>
              <w:right w:val="single" w:sz="8" w:color="007CBA"/>
            </w:tcBorders>
            <w:shd w:val="clear" w:color="auto" w:fill="007CBA"/>
          </w:tcPr>
          <w:p>
            <w:pPr>
              <w:spacing w:after="0"/>
              <w:rPr>
                <w:sz w:val="12"/>
                <w:szCs w:val="12"/>
                <w:color w:val="auto"/>
              </w:rPr>
            </w:pPr>
          </w:p>
        </w:tc>
        <w:tc>
          <w:tcPr>
            <w:tcW w:w="740" w:type="dxa"/>
            <w:vAlign w:val="bottom"/>
            <w:tcBorders>
              <w:right w:val="single" w:sz="8" w:color="007CBA"/>
            </w:tcBorders>
            <w:shd w:val="clear" w:color="auto" w:fill="007CBA"/>
          </w:tcPr>
          <w:p>
            <w:pPr>
              <w:spacing w:after="0"/>
              <w:rPr>
                <w:sz w:val="12"/>
                <w:szCs w:val="12"/>
                <w:color w:val="auto"/>
              </w:rPr>
            </w:pPr>
          </w:p>
        </w:tc>
        <w:tc>
          <w:tcPr>
            <w:tcW w:w="880" w:type="dxa"/>
            <w:vAlign w:val="bottom"/>
            <w:tcBorders>
              <w:right w:val="single" w:sz="8" w:color="007CBA"/>
            </w:tcBorders>
            <w:shd w:val="clear" w:color="auto" w:fill="007CBA"/>
          </w:tcPr>
          <w:p>
            <w:pPr>
              <w:spacing w:after="0"/>
              <w:rPr>
                <w:sz w:val="12"/>
                <w:szCs w:val="12"/>
                <w:color w:val="auto"/>
              </w:rPr>
            </w:pPr>
          </w:p>
        </w:tc>
        <w:tc>
          <w:tcPr>
            <w:tcW w:w="1000" w:type="dxa"/>
            <w:vAlign w:val="bottom"/>
            <w:tcBorders>
              <w:right w:val="single" w:sz="8" w:color="007CBA"/>
            </w:tcBorders>
            <w:shd w:val="clear" w:color="auto" w:fill="007CBA"/>
          </w:tcPr>
          <w:p>
            <w:pPr>
              <w:spacing w:after="0"/>
              <w:rPr>
                <w:sz w:val="12"/>
                <w:szCs w:val="12"/>
                <w:color w:val="auto"/>
              </w:rPr>
            </w:pPr>
          </w:p>
        </w:tc>
        <w:tc>
          <w:tcPr>
            <w:tcW w:w="960" w:type="dxa"/>
            <w:vAlign w:val="bottom"/>
            <w:tcBorders>
              <w:right w:val="single" w:sz="8" w:color="007CBA"/>
            </w:tcBorders>
            <w:shd w:val="clear" w:color="auto" w:fill="007CBA"/>
          </w:tcPr>
          <w:p>
            <w:pPr>
              <w:spacing w:after="0"/>
              <w:rPr>
                <w:sz w:val="12"/>
                <w:szCs w:val="12"/>
                <w:color w:val="auto"/>
              </w:rPr>
            </w:pPr>
          </w:p>
        </w:tc>
        <w:tc>
          <w:tcPr>
            <w:tcW w:w="1200" w:type="dxa"/>
            <w:vAlign w:val="bottom"/>
            <w:tcBorders>
              <w:right w:val="single" w:sz="8" w:color="007CBA"/>
            </w:tcBorders>
            <w:vMerge w:val="continue"/>
            <w:shd w:val="clear" w:color="auto" w:fill="007CBA"/>
          </w:tcPr>
          <w:p>
            <w:pPr>
              <w:spacing w:after="0"/>
              <w:rPr>
                <w:sz w:val="12"/>
                <w:szCs w:val="12"/>
                <w:color w:val="auto"/>
              </w:rPr>
            </w:pPr>
          </w:p>
        </w:tc>
        <w:tc>
          <w:tcPr>
            <w:tcW w:w="860" w:type="dxa"/>
            <w:vAlign w:val="bottom"/>
            <w:shd w:val="clear" w:color="auto" w:fill="007CBA"/>
          </w:tcPr>
          <w:p>
            <w:pPr>
              <w:jc w:val="center"/>
              <w:spacing w:after="0" w:line="149" w:lineRule="exact"/>
              <w:rPr>
                <w:sz w:val="20"/>
                <w:szCs w:val="20"/>
                <w:color w:val="auto"/>
              </w:rPr>
            </w:pPr>
            <w:r>
              <w:rPr>
                <w:rFonts w:ascii="Arial" w:cs="Arial" w:eastAsia="Arial" w:hAnsi="Arial"/>
                <w:sz w:val="14"/>
                <w:szCs w:val="14"/>
                <w:b w:val="1"/>
                <w:bCs w:val="1"/>
                <w:color w:val="FFFFFF"/>
                <w:w w:val="98"/>
              </w:rPr>
              <w:t>Payout</w:t>
            </w:r>
          </w:p>
        </w:tc>
        <w:tc>
          <w:tcPr>
            <w:tcW w:w="0" w:type="dxa"/>
            <w:vAlign w:val="bottom"/>
          </w:tcPr>
          <w:p>
            <w:pPr>
              <w:spacing w:after="0"/>
              <w:rPr>
                <w:sz w:val="1"/>
                <w:szCs w:val="1"/>
                <w:color w:val="auto"/>
              </w:rPr>
            </w:pPr>
          </w:p>
        </w:tc>
      </w:tr>
      <w:tr>
        <w:trPr>
          <w:trHeight w:val="149"/>
        </w:trPr>
        <w:tc>
          <w:tcPr>
            <w:tcW w:w="3240" w:type="dxa"/>
            <w:vAlign w:val="bottom"/>
            <w:tcBorders>
              <w:right w:val="single" w:sz="8" w:color="007CBA"/>
            </w:tcBorders>
            <w:shd w:val="clear" w:color="auto" w:fill="007CBA"/>
          </w:tcPr>
          <w:p>
            <w:pPr>
              <w:spacing w:after="0"/>
              <w:rPr>
                <w:sz w:val="12"/>
                <w:szCs w:val="12"/>
                <w:color w:val="auto"/>
              </w:rPr>
            </w:pPr>
          </w:p>
        </w:tc>
        <w:tc>
          <w:tcPr>
            <w:tcW w:w="80" w:type="dxa"/>
            <w:vAlign w:val="bottom"/>
            <w:shd w:val="clear" w:color="auto" w:fill="007CBA"/>
          </w:tcPr>
          <w:p>
            <w:pPr>
              <w:spacing w:after="0"/>
              <w:rPr>
                <w:sz w:val="12"/>
                <w:szCs w:val="12"/>
                <w:color w:val="auto"/>
              </w:rPr>
            </w:pPr>
          </w:p>
        </w:tc>
        <w:tc>
          <w:tcPr>
            <w:tcW w:w="920" w:type="dxa"/>
            <w:vAlign w:val="bottom"/>
            <w:tcBorders>
              <w:right w:val="single" w:sz="8" w:color="007CBA"/>
            </w:tcBorders>
            <w:shd w:val="clear" w:color="auto" w:fill="007CBA"/>
          </w:tcPr>
          <w:p>
            <w:pPr>
              <w:spacing w:after="0"/>
              <w:rPr>
                <w:sz w:val="12"/>
                <w:szCs w:val="12"/>
                <w:color w:val="auto"/>
              </w:rPr>
            </w:pPr>
          </w:p>
        </w:tc>
        <w:tc>
          <w:tcPr>
            <w:tcW w:w="1140" w:type="dxa"/>
            <w:vAlign w:val="bottom"/>
            <w:tcBorders>
              <w:right w:val="single" w:sz="8" w:color="007CBA"/>
            </w:tcBorders>
            <w:shd w:val="clear" w:color="auto" w:fill="007CBA"/>
          </w:tcPr>
          <w:p>
            <w:pPr>
              <w:spacing w:after="0"/>
              <w:rPr>
                <w:sz w:val="12"/>
                <w:szCs w:val="12"/>
                <w:color w:val="auto"/>
              </w:rPr>
            </w:pPr>
          </w:p>
        </w:tc>
        <w:tc>
          <w:tcPr>
            <w:tcW w:w="740" w:type="dxa"/>
            <w:vAlign w:val="bottom"/>
            <w:tcBorders>
              <w:right w:val="single" w:sz="8" w:color="007CBA"/>
            </w:tcBorders>
            <w:shd w:val="clear" w:color="auto" w:fill="007CBA"/>
          </w:tcPr>
          <w:p>
            <w:pPr>
              <w:spacing w:after="0"/>
              <w:rPr>
                <w:sz w:val="12"/>
                <w:szCs w:val="12"/>
                <w:color w:val="auto"/>
              </w:rPr>
            </w:pPr>
          </w:p>
        </w:tc>
        <w:tc>
          <w:tcPr>
            <w:tcW w:w="880" w:type="dxa"/>
            <w:vAlign w:val="bottom"/>
            <w:tcBorders>
              <w:right w:val="single" w:sz="8" w:color="007CBA"/>
            </w:tcBorders>
            <w:shd w:val="clear" w:color="auto" w:fill="007CBA"/>
          </w:tcPr>
          <w:p>
            <w:pPr>
              <w:spacing w:after="0"/>
              <w:rPr>
                <w:sz w:val="12"/>
                <w:szCs w:val="12"/>
                <w:color w:val="auto"/>
              </w:rPr>
            </w:pPr>
          </w:p>
        </w:tc>
        <w:tc>
          <w:tcPr>
            <w:tcW w:w="1000" w:type="dxa"/>
            <w:vAlign w:val="bottom"/>
            <w:tcBorders>
              <w:right w:val="single" w:sz="8" w:color="007CBA"/>
            </w:tcBorders>
            <w:shd w:val="clear" w:color="auto" w:fill="007CBA"/>
          </w:tcPr>
          <w:p>
            <w:pPr>
              <w:spacing w:after="0"/>
              <w:rPr>
                <w:sz w:val="12"/>
                <w:szCs w:val="12"/>
                <w:color w:val="auto"/>
              </w:rPr>
            </w:pPr>
          </w:p>
        </w:tc>
        <w:tc>
          <w:tcPr>
            <w:tcW w:w="960" w:type="dxa"/>
            <w:vAlign w:val="bottom"/>
            <w:tcBorders>
              <w:right w:val="single" w:sz="8" w:color="007CBA"/>
            </w:tcBorders>
            <w:shd w:val="clear" w:color="auto" w:fill="007CBA"/>
          </w:tcPr>
          <w:p>
            <w:pPr>
              <w:spacing w:after="0"/>
              <w:rPr>
                <w:sz w:val="12"/>
                <w:szCs w:val="12"/>
                <w:color w:val="auto"/>
              </w:rPr>
            </w:pPr>
          </w:p>
        </w:tc>
        <w:tc>
          <w:tcPr>
            <w:tcW w:w="1200" w:type="dxa"/>
            <w:vAlign w:val="bottom"/>
            <w:tcBorders>
              <w:right w:val="single" w:sz="8" w:color="007CBA"/>
            </w:tcBorders>
            <w:shd w:val="clear" w:color="auto" w:fill="007CBA"/>
          </w:tcPr>
          <w:p>
            <w:pPr>
              <w:jc w:val="center"/>
              <w:ind w:right="99"/>
              <w:spacing w:after="0" w:line="149" w:lineRule="exact"/>
              <w:rPr>
                <w:sz w:val="20"/>
                <w:szCs w:val="20"/>
                <w:color w:val="auto"/>
              </w:rPr>
            </w:pPr>
            <w:r>
              <w:rPr>
                <w:rFonts w:ascii="Arial" w:cs="Arial" w:eastAsia="Arial" w:hAnsi="Arial"/>
                <w:sz w:val="14"/>
                <w:szCs w:val="14"/>
                <w:b w:val="1"/>
                <w:bCs w:val="1"/>
                <w:color w:val="FFFFFF"/>
                <w:w w:val="97"/>
              </w:rPr>
              <w:t>Incentive Plan</w:t>
            </w:r>
          </w:p>
        </w:tc>
        <w:tc>
          <w:tcPr>
            <w:tcW w:w="860" w:type="dxa"/>
            <w:vAlign w:val="bottom"/>
            <w:shd w:val="clear" w:color="auto" w:fill="007CBA"/>
          </w:tcPr>
          <w:p>
            <w:pPr>
              <w:jc w:val="center"/>
              <w:spacing w:after="0" w:line="149" w:lineRule="exact"/>
              <w:rPr>
                <w:sz w:val="20"/>
                <w:szCs w:val="20"/>
                <w:color w:val="auto"/>
              </w:rPr>
            </w:pPr>
            <w:r>
              <w:rPr>
                <w:rFonts w:ascii="Arial" w:cs="Arial" w:eastAsia="Arial" w:hAnsi="Arial"/>
                <w:sz w:val="14"/>
                <w:szCs w:val="14"/>
                <w:b w:val="1"/>
                <w:bCs w:val="1"/>
                <w:color w:val="FFFFFF"/>
                <w:w w:val="94"/>
              </w:rPr>
              <w:t>Value or</w:t>
            </w:r>
          </w:p>
        </w:tc>
        <w:tc>
          <w:tcPr>
            <w:tcW w:w="0" w:type="dxa"/>
            <w:vAlign w:val="bottom"/>
          </w:tcPr>
          <w:p>
            <w:pPr>
              <w:spacing w:after="0"/>
              <w:rPr>
                <w:sz w:val="1"/>
                <w:szCs w:val="1"/>
                <w:color w:val="auto"/>
              </w:rPr>
            </w:pPr>
          </w:p>
        </w:tc>
      </w:tr>
      <w:tr>
        <w:trPr>
          <w:trHeight w:val="149"/>
        </w:trPr>
        <w:tc>
          <w:tcPr>
            <w:tcW w:w="3240" w:type="dxa"/>
            <w:vAlign w:val="bottom"/>
            <w:tcBorders>
              <w:right w:val="single" w:sz="8" w:color="007CBA"/>
            </w:tcBorders>
            <w:shd w:val="clear" w:color="auto" w:fill="007CBA"/>
          </w:tcPr>
          <w:p>
            <w:pPr>
              <w:spacing w:after="0"/>
              <w:rPr>
                <w:sz w:val="12"/>
                <w:szCs w:val="12"/>
                <w:color w:val="auto"/>
              </w:rPr>
            </w:pPr>
          </w:p>
        </w:tc>
        <w:tc>
          <w:tcPr>
            <w:tcW w:w="80" w:type="dxa"/>
            <w:vAlign w:val="bottom"/>
            <w:shd w:val="clear" w:color="auto" w:fill="007CBA"/>
          </w:tcPr>
          <w:p>
            <w:pPr>
              <w:spacing w:after="0"/>
              <w:rPr>
                <w:sz w:val="12"/>
                <w:szCs w:val="12"/>
                <w:color w:val="auto"/>
              </w:rPr>
            </w:pPr>
          </w:p>
        </w:tc>
        <w:tc>
          <w:tcPr>
            <w:tcW w:w="920" w:type="dxa"/>
            <w:vAlign w:val="bottom"/>
            <w:tcBorders>
              <w:right w:val="single" w:sz="8" w:color="007CBA"/>
            </w:tcBorders>
            <w:shd w:val="clear" w:color="auto" w:fill="007CBA"/>
          </w:tcPr>
          <w:p>
            <w:pPr>
              <w:spacing w:after="0"/>
              <w:rPr>
                <w:sz w:val="12"/>
                <w:szCs w:val="12"/>
                <w:color w:val="auto"/>
              </w:rPr>
            </w:pPr>
          </w:p>
        </w:tc>
        <w:tc>
          <w:tcPr>
            <w:tcW w:w="1140" w:type="dxa"/>
            <w:vAlign w:val="bottom"/>
            <w:tcBorders>
              <w:right w:val="single" w:sz="8" w:color="007CBA"/>
            </w:tcBorders>
            <w:shd w:val="clear" w:color="auto" w:fill="007CBA"/>
          </w:tcPr>
          <w:p>
            <w:pPr>
              <w:spacing w:after="0"/>
              <w:rPr>
                <w:sz w:val="12"/>
                <w:szCs w:val="12"/>
                <w:color w:val="auto"/>
              </w:rPr>
            </w:pPr>
          </w:p>
        </w:tc>
        <w:tc>
          <w:tcPr>
            <w:tcW w:w="740" w:type="dxa"/>
            <w:vAlign w:val="bottom"/>
            <w:tcBorders>
              <w:right w:val="single" w:sz="8" w:color="007CBA"/>
            </w:tcBorders>
            <w:shd w:val="clear" w:color="auto" w:fill="007CBA"/>
          </w:tcPr>
          <w:p>
            <w:pPr>
              <w:spacing w:after="0"/>
              <w:rPr>
                <w:sz w:val="12"/>
                <w:szCs w:val="12"/>
                <w:color w:val="auto"/>
              </w:rPr>
            </w:pPr>
          </w:p>
        </w:tc>
        <w:tc>
          <w:tcPr>
            <w:tcW w:w="880" w:type="dxa"/>
            <w:vAlign w:val="bottom"/>
            <w:tcBorders>
              <w:right w:val="single" w:sz="8" w:color="007CBA"/>
            </w:tcBorders>
            <w:shd w:val="clear" w:color="auto" w:fill="007CBA"/>
          </w:tcPr>
          <w:p>
            <w:pPr>
              <w:spacing w:after="0"/>
              <w:rPr>
                <w:sz w:val="12"/>
                <w:szCs w:val="12"/>
                <w:color w:val="auto"/>
              </w:rPr>
            </w:pPr>
          </w:p>
        </w:tc>
        <w:tc>
          <w:tcPr>
            <w:tcW w:w="1000" w:type="dxa"/>
            <w:vAlign w:val="bottom"/>
            <w:tcBorders>
              <w:right w:val="single" w:sz="8" w:color="007CBA"/>
            </w:tcBorders>
            <w:shd w:val="clear" w:color="auto" w:fill="007CBA"/>
          </w:tcPr>
          <w:p>
            <w:pPr>
              <w:spacing w:after="0"/>
              <w:rPr>
                <w:sz w:val="12"/>
                <w:szCs w:val="12"/>
                <w:color w:val="auto"/>
              </w:rPr>
            </w:pPr>
          </w:p>
        </w:tc>
        <w:tc>
          <w:tcPr>
            <w:tcW w:w="960" w:type="dxa"/>
            <w:vAlign w:val="bottom"/>
            <w:tcBorders>
              <w:right w:val="single" w:sz="8" w:color="007CBA"/>
            </w:tcBorders>
            <w:vMerge w:val="restart"/>
            <w:shd w:val="clear" w:color="auto" w:fill="007CBA"/>
          </w:tcPr>
          <w:p>
            <w:pPr>
              <w:jc w:val="center"/>
              <w:ind w:right="9"/>
              <w:spacing w:after="0"/>
              <w:rPr>
                <w:sz w:val="20"/>
                <w:szCs w:val="20"/>
                <w:color w:val="auto"/>
              </w:rPr>
            </w:pPr>
            <w:r>
              <w:rPr>
                <w:rFonts w:ascii="Arial" w:cs="Arial" w:eastAsia="Arial" w:hAnsi="Arial"/>
                <w:sz w:val="14"/>
                <w:szCs w:val="14"/>
                <w:b w:val="1"/>
                <w:bCs w:val="1"/>
                <w:color w:val="FFFFFF"/>
                <w:w w:val="97"/>
              </w:rPr>
              <w:t>Market</w:t>
            </w:r>
          </w:p>
        </w:tc>
        <w:tc>
          <w:tcPr>
            <w:tcW w:w="1200" w:type="dxa"/>
            <w:vAlign w:val="bottom"/>
            <w:tcBorders>
              <w:right w:val="single" w:sz="8" w:color="007CBA"/>
            </w:tcBorders>
            <w:shd w:val="clear" w:color="auto" w:fill="007CBA"/>
          </w:tcPr>
          <w:p>
            <w:pPr>
              <w:jc w:val="center"/>
              <w:ind w:right="99"/>
              <w:spacing w:after="0" w:line="149" w:lineRule="exact"/>
              <w:rPr>
                <w:sz w:val="20"/>
                <w:szCs w:val="20"/>
                <w:color w:val="auto"/>
              </w:rPr>
            </w:pPr>
            <w:r>
              <w:rPr>
                <w:rFonts w:ascii="Arial" w:cs="Arial" w:eastAsia="Arial" w:hAnsi="Arial"/>
                <w:sz w:val="14"/>
                <w:szCs w:val="14"/>
                <w:b w:val="1"/>
                <w:bCs w:val="1"/>
                <w:color w:val="FFFFFF"/>
                <w:w w:val="94"/>
              </w:rPr>
              <w:t>Awards:</w:t>
            </w:r>
          </w:p>
        </w:tc>
        <w:tc>
          <w:tcPr>
            <w:tcW w:w="860" w:type="dxa"/>
            <w:vAlign w:val="bottom"/>
            <w:shd w:val="clear" w:color="auto" w:fill="007CBA"/>
          </w:tcPr>
          <w:p>
            <w:pPr>
              <w:jc w:val="center"/>
              <w:spacing w:after="0" w:line="149" w:lineRule="exact"/>
              <w:rPr>
                <w:sz w:val="20"/>
                <w:szCs w:val="20"/>
                <w:color w:val="auto"/>
              </w:rPr>
            </w:pPr>
            <w:r>
              <w:rPr>
                <w:rFonts w:ascii="Arial" w:cs="Arial" w:eastAsia="Arial" w:hAnsi="Arial"/>
                <w:sz w:val="14"/>
                <w:szCs w:val="14"/>
                <w:b w:val="1"/>
                <w:bCs w:val="1"/>
                <w:color w:val="FFFFFF"/>
                <w:w w:val="95"/>
              </w:rPr>
              <w:t>Unearned</w:t>
            </w:r>
          </w:p>
        </w:tc>
        <w:tc>
          <w:tcPr>
            <w:tcW w:w="0" w:type="dxa"/>
            <w:vAlign w:val="bottom"/>
          </w:tcPr>
          <w:p>
            <w:pPr>
              <w:spacing w:after="0"/>
              <w:rPr>
                <w:sz w:val="1"/>
                <w:szCs w:val="1"/>
                <w:color w:val="auto"/>
              </w:rPr>
            </w:pPr>
          </w:p>
        </w:tc>
      </w:tr>
      <w:tr>
        <w:trPr>
          <w:trHeight w:val="149"/>
        </w:trPr>
        <w:tc>
          <w:tcPr>
            <w:tcW w:w="3240" w:type="dxa"/>
            <w:vAlign w:val="bottom"/>
            <w:tcBorders>
              <w:right w:val="single" w:sz="8" w:color="007CBA"/>
            </w:tcBorders>
            <w:shd w:val="clear" w:color="auto" w:fill="007CBA"/>
          </w:tcPr>
          <w:p>
            <w:pPr>
              <w:spacing w:after="0"/>
              <w:rPr>
                <w:sz w:val="12"/>
                <w:szCs w:val="12"/>
                <w:color w:val="auto"/>
              </w:rPr>
            </w:pPr>
          </w:p>
        </w:tc>
        <w:tc>
          <w:tcPr>
            <w:tcW w:w="80" w:type="dxa"/>
            <w:vAlign w:val="bottom"/>
            <w:shd w:val="clear" w:color="auto" w:fill="007CBA"/>
          </w:tcPr>
          <w:p>
            <w:pPr>
              <w:spacing w:after="0"/>
              <w:rPr>
                <w:sz w:val="12"/>
                <w:szCs w:val="12"/>
                <w:color w:val="auto"/>
              </w:rPr>
            </w:pPr>
          </w:p>
        </w:tc>
        <w:tc>
          <w:tcPr>
            <w:tcW w:w="920" w:type="dxa"/>
            <w:vAlign w:val="bottom"/>
            <w:tcBorders>
              <w:right w:val="single" w:sz="8" w:color="007CBA"/>
            </w:tcBorders>
            <w:vMerge w:val="restart"/>
            <w:shd w:val="clear" w:color="auto" w:fill="007CBA"/>
          </w:tcPr>
          <w:p>
            <w:pPr>
              <w:jc w:val="center"/>
              <w:ind w:right="72"/>
              <w:spacing w:after="0"/>
              <w:rPr>
                <w:sz w:val="20"/>
                <w:szCs w:val="20"/>
                <w:color w:val="auto"/>
              </w:rPr>
            </w:pPr>
            <w:r>
              <w:rPr>
                <w:rFonts w:ascii="Arial" w:cs="Arial" w:eastAsia="Arial" w:hAnsi="Arial"/>
                <w:sz w:val="14"/>
                <w:szCs w:val="14"/>
                <w:b w:val="1"/>
                <w:bCs w:val="1"/>
                <w:color w:val="FFFFFF"/>
                <w:w w:val="94"/>
              </w:rPr>
              <w:t>Number of</w:t>
            </w:r>
          </w:p>
        </w:tc>
        <w:tc>
          <w:tcPr>
            <w:tcW w:w="1140" w:type="dxa"/>
            <w:vAlign w:val="bottom"/>
            <w:tcBorders>
              <w:right w:val="single" w:sz="8" w:color="007CBA"/>
            </w:tcBorders>
            <w:vMerge w:val="restart"/>
            <w:shd w:val="clear" w:color="auto" w:fill="007CBA"/>
          </w:tcPr>
          <w:p>
            <w:pPr>
              <w:jc w:val="center"/>
              <w:ind w:right="34"/>
              <w:spacing w:after="0"/>
              <w:rPr>
                <w:sz w:val="20"/>
                <w:szCs w:val="20"/>
                <w:color w:val="auto"/>
              </w:rPr>
            </w:pPr>
            <w:r>
              <w:rPr>
                <w:rFonts w:ascii="Arial" w:cs="Arial" w:eastAsia="Arial" w:hAnsi="Arial"/>
                <w:sz w:val="14"/>
                <w:szCs w:val="14"/>
                <w:b w:val="1"/>
                <w:bCs w:val="1"/>
                <w:color w:val="FFFFFF"/>
                <w:w w:val="97"/>
              </w:rPr>
              <w:t>Number of</w:t>
            </w:r>
          </w:p>
        </w:tc>
        <w:tc>
          <w:tcPr>
            <w:tcW w:w="740" w:type="dxa"/>
            <w:vAlign w:val="bottom"/>
            <w:tcBorders>
              <w:right w:val="single" w:sz="8" w:color="007CBA"/>
            </w:tcBorders>
            <w:shd w:val="clear" w:color="auto" w:fill="007CBA"/>
          </w:tcPr>
          <w:p>
            <w:pPr>
              <w:spacing w:after="0"/>
              <w:rPr>
                <w:sz w:val="12"/>
                <w:szCs w:val="12"/>
                <w:color w:val="auto"/>
              </w:rPr>
            </w:pPr>
          </w:p>
        </w:tc>
        <w:tc>
          <w:tcPr>
            <w:tcW w:w="880" w:type="dxa"/>
            <w:vAlign w:val="bottom"/>
            <w:tcBorders>
              <w:right w:val="single" w:sz="8" w:color="007CBA"/>
            </w:tcBorders>
            <w:shd w:val="clear" w:color="auto" w:fill="007CBA"/>
          </w:tcPr>
          <w:p>
            <w:pPr>
              <w:spacing w:after="0"/>
              <w:rPr>
                <w:sz w:val="12"/>
                <w:szCs w:val="12"/>
                <w:color w:val="auto"/>
              </w:rPr>
            </w:pPr>
          </w:p>
        </w:tc>
        <w:tc>
          <w:tcPr>
            <w:tcW w:w="1000" w:type="dxa"/>
            <w:vAlign w:val="bottom"/>
            <w:tcBorders>
              <w:right w:val="single" w:sz="8" w:color="007CBA"/>
            </w:tcBorders>
            <w:vMerge w:val="restart"/>
            <w:shd w:val="clear" w:color="auto" w:fill="007CBA"/>
          </w:tcPr>
          <w:p>
            <w:pPr>
              <w:jc w:val="center"/>
              <w:ind w:right="80"/>
              <w:spacing w:after="0"/>
              <w:rPr>
                <w:sz w:val="20"/>
                <w:szCs w:val="20"/>
                <w:color w:val="auto"/>
              </w:rPr>
            </w:pPr>
            <w:r>
              <w:rPr>
                <w:rFonts w:ascii="Arial" w:cs="Arial" w:eastAsia="Arial" w:hAnsi="Arial"/>
                <w:sz w:val="14"/>
                <w:szCs w:val="14"/>
                <w:b w:val="1"/>
                <w:bCs w:val="1"/>
                <w:color w:val="FFFFFF"/>
                <w:w w:val="94"/>
              </w:rPr>
              <w:t>Number</w:t>
            </w:r>
          </w:p>
        </w:tc>
        <w:tc>
          <w:tcPr>
            <w:tcW w:w="960" w:type="dxa"/>
            <w:vAlign w:val="bottom"/>
            <w:tcBorders>
              <w:right w:val="single" w:sz="8" w:color="007CBA"/>
            </w:tcBorders>
            <w:vMerge w:val="continue"/>
            <w:shd w:val="clear" w:color="auto" w:fill="007CBA"/>
          </w:tcPr>
          <w:p>
            <w:pPr>
              <w:spacing w:after="0"/>
              <w:rPr>
                <w:sz w:val="12"/>
                <w:szCs w:val="12"/>
                <w:color w:val="auto"/>
              </w:rPr>
            </w:pPr>
          </w:p>
        </w:tc>
        <w:tc>
          <w:tcPr>
            <w:tcW w:w="1200" w:type="dxa"/>
            <w:vAlign w:val="bottom"/>
            <w:tcBorders>
              <w:right w:val="single" w:sz="8" w:color="007CBA"/>
            </w:tcBorders>
            <w:shd w:val="clear" w:color="auto" w:fill="007CBA"/>
          </w:tcPr>
          <w:p>
            <w:pPr>
              <w:jc w:val="center"/>
              <w:ind w:right="99"/>
              <w:spacing w:after="0" w:line="149" w:lineRule="exact"/>
              <w:rPr>
                <w:sz w:val="20"/>
                <w:szCs w:val="20"/>
                <w:color w:val="auto"/>
              </w:rPr>
            </w:pPr>
            <w:r>
              <w:rPr>
                <w:rFonts w:ascii="Arial" w:cs="Arial" w:eastAsia="Arial" w:hAnsi="Arial"/>
                <w:sz w:val="14"/>
                <w:szCs w:val="14"/>
                <w:b w:val="1"/>
                <w:bCs w:val="1"/>
                <w:color w:val="FFFFFF"/>
                <w:w w:val="97"/>
              </w:rPr>
              <w:t>Number of</w:t>
            </w:r>
          </w:p>
        </w:tc>
        <w:tc>
          <w:tcPr>
            <w:tcW w:w="860" w:type="dxa"/>
            <w:vAlign w:val="bottom"/>
            <w:shd w:val="clear" w:color="auto" w:fill="007CBA"/>
          </w:tcPr>
          <w:p>
            <w:pPr>
              <w:jc w:val="center"/>
              <w:spacing w:after="0" w:line="149" w:lineRule="exact"/>
              <w:rPr>
                <w:sz w:val="20"/>
                <w:szCs w:val="20"/>
                <w:color w:val="auto"/>
              </w:rPr>
            </w:pPr>
            <w:r>
              <w:rPr>
                <w:rFonts w:ascii="Arial" w:cs="Arial" w:eastAsia="Arial" w:hAnsi="Arial"/>
                <w:sz w:val="14"/>
                <w:szCs w:val="14"/>
                <w:b w:val="1"/>
                <w:bCs w:val="1"/>
                <w:color w:val="FFFFFF"/>
                <w:w w:val="94"/>
              </w:rPr>
              <w:t>Shares,</w:t>
            </w:r>
          </w:p>
        </w:tc>
        <w:tc>
          <w:tcPr>
            <w:tcW w:w="0" w:type="dxa"/>
            <w:vAlign w:val="bottom"/>
          </w:tcPr>
          <w:p>
            <w:pPr>
              <w:spacing w:after="0"/>
              <w:rPr>
                <w:sz w:val="1"/>
                <w:szCs w:val="1"/>
                <w:color w:val="auto"/>
              </w:rPr>
            </w:pPr>
          </w:p>
        </w:tc>
      </w:tr>
      <w:tr>
        <w:trPr>
          <w:trHeight w:val="149"/>
        </w:trPr>
        <w:tc>
          <w:tcPr>
            <w:tcW w:w="3240" w:type="dxa"/>
            <w:vAlign w:val="bottom"/>
            <w:tcBorders>
              <w:right w:val="single" w:sz="8" w:color="007CBA"/>
            </w:tcBorders>
            <w:shd w:val="clear" w:color="auto" w:fill="007CBA"/>
          </w:tcPr>
          <w:p>
            <w:pPr>
              <w:spacing w:after="0"/>
              <w:rPr>
                <w:sz w:val="12"/>
                <w:szCs w:val="12"/>
                <w:color w:val="auto"/>
              </w:rPr>
            </w:pPr>
          </w:p>
        </w:tc>
        <w:tc>
          <w:tcPr>
            <w:tcW w:w="80" w:type="dxa"/>
            <w:vAlign w:val="bottom"/>
            <w:shd w:val="clear" w:color="auto" w:fill="007CBA"/>
          </w:tcPr>
          <w:p>
            <w:pPr>
              <w:spacing w:after="0"/>
              <w:rPr>
                <w:sz w:val="12"/>
                <w:szCs w:val="12"/>
                <w:color w:val="auto"/>
              </w:rPr>
            </w:pPr>
          </w:p>
        </w:tc>
        <w:tc>
          <w:tcPr>
            <w:tcW w:w="920" w:type="dxa"/>
            <w:vAlign w:val="bottom"/>
            <w:tcBorders>
              <w:right w:val="single" w:sz="8" w:color="007CBA"/>
            </w:tcBorders>
            <w:vMerge w:val="continue"/>
            <w:shd w:val="clear" w:color="auto" w:fill="007CBA"/>
          </w:tcPr>
          <w:p>
            <w:pPr>
              <w:spacing w:after="0"/>
              <w:rPr>
                <w:sz w:val="12"/>
                <w:szCs w:val="12"/>
                <w:color w:val="auto"/>
              </w:rPr>
            </w:pPr>
          </w:p>
        </w:tc>
        <w:tc>
          <w:tcPr>
            <w:tcW w:w="1140" w:type="dxa"/>
            <w:vAlign w:val="bottom"/>
            <w:tcBorders>
              <w:right w:val="single" w:sz="8" w:color="007CBA"/>
            </w:tcBorders>
            <w:vMerge w:val="continue"/>
            <w:shd w:val="clear" w:color="auto" w:fill="007CBA"/>
          </w:tcPr>
          <w:p>
            <w:pPr>
              <w:spacing w:after="0"/>
              <w:rPr>
                <w:sz w:val="12"/>
                <w:szCs w:val="12"/>
                <w:color w:val="auto"/>
              </w:rPr>
            </w:pPr>
          </w:p>
        </w:tc>
        <w:tc>
          <w:tcPr>
            <w:tcW w:w="740" w:type="dxa"/>
            <w:vAlign w:val="bottom"/>
            <w:tcBorders>
              <w:right w:val="single" w:sz="8" w:color="007CBA"/>
            </w:tcBorders>
            <w:shd w:val="clear" w:color="auto" w:fill="007CBA"/>
          </w:tcPr>
          <w:p>
            <w:pPr>
              <w:spacing w:after="0"/>
              <w:rPr>
                <w:sz w:val="12"/>
                <w:szCs w:val="12"/>
                <w:color w:val="auto"/>
              </w:rPr>
            </w:pPr>
          </w:p>
        </w:tc>
        <w:tc>
          <w:tcPr>
            <w:tcW w:w="880" w:type="dxa"/>
            <w:vAlign w:val="bottom"/>
            <w:tcBorders>
              <w:right w:val="single" w:sz="8" w:color="007CBA"/>
            </w:tcBorders>
            <w:shd w:val="clear" w:color="auto" w:fill="007CBA"/>
          </w:tcPr>
          <w:p>
            <w:pPr>
              <w:spacing w:after="0"/>
              <w:rPr>
                <w:sz w:val="12"/>
                <w:szCs w:val="12"/>
                <w:color w:val="auto"/>
              </w:rPr>
            </w:pPr>
          </w:p>
        </w:tc>
        <w:tc>
          <w:tcPr>
            <w:tcW w:w="1000" w:type="dxa"/>
            <w:vAlign w:val="bottom"/>
            <w:tcBorders>
              <w:right w:val="single" w:sz="8" w:color="007CBA"/>
            </w:tcBorders>
            <w:vMerge w:val="continue"/>
            <w:shd w:val="clear" w:color="auto" w:fill="007CBA"/>
          </w:tcPr>
          <w:p>
            <w:pPr>
              <w:spacing w:after="0"/>
              <w:rPr>
                <w:sz w:val="12"/>
                <w:szCs w:val="12"/>
                <w:color w:val="auto"/>
              </w:rPr>
            </w:pPr>
          </w:p>
        </w:tc>
        <w:tc>
          <w:tcPr>
            <w:tcW w:w="960" w:type="dxa"/>
            <w:vAlign w:val="bottom"/>
            <w:tcBorders>
              <w:right w:val="single" w:sz="8" w:color="007CBA"/>
            </w:tcBorders>
            <w:shd w:val="clear" w:color="auto" w:fill="007CBA"/>
          </w:tcPr>
          <w:p>
            <w:pPr>
              <w:jc w:val="center"/>
              <w:ind w:right="9"/>
              <w:spacing w:after="0" w:line="149" w:lineRule="exact"/>
              <w:rPr>
                <w:sz w:val="20"/>
                <w:szCs w:val="20"/>
                <w:color w:val="auto"/>
              </w:rPr>
            </w:pPr>
            <w:r>
              <w:rPr>
                <w:rFonts w:ascii="Arial" w:cs="Arial" w:eastAsia="Arial" w:hAnsi="Arial"/>
                <w:sz w:val="14"/>
                <w:szCs w:val="14"/>
                <w:b w:val="1"/>
                <w:bCs w:val="1"/>
                <w:color w:val="FFFFFF"/>
                <w:w w:val="95"/>
              </w:rPr>
              <w:t>Value of</w:t>
            </w:r>
          </w:p>
        </w:tc>
        <w:tc>
          <w:tcPr>
            <w:tcW w:w="1200" w:type="dxa"/>
            <w:vAlign w:val="bottom"/>
            <w:tcBorders>
              <w:right w:val="single" w:sz="8" w:color="007CBA"/>
            </w:tcBorders>
            <w:shd w:val="clear" w:color="auto" w:fill="007CBA"/>
          </w:tcPr>
          <w:p>
            <w:pPr>
              <w:jc w:val="center"/>
              <w:ind w:right="119"/>
              <w:spacing w:after="0" w:line="149" w:lineRule="exact"/>
              <w:rPr>
                <w:sz w:val="20"/>
                <w:szCs w:val="20"/>
                <w:color w:val="auto"/>
              </w:rPr>
            </w:pPr>
            <w:r>
              <w:rPr>
                <w:rFonts w:ascii="Arial" w:cs="Arial" w:eastAsia="Arial" w:hAnsi="Arial"/>
                <w:sz w:val="14"/>
                <w:szCs w:val="14"/>
                <w:b w:val="1"/>
                <w:bCs w:val="1"/>
                <w:color w:val="FFFFFF"/>
                <w:w w:val="95"/>
              </w:rPr>
              <w:t>Unearned</w:t>
            </w:r>
          </w:p>
        </w:tc>
        <w:tc>
          <w:tcPr>
            <w:tcW w:w="860" w:type="dxa"/>
            <w:vAlign w:val="bottom"/>
            <w:shd w:val="clear" w:color="auto" w:fill="007CBA"/>
          </w:tcPr>
          <w:p>
            <w:pPr>
              <w:jc w:val="center"/>
              <w:spacing w:after="0" w:line="149" w:lineRule="exact"/>
              <w:rPr>
                <w:sz w:val="20"/>
                <w:szCs w:val="20"/>
                <w:color w:val="auto"/>
              </w:rPr>
            </w:pPr>
            <w:r>
              <w:rPr>
                <w:rFonts w:ascii="Arial" w:cs="Arial" w:eastAsia="Arial" w:hAnsi="Arial"/>
                <w:sz w:val="14"/>
                <w:szCs w:val="14"/>
                <w:b w:val="1"/>
                <w:bCs w:val="1"/>
                <w:color w:val="FFFFFF"/>
                <w:w w:val="94"/>
              </w:rPr>
              <w:t>Units or</w:t>
            </w:r>
          </w:p>
        </w:tc>
        <w:tc>
          <w:tcPr>
            <w:tcW w:w="0" w:type="dxa"/>
            <w:vAlign w:val="bottom"/>
          </w:tcPr>
          <w:p>
            <w:pPr>
              <w:spacing w:after="0"/>
              <w:rPr>
                <w:sz w:val="1"/>
                <w:szCs w:val="1"/>
                <w:color w:val="auto"/>
              </w:rPr>
            </w:pPr>
          </w:p>
        </w:tc>
      </w:tr>
      <w:tr>
        <w:trPr>
          <w:trHeight w:val="149"/>
        </w:trPr>
        <w:tc>
          <w:tcPr>
            <w:tcW w:w="3240" w:type="dxa"/>
            <w:vAlign w:val="bottom"/>
            <w:tcBorders>
              <w:right w:val="single" w:sz="8" w:color="007CBA"/>
            </w:tcBorders>
            <w:shd w:val="clear" w:color="auto" w:fill="007CBA"/>
          </w:tcPr>
          <w:p>
            <w:pPr>
              <w:spacing w:after="0"/>
              <w:rPr>
                <w:sz w:val="12"/>
                <w:szCs w:val="12"/>
                <w:color w:val="auto"/>
              </w:rPr>
            </w:pPr>
          </w:p>
        </w:tc>
        <w:tc>
          <w:tcPr>
            <w:tcW w:w="80" w:type="dxa"/>
            <w:vAlign w:val="bottom"/>
            <w:shd w:val="clear" w:color="auto" w:fill="007CBA"/>
          </w:tcPr>
          <w:p>
            <w:pPr>
              <w:spacing w:after="0"/>
              <w:rPr>
                <w:sz w:val="12"/>
                <w:szCs w:val="12"/>
                <w:color w:val="auto"/>
              </w:rPr>
            </w:pPr>
          </w:p>
        </w:tc>
        <w:tc>
          <w:tcPr>
            <w:tcW w:w="920" w:type="dxa"/>
            <w:vAlign w:val="bottom"/>
            <w:tcBorders>
              <w:right w:val="single" w:sz="8" w:color="007CBA"/>
            </w:tcBorders>
            <w:shd w:val="clear" w:color="auto" w:fill="007CBA"/>
          </w:tcPr>
          <w:p>
            <w:pPr>
              <w:jc w:val="center"/>
              <w:ind w:right="72"/>
              <w:spacing w:after="0" w:line="149" w:lineRule="exact"/>
              <w:rPr>
                <w:sz w:val="20"/>
                <w:szCs w:val="20"/>
                <w:color w:val="auto"/>
              </w:rPr>
            </w:pPr>
            <w:r>
              <w:rPr>
                <w:rFonts w:ascii="Arial" w:cs="Arial" w:eastAsia="Arial" w:hAnsi="Arial"/>
                <w:sz w:val="14"/>
                <w:szCs w:val="14"/>
                <w:b w:val="1"/>
                <w:bCs w:val="1"/>
                <w:color w:val="FFFFFF"/>
                <w:w w:val="98"/>
              </w:rPr>
              <w:t>Securities</w:t>
            </w:r>
          </w:p>
        </w:tc>
        <w:tc>
          <w:tcPr>
            <w:tcW w:w="1140" w:type="dxa"/>
            <w:vAlign w:val="bottom"/>
            <w:tcBorders>
              <w:right w:val="single" w:sz="8" w:color="007CBA"/>
            </w:tcBorders>
            <w:shd w:val="clear" w:color="auto" w:fill="007CBA"/>
          </w:tcPr>
          <w:p>
            <w:pPr>
              <w:jc w:val="center"/>
              <w:ind w:right="34"/>
              <w:spacing w:after="0" w:line="149" w:lineRule="exact"/>
              <w:rPr>
                <w:sz w:val="20"/>
                <w:szCs w:val="20"/>
                <w:color w:val="auto"/>
              </w:rPr>
            </w:pPr>
            <w:r>
              <w:rPr>
                <w:rFonts w:ascii="Arial" w:cs="Arial" w:eastAsia="Arial" w:hAnsi="Arial"/>
                <w:sz w:val="14"/>
                <w:szCs w:val="14"/>
                <w:b w:val="1"/>
                <w:bCs w:val="1"/>
                <w:color w:val="FFFFFF"/>
                <w:w w:val="95"/>
              </w:rPr>
              <w:t>Securities</w:t>
            </w:r>
          </w:p>
        </w:tc>
        <w:tc>
          <w:tcPr>
            <w:tcW w:w="740" w:type="dxa"/>
            <w:vAlign w:val="bottom"/>
            <w:tcBorders>
              <w:right w:val="single" w:sz="8" w:color="007CBA"/>
            </w:tcBorders>
            <w:shd w:val="clear" w:color="auto" w:fill="007CBA"/>
          </w:tcPr>
          <w:p>
            <w:pPr>
              <w:spacing w:after="0"/>
              <w:rPr>
                <w:sz w:val="12"/>
                <w:szCs w:val="12"/>
                <w:color w:val="auto"/>
              </w:rPr>
            </w:pPr>
          </w:p>
        </w:tc>
        <w:tc>
          <w:tcPr>
            <w:tcW w:w="880" w:type="dxa"/>
            <w:vAlign w:val="bottom"/>
            <w:tcBorders>
              <w:right w:val="single" w:sz="8" w:color="007CBA"/>
            </w:tcBorders>
            <w:shd w:val="clear" w:color="auto" w:fill="007CBA"/>
          </w:tcPr>
          <w:p>
            <w:pPr>
              <w:spacing w:after="0"/>
              <w:rPr>
                <w:sz w:val="12"/>
                <w:szCs w:val="12"/>
                <w:color w:val="auto"/>
              </w:rPr>
            </w:pPr>
          </w:p>
        </w:tc>
        <w:tc>
          <w:tcPr>
            <w:tcW w:w="1000" w:type="dxa"/>
            <w:vAlign w:val="bottom"/>
            <w:tcBorders>
              <w:right w:val="single" w:sz="8" w:color="007CBA"/>
            </w:tcBorders>
            <w:shd w:val="clear" w:color="auto" w:fill="007CBA"/>
          </w:tcPr>
          <w:p>
            <w:pPr>
              <w:jc w:val="center"/>
              <w:ind w:right="80"/>
              <w:spacing w:after="0" w:line="149" w:lineRule="exact"/>
              <w:rPr>
                <w:sz w:val="20"/>
                <w:szCs w:val="20"/>
                <w:color w:val="auto"/>
              </w:rPr>
            </w:pPr>
            <w:r>
              <w:rPr>
                <w:rFonts w:ascii="Arial" w:cs="Arial" w:eastAsia="Arial" w:hAnsi="Arial"/>
                <w:sz w:val="14"/>
                <w:szCs w:val="14"/>
                <w:b w:val="1"/>
                <w:bCs w:val="1"/>
                <w:color w:val="FFFFFF"/>
                <w:w w:val="97"/>
              </w:rPr>
              <w:t>of Shares</w:t>
            </w:r>
          </w:p>
        </w:tc>
        <w:tc>
          <w:tcPr>
            <w:tcW w:w="960" w:type="dxa"/>
            <w:vAlign w:val="bottom"/>
            <w:tcBorders>
              <w:right w:val="single" w:sz="8" w:color="007CBA"/>
            </w:tcBorders>
            <w:shd w:val="clear" w:color="auto" w:fill="007CBA"/>
          </w:tcPr>
          <w:p>
            <w:pPr>
              <w:jc w:val="center"/>
              <w:spacing w:after="0" w:line="149" w:lineRule="exact"/>
              <w:rPr>
                <w:sz w:val="20"/>
                <w:szCs w:val="20"/>
                <w:color w:val="auto"/>
              </w:rPr>
            </w:pPr>
            <w:r>
              <w:rPr>
                <w:rFonts w:ascii="Arial" w:cs="Arial" w:eastAsia="Arial" w:hAnsi="Arial"/>
                <w:sz w:val="14"/>
                <w:szCs w:val="14"/>
                <w:b w:val="1"/>
                <w:bCs w:val="1"/>
                <w:color w:val="FFFFFF"/>
                <w:w w:val="95"/>
              </w:rPr>
              <w:t>Shares or</w:t>
            </w:r>
          </w:p>
        </w:tc>
        <w:tc>
          <w:tcPr>
            <w:tcW w:w="1200" w:type="dxa"/>
            <w:vAlign w:val="bottom"/>
            <w:tcBorders>
              <w:right w:val="single" w:sz="8" w:color="007CBA"/>
            </w:tcBorders>
            <w:shd w:val="clear" w:color="auto" w:fill="007CBA"/>
          </w:tcPr>
          <w:p>
            <w:pPr>
              <w:jc w:val="center"/>
              <w:ind w:right="119"/>
              <w:spacing w:after="0" w:line="149" w:lineRule="exact"/>
              <w:rPr>
                <w:sz w:val="20"/>
                <w:szCs w:val="20"/>
                <w:color w:val="auto"/>
              </w:rPr>
            </w:pPr>
            <w:r>
              <w:rPr>
                <w:rFonts w:ascii="Arial" w:cs="Arial" w:eastAsia="Arial" w:hAnsi="Arial"/>
                <w:sz w:val="14"/>
                <w:szCs w:val="14"/>
                <w:b w:val="1"/>
                <w:bCs w:val="1"/>
                <w:color w:val="FFFFFF"/>
                <w:w w:val="96"/>
              </w:rPr>
              <w:t>Shares, Units</w:t>
            </w:r>
          </w:p>
        </w:tc>
        <w:tc>
          <w:tcPr>
            <w:tcW w:w="860" w:type="dxa"/>
            <w:vAlign w:val="bottom"/>
            <w:shd w:val="clear" w:color="auto" w:fill="007CBA"/>
          </w:tcPr>
          <w:p>
            <w:pPr>
              <w:jc w:val="center"/>
              <w:spacing w:after="0" w:line="149" w:lineRule="exact"/>
              <w:rPr>
                <w:sz w:val="20"/>
                <w:szCs w:val="20"/>
                <w:color w:val="auto"/>
              </w:rPr>
            </w:pPr>
            <w:r>
              <w:rPr>
                <w:rFonts w:ascii="Arial" w:cs="Arial" w:eastAsia="Arial" w:hAnsi="Arial"/>
                <w:sz w:val="14"/>
                <w:szCs w:val="14"/>
                <w:b w:val="1"/>
                <w:bCs w:val="1"/>
                <w:color w:val="FFFFFF"/>
                <w:w w:val="96"/>
              </w:rPr>
              <w:t>Other</w:t>
            </w:r>
          </w:p>
        </w:tc>
        <w:tc>
          <w:tcPr>
            <w:tcW w:w="0" w:type="dxa"/>
            <w:vAlign w:val="bottom"/>
          </w:tcPr>
          <w:p>
            <w:pPr>
              <w:spacing w:after="0"/>
              <w:rPr>
                <w:sz w:val="1"/>
                <w:szCs w:val="1"/>
                <w:color w:val="auto"/>
              </w:rPr>
            </w:pPr>
          </w:p>
        </w:tc>
      </w:tr>
      <w:tr>
        <w:trPr>
          <w:trHeight w:val="149"/>
        </w:trPr>
        <w:tc>
          <w:tcPr>
            <w:tcW w:w="3240" w:type="dxa"/>
            <w:vAlign w:val="bottom"/>
            <w:tcBorders>
              <w:right w:val="single" w:sz="8" w:color="007CBA"/>
            </w:tcBorders>
            <w:shd w:val="clear" w:color="auto" w:fill="007CBA"/>
          </w:tcPr>
          <w:p>
            <w:pPr>
              <w:spacing w:after="0"/>
              <w:rPr>
                <w:sz w:val="12"/>
                <w:szCs w:val="12"/>
                <w:color w:val="auto"/>
              </w:rPr>
            </w:pPr>
          </w:p>
        </w:tc>
        <w:tc>
          <w:tcPr>
            <w:tcW w:w="80" w:type="dxa"/>
            <w:vAlign w:val="bottom"/>
            <w:shd w:val="clear" w:color="auto" w:fill="007CBA"/>
          </w:tcPr>
          <w:p>
            <w:pPr>
              <w:spacing w:after="0"/>
              <w:rPr>
                <w:sz w:val="12"/>
                <w:szCs w:val="12"/>
                <w:color w:val="auto"/>
              </w:rPr>
            </w:pPr>
          </w:p>
        </w:tc>
        <w:tc>
          <w:tcPr>
            <w:tcW w:w="920" w:type="dxa"/>
            <w:vAlign w:val="bottom"/>
            <w:tcBorders>
              <w:right w:val="single" w:sz="8" w:color="007CBA"/>
            </w:tcBorders>
            <w:shd w:val="clear" w:color="auto" w:fill="007CBA"/>
          </w:tcPr>
          <w:p>
            <w:pPr>
              <w:jc w:val="center"/>
              <w:ind w:right="72"/>
              <w:spacing w:after="0" w:line="149" w:lineRule="exact"/>
              <w:rPr>
                <w:sz w:val="20"/>
                <w:szCs w:val="20"/>
                <w:color w:val="auto"/>
              </w:rPr>
            </w:pPr>
            <w:r>
              <w:rPr>
                <w:rFonts w:ascii="Arial" w:cs="Arial" w:eastAsia="Arial" w:hAnsi="Arial"/>
                <w:sz w:val="14"/>
                <w:szCs w:val="14"/>
                <w:b w:val="1"/>
                <w:bCs w:val="1"/>
                <w:color w:val="FFFFFF"/>
                <w:w w:val="95"/>
              </w:rPr>
              <w:t>Underlying</w:t>
            </w:r>
          </w:p>
        </w:tc>
        <w:tc>
          <w:tcPr>
            <w:tcW w:w="1140" w:type="dxa"/>
            <w:vAlign w:val="bottom"/>
            <w:tcBorders>
              <w:right w:val="single" w:sz="8" w:color="007CBA"/>
            </w:tcBorders>
            <w:shd w:val="clear" w:color="auto" w:fill="007CBA"/>
          </w:tcPr>
          <w:p>
            <w:pPr>
              <w:jc w:val="center"/>
              <w:ind w:right="14"/>
              <w:spacing w:after="0" w:line="149" w:lineRule="exact"/>
              <w:rPr>
                <w:sz w:val="20"/>
                <w:szCs w:val="20"/>
                <w:color w:val="auto"/>
              </w:rPr>
            </w:pPr>
            <w:r>
              <w:rPr>
                <w:rFonts w:ascii="Arial" w:cs="Arial" w:eastAsia="Arial" w:hAnsi="Arial"/>
                <w:sz w:val="14"/>
                <w:szCs w:val="14"/>
                <w:b w:val="1"/>
                <w:bCs w:val="1"/>
                <w:color w:val="FFFFFF"/>
                <w:w w:val="95"/>
              </w:rPr>
              <w:t>Underlying</w:t>
            </w:r>
          </w:p>
        </w:tc>
        <w:tc>
          <w:tcPr>
            <w:tcW w:w="740" w:type="dxa"/>
            <w:vAlign w:val="bottom"/>
            <w:tcBorders>
              <w:right w:val="single" w:sz="8" w:color="007CBA"/>
            </w:tcBorders>
            <w:vMerge w:val="restart"/>
            <w:shd w:val="clear" w:color="auto" w:fill="007CBA"/>
          </w:tcPr>
          <w:p>
            <w:pPr>
              <w:jc w:val="center"/>
              <w:spacing w:after="0"/>
              <w:rPr>
                <w:sz w:val="20"/>
                <w:szCs w:val="20"/>
                <w:color w:val="auto"/>
              </w:rPr>
            </w:pPr>
            <w:r>
              <w:rPr>
                <w:rFonts w:ascii="Arial" w:cs="Arial" w:eastAsia="Arial" w:hAnsi="Arial"/>
                <w:sz w:val="14"/>
                <w:szCs w:val="14"/>
                <w:b w:val="1"/>
                <w:bCs w:val="1"/>
                <w:color w:val="FFFFFF"/>
                <w:w w:val="97"/>
              </w:rPr>
              <w:t>Option</w:t>
            </w:r>
          </w:p>
        </w:tc>
        <w:tc>
          <w:tcPr>
            <w:tcW w:w="880" w:type="dxa"/>
            <w:vAlign w:val="bottom"/>
            <w:tcBorders>
              <w:right w:val="single" w:sz="8" w:color="007CBA"/>
            </w:tcBorders>
            <w:shd w:val="clear" w:color="auto" w:fill="007CBA"/>
          </w:tcPr>
          <w:p>
            <w:pPr>
              <w:spacing w:after="0"/>
              <w:rPr>
                <w:sz w:val="12"/>
                <w:szCs w:val="12"/>
                <w:color w:val="auto"/>
              </w:rPr>
            </w:pPr>
          </w:p>
        </w:tc>
        <w:tc>
          <w:tcPr>
            <w:tcW w:w="1000" w:type="dxa"/>
            <w:vAlign w:val="bottom"/>
            <w:tcBorders>
              <w:right w:val="single" w:sz="8" w:color="007CBA"/>
            </w:tcBorders>
            <w:shd w:val="clear" w:color="auto" w:fill="007CBA"/>
          </w:tcPr>
          <w:p>
            <w:pPr>
              <w:jc w:val="center"/>
              <w:ind w:right="100"/>
              <w:spacing w:after="0" w:line="149" w:lineRule="exact"/>
              <w:rPr>
                <w:sz w:val="20"/>
                <w:szCs w:val="20"/>
                <w:color w:val="auto"/>
              </w:rPr>
            </w:pPr>
            <w:r>
              <w:rPr>
                <w:rFonts w:ascii="Arial" w:cs="Arial" w:eastAsia="Arial" w:hAnsi="Arial"/>
                <w:sz w:val="14"/>
                <w:szCs w:val="14"/>
                <w:b w:val="1"/>
                <w:bCs w:val="1"/>
                <w:color w:val="FFFFFF"/>
                <w:w w:val="97"/>
              </w:rPr>
              <w:t>or Units of</w:t>
            </w:r>
          </w:p>
        </w:tc>
        <w:tc>
          <w:tcPr>
            <w:tcW w:w="960" w:type="dxa"/>
            <w:vAlign w:val="bottom"/>
            <w:tcBorders>
              <w:right w:val="single" w:sz="8" w:color="007CBA"/>
            </w:tcBorders>
            <w:shd w:val="clear" w:color="auto" w:fill="007CBA"/>
          </w:tcPr>
          <w:p>
            <w:pPr>
              <w:jc w:val="center"/>
              <w:spacing w:after="0" w:line="149" w:lineRule="exact"/>
              <w:rPr>
                <w:sz w:val="20"/>
                <w:szCs w:val="20"/>
                <w:color w:val="auto"/>
              </w:rPr>
            </w:pPr>
            <w:r>
              <w:rPr>
                <w:rFonts w:ascii="Arial" w:cs="Arial" w:eastAsia="Arial" w:hAnsi="Arial"/>
                <w:sz w:val="14"/>
                <w:szCs w:val="14"/>
                <w:b w:val="1"/>
                <w:bCs w:val="1"/>
                <w:color w:val="FFFFFF"/>
                <w:w w:val="95"/>
              </w:rPr>
              <w:t>Units of</w:t>
            </w:r>
          </w:p>
        </w:tc>
        <w:tc>
          <w:tcPr>
            <w:tcW w:w="1200" w:type="dxa"/>
            <w:vAlign w:val="bottom"/>
            <w:tcBorders>
              <w:right w:val="single" w:sz="8" w:color="007CBA"/>
            </w:tcBorders>
            <w:shd w:val="clear" w:color="auto" w:fill="007CBA"/>
          </w:tcPr>
          <w:p>
            <w:pPr>
              <w:jc w:val="center"/>
              <w:ind w:right="99"/>
              <w:spacing w:after="0" w:line="149" w:lineRule="exact"/>
              <w:rPr>
                <w:sz w:val="20"/>
                <w:szCs w:val="20"/>
                <w:color w:val="auto"/>
              </w:rPr>
            </w:pPr>
            <w:r>
              <w:rPr>
                <w:rFonts w:ascii="Arial" w:cs="Arial" w:eastAsia="Arial" w:hAnsi="Arial"/>
                <w:sz w:val="14"/>
                <w:szCs w:val="14"/>
                <w:b w:val="1"/>
                <w:bCs w:val="1"/>
                <w:color w:val="FFFFFF"/>
                <w:w w:val="94"/>
              </w:rPr>
              <w:t>or Other</w:t>
            </w:r>
          </w:p>
        </w:tc>
        <w:tc>
          <w:tcPr>
            <w:tcW w:w="860" w:type="dxa"/>
            <w:vAlign w:val="bottom"/>
            <w:shd w:val="clear" w:color="auto" w:fill="007CBA"/>
          </w:tcPr>
          <w:p>
            <w:pPr>
              <w:jc w:val="center"/>
              <w:spacing w:after="0" w:line="149" w:lineRule="exact"/>
              <w:rPr>
                <w:sz w:val="20"/>
                <w:szCs w:val="20"/>
                <w:color w:val="auto"/>
              </w:rPr>
            </w:pPr>
            <w:r>
              <w:rPr>
                <w:rFonts w:ascii="Arial" w:cs="Arial" w:eastAsia="Arial" w:hAnsi="Arial"/>
                <w:sz w:val="14"/>
                <w:szCs w:val="14"/>
                <w:b w:val="1"/>
                <w:bCs w:val="1"/>
                <w:color w:val="FFFFFF"/>
                <w:w w:val="96"/>
              </w:rPr>
              <w:t>Rights</w:t>
            </w:r>
          </w:p>
        </w:tc>
        <w:tc>
          <w:tcPr>
            <w:tcW w:w="0" w:type="dxa"/>
            <w:vAlign w:val="bottom"/>
          </w:tcPr>
          <w:p>
            <w:pPr>
              <w:spacing w:after="0"/>
              <w:rPr>
                <w:sz w:val="1"/>
                <w:szCs w:val="1"/>
                <w:color w:val="auto"/>
              </w:rPr>
            </w:pPr>
          </w:p>
        </w:tc>
      </w:tr>
      <w:tr>
        <w:trPr>
          <w:trHeight w:val="149"/>
        </w:trPr>
        <w:tc>
          <w:tcPr>
            <w:tcW w:w="3240" w:type="dxa"/>
            <w:vAlign w:val="bottom"/>
            <w:tcBorders>
              <w:right w:val="single" w:sz="8" w:color="007CBA"/>
            </w:tcBorders>
            <w:shd w:val="clear" w:color="auto" w:fill="007CBA"/>
          </w:tcPr>
          <w:p>
            <w:pPr>
              <w:spacing w:after="0"/>
              <w:rPr>
                <w:sz w:val="12"/>
                <w:szCs w:val="12"/>
                <w:color w:val="auto"/>
              </w:rPr>
            </w:pPr>
          </w:p>
        </w:tc>
        <w:tc>
          <w:tcPr>
            <w:tcW w:w="80" w:type="dxa"/>
            <w:vAlign w:val="bottom"/>
            <w:shd w:val="clear" w:color="auto" w:fill="007CBA"/>
          </w:tcPr>
          <w:p>
            <w:pPr>
              <w:spacing w:after="0"/>
              <w:rPr>
                <w:sz w:val="12"/>
                <w:szCs w:val="12"/>
                <w:color w:val="auto"/>
              </w:rPr>
            </w:pPr>
          </w:p>
        </w:tc>
        <w:tc>
          <w:tcPr>
            <w:tcW w:w="920" w:type="dxa"/>
            <w:vAlign w:val="bottom"/>
            <w:tcBorders>
              <w:right w:val="single" w:sz="8" w:color="007CBA"/>
            </w:tcBorders>
            <w:shd w:val="clear" w:color="auto" w:fill="007CBA"/>
          </w:tcPr>
          <w:p>
            <w:pPr>
              <w:jc w:val="center"/>
              <w:ind w:right="52"/>
              <w:spacing w:after="0" w:line="149" w:lineRule="exact"/>
              <w:rPr>
                <w:sz w:val="20"/>
                <w:szCs w:val="20"/>
                <w:color w:val="auto"/>
              </w:rPr>
            </w:pPr>
            <w:r>
              <w:rPr>
                <w:rFonts w:ascii="Arial" w:cs="Arial" w:eastAsia="Arial" w:hAnsi="Arial"/>
                <w:sz w:val="14"/>
                <w:szCs w:val="14"/>
                <w:b w:val="1"/>
                <w:bCs w:val="1"/>
                <w:color w:val="FFFFFF"/>
                <w:w w:val="96"/>
              </w:rPr>
              <w:t>Unexercised</w:t>
            </w:r>
          </w:p>
        </w:tc>
        <w:tc>
          <w:tcPr>
            <w:tcW w:w="1140" w:type="dxa"/>
            <w:vAlign w:val="bottom"/>
            <w:tcBorders>
              <w:right w:val="single" w:sz="8" w:color="007CBA"/>
            </w:tcBorders>
            <w:shd w:val="clear" w:color="auto" w:fill="007CBA"/>
          </w:tcPr>
          <w:p>
            <w:pPr>
              <w:jc w:val="center"/>
              <w:ind w:right="34"/>
              <w:spacing w:after="0" w:line="149" w:lineRule="exact"/>
              <w:rPr>
                <w:sz w:val="20"/>
                <w:szCs w:val="20"/>
                <w:color w:val="auto"/>
              </w:rPr>
            </w:pPr>
            <w:r>
              <w:rPr>
                <w:rFonts w:ascii="Arial" w:cs="Arial" w:eastAsia="Arial" w:hAnsi="Arial"/>
                <w:sz w:val="14"/>
                <w:szCs w:val="14"/>
                <w:b w:val="1"/>
                <w:bCs w:val="1"/>
                <w:color w:val="FFFFFF"/>
                <w:w w:val="96"/>
              </w:rPr>
              <w:t>Unexercised</w:t>
            </w:r>
          </w:p>
        </w:tc>
        <w:tc>
          <w:tcPr>
            <w:tcW w:w="740" w:type="dxa"/>
            <w:vAlign w:val="bottom"/>
            <w:tcBorders>
              <w:right w:val="single" w:sz="8" w:color="007CBA"/>
            </w:tcBorders>
            <w:vMerge w:val="continue"/>
            <w:shd w:val="clear" w:color="auto" w:fill="007CBA"/>
          </w:tcPr>
          <w:p>
            <w:pPr>
              <w:spacing w:after="0"/>
              <w:rPr>
                <w:sz w:val="12"/>
                <w:szCs w:val="12"/>
                <w:color w:val="auto"/>
              </w:rPr>
            </w:pPr>
          </w:p>
        </w:tc>
        <w:tc>
          <w:tcPr>
            <w:tcW w:w="880" w:type="dxa"/>
            <w:vAlign w:val="bottom"/>
            <w:tcBorders>
              <w:right w:val="single" w:sz="8" w:color="007CBA"/>
            </w:tcBorders>
            <w:shd w:val="clear" w:color="auto" w:fill="007CBA"/>
          </w:tcPr>
          <w:p>
            <w:pPr>
              <w:spacing w:after="0"/>
              <w:rPr>
                <w:sz w:val="12"/>
                <w:szCs w:val="12"/>
                <w:color w:val="auto"/>
              </w:rPr>
            </w:pPr>
          </w:p>
        </w:tc>
        <w:tc>
          <w:tcPr>
            <w:tcW w:w="1000" w:type="dxa"/>
            <w:vAlign w:val="bottom"/>
            <w:tcBorders>
              <w:right w:val="single" w:sz="8" w:color="007CBA"/>
            </w:tcBorders>
            <w:shd w:val="clear" w:color="auto" w:fill="007CBA"/>
          </w:tcPr>
          <w:p>
            <w:pPr>
              <w:jc w:val="center"/>
              <w:ind w:right="100"/>
              <w:spacing w:after="0" w:line="149" w:lineRule="exact"/>
              <w:rPr>
                <w:sz w:val="20"/>
                <w:szCs w:val="20"/>
                <w:color w:val="auto"/>
              </w:rPr>
            </w:pPr>
            <w:r>
              <w:rPr>
                <w:rFonts w:ascii="Arial" w:cs="Arial" w:eastAsia="Arial" w:hAnsi="Arial"/>
                <w:sz w:val="14"/>
                <w:szCs w:val="14"/>
                <w:b w:val="1"/>
                <w:bCs w:val="1"/>
                <w:color w:val="FFFFFF"/>
                <w:w w:val="94"/>
              </w:rPr>
              <w:t>Stock</w:t>
            </w:r>
          </w:p>
        </w:tc>
        <w:tc>
          <w:tcPr>
            <w:tcW w:w="960" w:type="dxa"/>
            <w:vAlign w:val="bottom"/>
            <w:tcBorders>
              <w:right w:val="single" w:sz="8" w:color="007CBA"/>
            </w:tcBorders>
            <w:shd w:val="clear" w:color="auto" w:fill="007CBA"/>
          </w:tcPr>
          <w:p>
            <w:pPr>
              <w:jc w:val="center"/>
              <w:ind w:right="9"/>
              <w:spacing w:after="0" w:line="149" w:lineRule="exact"/>
              <w:rPr>
                <w:sz w:val="20"/>
                <w:szCs w:val="20"/>
                <w:color w:val="auto"/>
              </w:rPr>
            </w:pPr>
            <w:r>
              <w:rPr>
                <w:rFonts w:ascii="Arial" w:cs="Arial" w:eastAsia="Arial" w:hAnsi="Arial"/>
                <w:sz w:val="14"/>
                <w:szCs w:val="14"/>
                <w:b w:val="1"/>
                <w:bCs w:val="1"/>
                <w:color w:val="FFFFFF"/>
                <w:w w:val="94"/>
              </w:rPr>
              <w:t>Stock</w:t>
            </w:r>
          </w:p>
        </w:tc>
        <w:tc>
          <w:tcPr>
            <w:tcW w:w="1200" w:type="dxa"/>
            <w:vAlign w:val="bottom"/>
            <w:tcBorders>
              <w:right w:val="single" w:sz="8" w:color="007CBA"/>
            </w:tcBorders>
            <w:shd w:val="clear" w:color="auto" w:fill="007CBA"/>
          </w:tcPr>
          <w:p>
            <w:pPr>
              <w:jc w:val="center"/>
              <w:ind w:right="119"/>
              <w:spacing w:after="0" w:line="149" w:lineRule="exact"/>
              <w:rPr>
                <w:sz w:val="20"/>
                <w:szCs w:val="20"/>
                <w:color w:val="auto"/>
              </w:rPr>
            </w:pPr>
            <w:r>
              <w:rPr>
                <w:rFonts w:ascii="Arial" w:cs="Arial" w:eastAsia="Arial" w:hAnsi="Arial"/>
                <w:sz w:val="14"/>
                <w:szCs w:val="14"/>
                <w:b w:val="1"/>
                <w:bCs w:val="1"/>
                <w:color w:val="FFFFFF"/>
                <w:w w:val="96"/>
              </w:rPr>
              <w:t>Rights That</w:t>
            </w:r>
          </w:p>
        </w:tc>
        <w:tc>
          <w:tcPr>
            <w:tcW w:w="860" w:type="dxa"/>
            <w:vAlign w:val="bottom"/>
            <w:shd w:val="clear" w:color="auto" w:fill="007CBA"/>
          </w:tcPr>
          <w:p>
            <w:pPr>
              <w:jc w:val="center"/>
              <w:spacing w:after="0" w:line="149" w:lineRule="exact"/>
              <w:rPr>
                <w:sz w:val="20"/>
                <w:szCs w:val="20"/>
                <w:color w:val="auto"/>
              </w:rPr>
            </w:pPr>
            <w:r>
              <w:rPr>
                <w:rFonts w:ascii="Arial" w:cs="Arial" w:eastAsia="Arial" w:hAnsi="Arial"/>
                <w:sz w:val="14"/>
                <w:szCs w:val="14"/>
                <w:b w:val="1"/>
                <w:bCs w:val="1"/>
                <w:color w:val="FFFFFF"/>
                <w:w w:val="94"/>
              </w:rPr>
              <w:t>That</w:t>
            </w:r>
          </w:p>
        </w:tc>
        <w:tc>
          <w:tcPr>
            <w:tcW w:w="0" w:type="dxa"/>
            <w:vAlign w:val="bottom"/>
          </w:tcPr>
          <w:p>
            <w:pPr>
              <w:spacing w:after="0"/>
              <w:rPr>
                <w:sz w:val="1"/>
                <w:szCs w:val="1"/>
                <w:color w:val="auto"/>
              </w:rPr>
            </w:pPr>
          </w:p>
        </w:tc>
      </w:tr>
      <w:tr>
        <w:trPr>
          <w:trHeight w:val="154"/>
        </w:trPr>
        <w:tc>
          <w:tcPr>
            <w:tcW w:w="3240" w:type="dxa"/>
            <w:vAlign w:val="bottom"/>
            <w:tcBorders>
              <w:right w:val="single" w:sz="8" w:color="007CBA"/>
            </w:tcBorders>
            <w:shd w:val="clear" w:color="auto" w:fill="007CBA"/>
          </w:tcPr>
          <w:p>
            <w:pPr>
              <w:spacing w:after="0"/>
              <w:rPr>
                <w:sz w:val="13"/>
                <w:szCs w:val="13"/>
                <w:color w:val="auto"/>
              </w:rPr>
            </w:pPr>
          </w:p>
        </w:tc>
        <w:tc>
          <w:tcPr>
            <w:tcW w:w="80" w:type="dxa"/>
            <w:vAlign w:val="bottom"/>
            <w:shd w:val="clear" w:color="auto" w:fill="007CBA"/>
          </w:tcPr>
          <w:p>
            <w:pPr>
              <w:spacing w:after="0"/>
              <w:rPr>
                <w:sz w:val="13"/>
                <w:szCs w:val="13"/>
                <w:color w:val="auto"/>
              </w:rPr>
            </w:pPr>
          </w:p>
        </w:tc>
        <w:tc>
          <w:tcPr>
            <w:tcW w:w="920" w:type="dxa"/>
            <w:vAlign w:val="bottom"/>
            <w:tcBorders>
              <w:right w:val="single" w:sz="8" w:color="007CBA"/>
            </w:tcBorders>
            <w:shd w:val="clear" w:color="auto" w:fill="007CBA"/>
          </w:tcPr>
          <w:p>
            <w:pPr>
              <w:jc w:val="center"/>
              <w:ind w:right="72"/>
              <w:spacing w:after="0" w:line="154" w:lineRule="exact"/>
              <w:rPr>
                <w:sz w:val="20"/>
                <w:szCs w:val="20"/>
                <w:color w:val="auto"/>
              </w:rPr>
            </w:pPr>
            <w:r>
              <w:rPr>
                <w:rFonts w:ascii="Arial" w:cs="Arial" w:eastAsia="Arial" w:hAnsi="Arial"/>
                <w:sz w:val="14"/>
                <w:szCs w:val="14"/>
                <w:b w:val="1"/>
                <w:bCs w:val="1"/>
                <w:color w:val="FFFFFF"/>
                <w:w w:val="94"/>
              </w:rPr>
              <w:t>Options</w:t>
            </w:r>
          </w:p>
        </w:tc>
        <w:tc>
          <w:tcPr>
            <w:tcW w:w="1140" w:type="dxa"/>
            <w:vAlign w:val="bottom"/>
            <w:tcBorders>
              <w:right w:val="single" w:sz="8" w:color="007CBA"/>
            </w:tcBorders>
            <w:shd w:val="clear" w:color="auto" w:fill="007CBA"/>
          </w:tcPr>
          <w:p>
            <w:pPr>
              <w:jc w:val="center"/>
              <w:ind w:right="34"/>
              <w:spacing w:after="0" w:line="154" w:lineRule="exact"/>
              <w:rPr>
                <w:sz w:val="20"/>
                <w:szCs w:val="20"/>
                <w:color w:val="auto"/>
              </w:rPr>
            </w:pPr>
            <w:r>
              <w:rPr>
                <w:rFonts w:ascii="Arial" w:cs="Arial" w:eastAsia="Arial" w:hAnsi="Arial"/>
                <w:sz w:val="14"/>
                <w:szCs w:val="14"/>
                <w:b w:val="1"/>
                <w:bCs w:val="1"/>
                <w:color w:val="FFFFFF"/>
                <w:w w:val="98"/>
              </w:rPr>
              <w:t>Options</w:t>
            </w:r>
          </w:p>
        </w:tc>
        <w:tc>
          <w:tcPr>
            <w:tcW w:w="740" w:type="dxa"/>
            <w:vAlign w:val="bottom"/>
            <w:tcBorders>
              <w:right w:val="single" w:sz="8" w:color="007CBA"/>
            </w:tcBorders>
            <w:shd w:val="clear" w:color="auto" w:fill="007CBA"/>
          </w:tcPr>
          <w:p>
            <w:pPr>
              <w:jc w:val="center"/>
              <w:spacing w:after="0" w:line="154" w:lineRule="exact"/>
              <w:rPr>
                <w:sz w:val="20"/>
                <w:szCs w:val="20"/>
                <w:color w:val="auto"/>
              </w:rPr>
            </w:pPr>
            <w:r>
              <w:rPr>
                <w:rFonts w:ascii="Arial" w:cs="Arial" w:eastAsia="Arial" w:hAnsi="Arial"/>
                <w:sz w:val="14"/>
                <w:szCs w:val="14"/>
                <w:b w:val="1"/>
                <w:bCs w:val="1"/>
                <w:color w:val="FFFFFF"/>
                <w:w w:val="97"/>
              </w:rPr>
              <w:t>Exercise</w:t>
            </w:r>
          </w:p>
        </w:tc>
        <w:tc>
          <w:tcPr>
            <w:tcW w:w="880" w:type="dxa"/>
            <w:vAlign w:val="bottom"/>
            <w:tcBorders>
              <w:right w:val="single" w:sz="8" w:color="007CBA"/>
            </w:tcBorders>
            <w:shd w:val="clear" w:color="auto" w:fill="007CBA"/>
          </w:tcPr>
          <w:p>
            <w:pPr>
              <w:jc w:val="center"/>
              <w:spacing w:after="0" w:line="154" w:lineRule="exact"/>
              <w:rPr>
                <w:sz w:val="20"/>
                <w:szCs w:val="20"/>
                <w:color w:val="auto"/>
              </w:rPr>
            </w:pPr>
            <w:r>
              <w:rPr>
                <w:rFonts w:ascii="Arial" w:cs="Arial" w:eastAsia="Arial" w:hAnsi="Arial"/>
                <w:sz w:val="14"/>
                <w:szCs w:val="14"/>
                <w:b w:val="1"/>
                <w:bCs w:val="1"/>
                <w:color w:val="FFFFFF"/>
                <w:w w:val="97"/>
              </w:rPr>
              <w:t>Option</w:t>
            </w:r>
          </w:p>
        </w:tc>
        <w:tc>
          <w:tcPr>
            <w:tcW w:w="1000" w:type="dxa"/>
            <w:vAlign w:val="bottom"/>
            <w:tcBorders>
              <w:right w:val="single" w:sz="8" w:color="007CBA"/>
            </w:tcBorders>
            <w:shd w:val="clear" w:color="auto" w:fill="007CBA"/>
          </w:tcPr>
          <w:p>
            <w:pPr>
              <w:jc w:val="center"/>
              <w:ind w:right="100"/>
              <w:spacing w:after="0" w:line="154" w:lineRule="exact"/>
              <w:rPr>
                <w:sz w:val="20"/>
                <w:szCs w:val="20"/>
                <w:color w:val="auto"/>
              </w:rPr>
            </w:pPr>
            <w:r>
              <w:rPr>
                <w:rFonts w:ascii="Arial" w:cs="Arial" w:eastAsia="Arial" w:hAnsi="Arial"/>
                <w:sz w:val="14"/>
                <w:szCs w:val="14"/>
                <w:b w:val="1"/>
                <w:bCs w:val="1"/>
                <w:color w:val="FFFFFF"/>
                <w:w w:val="95"/>
              </w:rPr>
              <w:t>That Have</w:t>
            </w:r>
          </w:p>
        </w:tc>
        <w:tc>
          <w:tcPr>
            <w:tcW w:w="960" w:type="dxa"/>
            <w:vAlign w:val="bottom"/>
            <w:tcBorders>
              <w:right w:val="single" w:sz="8" w:color="007CBA"/>
            </w:tcBorders>
            <w:shd w:val="clear" w:color="auto" w:fill="007CBA"/>
          </w:tcPr>
          <w:p>
            <w:pPr>
              <w:jc w:val="center"/>
              <w:ind w:right="9"/>
              <w:spacing w:after="0" w:line="154" w:lineRule="exact"/>
              <w:rPr>
                <w:sz w:val="20"/>
                <w:szCs w:val="20"/>
                <w:color w:val="auto"/>
              </w:rPr>
            </w:pPr>
            <w:r>
              <w:rPr>
                <w:rFonts w:ascii="Arial" w:cs="Arial" w:eastAsia="Arial" w:hAnsi="Arial"/>
                <w:sz w:val="14"/>
                <w:szCs w:val="14"/>
                <w:b w:val="1"/>
                <w:bCs w:val="1"/>
                <w:color w:val="FFFFFF"/>
                <w:w w:val="95"/>
              </w:rPr>
              <w:t>That Have</w:t>
            </w:r>
          </w:p>
        </w:tc>
        <w:tc>
          <w:tcPr>
            <w:tcW w:w="1200" w:type="dxa"/>
            <w:vAlign w:val="bottom"/>
            <w:tcBorders>
              <w:right w:val="single" w:sz="8" w:color="007CBA"/>
            </w:tcBorders>
            <w:shd w:val="clear" w:color="auto" w:fill="007CBA"/>
          </w:tcPr>
          <w:p>
            <w:pPr>
              <w:jc w:val="center"/>
              <w:ind w:right="99"/>
              <w:spacing w:after="0" w:line="154" w:lineRule="exact"/>
              <w:rPr>
                <w:sz w:val="20"/>
                <w:szCs w:val="20"/>
                <w:color w:val="auto"/>
              </w:rPr>
            </w:pPr>
            <w:r>
              <w:rPr>
                <w:rFonts w:ascii="Arial" w:cs="Arial" w:eastAsia="Arial" w:hAnsi="Arial"/>
                <w:sz w:val="14"/>
                <w:szCs w:val="14"/>
                <w:b w:val="1"/>
                <w:bCs w:val="1"/>
                <w:color w:val="FFFFFF"/>
                <w:w w:val="95"/>
              </w:rPr>
              <w:t>Have</w:t>
            </w:r>
          </w:p>
        </w:tc>
        <w:tc>
          <w:tcPr>
            <w:tcW w:w="860" w:type="dxa"/>
            <w:vAlign w:val="bottom"/>
            <w:shd w:val="clear" w:color="auto" w:fill="007CBA"/>
          </w:tcPr>
          <w:p>
            <w:pPr>
              <w:jc w:val="center"/>
              <w:spacing w:after="0" w:line="154" w:lineRule="exact"/>
              <w:rPr>
                <w:sz w:val="20"/>
                <w:szCs w:val="20"/>
                <w:color w:val="auto"/>
              </w:rPr>
            </w:pPr>
            <w:r>
              <w:rPr>
                <w:rFonts w:ascii="Arial" w:cs="Arial" w:eastAsia="Arial" w:hAnsi="Arial"/>
                <w:sz w:val="14"/>
                <w:szCs w:val="14"/>
                <w:b w:val="1"/>
                <w:bCs w:val="1"/>
                <w:color w:val="FFFFFF"/>
                <w:w w:val="95"/>
              </w:rPr>
              <w:t>Have Not</w:t>
            </w:r>
          </w:p>
        </w:tc>
        <w:tc>
          <w:tcPr>
            <w:tcW w:w="0" w:type="dxa"/>
            <w:vAlign w:val="bottom"/>
          </w:tcPr>
          <w:p>
            <w:pPr>
              <w:spacing w:after="0"/>
              <w:rPr>
                <w:sz w:val="1"/>
                <w:szCs w:val="1"/>
                <w:color w:val="auto"/>
              </w:rPr>
            </w:pPr>
          </w:p>
        </w:tc>
      </w:tr>
      <w:tr>
        <w:trPr>
          <w:trHeight w:val="149"/>
        </w:trPr>
        <w:tc>
          <w:tcPr>
            <w:tcW w:w="3240" w:type="dxa"/>
            <w:vAlign w:val="bottom"/>
            <w:tcBorders>
              <w:right w:val="single" w:sz="8" w:color="007CBA"/>
            </w:tcBorders>
            <w:vMerge w:val="restart"/>
            <w:shd w:val="clear" w:color="auto" w:fill="007CBA"/>
          </w:tcPr>
          <w:p>
            <w:pPr>
              <w:ind w:left="60"/>
              <w:spacing w:after="0"/>
              <w:rPr>
                <w:sz w:val="20"/>
                <w:szCs w:val="20"/>
                <w:color w:val="auto"/>
              </w:rPr>
            </w:pPr>
            <w:r>
              <w:rPr>
                <w:rFonts w:ascii="Arial" w:cs="Arial" w:eastAsia="Arial" w:hAnsi="Arial"/>
                <w:sz w:val="14"/>
                <w:szCs w:val="14"/>
                <w:b w:val="1"/>
                <w:bCs w:val="1"/>
                <w:color w:val="FFFFFF"/>
              </w:rPr>
              <w:t>Name</w:t>
            </w:r>
          </w:p>
        </w:tc>
        <w:tc>
          <w:tcPr>
            <w:tcW w:w="80" w:type="dxa"/>
            <w:vAlign w:val="bottom"/>
            <w:shd w:val="clear" w:color="auto" w:fill="007CBA"/>
          </w:tcPr>
          <w:p>
            <w:pPr>
              <w:spacing w:after="0"/>
              <w:rPr>
                <w:sz w:val="12"/>
                <w:szCs w:val="12"/>
                <w:color w:val="auto"/>
              </w:rPr>
            </w:pPr>
          </w:p>
        </w:tc>
        <w:tc>
          <w:tcPr>
            <w:tcW w:w="920" w:type="dxa"/>
            <w:vAlign w:val="bottom"/>
            <w:tcBorders>
              <w:right w:val="single" w:sz="8" w:color="007CBA"/>
            </w:tcBorders>
            <w:shd w:val="clear" w:color="auto" w:fill="007CBA"/>
          </w:tcPr>
          <w:p>
            <w:pPr>
              <w:jc w:val="center"/>
              <w:ind w:right="72"/>
              <w:spacing w:after="0" w:line="149" w:lineRule="exact"/>
              <w:rPr>
                <w:sz w:val="20"/>
                <w:szCs w:val="20"/>
                <w:color w:val="auto"/>
              </w:rPr>
            </w:pPr>
            <w:r>
              <w:rPr>
                <w:rFonts w:ascii="Arial" w:cs="Arial" w:eastAsia="Arial" w:hAnsi="Arial"/>
                <w:sz w:val="14"/>
                <w:szCs w:val="14"/>
                <w:b w:val="1"/>
                <w:bCs w:val="1"/>
                <w:color w:val="FFFFFF"/>
              </w:rPr>
              <w:t>(#)</w:t>
            </w:r>
          </w:p>
        </w:tc>
        <w:tc>
          <w:tcPr>
            <w:tcW w:w="1140" w:type="dxa"/>
            <w:vAlign w:val="bottom"/>
            <w:tcBorders>
              <w:right w:val="single" w:sz="8" w:color="007CBA"/>
            </w:tcBorders>
            <w:shd w:val="clear" w:color="auto" w:fill="007CBA"/>
          </w:tcPr>
          <w:p>
            <w:pPr>
              <w:jc w:val="center"/>
              <w:ind w:right="34"/>
              <w:spacing w:after="0" w:line="149" w:lineRule="exact"/>
              <w:rPr>
                <w:sz w:val="20"/>
                <w:szCs w:val="20"/>
                <w:color w:val="auto"/>
              </w:rPr>
            </w:pPr>
            <w:r>
              <w:rPr>
                <w:rFonts w:ascii="Arial" w:cs="Arial" w:eastAsia="Arial" w:hAnsi="Arial"/>
                <w:sz w:val="14"/>
                <w:szCs w:val="14"/>
                <w:b w:val="1"/>
                <w:bCs w:val="1"/>
                <w:color w:val="FFFFFF"/>
                <w:w w:val="93"/>
              </w:rPr>
              <w:t>(#)</w:t>
            </w:r>
          </w:p>
        </w:tc>
        <w:tc>
          <w:tcPr>
            <w:tcW w:w="740" w:type="dxa"/>
            <w:vAlign w:val="bottom"/>
            <w:tcBorders>
              <w:right w:val="single" w:sz="8" w:color="007CBA"/>
            </w:tcBorders>
            <w:shd w:val="clear" w:color="auto" w:fill="007CBA"/>
          </w:tcPr>
          <w:p>
            <w:pPr>
              <w:jc w:val="center"/>
              <w:spacing w:after="0" w:line="149" w:lineRule="exact"/>
              <w:rPr>
                <w:sz w:val="20"/>
                <w:szCs w:val="20"/>
                <w:color w:val="auto"/>
              </w:rPr>
            </w:pPr>
            <w:r>
              <w:rPr>
                <w:rFonts w:ascii="Arial" w:cs="Arial" w:eastAsia="Arial" w:hAnsi="Arial"/>
                <w:sz w:val="14"/>
                <w:szCs w:val="14"/>
                <w:b w:val="1"/>
                <w:bCs w:val="1"/>
                <w:color w:val="FFFFFF"/>
                <w:w w:val="93"/>
              </w:rPr>
              <w:t>Price</w:t>
            </w:r>
          </w:p>
        </w:tc>
        <w:tc>
          <w:tcPr>
            <w:tcW w:w="880" w:type="dxa"/>
            <w:vAlign w:val="bottom"/>
            <w:tcBorders>
              <w:right w:val="single" w:sz="8" w:color="007CBA"/>
            </w:tcBorders>
            <w:shd w:val="clear" w:color="auto" w:fill="007CBA"/>
          </w:tcPr>
          <w:p>
            <w:pPr>
              <w:jc w:val="center"/>
              <w:spacing w:after="0" w:line="149" w:lineRule="exact"/>
              <w:rPr>
                <w:sz w:val="20"/>
                <w:szCs w:val="20"/>
                <w:color w:val="auto"/>
              </w:rPr>
            </w:pPr>
            <w:r>
              <w:rPr>
                <w:rFonts w:ascii="Arial" w:cs="Arial" w:eastAsia="Arial" w:hAnsi="Arial"/>
                <w:sz w:val="14"/>
                <w:szCs w:val="14"/>
                <w:b w:val="1"/>
                <w:bCs w:val="1"/>
                <w:color w:val="FFFFFF"/>
                <w:w w:val="96"/>
              </w:rPr>
              <w:t>Expiration</w:t>
            </w:r>
          </w:p>
        </w:tc>
        <w:tc>
          <w:tcPr>
            <w:tcW w:w="1000" w:type="dxa"/>
            <w:vAlign w:val="bottom"/>
            <w:tcBorders>
              <w:right w:val="single" w:sz="8" w:color="007CBA"/>
            </w:tcBorders>
            <w:shd w:val="clear" w:color="auto" w:fill="007CBA"/>
          </w:tcPr>
          <w:p>
            <w:pPr>
              <w:jc w:val="center"/>
              <w:ind w:right="80"/>
              <w:spacing w:after="0" w:line="149" w:lineRule="exact"/>
              <w:rPr>
                <w:sz w:val="20"/>
                <w:szCs w:val="20"/>
                <w:color w:val="auto"/>
              </w:rPr>
            </w:pPr>
            <w:r>
              <w:rPr>
                <w:rFonts w:ascii="Arial" w:cs="Arial" w:eastAsia="Arial" w:hAnsi="Arial"/>
                <w:sz w:val="14"/>
                <w:szCs w:val="14"/>
                <w:b w:val="1"/>
                <w:bCs w:val="1"/>
                <w:color w:val="FFFFFF"/>
                <w:w w:val="95"/>
              </w:rPr>
              <w:t>Not Vested</w:t>
            </w:r>
          </w:p>
        </w:tc>
        <w:tc>
          <w:tcPr>
            <w:tcW w:w="960" w:type="dxa"/>
            <w:vAlign w:val="bottom"/>
            <w:tcBorders>
              <w:right w:val="single" w:sz="8" w:color="007CBA"/>
            </w:tcBorders>
            <w:shd w:val="clear" w:color="auto" w:fill="007CBA"/>
          </w:tcPr>
          <w:p>
            <w:pPr>
              <w:jc w:val="center"/>
              <w:ind w:right="9"/>
              <w:spacing w:after="0" w:line="149" w:lineRule="exact"/>
              <w:rPr>
                <w:sz w:val="20"/>
                <w:szCs w:val="20"/>
                <w:color w:val="auto"/>
              </w:rPr>
            </w:pPr>
            <w:r>
              <w:rPr>
                <w:rFonts w:ascii="Arial" w:cs="Arial" w:eastAsia="Arial" w:hAnsi="Arial"/>
                <w:sz w:val="14"/>
                <w:szCs w:val="14"/>
                <w:b w:val="1"/>
                <w:bCs w:val="1"/>
                <w:color w:val="FFFFFF"/>
                <w:w w:val="95"/>
              </w:rPr>
              <w:t>Not Vested</w:t>
            </w:r>
            <w:r>
              <w:rPr>
                <w:rFonts w:ascii="Arial" w:cs="Arial" w:eastAsia="Arial" w:hAnsi="Arial"/>
                <w:sz w:val="11"/>
                <w:szCs w:val="11"/>
                <w:b w:val="1"/>
                <w:bCs w:val="1"/>
                <w:color w:val="FFFFFF"/>
                <w:w w:val="95"/>
              </w:rPr>
              <w:t>1</w:t>
            </w:r>
          </w:p>
        </w:tc>
        <w:tc>
          <w:tcPr>
            <w:tcW w:w="1200" w:type="dxa"/>
            <w:vAlign w:val="bottom"/>
            <w:tcBorders>
              <w:right w:val="single" w:sz="8" w:color="007CBA"/>
            </w:tcBorders>
            <w:shd w:val="clear" w:color="auto" w:fill="007CBA"/>
          </w:tcPr>
          <w:p>
            <w:pPr>
              <w:jc w:val="center"/>
              <w:ind w:right="119"/>
              <w:spacing w:after="0" w:line="149" w:lineRule="exact"/>
              <w:rPr>
                <w:sz w:val="20"/>
                <w:szCs w:val="20"/>
                <w:color w:val="auto"/>
              </w:rPr>
            </w:pPr>
            <w:r>
              <w:rPr>
                <w:rFonts w:ascii="Arial" w:cs="Arial" w:eastAsia="Arial" w:hAnsi="Arial"/>
                <w:sz w:val="14"/>
                <w:szCs w:val="14"/>
                <w:b w:val="1"/>
                <w:bCs w:val="1"/>
                <w:color w:val="FFFFFF"/>
                <w:w w:val="95"/>
              </w:rPr>
              <w:t>Not Vested</w:t>
            </w:r>
          </w:p>
        </w:tc>
        <w:tc>
          <w:tcPr>
            <w:tcW w:w="860" w:type="dxa"/>
            <w:vAlign w:val="bottom"/>
            <w:shd w:val="clear" w:color="auto" w:fill="007CBA"/>
          </w:tcPr>
          <w:p>
            <w:pPr>
              <w:jc w:val="center"/>
              <w:spacing w:after="0" w:line="149" w:lineRule="exact"/>
              <w:rPr>
                <w:sz w:val="20"/>
                <w:szCs w:val="20"/>
                <w:color w:val="auto"/>
              </w:rPr>
            </w:pPr>
            <w:r>
              <w:rPr>
                <w:rFonts w:ascii="Arial" w:cs="Arial" w:eastAsia="Arial" w:hAnsi="Arial"/>
                <w:sz w:val="14"/>
                <w:szCs w:val="14"/>
                <w:b w:val="1"/>
                <w:bCs w:val="1"/>
                <w:color w:val="FFFFFF"/>
                <w:w w:val="96"/>
              </w:rPr>
              <w:t>Vested</w:t>
            </w:r>
            <w:r>
              <w:rPr>
                <w:rFonts w:ascii="Arial" w:cs="Arial" w:eastAsia="Arial" w:hAnsi="Arial"/>
                <w:sz w:val="11"/>
                <w:szCs w:val="11"/>
                <w:b w:val="1"/>
                <w:bCs w:val="1"/>
                <w:color w:val="FFFFFF"/>
                <w:w w:val="96"/>
              </w:rPr>
              <w:t>1</w:t>
            </w:r>
          </w:p>
        </w:tc>
        <w:tc>
          <w:tcPr>
            <w:tcW w:w="0" w:type="dxa"/>
            <w:vAlign w:val="bottom"/>
          </w:tcPr>
          <w:p>
            <w:pPr>
              <w:spacing w:after="0"/>
              <w:rPr>
                <w:sz w:val="1"/>
                <w:szCs w:val="1"/>
                <w:color w:val="auto"/>
              </w:rPr>
            </w:pPr>
          </w:p>
        </w:tc>
      </w:tr>
      <w:tr>
        <w:trPr>
          <w:trHeight w:val="157"/>
        </w:trPr>
        <w:tc>
          <w:tcPr>
            <w:tcW w:w="3240" w:type="dxa"/>
            <w:vAlign w:val="bottom"/>
            <w:tcBorders>
              <w:right w:val="single" w:sz="8" w:color="007CBA"/>
            </w:tcBorders>
            <w:vMerge w:val="continue"/>
            <w:shd w:val="clear" w:color="auto" w:fill="007CBA"/>
          </w:tcPr>
          <w:p>
            <w:pPr>
              <w:spacing w:after="0"/>
              <w:rPr>
                <w:sz w:val="13"/>
                <w:szCs w:val="13"/>
                <w:color w:val="auto"/>
              </w:rPr>
            </w:pPr>
          </w:p>
        </w:tc>
        <w:tc>
          <w:tcPr>
            <w:tcW w:w="80" w:type="dxa"/>
            <w:vAlign w:val="bottom"/>
            <w:shd w:val="clear" w:color="auto" w:fill="007CBA"/>
          </w:tcPr>
          <w:p>
            <w:pPr>
              <w:spacing w:after="0"/>
              <w:rPr>
                <w:sz w:val="13"/>
                <w:szCs w:val="13"/>
                <w:color w:val="auto"/>
              </w:rPr>
            </w:pPr>
          </w:p>
        </w:tc>
        <w:tc>
          <w:tcPr>
            <w:tcW w:w="920" w:type="dxa"/>
            <w:vAlign w:val="bottom"/>
            <w:tcBorders>
              <w:right w:val="single" w:sz="8" w:color="007CBA"/>
            </w:tcBorders>
            <w:shd w:val="clear" w:color="auto" w:fill="007CBA"/>
          </w:tcPr>
          <w:p>
            <w:pPr>
              <w:jc w:val="center"/>
              <w:ind w:right="72"/>
              <w:spacing w:after="0" w:line="157" w:lineRule="exact"/>
              <w:rPr>
                <w:sz w:val="20"/>
                <w:szCs w:val="20"/>
                <w:color w:val="auto"/>
              </w:rPr>
            </w:pPr>
            <w:r>
              <w:rPr>
                <w:rFonts w:ascii="Arial" w:cs="Arial" w:eastAsia="Arial" w:hAnsi="Arial"/>
                <w:sz w:val="14"/>
                <w:szCs w:val="14"/>
                <w:b w:val="1"/>
                <w:bCs w:val="1"/>
                <w:color w:val="FFFFFF"/>
                <w:w w:val="95"/>
              </w:rPr>
              <w:t>Exercisable</w:t>
            </w:r>
          </w:p>
        </w:tc>
        <w:tc>
          <w:tcPr>
            <w:tcW w:w="1140" w:type="dxa"/>
            <w:vAlign w:val="bottom"/>
            <w:tcBorders>
              <w:right w:val="single" w:sz="8" w:color="007CBA"/>
            </w:tcBorders>
            <w:shd w:val="clear" w:color="auto" w:fill="007CBA"/>
          </w:tcPr>
          <w:p>
            <w:pPr>
              <w:jc w:val="center"/>
              <w:ind w:right="34"/>
              <w:spacing w:after="0" w:line="157" w:lineRule="exact"/>
              <w:rPr>
                <w:sz w:val="20"/>
                <w:szCs w:val="20"/>
                <w:color w:val="auto"/>
              </w:rPr>
            </w:pPr>
            <w:r>
              <w:rPr>
                <w:rFonts w:ascii="Arial" w:cs="Arial" w:eastAsia="Arial" w:hAnsi="Arial"/>
                <w:sz w:val="14"/>
                <w:szCs w:val="14"/>
                <w:b w:val="1"/>
                <w:bCs w:val="1"/>
                <w:color w:val="FFFFFF"/>
                <w:w w:val="96"/>
              </w:rPr>
              <w:t>Unexercisable</w:t>
            </w:r>
          </w:p>
        </w:tc>
        <w:tc>
          <w:tcPr>
            <w:tcW w:w="740" w:type="dxa"/>
            <w:vAlign w:val="bottom"/>
            <w:tcBorders>
              <w:right w:val="single" w:sz="8" w:color="007CBA"/>
            </w:tcBorders>
            <w:shd w:val="clear" w:color="auto" w:fill="007CBA"/>
          </w:tcPr>
          <w:p>
            <w:pPr>
              <w:jc w:val="center"/>
              <w:spacing w:after="0" w:line="157" w:lineRule="exact"/>
              <w:rPr>
                <w:sz w:val="20"/>
                <w:szCs w:val="20"/>
                <w:color w:val="auto"/>
              </w:rPr>
            </w:pPr>
            <w:r>
              <w:rPr>
                <w:rFonts w:ascii="Arial" w:cs="Arial" w:eastAsia="Arial" w:hAnsi="Arial"/>
                <w:sz w:val="14"/>
                <w:szCs w:val="14"/>
                <w:b w:val="1"/>
                <w:bCs w:val="1"/>
                <w:color w:val="FFFFFF"/>
                <w:w w:val="93"/>
              </w:rPr>
              <w:t>($)</w:t>
            </w:r>
          </w:p>
        </w:tc>
        <w:tc>
          <w:tcPr>
            <w:tcW w:w="880" w:type="dxa"/>
            <w:vAlign w:val="bottom"/>
            <w:tcBorders>
              <w:right w:val="single" w:sz="8" w:color="007CBA"/>
            </w:tcBorders>
            <w:shd w:val="clear" w:color="auto" w:fill="007CBA"/>
          </w:tcPr>
          <w:p>
            <w:pPr>
              <w:jc w:val="center"/>
              <w:spacing w:after="0" w:line="157" w:lineRule="exact"/>
              <w:rPr>
                <w:sz w:val="20"/>
                <w:szCs w:val="20"/>
                <w:color w:val="auto"/>
              </w:rPr>
            </w:pPr>
            <w:r>
              <w:rPr>
                <w:rFonts w:ascii="Arial" w:cs="Arial" w:eastAsia="Arial" w:hAnsi="Arial"/>
                <w:sz w:val="14"/>
                <w:szCs w:val="14"/>
                <w:b w:val="1"/>
                <w:bCs w:val="1"/>
                <w:color w:val="FFFFFF"/>
                <w:w w:val="92"/>
              </w:rPr>
              <w:t>Date</w:t>
            </w:r>
          </w:p>
        </w:tc>
        <w:tc>
          <w:tcPr>
            <w:tcW w:w="1000" w:type="dxa"/>
            <w:vAlign w:val="bottom"/>
            <w:tcBorders>
              <w:right w:val="single" w:sz="8" w:color="007CBA"/>
            </w:tcBorders>
            <w:shd w:val="clear" w:color="auto" w:fill="007CBA"/>
          </w:tcPr>
          <w:p>
            <w:pPr>
              <w:jc w:val="center"/>
              <w:ind w:right="100"/>
              <w:spacing w:after="0" w:line="157" w:lineRule="exact"/>
              <w:rPr>
                <w:sz w:val="20"/>
                <w:szCs w:val="20"/>
                <w:color w:val="auto"/>
              </w:rPr>
            </w:pPr>
            <w:r>
              <w:rPr>
                <w:rFonts w:ascii="Arial" w:cs="Arial" w:eastAsia="Arial" w:hAnsi="Arial"/>
                <w:sz w:val="14"/>
                <w:szCs w:val="14"/>
                <w:b w:val="1"/>
                <w:bCs w:val="1"/>
                <w:color w:val="FFFFFF"/>
                <w:w w:val="93"/>
              </w:rPr>
              <w:t>(#)</w:t>
            </w:r>
          </w:p>
        </w:tc>
        <w:tc>
          <w:tcPr>
            <w:tcW w:w="960" w:type="dxa"/>
            <w:vAlign w:val="bottom"/>
            <w:tcBorders>
              <w:right w:val="single" w:sz="8" w:color="007CBA"/>
            </w:tcBorders>
            <w:shd w:val="clear" w:color="auto" w:fill="007CBA"/>
          </w:tcPr>
          <w:p>
            <w:pPr>
              <w:jc w:val="center"/>
              <w:ind w:right="9"/>
              <w:spacing w:after="0" w:line="157" w:lineRule="exact"/>
              <w:rPr>
                <w:sz w:val="20"/>
                <w:szCs w:val="20"/>
                <w:color w:val="auto"/>
              </w:rPr>
            </w:pPr>
            <w:r>
              <w:rPr>
                <w:rFonts w:ascii="Arial" w:cs="Arial" w:eastAsia="Arial" w:hAnsi="Arial"/>
                <w:sz w:val="14"/>
                <w:szCs w:val="14"/>
                <w:b w:val="1"/>
                <w:bCs w:val="1"/>
                <w:color w:val="FFFFFF"/>
                <w:w w:val="93"/>
              </w:rPr>
              <w:t>($)</w:t>
            </w:r>
          </w:p>
        </w:tc>
        <w:tc>
          <w:tcPr>
            <w:tcW w:w="1200" w:type="dxa"/>
            <w:vAlign w:val="bottom"/>
            <w:tcBorders>
              <w:right w:val="single" w:sz="8" w:color="007CBA"/>
            </w:tcBorders>
            <w:shd w:val="clear" w:color="auto" w:fill="007CBA"/>
          </w:tcPr>
          <w:p>
            <w:pPr>
              <w:jc w:val="center"/>
              <w:ind w:right="99"/>
              <w:spacing w:after="0" w:line="157" w:lineRule="exact"/>
              <w:rPr>
                <w:sz w:val="20"/>
                <w:szCs w:val="20"/>
                <w:color w:val="auto"/>
              </w:rPr>
            </w:pPr>
            <w:r>
              <w:rPr>
                <w:rFonts w:ascii="Arial" w:cs="Arial" w:eastAsia="Arial" w:hAnsi="Arial"/>
                <w:sz w:val="14"/>
                <w:szCs w:val="14"/>
                <w:b w:val="1"/>
                <w:bCs w:val="1"/>
                <w:color w:val="FFFFFF"/>
                <w:w w:val="93"/>
              </w:rPr>
              <w:t>(#)</w:t>
            </w:r>
          </w:p>
        </w:tc>
        <w:tc>
          <w:tcPr>
            <w:tcW w:w="860" w:type="dxa"/>
            <w:vAlign w:val="bottom"/>
            <w:shd w:val="clear" w:color="auto" w:fill="007CBA"/>
          </w:tcPr>
          <w:p>
            <w:pPr>
              <w:jc w:val="center"/>
              <w:spacing w:after="0" w:line="157" w:lineRule="exact"/>
              <w:rPr>
                <w:sz w:val="20"/>
                <w:szCs w:val="20"/>
                <w:color w:val="auto"/>
              </w:rPr>
            </w:pPr>
            <w:r>
              <w:rPr>
                <w:rFonts w:ascii="Arial" w:cs="Arial" w:eastAsia="Arial" w:hAnsi="Arial"/>
                <w:sz w:val="14"/>
                <w:szCs w:val="14"/>
                <w:b w:val="1"/>
                <w:bCs w:val="1"/>
                <w:color w:val="FFFFFF"/>
                <w:w w:val="93"/>
              </w:rPr>
              <w:t>($)</w:t>
            </w:r>
          </w:p>
        </w:tc>
        <w:tc>
          <w:tcPr>
            <w:tcW w:w="0" w:type="dxa"/>
            <w:vAlign w:val="bottom"/>
          </w:tcPr>
          <w:p>
            <w:pPr>
              <w:spacing w:after="0"/>
              <w:rPr>
                <w:sz w:val="1"/>
                <w:szCs w:val="1"/>
                <w:color w:val="auto"/>
              </w:rPr>
            </w:pPr>
          </w:p>
        </w:tc>
      </w:tr>
      <w:tr>
        <w:trPr>
          <w:trHeight w:val="194"/>
        </w:trPr>
        <w:tc>
          <w:tcPr>
            <w:tcW w:w="324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4"/>
                <w:szCs w:val="14"/>
                <w:b w:val="1"/>
                <w:bCs w:val="1"/>
                <w:color w:val="FFFFFF"/>
              </w:rPr>
              <w:t>(a)</w:t>
            </w:r>
          </w:p>
        </w:tc>
        <w:tc>
          <w:tcPr>
            <w:tcW w:w="80" w:type="dxa"/>
            <w:vAlign w:val="bottom"/>
            <w:shd w:val="clear" w:color="auto" w:fill="007CBA"/>
          </w:tcPr>
          <w:p>
            <w:pPr>
              <w:spacing w:after="0"/>
              <w:rPr>
                <w:sz w:val="16"/>
                <w:szCs w:val="16"/>
                <w:color w:val="auto"/>
              </w:rPr>
            </w:pPr>
          </w:p>
        </w:tc>
        <w:tc>
          <w:tcPr>
            <w:tcW w:w="920" w:type="dxa"/>
            <w:vAlign w:val="bottom"/>
            <w:tcBorders>
              <w:right w:val="single" w:sz="8" w:color="007CBA"/>
            </w:tcBorders>
            <w:shd w:val="clear" w:color="auto" w:fill="007CBA"/>
          </w:tcPr>
          <w:p>
            <w:pPr>
              <w:jc w:val="center"/>
              <w:ind w:right="72"/>
              <w:spacing w:after="0"/>
              <w:rPr>
                <w:sz w:val="20"/>
                <w:szCs w:val="20"/>
                <w:color w:val="auto"/>
              </w:rPr>
            </w:pPr>
            <w:r>
              <w:rPr>
                <w:rFonts w:ascii="Arial" w:cs="Arial" w:eastAsia="Arial" w:hAnsi="Arial"/>
                <w:sz w:val="14"/>
                <w:szCs w:val="14"/>
                <w:b w:val="1"/>
                <w:bCs w:val="1"/>
                <w:color w:val="FFFFFF"/>
              </w:rPr>
              <w:t>(b)</w:t>
            </w:r>
          </w:p>
        </w:tc>
        <w:tc>
          <w:tcPr>
            <w:tcW w:w="1140" w:type="dxa"/>
            <w:vAlign w:val="bottom"/>
            <w:tcBorders>
              <w:right w:val="single" w:sz="8" w:color="007CBA"/>
            </w:tcBorders>
            <w:shd w:val="clear" w:color="auto" w:fill="007CBA"/>
          </w:tcPr>
          <w:p>
            <w:pPr>
              <w:jc w:val="center"/>
              <w:ind w:right="34"/>
              <w:spacing w:after="0"/>
              <w:rPr>
                <w:sz w:val="20"/>
                <w:szCs w:val="20"/>
                <w:color w:val="auto"/>
              </w:rPr>
            </w:pPr>
            <w:r>
              <w:rPr>
                <w:rFonts w:ascii="Arial" w:cs="Arial" w:eastAsia="Arial" w:hAnsi="Arial"/>
                <w:sz w:val="14"/>
                <w:szCs w:val="14"/>
                <w:b w:val="1"/>
                <w:bCs w:val="1"/>
                <w:color w:val="FFFFFF"/>
                <w:w w:val="93"/>
              </w:rPr>
              <w:t>(c)</w:t>
            </w:r>
          </w:p>
        </w:tc>
        <w:tc>
          <w:tcPr>
            <w:tcW w:w="7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w w:val="93"/>
              </w:rPr>
              <w:t>(e)</w:t>
            </w:r>
          </w:p>
        </w:tc>
        <w:tc>
          <w:tcPr>
            <w:tcW w:w="8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w w:val="85"/>
              </w:rPr>
              <w:t>(f)</w:t>
            </w:r>
          </w:p>
        </w:tc>
        <w:tc>
          <w:tcPr>
            <w:tcW w:w="1000" w:type="dxa"/>
            <w:vAlign w:val="bottom"/>
            <w:tcBorders>
              <w:right w:val="single" w:sz="8" w:color="007CBA"/>
            </w:tcBorders>
            <w:shd w:val="clear" w:color="auto" w:fill="007CBA"/>
          </w:tcPr>
          <w:p>
            <w:pPr>
              <w:jc w:val="center"/>
              <w:ind w:right="80"/>
              <w:spacing w:after="0"/>
              <w:rPr>
                <w:sz w:val="20"/>
                <w:szCs w:val="20"/>
                <w:color w:val="auto"/>
              </w:rPr>
            </w:pPr>
            <w:r>
              <w:rPr>
                <w:rFonts w:ascii="Arial" w:cs="Arial" w:eastAsia="Arial" w:hAnsi="Arial"/>
                <w:sz w:val="14"/>
                <w:szCs w:val="14"/>
                <w:b w:val="1"/>
                <w:bCs w:val="1"/>
                <w:color w:val="FFFFFF"/>
              </w:rPr>
              <w:t>(g)</w:t>
            </w:r>
          </w:p>
        </w:tc>
        <w:tc>
          <w:tcPr>
            <w:tcW w:w="9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(h)</w:t>
            </w:r>
          </w:p>
        </w:tc>
        <w:tc>
          <w:tcPr>
            <w:tcW w:w="1200" w:type="dxa"/>
            <w:vAlign w:val="bottom"/>
            <w:tcBorders>
              <w:right w:val="single" w:sz="8" w:color="007CBA"/>
            </w:tcBorders>
            <w:shd w:val="clear" w:color="auto" w:fill="007CBA"/>
          </w:tcPr>
          <w:p>
            <w:pPr>
              <w:jc w:val="center"/>
              <w:ind w:right="99"/>
              <w:spacing w:after="0"/>
              <w:rPr>
                <w:sz w:val="20"/>
                <w:szCs w:val="20"/>
                <w:color w:val="auto"/>
              </w:rPr>
            </w:pPr>
            <w:r>
              <w:rPr>
                <w:rFonts w:ascii="Arial" w:cs="Arial" w:eastAsia="Arial" w:hAnsi="Arial"/>
                <w:sz w:val="14"/>
                <w:szCs w:val="14"/>
                <w:b w:val="1"/>
                <w:bCs w:val="1"/>
                <w:color w:val="FFFFFF"/>
                <w:w w:val="90"/>
              </w:rPr>
              <w:t>(i)</w:t>
            </w:r>
          </w:p>
        </w:tc>
        <w:tc>
          <w:tcPr>
            <w:tcW w:w="86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w w:val="90"/>
              </w:rPr>
              <w:t>(j)</w:t>
            </w:r>
          </w:p>
        </w:tc>
        <w:tc>
          <w:tcPr>
            <w:tcW w:w="0" w:type="dxa"/>
            <w:vAlign w:val="bottom"/>
          </w:tcPr>
          <w:p>
            <w:pPr>
              <w:spacing w:after="0"/>
              <w:rPr>
                <w:sz w:val="1"/>
                <w:szCs w:val="1"/>
                <w:color w:val="auto"/>
              </w:rPr>
            </w:pPr>
          </w:p>
        </w:tc>
      </w:tr>
      <w:tr>
        <w:trPr>
          <w:trHeight w:val="143"/>
        </w:trPr>
        <w:tc>
          <w:tcPr>
            <w:tcW w:w="3240" w:type="dxa"/>
            <w:vAlign w:val="bottom"/>
            <w:tcBorders>
              <w:right w:val="single" w:sz="8" w:color="007CBA"/>
            </w:tcBorders>
          </w:tcPr>
          <w:p>
            <w:pPr>
              <w:ind w:left="60"/>
              <w:spacing w:after="0" w:line="143" w:lineRule="exact"/>
              <w:rPr>
                <w:sz w:val="20"/>
                <w:szCs w:val="20"/>
                <w:color w:val="auto"/>
              </w:rPr>
            </w:pPr>
            <w:r>
              <w:rPr>
                <w:rFonts w:ascii="Arial" w:cs="Arial" w:eastAsia="Arial" w:hAnsi="Arial"/>
                <w:sz w:val="14"/>
                <w:szCs w:val="14"/>
                <w:b w:val="1"/>
                <w:bCs w:val="1"/>
                <w:color w:val="auto"/>
              </w:rPr>
              <w:t>C. Howard Nye</w:t>
            </w:r>
          </w:p>
        </w:tc>
        <w:tc>
          <w:tcPr>
            <w:tcW w:w="80" w:type="dxa"/>
            <w:vAlign w:val="bottom"/>
          </w:tcPr>
          <w:p>
            <w:pPr>
              <w:spacing w:after="0"/>
              <w:rPr>
                <w:sz w:val="12"/>
                <w:szCs w:val="12"/>
                <w:color w:val="auto"/>
              </w:rPr>
            </w:pPr>
          </w:p>
        </w:tc>
        <w:tc>
          <w:tcPr>
            <w:tcW w:w="920" w:type="dxa"/>
            <w:vAlign w:val="bottom"/>
            <w:tcBorders>
              <w:right w:val="single" w:sz="8" w:color="007CBA"/>
            </w:tcBorders>
          </w:tcPr>
          <w:p>
            <w:pPr>
              <w:jc w:val="right"/>
              <w:ind w:right="52"/>
              <w:spacing w:after="0" w:line="143" w:lineRule="exact"/>
              <w:rPr>
                <w:sz w:val="20"/>
                <w:szCs w:val="20"/>
                <w:color w:val="auto"/>
              </w:rPr>
            </w:pPr>
            <w:r>
              <w:rPr>
                <w:rFonts w:ascii="Arial" w:cs="Arial" w:eastAsia="Arial" w:hAnsi="Arial"/>
                <w:sz w:val="14"/>
                <w:szCs w:val="14"/>
                <w:color w:val="auto"/>
              </w:rPr>
              <w:t>11,196</w:t>
            </w:r>
          </w:p>
        </w:tc>
        <w:tc>
          <w:tcPr>
            <w:tcW w:w="1140" w:type="dxa"/>
            <w:vAlign w:val="bottom"/>
            <w:tcBorders>
              <w:right w:val="single" w:sz="8" w:color="007CBA"/>
            </w:tcBorders>
          </w:tcPr>
          <w:p>
            <w:pPr>
              <w:jc w:val="right"/>
              <w:ind w:right="94"/>
              <w:spacing w:after="0" w:line="143" w:lineRule="exact"/>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right"/>
              <w:ind w:right="49"/>
              <w:spacing w:after="0" w:line="143" w:lineRule="exact"/>
              <w:rPr>
                <w:sz w:val="20"/>
                <w:szCs w:val="20"/>
                <w:color w:val="auto"/>
              </w:rPr>
            </w:pPr>
            <w:r>
              <w:rPr>
                <w:rFonts w:ascii="Arial" w:cs="Arial" w:eastAsia="Arial" w:hAnsi="Arial"/>
                <w:sz w:val="14"/>
                <w:szCs w:val="14"/>
                <w:color w:val="auto"/>
              </w:rPr>
              <w:t>95.27</w:t>
            </w:r>
          </w:p>
        </w:tc>
        <w:tc>
          <w:tcPr>
            <w:tcW w:w="880" w:type="dxa"/>
            <w:vAlign w:val="bottom"/>
            <w:tcBorders>
              <w:right w:val="single" w:sz="8" w:color="007CBA"/>
            </w:tcBorders>
          </w:tcPr>
          <w:p>
            <w:pPr>
              <w:jc w:val="right"/>
              <w:ind w:right="49"/>
              <w:spacing w:after="0" w:line="143" w:lineRule="exact"/>
              <w:rPr>
                <w:sz w:val="20"/>
                <w:szCs w:val="20"/>
                <w:color w:val="auto"/>
              </w:rPr>
            </w:pPr>
            <w:r>
              <w:rPr>
                <w:rFonts w:ascii="Arial" w:cs="Arial" w:eastAsia="Arial" w:hAnsi="Arial"/>
                <w:sz w:val="14"/>
                <w:szCs w:val="14"/>
                <w:color w:val="auto"/>
              </w:rPr>
              <w:t>5/27/2018</w:t>
            </w:r>
          </w:p>
        </w:tc>
        <w:tc>
          <w:tcPr>
            <w:tcW w:w="1000" w:type="dxa"/>
            <w:vAlign w:val="bottom"/>
            <w:tcBorders>
              <w:right w:val="single" w:sz="8" w:color="007CBA"/>
            </w:tcBorders>
          </w:tcPr>
          <w:p>
            <w:pPr>
              <w:jc w:val="right"/>
              <w:ind w:right="100"/>
              <w:spacing w:after="0" w:line="144" w:lineRule="exact"/>
              <w:rPr>
                <w:sz w:val="20"/>
                <w:szCs w:val="20"/>
                <w:color w:val="auto"/>
              </w:rPr>
            </w:pPr>
            <w:r>
              <w:rPr>
                <w:rFonts w:ascii="Arial" w:cs="Arial" w:eastAsia="Arial" w:hAnsi="Arial"/>
                <w:sz w:val="10"/>
                <w:szCs w:val="10"/>
                <w:color w:val="auto"/>
              </w:rPr>
              <w:t>22,070</w:t>
            </w:r>
            <w:r>
              <w:rPr>
                <w:rFonts w:ascii="Arial" w:cs="Arial" w:eastAsia="Arial" w:hAnsi="Arial"/>
                <w:sz w:val="16"/>
                <w:szCs w:val="16"/>
                <w:color w:val="auto"/>
                <w:vertAlign w:val="superscript"/>
              </w:rPr>
              <w:t>4</w:t>
            </w:r>
          </w:p>
        </w:tc>
        <w:tc>
          <w:tcPr>
            <w:tcW w:w="960" w:type="dxa"/>
            <w:vAlign w:val="bottom"/>
            <w:tcBorders>
              <w:right w:val="single" w:sz="8" w:color="007CBA"/>
            </w:tcBorders>
          </w:tcPr>
          <w:p>
            <w:pPr>
              <w:jc w:val="right"/>
              <w:ind w:right="69"/>
              <w:spacing w:after="0" w:line="143" w:lineRule="exact"/>
              <w:rPr>
                <w:sz w:val="20"/>
                <w:szCs w:val="20"/>
                <w:color w:val="auto"/>
              </w:rPr>
            </w:pPr>
            <w:r>
              <w:rPr>
                <w:rFonts w:ascii="Arial" w:cs="Arial" w:eastAsia="Arial" w:hAnsi="Arial"/>
                <w:sz w:val="14"/>
                <w:szCs w:val="14"/>
                <w:color w:val="auto"/>
              </w:rPr>
              <w:t>4,878,353</w:t>
            </w:r>
          </w:p>
        </w:tc>
        <w:tc>
          <w:tcPr>
            <w:tcW w:w="1200" w:type="dxa"/>
            <w:vAlign w:val="bottom"/>
            <w:tcBorders>
              <w:right w:val="single" w:sz="8" w:color="007CBA"/>
            </w:tcBorders>
          </w:tcPr>
          <w:p>
            <w:pPr>
              <w:ind w:left="620"/>
              <w:spacing w:after="0" w:line="144" w:lineRule="exact"/>
              <w:rPr>
                <w:sz w:val="20"/>
                <w:szCs w:val="20"/>
                <w:color w:val="auto"/>
              </w:rPr>
            </w:pPr>
            <w:r>
              <w:rPr>
                <w:rFonts w:ascii="Arial" w:cs="Arial" w:eastAsia="Arial" w:hAnsi="Arial"/>
                <w:sz w:val="10"/>
                <w:szCs w:val="10"/>
                <w:color w:val="auto"/>
              </w:rPr>
              <w:t>3,612</w:t>
            </w:r>
            <w:r>
              <w:rPr>
                <w:rFonts w:ascii="Arial" w:cs="Arial" w:eastAsia="Arial" w:hAnsi="Arial"/>
                <w:sz w:val="16"/>
                <w:szCs w:val="16"/>
                <w:color w:val="auto"/>
                <w:vertAlign w:val="superscript"/>
              </w:rPr>
              <w:t>10</w:t>
            </w:r>
          </w:p>
        </w:tc>
        <w:tc>
          <w:tcPr>
            <w:tcW w:w="860" w:type="dxa"/>
            <w:vAlign w:val="bottom"/>
          </w:tcPr>
          <w:p>
            <w:pPr>
              <w:jc w:val="right"/>
              <w:ind w:right="50"/>
              <w:spacing w:after="0" w:line="143" w:lineRule="exact"/>
              <w:rPr>
                <w:sz w:val="20"/>
                <w:szCs w:val="20"/>
                <w:color w:val="auto"/>
              </w:rPr>
            </w:pPr>
            <w:r>
              <w:rPr>
                <w:rFonts w:ascii="Arial" w:cs="Arial" w:eastAsia="Arial" w:hAnsi="Arial"/>
                <w:sz w:val="14"/>
                <w:szCs w:val="14"/>
                <w:color w:val="auto"/>
              </w:rPr>
              <w:t>798,396</w:t>
            </w:r>
          </w:p>
        </w:tc>
        <w:tc>
          <w:tcPr>
            <w:tcW w:w="0" w:type="dxa"/>
            <w:vAlign w:val="bottom"/>
          </w:tcPr>
          <w:p>
            <w:pPr>
              <w:spacing w:after="0"/>
              <w:rPr>
                <w:sz w:val="1"/>
                <w:szCs w:val="1"/>
                <w:color w:val="auto"/>
              </w:rPr>
            </w:pPr>
          </w:p>
        </w:tc>
      </w:tr>
      <w:tr>
        <w:trPr>
          <w:trHeight w:val="162"/>
        </w:trPr>
        <w:tc>
          <w:tcPr>
            <w:tcW w:w="3240" w:type="dxa"/>
            <w:vAlign w:val="bottom"/>
            <w:tcBorders>
              <w:right w:val="single" w:sz="8" w:color="007CBA"/>
            </w:tcBorders>
          </w:tcPr>
          <w:p>
            <w:pPr>
              <w:spacing w:after="0"/>
              <w:rPr>
                <w:sz w:val="14"/>
                <w:szCs w:val="14"/>
                <w:color w:val="auto"/>
              </w:rPr>
            </w:pPr>
          </w:p>
        </w:tc>
        <w:tc>
          <w:tcPr>
            <w:tcW w:w="1000" w:type="dxa"/>
            <w:vAlign w:val="bottom"/>
            <w:tcBorders>
              <w:right w:val="single" w:sz="8" w:color="007CBA"/>
            </w:tcBorders>
            <w:gridSpan w:val="2"/>
          </w:tcPr>
          <w:p>
            <w:pPr>
              <w:jc w:val="right"/>
              <w:ind w:right="52"/>
              <w:spacing w:after="0"/>
              <w:rPr>
                <w:sz w:val="20"/>
                <w:szCs w:val="20"/>
                <w:color w:val="auto"/>
              </w:rPr>
            </w:pPr>
            <w:r>
              <w:rPr>
                <w:rFonts w:ascii="Arial" w:cs="Arial" w:eastAsia="Arial" w:hAnsi="Arial"/>
                <w:sz w:val="14"/>
                <w:szCs w:val="14"/>
                <w:color w:val="auto"/>
              </w:rPr>
              <w:t>12,609</w:t>
            </w:r>
          </w:p>
        </w:tc>
        <w:tc>
          <w:tcPr>
            <w:tcW w:w="1140" w:type="dxa"/>
            <w:vAlign w:val="bottom"/>
            <w:tcBorders>
              <w:right w:val="single" w:sz="8" w:color="007CBA"/>
            </w:tcBorders>
          </w:tcPr>
          <w:p>
            <w:pPr>
              <w:jc w:val="right"/>
              <w:ind w:right="94"/>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86.90</w:t>
            </w:r>
          </w:p>
        </w:tc>
        <w:tc>
          <w:tcPr>
            <w:tcW w:w="88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5/12/2019</w:t>
            </w:r>
          </w:p>
        </w:tc>
        <w:tc>
          <w:tcPr>
            <w:tcW w:w="1000" w:type="dxa"/>
            <w:vAlign w:val="bottom"/>
            <w:tcBorders>
              <w:right w:val="single" w:sz="8" w:color="007CBA"/>
            </w:tcBorders>
          </w:tcPr>
          <w:p>
            <w:pPr>
              <w:jc w:val="right"/>
              <w:ind w:right="100"/>
              <w:spacing w:after="0" w:line="162" w:lineRule="exact"/>
              <w:rPr>
                <w:sz w:val="20"/>
                <w:szCs w:val="20"/>
                <w:color w:val="auto"/>
              </w:rPr>
            </w:pPr>
            <w:r>
              <w:rPr>
                <w:rFonts w:ascii="Arial" w:cs="Arial" w:eastAsia="Arial" w:hAnsi="Arial"/>
                <w:sz w:val="11"/>
                <w:szCs w:val="11"/>
                <w:color w:val="auto"/>
              </w:rPr>
              <w:t>6,340</w:t>
            </w:r>
            <w:r>
              <w:rPr>
                <w:rFonts w:ascii="Arial" w:cs="Arial" w:eastAsia="Arial" w:hAnsi="Arial"/>
                <w:sz w:val="18"/>
                <w:szCs w:val="18"/>
                <w:color w:val="auto"/>
                <w:vertAlign w:val="superscript"/>
              </w:rPr>
              <w:t>5</w:t>
            </w:r>
          </w:p>
        </w:tc>
        <w:tc>
          <w:tcPr>
            <w:tcW w:w="960" w:type="dxa"/>
            <w:vAlign w:val="bottom"/>
            <w:tcBorders>
              <w:right w:val="single" w:sz="8" w:color="007CBA"/>
            </w:tcBorders>
          </w:tcPr>
          <w:p>
            <w:pPr>
              <w:jc w:val="right"/>
              <w:ind w:right="69"/>
              <w:spacing w:after="0"/>
              <w:rPr>
                <w:sz w:val="20"/>
                <w:szCs w:val="20"/>
                <w:color w:val="auto"/>
              </w:rPr>
            </w:pPr>
            <w:r>
              <w:rPr>
                <w:rFonts w:ascii="Arial" w:cs="Arial" w:eastAsia="Arial" w:hAnsi="Arial"/>
                <w:sz w:val="14"/>
                <w:szCs w:val="14"/>
                <w:color w:val="auto"/>
              </w:rPr>
              <w:t>1,401,394</w:t>
            </w:r>
          </w:p>
        </w:tc>
        <w:tc>
          <w:tcPr>
            <w:tcW w:w="1200" w:type="dxa"/>
            <w:vAlign w:val="bottom"/>
            <w:tcBorders>
              <w:right w:val="single" w:sz="8" w:color="007CBA"/>
            </w:tcBorders>
          </w:tcPr>
          <w:p>
            <w:pPr>
              <w:ind w:left="540"/>
              <w:spacing w:after="0" w:line="162" w:lineRule="exact"/>
              <w:rPr>
                <w:sz w:val="20"/>
                <w:szCs w:val="20"/>
                <w:color w:val="auto"/>
              </w:rPr>
            </w:pPr>
            <w:r>
              <w:rPr>
                <w:rFonts w:ascii="Arial" w:cs="Arial" w:eastAsia="Arial" w:hAnsi="Arial"/>
                <w:sz w:val="11"/>
                <w:szCs w:val="11"/>
                <w:color w:val="auto"/>
              </w:rPr>
              <w:t>21,339</w:t>
            </w:r>
            <w:r>
              <w:rPr>
                <w:rFonts w:ascii="Arial" w:cs="Arial" w:eastAsia="Arial" w:hAnsi="Arial"/>
                <w:sz w:val="18"/>
                <w:szCs w:val="18"/>
                <w:color w:val="auto"/>
                <w:vertAlign w:val="superscript"/>
              </w:rPr>
              <w:t>11</w:t>
            </w: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4,716,773</w:t>
            </w:r>
          </w:p>
        </w:tc>
        <w:tc>
          <w:tcPr>
            <w:tcW w:w="0" w:type="dxa"/>
            <w:vAlign w:val="bottom"/>
          </w:tcPr>
          <w:p>
            <w:pPr>
              <w:spacing w:after="0"/>
              <w:rPr>
                <w:sz w:val="1"/>
                <w:szCs w:val="1"/>
                <w:color w:val="auto"/>
              </w:rPr>
            </w:pPr>
          </w:p>
        </w:tc>
      </w:tr>
      <w:tr>
        <w:trPr>
          <w:trHeight w:val="162"/>
        </w:trPr>
        <w:tc>
          <w:tcPr>
            <w:tcW w:w="3240" w:type="dxa"/>
            <w:vAlign w:val="bottom"/>
            <w:tcBorders>
              <w:right w:val="single" w:sz="8" w:color="007CBA"/>
            </w:tcBorders>
          </w:tcPr>
          <w:p>
            <w:pPr>
              <w:spacing w:after="0"/>
              <w:rPr>
                <w:sz w:val="14"/>
                <w:szCs w:val="14"/>
                <w:color w:val="auto"/>
              </w:rPr>
            </w:pPr>
          </w:p>
        </w:tc>
        <w:tc>
          <w:tcPr>
            <w:tcW w:w="1000" w:type="dxa"/>
            <w:vAlign w:val="bottom"/>
            <w:tcBorders>
              <w:right w:val="single" w:sz="8" w:color="007CBA"/>
            </w:tcBorders>
            <w:gridSpan w:val="2"/>
          </w:tcPr>
          <w:p>
            <w:pPr>
              <w:jc w:val="right"/>
              <w:ind w:right="52"/>
              <w:spacing w:after="0"/>
              <w:rPr>
                <w:sz w:val="20"/>
                <w:szCs w:val="20"/>
                <w:color w:val="auto"/>
              </w:rPr>
            </w:pPr>
            <w:r>
              <w:rPr>
                <w:rFonts w:ascii="Arial" w:cs="Arial" w:eastAsia="Arial" w:hAnsi="Arial"/>
                <w:sz w:val="14"/>
                <w:szCs w:val="14"/>
                <w:color w:val="auto"/>
              </w:rPr>
              <w:t>16,317</w:t>
            </w:r>
          </w:p>
        </w:tc>
        <w:tc>
          <w:tcPr>
            <w:tcW w:w="1140" w:type="dxa"/>
            <w:vAlign w:val="bottom"/>
            <w:tcBorders>
              <w:right w:val="single" w:sz="8" w:color="007CBA"/>
            </w:tcBorders>
          </w:tcPr>
          <w:p>
            <w:pPr>
              <w:jc w:val="right"/>
              <w:ind w:right="94"/>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69.12</w:t>
            </w:r>
          </w:p>
        </w:tc>
        <w:tc>
          <w:tcPr>
            <w:tcW w:w="88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5/24/2020</w:t>
            </w:r>
          </w:p>
        </w:tc>
        <w:tc>
          <w:tcPr>
            <w:tcW w:w="1000" w:type="dxa"/>
            <w:vAlign w:val="bottom"/>
            <w:tcBorders>
              <w:right w:val="single" w:sz="8" w:color="007CBA"/>
            </w:tcBorders>
          </w:tcPr>
          <w:p>
            <w:pPr>
              <w:jc w:val="right"/>
              <w:ind w:right="100"/>
              <w:spacing w:after="0" w:line="162" w:lineRule="exact"/>
              <w:rPr>
                <w:sz w:val="20"/>
                <w:szCs w:val="20"/>
                <w:color w:val="auto"/>
              </w:rPr>
            </w:pPr>
            <w:r>
              <w:rPr>
                <w:rFonts w:ascii="Arial" w:cs="Arial" w:eastAsia="Arial" w:hAnsi="Arial"/>
                <w:sz w:val="11"/>
                <w:szCs w:val="11"/>
                <w:color w:val="auto"/>
              </w:rPr>
              <w:t>7,112</w:t>
            </w:r>
            <w:r>
              <w:rPr>
                <w:rFonts w:ascii="Arial" w:cs="Arial" w:eastAsia="Arial" w:hAnsi="Arial"/>
                <w:sz w:val="18"/>
                <w:szCs w:val="18"/>
                <w:color w:val="auto"/>
                <w:vertAlign w:val="superscript"/>
              </w:rPr>
              <w:t>6</w:t>
            </w:r>
          </w:p>
        </w:tc>
        <w:tc>
          <w:tcPr>
            <w:tcW w:w="960" w:type="dxa"/>
            <w:vAlign w:val="bottom"/>
            <w:tcBorders>
              <w:right w:val="single" w:sz="8" w:color="007CBA"/>
            </w:tcBorders>
          </w:tcPr>
          <w:p>
            <w:pPr>
              <w:jc w:val="right"/>
              <w:ind w:right="69"/>
              <w:spacing w:after="0"/>
              <w:rPr>
                <w:sz w:val="20"/>
                <w:szCs w:val="20"/>
                <w:color w:val="auto"/>
              </w:rPr>
            </w:pPr>
            <w:r>
              <w:rPr>
                <w:rFonts w:ascii="Arial" w:cs="Arial" w:eastAsia="Arial" w:hAnsi="Arial"/>
                <w:sz w:val="14"/>
                <w:szCs w:val="14"/>
                <w:color w:val="auto"/>
              </w:rPr>
              <w:t>1,572,036</w:t>
            </w:r>
          </w:p>
        </w:tc>
        <w:tc>
          <w:tcPr>
            <w:tcW w:w="1200" w:type="dxa"/>
            <w:vAlign w:val="bottom"/>
            <w:tcBorders>
              <w:right w:val="single" w:sz="8" w:color="007CBA"/>
            </w:tcBorders>
          </w:tcPr>
          <w:p>
            <w:pPr>
              <w:ind w:left="540"/>
              <w:spacing w:after="0" w:line="162" w:lineRule="exact"/>
              <w:rPr>
                <w:sz w:val="20"/>
                <w:szCs w:val="20"/>
                <w:color w:val="auto"/>
              </w:rPr>
            </w:pPr>
            <w:r>
              <w:rPr>
                <w:rFonts w:ascii="Arial" w:cs="Arial" w:eastAsia="Arial" w:hAnsi="Arial"/>
                <w:sz w:val="11"/>
                <w:szCs w:val="11"/>
                <w:color w:val="auto"/>
              </w:rPr>
              <w:t>11,355</w:t>
            </w:r>
            <w:r>
              <w:rPr>
                <w:rFonts w:ascii="Arial" w:cs="Arial" w:eastAsia="Arial" w:hAnsi="Arial"/>
                <w:sz w:val="18"/>
                <w:szCs w:val="18"/>
                <w:color w:val="auto"/>
                <w:vertAlign w:val="superscript"/>
              </w:rPr>
              <w:t>12</w:t>
            </w: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2,509,909</w:t>
            </w:r>
          </w:p>
        </w:tc>
        <w:tc>
          <w:tcPr>
            <w:tcW w:w="0" w:type="dxa"/>
            <w:vAlign w:val="bottom"/>
          </w:tcPr>
          <w:p>
            <w:pPr>
              <w:spacing w:after="0"/>
              <w:rPr>
                <w:sz w:val="1"/>
                <w:szCs w:val="1"/>
                <w:color w:val="auto"/>
              </w:rPr>
            </w:pPr>
          </w:p>
        </w:tc>
      </w:tr>
      <w:tr>
        <w:trPr>
          <w:trHeight w:val="162"/>
        </w:trPr>
        <w:tc>
          <w:tcPr>
            <w:tcW w:w="3240" w:type="dxa"/>
            <w:vAlign w:val="bottom"/>
            <w:tcBorders>
              <w:right w:val="single" w:sz="8" w:color="007CBA"/>
            </w:tcBorders>
          </w:tcPr>
          <w:p>
            <w:pPr>
              <w:spacing w:after="0"/>
              <w:rPr>
                <w:sz w:val="14"/>
                <w:szCs w:val="14"/>
                <w:color w:val="auto"/>
              </w:rPr>
            </w:pPr>
          </w:p>
        </w:tc>
        <w:tc>
          <w:tcPr>
            <w:tcW w:w="1000" w:type="dxa"/>
            <w:vAlign w:val="bottom"/>
            <w:tcBorders>
              <w:right w:val="single" w:sz="8" w:color="007CBA"/>
            </w:tcBorders>
            <w:gridSpan w:val="2"/>
          </w:tcPr>
          <w:p>
            <w:pPr>
              <w:jc w:val="right"/>
              <w:ind w:right="52"/>
              <w:spacing w:after="0"/>
              <w:rPr>
                <w:sz w:val="20"/>
                <w:szCs w:val="20"/>
                <w:color w:val="auto"/>
              </w:rPr>
            </w:pPr>
            <w:r>
              <w:rPr>
                <w:rFonts w:ascii="Arial" w:cs="Arial" w:eastAsia="Arial" w:hAnsi="Arial"/>
                <w:sz w:val="14"/>
                <w:szCs w:val="14"/>
                <w:color w:val="auto"/>
              </w:rPr>
              <w:t>14,475</w:t>
            </w:r>
          </w:p>
        </w:tc>
        <w:tc>
          <w:tcPr>
            <w:tcW w:w="1140" w:type="dxa"/>
            <w:vAlign w:val="bottom"/>
            <w:tcBorders>
              <w:right w:val="single" w:sz="8" w:color="007CBA"/>
            </w:tcBorders>
          </w:tcPr>
          <w:p>
            <w:pPr>
              <w:jc w:val="right"/>
              <w:ind w:right="94"/>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108.24</w:t>
            </w:r>
          </w:p>
        </w:tc>
        <w:tc>
          <w:tcPr>
            <w:tcW w:w="88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5/23/2023</w:t>
            </w:r>
          </w:p>
        </w:tc>
        <w:tc>
          <w:tcPr>
            <w:tcW w:w="1000" w:type="dxa"/>
            <w:vAlign w:val="bottom"/>
            <w:tcBorders>
              <w:right w:val="single" w:sz="8" w:color="007CBA"/>
            </w:tcBorders>
          </w:tcPr>
          <w:p>
            <w:pPr>
              <w:jc w:val="right"/>
              <w:ind w:right="100"/>
              <w:spacing w:after="0" w:line="162" w:lineRule="exact"/>
              <w:rPr>
                <w:sz w:val="20"/>
                <w:szCs w:val="20"/>
                <w:color w:val="auto"/>
              </w:rPr>
            </w:pPr>
            <w:r>
              <w:rPr>
                <w:rFonts w:ascii="Arial" w:cs="Arial" w:eastAsia="Arial" w:hAnsi="Arial"/>
                <w:sz w:val="11"/>
                <w:szCs w:val="11"/>
                <w:color w:val="auto"/>
              </w:rPr>
              <w:t>9,755</w:t>
            </w:r>
            <w:r>
              <w:rPr>
                <w:rFonts w:ascii="Arial" w:cs="Arial" w:eastAsia="Arial" w:hAnsi="Arial"/>
                <w:sz w:val="18"/>
                <w:szCs w:val="18"/>
                <w:color w:val="auto"/>
                <w:vertAlign w:val="superscript"/>
              </w:rPr>
              <w:t>7</w:t>
            </w:r>
          </w:p>
        </w:tc>
        <w:tc>
          <w:tcPr>
            <w:tcW w:w="960" w:type="dxa"/>
            <w:vAlign w:val="bottom"/>
            <w:tcBorders>
              <w:right w:val="single" w:sz="8" w:color="007CBA"/>
            </w:tcBorders>
          </w:tcPr>
          <w:p>
            <w:pPr>
              <w:jc w:val="right"/>
              <w:ind w:right="69"/>
              <w:spacing w:after="0"/>
              <w:rPr>
                <w:sz w:val="20"/>
                <w:szCs w:val="20"/>
                <w:color w:val="auto"/>
              </w:rPr>
            </w:pPr>
            <w:r>
              <w:rPr>
                <w:rFonts w:ascii="Arial" w:cs="Arial" w:eastAsia="Arial" w:hAnsi="Arial"/>
                <w:sz w:val="14"/>
                <w:szCs w:val="14"/>
                <w:color w:val="auto"/>
              </w:rPr>
              <w:t>2,156,245</w:t>
            </w:r>
          </w:p>
        </w:tc>
        <w:tc>
          <w:tcPr>
            <w:tcW w:w="1200" w:type="dxa"/>
            <w:vAlign w:val="bottom"/>
            <w:tcBorders>
              <w:right w:val="single" w:sz="8" w:color="007CBA"/>
            </w:tcBorders>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40" w:type="dxa"/>
            <w:vAlign w:val="bottom"/>
            <w:tcBorders>
              <w:right w:val="single" w:sz="8" w:color="007CBA"/>
            </w:tcBorders>
          </w:tcPr>
          <w:p>
            <w:pPr>
              <w:spacing w:after="0"/>
              <w:rPr>
                <w:sz w:val="14"/>
                <w:szCs w:val="14"/>
                <w:color w:val="auto"/>
              </w:rPr>
            </w:pPr>
          </w:p>
        </w:tc>
        <w:tc>
          <w:tcPr>
            <w:tcW w:w="1000" w:type="dxa"/>
            <w:vAlign w:val="bottom"/>
            <w:tcBorders>
              <w:right w:val="single" w:sz="8" w:color="007CBA"/>
            </w:tcBorders>
            <w:gridSpan w:val="2"/>
          </w:tcPr>
          <w:p>
            <w:pPr>
              <w:jc w:val="right"/>
              <w:ind w:right="52"/>
              <w:spacing w:after="0"/>
              <w:rPr>
                <w:sz w:val="20"/>
                <w:szCs w:val="20"/>
                <w:color w:val="auto"/>
              </w:rPr>
            </w:pPr>
            <w:r>
              <w:rPr>
                <w:rFonts w:ascii="Arial" w:cs="Arial" w:eastAsia="Arial" w:hAnsi="Arial"/>
                <w:sz w:val="14"/>
                <w:szCs w:val="14"/>
                <w:color w:val="auto"/>
              </w:rPr>
              <w:t>3,396</w:t>
            </w:r>
          </w:p>
        </w:tc>
        <w:tc>
          <w:tcPr>
            <w:tcW w:w="1140" w:type="dxa"/>
            <w:vAlign w:val="bottom"/>
            <w:tcBorders>
              <w:right w:val="single" w:sz="8" w:color="007CBA"/>
            </w:tcBorders>
          </w:tcPr>
          <w:p>
            <w:pPr>
              <w:jc w:val="right"/>
              <w:ind w:right="14"/>
              <w:spacing w:after="0" w:line="162" w:lineRule="exact"/>
              <w:rPr>
                <w:sz w:val="20"/>
                <w:szCs w:val="20"/>
                <w:color w:val="auto"/>
              </w:rPr>
            </w:pPr>
            <w:r>
              <w:rPr>
                <w:rFonts w:ascii="Arial" w:cs="Arial" w:eastAsia="Arial" w:hAnsi="Arial"/>
                <w:sz w:val="11"/>
                <w:szCs w:val="11"/>
                <w:color w:val="auto"/>
              </w:rPr>
              <w:t>3,396</w:t>
            </w:r>
            <w:r>
              <w:rPr>
                <w:rFonts w:ascii="Arial" w:cs="Arial" w:eastAsia="Arial" w:hAnsi="Arial"/>
                <w:sz w:val="18"/>
                <w:szCs w:val="18"/>
                <w:color w:val="auto"/>
                <w:vertAlign w:val="superscript"/>
              </w:rPr>
              <w:t>2</w:t>
            </w:r>
          </w:p>
        </w:tc>
        <w:tc>
          <w:tcPr>
            <w:tcW w:w="74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121.00</w:t>
            </w:r>
          </w:p>
        </w:tc>
        <w:tc>
          <w:tcPr>
            <w:tcW w:w="88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5/22/2024</w:t>
            </w:r>
          </w:p>
        </w:tc>
        <w:tc>
          <w:tcPr>
            <w:tcW w:w="1000" w:type="dxa"/>
            <w:vAlign w:val="bottom"/>
            <w:tcBorders>
              <w:right w:val="single" w:sz="8" w:color="007CBA"/>
            </w:tcBorders>
          </w:tcPr>
          <w:p>
            <w:pPr>
              <w:jc w:val="right"/>
              <w:ind w:right="100"/>
              <w:spacing w:after="0" w:line="162" w:lineRule="exact"/>
              <w:rPr>
                <w:sz w:val="20"/>
                <w:szCs w:val="20"/>
                <w:color w:val="auto"/>
              </w:rPr>
            </w:pPr>
            <w:r>
              <w:rPr>
                <w:rFonts w:ascii="Arial" w:cs="Arial" w:eastAsia="Arial" w:hAnsi="Arial"/>
                <w:sz w:val="11"/>
                <w:szCs w:val="11"/>
                <w:color w:val="auto"/>
              </w:rPr>
              <w:t>4,666</w:t>
            </w:r>
            <w:r>
              <w:rPr>
                <w:rFonts w:ascii="Arial" w:cs="Arial" w:eastAsia="Arial" w:hAnsi="Arial"/>
                <w:sz w:val="18"/>
                <w:szCs w:val="18"/>
                <w:color w:val="auto"/>
                <w:vertAlign w:val="superscript"/>
              </w:rPr>
              <w:t>8</w:t>
            </w:r>
          </w:p>
        </w:tc>
        <w:tc>
          <w:tcPr>
            <w:tcW w:w="960" w:type="dxa"/>
            <w:vAlign w:val="bottom"/>
            <w:tcBorders>
              <w:right w:val="single" w:sz="8" w:color="007CBA"/>
            </w:tcBorders>
          </w:tcPr>
          <w:p>
            <w:pPr>
              <w:jc w:val="right"/>
              <w:ind w:right="69"/>
              <w:spacing w:after="0"/>
              <w:rPr>
                <w:sz w:val="20"/>
                <w:szCs w:val="20"/>
                <w:color w:val="auto"/>
              </w:rPr>
            </w:pPr>
            <w:r>
              <w:rPr>
                <w:rFonts w:ascii="Arial" w:cs="Arial" w:eastAsia="Arial" w:hAnsi="Arial"/>
                <w:sz w:val="14"/>
                <w:szCs w:val="14"/>
                <w:color w:val="auto"/>
              </w:rPr>
              <w:t>1,031,373</w:t>
            </w:r>
          </w:p>
        </w:tc>
        <w:tc>
          <w:tcPr>
            <w:tcW w:w="1200" w:type="dxa"/>
            <w:vAlign w:val="bottom"/>
            <w:tcBorders>
              <w:right w:val="single" w:sz="8" w:color="007CBA"/>
            </w:tcBorders>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240" w:type="dxa"/>
            <w:vAlign w:val="bottom"/>
            <w:tcBorders>
              <w:right w:val="single" w:sz="8" w:color="007CBA"/>
            </w:tcBorders>
          </w:tcPr>
          <w:p>
            <w:pPr>
              <w:spacing w:after="0"/>
              <w:rPr>
                <w:sz w:val="16"/>
                <w:szCs w:val="16"/>
                <w:color w:val="auto"/>
              </w:rPr>
            </w:pPr>
          </w:p>
        </w:tc>
        <w:tc>
          <w:tcPr>
            <w:tcW w:w="1000" w:type="dxa"/>
            <w:vAlign w:val="bottom"/>
            <w:tcBorders>
              <w:right w:val="single" w:sz="8" w:color="007CBA"/>
            </w:tcBorders>
            <w:gridSpan w:val="2"/>
          </w:tcPr>
          <w:p>
            <w:pPr>
              <w:jc w:val="right"/>
              <w:ind w:right="52"/>
              <w:spacing w:after="0"/>
              <w:rPr>
                <w:sz w:val="20"/>
                <w:szCs w:val="20"/>
                <w:color w:val="auto"/>
              </w:rPr>
            </w:pPr>
            <w:r>
              <w:rPr>
                <w:rFonts w:ascii="Arial" w:cs="Arial" w:eastAsia="Arial" w:hAnsi="Arial"/>
                <w:sz w:val="14"/>
                <w:szCs w:val="14"/>
                <w:color w:val="auto"/>
              </w:rPr>
              <w:t>3,170</w:t>
            </w:r>
          </w:p>
        </w:tc>
        <w:tc>
          <w:tcPr>
            <w:tcW w:w="1140" w:type="dxa"/>
            <w:vAlign w:val="bottom"/>
            <w:tcBorders>
              <w:right w:val="single" w:sz="8" w:color="007CBA"/>
            </w:tcBorders>
          </w:tcPr>
          <w:p>
            <w:pPr>
              <w:jc w:val="right"/>
              <w:ind w:right="14"/>
              <w:spacing w:after="0" w:line="194" w:lineRule="exact"/>
              <w:rPr>
                <w:sz w:val="20"/>
                <w:szCs w:val="20"/>
                <w:color w:val="auto"/>
              </w:rPr>
            </w:pPr>
            <w:r>
              <w:rPr>
                <w:rFonts w:ascii="Arial" w:cs="Arial" w:eastAsia="Arial" w:hAnsi="Arial"/>
                <w:sz w:val="13"/>
                <w:szCs w:val="13"/>
                <w:color w:val="auto"/>
              </w:rPr>
              <w:t>6,340</w:t>
            </w:r>
            <w:r>
              <w:rPr>
                <w:rFonts w:ascii="Arial" w:cs="Arial" w:eastAsia="Arial" w:hAnsi="Arial"/>
                <w:sz w:val="22"/>
                <w:szCs w:val="22"/>
                <w:color w:val="auto"/>
                <w:vertAlign w:val="superscript"/>
              </w:rPr>
              <w:t>3</w:t>
            </w:r>
          </w:p>
        </w:tc>
        <w:tc>
          <w:tcPr>
            <w:tcW w:w="74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154.58</w:t>
            </w:r>
          </w:p>
        </w:tc>
        <w:tc>
          <w:tcPr>
            <w:tcW w:w="88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5/21/2025</w:t>
            </w:r>
          </w:p>
        </w:tc>
        <w:tc>
          <w:tcPr>
            <w:tcW w:w="1000" w:type="dxa"/>
            <w:vAlign w:val="bottom"/>
            <w:tcBorders>
              <w:right w:val="single" w:sz="8" w:color="007CBA"/>
            </w:tcBorders>
          </w:tcPr>
          <w:p>
            <w:pPr>
              <w:jc w:val="right"/>
              <w:ind w:right="100"/>
              <w:spacing w:after="0" w:line="194" w:lineRule="exact"/>
              <w:rPr>
                <w:sz w:val="20"/>
                <w:szCs w:val="20"/>
                <w:color w:val="auto"/>
              </w:rPr>
            </w:pPr>
            <w:r>
              <w:rPr>
                <w:rFonts w:ascii="Arial" w:cs="Arial" w:eastAsia="Arial" w:hAnsi="Arial"/>
                <w:sz w:val="13"/>
                <w:szCs w:val="13"/>
                <w:color w:val="auto"/>
              </w:rPr>
              <w:t>5,991</w:t>
            </w:r>
            <w:r>
              <w:rPr>
                <w:rFonts w:ascii="Arial" w:cs="Arial" w:eastAsia="Arial" w:hAnsi="Arial"/>
                <w:sz w:val="22"/>
                <w:szCs w:val="22"/>
                <w:color w:val="auto"/>
                <w:vertAlign w:val="superscript"/>
              </w:rPr>
              <w:t>9</w:t>
            </w:r>
          </w:p>
        </w:tc>
        <w:tc>
          <w:tcPr>
            <w:tcW w:w="960" w:type="dxa"/>
            <w:vAlign w:val="bottom"/>
            <w:tcBorders>
              <w:right w:val="single" w:sz="8" w:color="007CBA"/>
            </w:tcBorders>
          </w:tcPr>
          <w:p>
            <w:pPr>
              <w:jc w:val="right"/>
              <w:ind w:right="69"/>
              <w:spacing w:after="0"/>
              <w:rPr>
                <w:sz w:val="20"/>
                <w:szCs w:val="20"/>
                <w:color w:val="auto"/>
              </w:rPr>
            </w:pPr>
            <w:r>
              <w:rPr>
                <w:rFonts w:ascii="Arial" w:cs="Arial" w:eastAsia="Arial" w:hAnsi="Arial"/>
                <w:sz w:val="14"/>
                <w:szCs w:val="14"/>
                <w:color w:val="auto"/>
              </w:rPr>
              <w:t>1,324,251</w:t>
            </w:r>
          </w:p>
        </w:tc>
        <w:tc>
          <w:tcPr>
            <w:tcW w:w="1200" w:type="dxa"/>
            <w:vAlign w:val="bottom"/>
            <w:tcBorders>
              <w:right w:val="single" w:sz="8" w:color="007CBA"/>
            </w:tcBorders>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24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b w:val="1"/>
                <w:bCs w:val="1"/>
                <w:color w:val="auto"/>
              </w:rPr>
              <w:t>James A. J. Nickolas</w:t>
            </w:r>
          </w:p>
        </w:tc>
        <w:tc>
          <w:tcPr>
            <w:tcW w:w="80" w:type="dxa"/>
            <w:vAlign w:val="bottom"/>
            <w:shd w:val="clear" w:color="auto" w:fill="E5F1F8"/>
          </w:tcPr>
          <w:p>
            <w:pPr>
              <w:spacing w:after="0"/>
              <w:rPr>
                <w:sz w:val="14"/>
                <w:szCs w:val="14"/>
                <w:color w:val="auto"/>
              </w:rPr>
            </w:pPr>
          </w:p>
        </w:tc>
        <w:tc>
          <w:tcPr>
            <w:tcW w:w="920" w:type="dxa"/>
            <w:vAlign w:val="bottom"/>
            <w:tcBorders>
              <w:right w:val="single" w:sz="8" w:color="007CBA"/>
            </w:tcBorders>
            <w:shd w:val="clear" w:color="auto" w:fill="E5F1F8"/>
          </w:tcPr>
          <w:p>
            <w:pPr>
              <w:spacing w:after="0"/>
              <w:rPr>
                <w:sz w:val="14"/>
                <w:szCs w:val="14"/>
                <w:color w:val="auto"/>
              </w:rPr>
            </w:pPr>
          </w:p>
        </w:tc>
        <w:tc>
          <w:tcPr>
            <w:tcW w:w="1140" w:type="dxa"/>
            <w:vAlign w:val="bottom"/>
            <w:tcBorders>
              <w:right w:val="single" w:sz="8" w:color="007CBA"/>
            </w:tcBorders>
            <w:shd w:val="clear" w:color="auto" w:fill="E5F1F8"/>
          </w:tcPr>
          <w:p>
            <w:pPr>
              <w:spacing w:after="0"/>
              <w:rPr>
                <w:sz w:val="14"/>
                <w:szCs w:val="14"/>
                <w:color w:val="auto"/>
              </w:rPr>
            </w:pPr>
          </w:p>
        </w:tc>
        <w:tc>
          <w:tcPr>
            <w:tcW w:w="740" w:type="dxa"/>
            <w:vAlign w:val="bottom"/>
            <w:tcBorders>
              <w:right w:val="single" w:sz="8" w:color="007CBA"/>
            </w:tcBorders>
            <w:shd w:val="clear" w:color="auto" w:fill="E5F1F8"/>
          </w:tcPr>
          <w:p>
            <w:pPr>
              <w:spacing w:after="0"/>
              <w:rPr>
                <w:sz w:val="14"/>
                <w:szCs w:val="14"/>
                <w:color w:val="auto"/>
              </w:rPr>
            </w:pPr>
          </w:p>
        </w:tc>
        <w:tc>
          <w:tcPr>
            <w:tcW w:w="880" w:type="dxa"/>
            <w:vAlign w:val="bottom"/>
            <w:tcBorders>
              <w:right w:val="single" w:sz="8" w:color="007CBA"/>
            </w:tcBorders>
            <w:shd w:val="clear" w:color="auto" w:fill="E5F1F8"/>
          </w:tcPr>
          <w:p>
            <w:pPr>
              <w:spacing w:after="0"/>
              <w:rPr>
                <w:sz w:val="14"/>
                <w:szCs w:val="14"/>
                <w:color w:val="auto"/>
              </w:rPr>
            </w:pPr>
          </w:p>
        </w:tc>
        <w:tc>
          <w:tcPr>
            <w:tcW w:w="1000" w:type="dxa"/>
            <w:vAlign w:val="bottom"/>
            <w:tcBorders>
              <w:right w:val="single" w:sz="8" w:color="007CBA"/>
            </w:tcBorders>
            <w:shd w:val="clear" w:color="auto" w:fill="E5F1F8"/>
          </w:tcPr>
          <w:p>
            <w:pPr>
              <w:jc w:val="right"/>
              <w:ind w:right="20"/>
              <w:spacing w:after="0" w:line="162" w:lineRule="exact"/>
              <w:rPr>
                <w:sz w:val="20"/>
                <w:szCs w:val="20"/>
                <w:color w:val="auto"/>
              </w:rPr>
            </w:pPr>
            <w:r>
              <w:rPr>
                <w:rFonts w:ascii="Arial" w:cs="Arial" w:eastAsia="Arial" w:hAnsi="Arial"/>
                <w:sz w:val="11"/>
                <w:szCs w:val="11"/>
                <w:color w:val="auto"/>
              </w:rPr>
              <w:t>6,636</w:t>
            </w:r>
            <w:r>
              <w:rPr>
                <w:rFonts w:ascii="Arial" w:cs="Arial" w:eastAsia="Arial" w:hAnsi="Arial"/>
                <w:sz w:val="18"/>
                <w:szCs w:val="18"/>
                <w:color w:val="auto"/>
                <w:vertAlign w:val="superscript"/>
              </w:rPr>
              <w:t>13</w:t>
            </w:r>
          </w:p>
        </w:tc>
        <w:tc>
          <w:tcPr>
            <w:tcW w:w="960" w:type="dxa"/>
            <w:vAlign w:val="bottom"/>
            <w:tcBorders>
              <w:right w:val="single" w:sz="8" w:color="007CBA"/>
            </w:tcBorders>
            <w:shd w:val="clear" w:color="auto" w:fill="E5F1F8"/>
          </w:tcPr>
          <w:p>
            <w:pPr>
              <w:jc w:val="right"/>
              <w:ind w:right="69"/>
              <w:spacing w:after="0"/>
              <w:rPr>
                <w:sz w:val="20"/>
                <w:szCs w:val="20"/>
                <w:color w:val="auto"/>
              </w:rPr>
            </w:pPr>
            <w:r>
              <w:rPr>
                <w:rFonts w:ascii="Arial" w:cs="Arial" w:eastAsia="Arial" w:hAnsi="Arial"/>
                <w:sz w:val="14"/>
                <w:szCs w:val="14"/>
                <w:color w:val="auto"/>
              </w:rPr>
              <w:t>1,466,821</w:t>
            </w:r>
          </w:p>
        </w:tc>
        <w:tc>
          <w:tcPr>
            <w:tcW w:w="1200" w:type="dxa"/>
            <w:vAlign w:val="bottom"/>
            <w:tcBorders>
              <w:right w:val="single" w:sz="8" w:color="007CBA"/>
            </w:tcBorders>
            <w:shd w:val="clear" w:color="auto" w:fill="E5F1F8"/>
          </w:tcPr>
          <w:p>
            <w:pPr>
              <w:spacing w:after="0"/>
              <w:rPr>
                <w:sz w:val="14"/>
                <w:szCs w:val="14"/>
                <w:color w:val="auto"/>
              </w:rPr>
            </w:pPr>
          </w:p>
        </w:tc>
        <w:tc>
          <w:tcPr>
            <w:tcW w:w="860" w:type="dxa"/>
            <w:vAlign w:val="bottom"/>
            <w:shd w:val="clear" w:color="auto" w:fill="E5F1F8"/>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240" w:type="dxa"/>
            <w:vAlign w:val="bottom"/>
            <w:tcBorders>
              <w:right w:val="single" w:sz="8" w:color="007CBA"/>
            </w:tcBorders>
          </w:tcPr>
          <w:p>
            <w:pPr>
              <w:ind w:left="60"/>
              <w:spacing w:after="0" w:line="143" w:lineRule="exact"/>
              <w:rPr>
                <w:sz w:val="20"/>
                <w:szCs w:val="20"/>
                <w:color w:val="auto"/>
              </w:rPr>
            </w:pPr>
            <w:r>
              <w:rPr>
                <w:rFonts w:ascii="Arial" w:cs="Arial" w:eastAsia="Arial" w:hAnsi="Arial"/>
                <w:sz w:val="14"/>
                <w:szCs w:val="14"/>
                <w:b w:val="1"/>
                <w:bCs w:val="1"/>
                <w:color w:val="auto"/>
              </w:rPr>
              <w:t>Roselyn R. Bar</w:t>
            </w:r>
          </w:p>
        </w:tc>
        <w:tc>
          <w:tcPr>
            <w:tcW w:w="1000" w:type="dxa"/>
            <w:vAlign w:val="bottom"/>
            <w:tcBorders>
              <w:right w:val="single" w:sz="8" w:color="007CBA"/>
            </w:tcBorders>
            <w:gridSpan w:val="2"/>
          </w:tcPr>
          <w:p>
            <w:pPr>
              <w:jc w:val="right"/>
              <w:ind w:right="52"/>
              <w:spacing w:after="0" w:line="143" w:lineRule="exact"/>
              <w:rPr>
                <w:sz w:val="20"/>
                <w:szCs w:val="20"/>
                <w:color w:val="auto"/>
              </w:rPr>
            </w:pPr>
            <w:r>
              <w:rPr>
                <w:rFonts w:ascii="Arial" w:cs="Arial" w:eastAsia="Arial" w:hAnsi="Arial"/>
                <w:sz w:val="14"/>
                <w:szCs w:val="14"/>
                <w:color w:val="auto"/>
              </w:rPr>
              <w:t>3,096</w:t>
            </w:r>
          </w:p>
        </w:tc>
        <w:tc>
          <w:tcPr>
            <w:tcW w:w="1140" w:type="dxa"/>
            <w:vAlign w:val="bottom"/>
            <w:tcBorders>
              <w:right w:val="single" w:sz="8" w:color="007CBA"/>
            </w:tcBorders>
          </w:tcPr>
          <w:p>
            <w:pPr>
              <w:jc w:val="right"/>
              <w:ind w:right="94"/>
              <w:spacing w:after="0" w:line="143" w:lineRule="exact"/>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right"/>
              <w:ind w:right="49"/>
              <w:spacing w:after="0" w:line="143" w:lineRule="exact"/>
              <w:rPr>
                <w:sz w:val="20"/>
                <w:szCs w:val="20"/>
                <w:color w:val="auto"/>
              </w:rPr>
            </w:pPr>
            <w:r>
              <w:rPr>
                <w:rFonts w:ascii="Arial" w:cs="Arial" w:eastAsia="Arial" w:hAnsi="Arial"/>
                <w:sz w:val="14"/>
                <w:szCs w:val="14"/>
                <w:color w:val="auto"/>
              </w:rPr>
              <w:t>95.27</w:t>
            </w:r>
          </w:p>
        </w:tc>
        <w:tc>
          <w:tcPr>
            <w:tcW w:w="880" w:type="dxa"/>
            <w:vAlign w:val="bottom"/>
            <w:tcBorders>
              <w:right w:val="single" w:sz="8" w:color="007CBA"/>
            </w:tcBorders>
          </w:tcPr>
          <w:p>
            <w:pPr>
              <w:jc w:val="right"/>
              <w:ind w:right="49"/>
              <w:spacing w:after="0" w:line="143" w:lineRule="exact"/>
              <w:rPr>
                <w:sz w:val="20"/>
                <w:szCs w:val="20"/>
                <w:color w:val="auto"/>
              </w:rPr>
            </w:pPr>
            <w:r>
              <w:rPr>
                <w:rFonts w:ascii="Arial" w:cs="Arial" w:eastAsia="Arial" w:hAnsi="Arial"/>
                <w:sz w:val="14"/>
                <w:szCs w:val="14"/>
                <w:color w:val="auto"/>
              </w:rPr>
              <w:t>5/27/2018</w:t>
            </w:r>
          </w:p>
        </w:tc>
        <w:tc>
          <w:tcPr>
            <w:tcW w:w="1000" w:type="dxa"/>
            <w:vAlign w:val="bottom"/>
            <w:tcBorders>
              <w:right w:val="single" w:sz="8" w:color="007CBA"/>
            </w:tcBorders>
          </w:tcPr>
          <w:p>
            <w:pPr>
              <w:jc w:val="right"/>
              <w:ind w:right="100"/>
              <w:spacing w:after="0" w:line="144" w:lineRule="exact"/>
              <w:rPr>
                <w:sz w:val="20"/>
                <w:szCs w:val="20"/>
                <w:color w:val="auto"/>
              </w:rPr>
            </w:pPr>
            <w:r>
              <w:rPr>
                <w:rFonts w:ascii="Arial" w:cs="Arial" w:eastAsia="Arial" w:hAnsi="Arial"/>
                <w:sz w:val="10"/>
                <w:szCs w:val="10"/>
                <w:color w:val="auto"/>
              </w:rPr>
              <w:t>9,913</w:t>
            </w:r>
            <w:r>
              <w:rPr>
                <w:rFonts w:ascii="Arial" w:cs="Arial" w:eastAsia="Arial" w:hAnsi="Arial"/>
                <w:sz w:val="16"/>
                <w:szCs w:val="16"/>
                <w:color w:val="auto"/>
                <w:vertAlign w:val="superscript"/>
              </w:rPr>
              <w:t>4</w:t>
            </w:r>
          </w:p>
        </w:tc>
        <w:tc>
          <w:tcPr>
            <w:tcW w:w="960" w:type="dxa"/>
            <w:vAlign w:val="bottom"/>
            <w:tcBorders>
              <w:right w:val="single" w:sz="8" w:color="007CBA"/>
            </w:tcBorders>
          </w:tcPr>
          <w:p>
            <w:pPr>
              <w:jc w:val="right"/>
              <w:ind w:right="69"/>
              <w:spacing w:after="0" w:line="143" w:lineRule="exact"/>
              <w:rPr>
                <w:sz w:val="20"/>
                <w:szCs w:val="20"/>
                <w:color w:val="auto"/>
              </w:rPr>
            </w:pPr>
            <w:r>
              <w:rPr>
                <w:rFonts w:ascii="Arial" w:cs="Arial" w:eastAsia="Arial" w:hAnsi="Arial"/>
                <w:sz w:val="14"/>
                <w:szCs w:val="14"/>
                <w:color w:val="auto"/>
              </w:rPr>
              <w:t>2,191,170</w:t>
            </w:r>
          </w:p>
        </w:tc>
        <w:tc>
          <w:tcPr>
            <w:tcW w:w="1200" w:type="dxa"/>
            <w:vAlign w:val="bottom"/>
            <w:tcBorders>
              <w:right w:val="single" w:sz="8" w:color="007CBA"/>
            </w:tcBorders>
          </w:tcPr>
          <w:p>
            <w:pPr>
              <w:ind w:left="620"/>
              <w:spacing w:after="0" w:line="144" w:lineRule="exact"/>
              <w:rPr>
                <w:sz w:val="20"/>
                <w:szCs w:val="20"/>
                <w:color w:val="auto"/>
              </w:rPr>
            </w:pPr>
            <w:r>
              <w:rPr>
                <w:rFonts w:ascii="Arial" w:cs="Arial" w:eastAsia="Arial" w:hAnsi="Arial"/>
                <w:sz w:val="10"/>
                <w:szCs w:val="10"/>
                <w:color w:val="auto"/>
              </w:rPr>
              <w:t>1,620</w:t>
            </w:r>
            <w:r>
              <w:rPr>
                <w:rFonts w:ascii="Arial" w:cs="Arial" w:eastAsia="Arial" w:hAnsi="Arial"/>
                <w:sz w:val="16"/>
                <w:szCs w:val="16"/>
                <w:color w:val="auto"/>
                <w:vertAlign w:val="superscript"/>
              </w:rPr>
              <w:t>10</w:t>
            </w:r>
          </w:p>
        </w:tc>
        <w:tc>
          <w:tcPr>
            <w:tcW w:w="860" w:type="dxa"/>
            <w:vAlign w:val="bottom"/>
          </w:tcPr>
          <w:p>
            <w:pPr>
              <w:jc w:val="right"/>
              <w:ind w:right="50"/>
              <w:spacing w:after="0" w:line="143" w:lineRule="exact"/>
              <w:rPr>
                <w:sz w:val="20"/>
                <w:szCs w:val="20"/>
                <w:color w:val="auto"/>
              </w:rPr>
            </w:pPr>
            <w:r>
              <w:rPr>
                <w:rFonts w:ascii="Arial" w:cs="Arial" w:eastAsia="Arial" w:hAnsi="Arial"/>
                <w:sz w:val="14"/>
                <w:szCs w:val="14"/>
                <w:color w:val="auto"/>
              </w:rPr>
              <w:t>358,085</w:t>
            </w:r>
          </w:p>
        </w:tc>
        <w:tc>
          <w:tcPr>
            <w:tcW w:w="0" w:type="dxa"/>
            <w:vAlign w:val="bottom"/>
          </w:tcPr>
          <w:p>
            <w:pPr>
              <w:spacing w:after="0"/>
              <w:rPr>
                <w:sz w:val="1"/>
                <w:szCs w:val="1"/>
                <w:color w:val="auto"/>
              </w:rPr>
            </w:pPr>
          </w:p>
        </w:tc>
      </w:tr>
      <w:tr>
        <w:trPr>
          <w:trHeight w:val="162"/>
        </w:trPr>
        <w:tc>
          <w:tcPr>
            <w:tcW w:w="3240" w:type="dxa"/>
            <w:vAlign w:val="bottom"/>
            <w:tcBorders>
              <w:right w:val="single" w:sz="8" w:color="007CBA"/>
            </w:tcBorders>
          </w:tcPr>
          <w:p>
            <w:pPr>
              <w:spacing w:after="0"/>
              <w:rPr>
                <w:sz w:val="14"/>
                <w:szCs w:val="14"/>
                <w:color w:val="auto"/>
              </w:rPr>
            </w:pPr>
          </w:p>
        </w:tc>
        <w:tc>
          <w:tcPr>
            <w:tcW w:w="1000" w:type="dxa"/>
            <w:vAlign w:val="bottom"/>
            <w:tcBorders>
              <w:right w:val="single" w:sz="8" w:color="007CBA"/>
            </w:tcBorders>
            <w:gridSpan w:val="2"/>
          </w:tcPr>
          <w:p>
            <w:pPr>
              <w:jc w:val="right"/>
              <w:ind w:right="52"/>
              <w:spacing w:after="0"/>
              <w:rPr>
                <w:sz w:val="20"/>
                <w:szCs w:val="20"/>
                <w:color w:val="auto"/>
              </w:rPr>
            </w:pPr>
            <w:r>
              <w:rPr>
                <w:rFonts w:ascii="Arial" w:cs="Arial" w:eastAsia="Arial" w:hAnsi="Arial"/>
                <w:sz w:val="14"/>
                <w:szCs w:val="14"/>
                <w:color w:val="auto"/>
              </w:rPr>
              <w:t>3,485</w:t>
            </w:r>
          </w:p>
        </w:tc>
        <w:tc>
          <w:tcPr>
            <w:tcW w:w="1140" w:type="dxa"/>
            <w:vAlign w:val="bottom"/>
            <w:tcBorders>
              <w:right w:val="single" w:sz="8" w:color="007CBA"/>
            </w:tcBorders>
          </w:tcPr>
          <w:p>
            <w:pPr>
              <w:jc w:val="right"/>
              <w:ind w:right="94"/>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86.90</w:t>
            </w:r>
          </w:p>
        </w:tc>
        <w:tc>
          <w:tcPr>
            <w:tcW w:w="88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5/12/2019</w:t>
            </w:r>
          </w:p>
        </w:tc>
        <w:tc>
          <w:tcPr>
            <w:tcW w:w="1000" w:type="dxa"/>
            <w:vAlign w:val="bottom"/>
            <w:tcBorders>
              <w:right w:val="single" w:sz="8" w:color="007CBA"/>
            </w:tcBorders>
          </w:tcPr>
          <w:p>
            <w:pPr>
              <w:jc w:val="right"/>
              <w:ind w:right="100"/>
              <w:spacing w:after="0" w:line="162" w:lineRule="exact"/>
              <w:rPr>
                <w:sz w:val="20"/>
                <w:szCs w:val="20"/>
                <w:color w:val="auto"/>
              </w:rPr>
            </w:pPr>
            <w:r>
              <w:rPr>
                <w:rFonts w:ascii="Arial" w:cs="Arial" w:eastAsia="Arial" w:hAnsi="Arial"/>
                <w:sz w:val="11"/>
                <w:szCs w:val="11"/>
                <w:color w:val="auto"/>
              </w:rPr>
              <w:t>1,653</w:t>
            </w:r>
            <w:r>
              <w:rPr>
                <w:rFonts w:ascii="Arial" w:cs="Arial" w:eastAsia="Arial" w:hAnsi="Arial"/>
                <w:sz w:val="18"/>
                <w:szCs w:val="18"/>
                <w:color w:val="auto"/>
                <w:vertAlign w:val="superscript"/>
              </w:rPr>
              <w:t>5</w:t>
            </w:r>
          </w:p>
        </w:tc>
        <w:tc>
          <w:tcPr>
            <w:tcW w:w="960" w:type="dxa"/>
            <w:vAlign w:val="bottom"/>
            <w:tcBorders>
              <w:right w:val="single" w:sz="8" w:color="007CBA"/>
            </w:tcBorders>
          </w:tcPr>
          <w:p>
            <w:pPr>
              <w:jc w:val="right"/>
              <w:ind w:right="69"/>
              <w:spacing w:after="0"/>
              <w:rPr>
                <w:sz w:val="20"/>
                <w:szCs w:val="20"/>
                <w:color w:val="auto"/>
              </w:rPr>
            </w:pPr>
            <w:r>
              <w:rPr>
                <w:rFonts w:ascii="Arial" w:cs="Arial" w:eastAsia="Arial" w:hAnsi="Arial"/>
                <w:sz w:val="14"/>
                <w:szCs w:val="14"/>
                <w:color w:val="auto"/>
              </w:rPr>
              <w:t>365,379</w:t>
            </w:r>
          </w:p>
        </w:tc>
        <w:tc>
          <w:tcPr>
            <w:tcW w:w="1200" w:type="dxa"/>
            <w:vAlign w:val="bottom"/>
            <w:tcBorders>
              <w:right w:val="single" w:sz="8" w:color="007CBA"/>
            </w:tcBorders>
          </w:tcPr>
          <w:p>
            <w:pPr>
              <w:ind w:left="620"/>
              <w:spacing w:after="0" w:line="162" w:lineRule="exact"/>
              <w:rPr>
                <w:sz w:val="20"/>
                <w:szCs w:val="20"/>
                <w:color w:val="auto"/>
              </w:rPr>
            </w:pPr>
            <w:r>
              <w:rPr>
                <w:rFonts w:ascii="Arial" w:cs="Arial" w:eastAsia="Arial" w:hAnsi="Arial"/>
                <w:sz w:val="11"/>
                <w:szCs w:val="11"/>
                <w:color w:val="auto"/>
              </w:rPr>
              <w:t>4,697</w:t>
            </w:r>
            <w:r>
              <w:rPr>
                <w:rFonts w:ascii="Arial" w:cs="Arial" w:eastAsia="Arial" w:hAnsi="Arial"/>
                <w:sz w:val="18"/>
                <w:szCs w:val="18"/>
                <w:color w:val="auto"/>
                <w:vertAlign w:val="superscript"/>
              </w:rPr>
              <w:t>11</w:t>
            </w: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1,038,225</w:t>
            </w:r>
          </w:p>
        </w:tc>
        <w:tc>
          <w:tcPr>
            <w:tcW w:w="0" w:type="dxa"/>
            <w:vAlign w:val="bottom"/>
          </w:tcPr>
          <w:p>
            <w:pPr>
              <w:spacing w:after="0"/>
              <w:rPr>
                <w:sz w:val="1"/>
                <w:szCs w:val="1"/>
                <w:color w:val="auto"/>
              </w:rPr>
            </w:pPr>
          </w:p>
        </w:tc>
      </w:tr>
      <w:tr>
        <w:trPr>
          <w:trHeight w:val="162"/>
        </w:trPr>
        <w:tc>
          <w:tcPr>
            <w:tcW w:w="3240" w:type="dxa"/>
            <w:vAlign w:val="bottom"/>
            <w:tcBorders>
              <w:right w:val="single" w:sz="8" w:color="007CBA"/>
            </w:tcBorders>
          </w:tcPr>
          <w:p>
            <w:pPr>
              <w:spacing w:after="0"/>
              <w:rPr>
                <w:sz w:val="14"/>
                <w:szCs w:val="14"/>
                <w:color w:val="auto"/>
              </w:rPr>
            </w:pPr>
          </w:p>
        </w:tc>
        <w:tc>
          <w:tcPr>
            <w:tcW w:w="1000" w:type="dxa"/>
            <w:vAlign w:val="bottom"/>
            <w:tcBorders>
              <w:right w:val="single" w:sz="8" w:color="007CBA"/>
            </w:tcBorders>
            <w:gridSpan w:val="2"/>
          </w:tcPr>
          <w:p>
            <w:pPr>
              <w:jc w:val="right"/>
              <w:ind w:right="52"/>
              <w:spacing w:after="0"/>
              <w:rPr>
                <w:sz w:val="20"/>
                <w:szCs w:val="20"/>
                <w:color w:val="auto"/>
              </w:rPr>
            </w:pPr>
            <w:r>
              <w:rPr>
                <w:rFonts w:ascii="Arial" w:cs="Arial" w:eastAsia="Arial" w:hAnsi="Arial"/>
                <w:sz w:val="14"/>
                <w:szCs w:val="14"/>
                <w:color w:val="auto"/>
              </w:rPr>
              <w:t>4,513</w:t>
            </w:r>
          </w:p>
        </w:tc>
        <w:tc>
          <w:tcPr>
            <w:tcW w:w="1140" w:type="dxa"/>
            <w:vAlign w:val="bottom"/>
            <w:tcBorders>
              <w:right w:val="single" w:sz="8" w:color="007CBA"/>
            </w:tcBorders>
          </w:tcPr>
          <w:p>
            <w:pPr>
              <w:jc w:val="right"/>
              <w:ind w:right="94"/>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69.12</w:t>
            </w:r>
          </w:p>
        </w:tc>
        <w:tc>
          <w:tcPr>
            <w:tcW w:w="88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5/24/2020</w:t>
            </w:r>
          </w:p>
        </w:tc>
        <w:tc>
          <w:tcPr>
            <w:tcW w:w="1000" w:type="dxa"/>
            <w:vAlign w:val="bottom"/>
            <w:tcBorders>
              <w:right w:val="single" w:sz="8" w:color="007CBA"/>
            </w:tcBorders>
          </w:tcPr>
          <w:p>
            <w:pPr>
              <w:jc w:val="right"/>
              <w:ind w:right="100"/>
              <w:spacing w:after="0" w:line="162" w:lineRule="exact"/>
              <w:rPr>
                <w:sz w:val="20"/>
                <w:szCs w:val="20"/>
                <w:color w:val="auto"/>
              </w:rPr>
            </w:pPr>
            <w:r>
              <w:rPr>
                <w:rFonts w:ascii="Arial" w:cs="Arial" w:eastAsia="Arial" w:hAnsi="Arial"/>
                <w:sz w:val="11"/>
                <w:szCs w:val="11"/>
                <w:color w:val="auto"/>
              </w:rPr>
              <w:t>1,566</w:t>
            </w:r>
            <w:r>
              <w:rPr>
                <w:rFonts w:ascii="Arial" w:cs="Arial" w:eastAsia="Arial" w:hAnsi="Arial"/>
                <w:sz w:val="18"/>
                <w:szCs w:val="18"/>
                <w:color w:val="auto"/>
                <w:vertAlign w:val="superscript"/>
              </w:rPr>
              <w:t>6</w:t>
            </w:r>
          </w:p>
        </w:tc>
        <w:tc>
          <w:tcPr>
            <w:tcW w:w="960" w:type="dxa"/>
            <w:vAlign w:val="bottom"/>
            <w:tcBorders>
              <w:right w:val="single" w:sz="8" w:color="007CBA"/>
            </w:tcBorders>
          </w:tcPr>
          <w:p>
            <w:pPr>
              <w:jc w:val="right"/>
              <w:ind w:right="69"/>
              <w:spacing w:after="0"/>
              <w:rPr>
                <w:sz w:val="20"/>
                <w:szCs w:val="20"/>
                <w:color w:val="auto"/>
              </w:rPr>
            </w:pPr>
            <w:r>
              <w:rPr>
                <w:rFonts w:ascii="Arial" w:cs="Arial" w:eastAsia="Arial" w:hAnsi="Arial"/>
                <w:sz w:val="14"/>
                <w:szCs w:val="14"/>
                <w:color w:val="auto"/>
              </w:rPr>
              <w:t>346,149</w:t>
            </w:r>
          </w:p>
        </w:tc>
        <w:tc>
          <w:tcPr>
            <w:tcW w:w="1200" w:type="dxa"/>
            <w:vAlign w:val="bottom"/>
            <w:tcBorders>
              <w:right w:val="single" w:sz="8" w:color="007CBA"/>
            </w:tcBorders>
          </w:tcPr>
          <w:p>
            <w:pPr>
              <w:ind w:left="620"/>
              <w:spacing w:after="0" w:line="162" w:lineRule="exact"/>
              <w:rPr>
                <w:sz w:val="20"/>
                <w:szCs w:val="20"/>
                <w:color w:val="auto"/>
              </w:rPr>
            </w:pPr>
            <w:r>
              <w:rPr>
                <w:rFonts w:ascii="Arial" w:cs="Arial" w:eastAsia="Arial" w:hAnsi="Arial"/>
                <w:sz w:val="11"/>
                <w:szCs w:val="11"/>
                <w:color w:val="auto"/>
              </w:rPr>
              <w:t>3,267</w:t>
            </w:r>
            <w:r>
              <w:rPr>
                <w:rFonts w:ascii="Arial" w:cs="Arial" w:eastAsia="Arial" w:hAnsi="Arial"/>
                <w:sz w:val="18"/>
                <w:szCs w:val="18"/>
                <w:color w:val="auto"/>
                <w:vertAlign w:val="superscript"/>
              </w:rPr>
              <w:t>12</w:t>
            </w: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722,138</w:t>
            </w:r>
          </w:p>
        </w:tc>
        <w:tc>
          <w:tcPr>
            <w:tcW w:w="0" w:type="dxa"/>
            <w:vAlign w:val="bottom"/>
          </w:tcPr>
          <w:p>
            <w:pPr>
              <w:spacing w:after="0"/>
              <w:rPr>
                <w:sz w:val="1"/>
                <w:szCs w:val="1"/>
                <w:color w:val="auto"/>
              </w:rPr>
            </w:pPr>
          </w:p>
        </w:tc>
      </w:tr>
      <w:tr>
        <w:trPr>
          <w:trHeight w:val="162"/>
        </w:trPr>
        <w:tc>
          <w:tcPr>
            <w:tcW w:w="3240" w:type="dxa"/>
            <w:vAlign w:val="bottom"/>
            <w:tcBorders>
              <w:right w:val="single" w:sz="8" w:color="007CBA"/>
            </w:tcBorders>
          </w:tcPr>
          <w:p>
            <w:pPr>
              <w:spacing w:after="0"/>
              <w:rPr>
                <w:sz w:val="14"/>
                <w:szCs w:val="14"/>
                <w:color w:val="auto"/>
              </w:rPr>
            </w:pPr>
          </w:p>
        </w:tc>
        <w:tc>
          <w:tcPr>
            <w:tcW w:w="1000" w:type="dxa"/>
            <w:vAlign w:val="bottom"/>
            <w:tcBorders>
              <w:right w:val="single" w:sz="8" w:color="007CBA"/>
            </w:tcBorders>
            <w:gridSpan w:val="2"/>
          </w:tcPr>
          <w:p>
            <w:pPr>
              <w:jc w:val="right"/>
              <w:ind w:right="52"/>
              <w:spacing w:after="0"/>
              <w:rPr>
                <w:sz w:val="20"/>
                <w:szCs w:val="20"/>
                <w:color w:val="auto"/>
              </w:rPr>
            </w:pPr>
            <w:r>
              <w:rPr>
                <w:rFonts w:ascii="Arial" w:cs="Arial" w:eastAsia="Arial" w:hAnsi="Arial"/>
                <w:sz w:val="14"/>
                <w:szCs w:val="14"/>
                <w:color w:val="auto"/>
              </w:rPr>
              <w:t>4,004</w:t>
            </w:r>
          </w:p>
        </w:tc>
        <w:tc>
          <w:tcPr>
            <w:tcW w:w="1140" w:type="dxa"/>
            <w:vAlign w:val="bottom"/>
            <w:tcBorders>
              <w:right w:val="single" w:sz="8" w:color="007CBA"/>
            </w:tcBorders>
          </w:tcPr>
          <w:p>
            <w:pPr>
              <w:jc w:val="right"/>
              <w:ind w:right="94"/>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108.24</w:t>
            </w:r>
          </w:p>
        </w:tc>
        <w:tc>
          <w:tcPr>
            <w:tcW w:w="88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5/23/2023</w:t>
            </w:r>
          </w:p>
        </w:tc>
        <w:tc>
          <w:tcPr>
            <w:tcW w:w="1000" w:type="dxa"/>
            <w:vAlign w:val="bottom"/>
            <w:tcBorders>
              <w:right w:val="single" w:sz="8" w:color="007CBA"/>
            </w:tcBorders>
          </w:tcPr>
          <w:p>
            <w:pPr>
              <w:jc w:val="right"/>
              <w:ind w:right="100"/>
              <w:spacing w:after="0" w:line="162" w:lineRule="exact"/>
              <w:rPr>
                <w:sz w:val="20"/>
                <w:szCs w:val="20"/>
                <w:color w:val="auto"/>
              </w:rPr>
            </w:pPr>
            <w:r>
              <w:rPr>
                <w:rFonts w:ascii="Arial" w:cs="Arial" w:eastAsia="Arial" w:hAnsi="Arial"/>
                <w:sz w:val="11"/>
                <w:szCs w:val="11"/>
                <w:color w:val="auto"/>
              </w:rPr>
              <w:t>2,807</w:t>
            </w:r>
            <w:r>
              <w:rPr>
                <w:rFonts w:ascii="Arial" w:cs="Arial" w:eastAsia="Arial" w:hAnsi="Arial"/>
                <w:sz w:val="18"/>
                <w:szCs w:val="18"/>
                <w:color w:val="auto"/>
                <w:vertAlign w:val="superscript"/>
              </w:rPr>
              <w:t>7</w:t>
            </w:r>
          </w:p>
        </w:tc>
        <w:tc>
          <w:tcPr>
            <w:tcW w:w="960" w:type="dxa"/>
            <w:vAlign w:val="bottom"/>
            <w:tcBorders>
              <w:right w:val="single" w:sz="8" w:color="007CBA"/>
            </w:tcBorders>
          </w:tcPr>
          <w:p>
            <w:pPr>
              <w:jc w:val="right"/>
              <w:ind w:right="69"/>
              <w:spacing w:after="0"/>
              <w:rPr>
                <w:sz w:val="20"/>
                <w:szCs w:val="20"/>
                <w:color w:val="auto"/>
              </w:rPr>
            </w:pPr>
            <w:r>
              <w:rPr>
                <w:rFonts w:ascii="Arial" w:cs="Arial" w:eastAsia="Arial" w:hAnsi="Arial"/>
                <w:sz w:val="14"/>
                <w:szCs w:val="14"/>
                <w:color w:val="auto"/>
              </w:rPr>
              <w:t>620,459</w:t>
            </w:r>
          </w:p>
        </w:tc>
        <w:tc>
          <w:tcPr>
            <w:tcW w:w="1200" w:type="dxa"/>
            <w:vAlign w:val="bottom"/>
            <w:tcBorders>
              <w:right w:val="single" w:sz="8" w:color="007CBA"/>
            </w:tcBorders>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40" w:type="dxa"/>
            <w:vAlign w:val="bottom"/>
            <w:tcBorders>
              <w:right w:val="single" w:sz="8" w:color="007CBA"/>
            </w:tcBorders>
          </w:tcPr>
          <w:p>
            <w:pPr>
              <w:spacing w:after="0"/>
              <w:rPr>
                <w:sz w:val="14"/>
                <w:szCs w:val="14"/>
                <w:color w:val="auto"/>
              </w:rPr>
            </w:pPr>
          </w:p>
        </w:tc>
        <w:tc>
          <w:tcPr>
            <w:tcW w:w="1000" w:type="dxa"/>
            <w:vAlign w:val="bottom"/>
            <w:tcBorders>
              <w:right w:val="single" w:sz="8" w:color="007CBA"/>
            </w:tcBorders>
            <w:gridSpan w:val="2"/>
          </w:tcPr>
          <w:p>
            <w:pPr>
              <w:jc w:val="right"/>
              <w:ind w:right="52"/>
              <w:spacing w:after="0"/>
              <w:rPr>
                <w:sz w:val="20"/>
                <w:szCs w:val="20"/>
                <w:color w:val="auto"/>
              </w:rPr>
            </w:pPr>
            <w:r>
              <w:rPr>
                <w:rFonts w:ascii="Arial" w:cs="Arial" w:eastAsia="Arial" w:hAnsi="Arial"/>
                <w:sz w:val="14"/>
                <w:szCs w:val="14"/>
                <w:color w:val="auto"/>
              </w:rPr>
              <w:t>940</w:t>
            </w:r>
          </w:p>
        </w:tc>
        <w:tc>
          <w:tcPr>
            <w:tcW w:w="1140" w:type="dxa"/>
            <w:vAlign w:val="bottom"/>
            <w:tcBorders>
              <w:right w:val="single" w:sz="8" w:color="007CBA"/>
            </w:tcBorders>
          </w:tcPr>
          <w:p>
            <w:pPr>
              <w:jc w:val="right"/>
              <w:ind w:right="14"/>
              <w:spacing w:after="0" w:line="162" w:lineRule="exact"/>
              <w:rPr>
                <w:sz w:val="20"/>
                <w:szCs w:val="20"/>
                <w:color w:val="auto"/>
              </w:rPr>
            </w:pPr>
            <w:r>
              <w:rPr>
                <w:rFonts w:ascii="Arial" w:cs="Arial" w:eastAsia="Arial" w:hAnsi="Arial"/>
                <w:sz w:val="11"/>
                <w:szCs w:val="11"/>
                <w:color w:val="auto"/>
              </w:rPr>
              <w:t>937</w:t>
            </w:r>
            <w:r>
              <w:rPr>
                <w:rFonts w:ascii="Arial" w:cs="Arial" w:eastAsia="Arial" w:hAnsi="Arial"/>
                <w:sz w:val="18"/>
                <w:szCs w:val="18"/>
                <w:color w:val="auto"/>
                <w:vertAlign w:val="superscript"/>
              </w:rPr>
              <w:t>2</w:t>
            </w:r>
          </w:p>
        </w:tc>
        <w:tc>
          <w:tcPr>
            <w:tcW w:w="74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121.00</w:t>
            </w:r>
          </w:p>
        </w:tc>
        <w:tc>
          <w:tcPr>
            <w:tcW w:w="88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5/22/2024</w:t>
            </w:r>
          </w:p>
        </w:tc>
        <w:tc>
          <w:tcPr>
            <w:tcW w:w="1000" w:type="dxa"/>
            <w:vAlign w:val="bottom"/>
            <w:tcBorders>
              <w:right w:val="single" w:sz="8" w:color="007CBA"/>
            </w:tcBorders>
          </w:tcPr>
          <w:p>
            <w:pPr>
              <w:jc w:val="right"/>
              <w:ind w:right="100"/>
              <w:spacing w:after="0" w:line="162" w:lineRule="exact"/>
              <w:rPr>
                <w:sz w:val="20"/>
                <w:szCs w:val="20"/>
                <w:color w:val="auto"/>
              </w:rPr>
            </w:pPr>
            <w:r>
              <w:rPr>
                <w:rFonts w:ascii="Arial" w:cs="Arial" w:eastAsia="Arial" w:hAnsi="Arial"/>
                <w:sz w:val="11"/>
                <w:szCs w:val="11"/>
                <w:color w:val="auto"/>
              </w:rPr>
              <w:t>757</w:t>
            </w:r>
            <w:r>
              <w:rPr>
                <w:rFonts w:ascii="Arial" w:cs="Arial" w:eastAsia="Arial" w:hAnsi="Arial"/>
                <w:sz w:val="18"/>
                <w:szCs w:val="18"/>
                <w:color w:val="auto"/>
                <w:vertAlign w:val="superscript"/>
              </w:rPr>
              <w:t>8</w:t>
            </w:r>
          </w:p>
        </w:tc>
        <w:tc>
          <w:tcPr>
            <w:tcW w:w="960" w:type="dxa"/>
            <w:vAlign w:val="bottom"/>
            <w:tcBorders>
              <w:right w:val="single" w:sz="8" w:color="007CBA"/>
            </w:tcBorders>
          </w:tcPr>
          <w:p>
            <w:pPr>
              <w:jc w:val="right"/>
              <w:ind w:right="69"/>
              <w:spacing w:after="0"/>
              <w:rPr>
                <w:sz w:val="20"/>
                <w:szCs w:val="20"/>
                <w:color w:val="auto"/>
              </w:rPr>
            </w:pPr>
            <w:r>
              <w:rPr>
                <w:rFonts w:ascii="Arial" w:cs="Arial" w:eastAsia="Arial" w:hAnsi="Arial"/>
                <w:sz w:val="14"/>
                <w:szCs w:val="14"/>
                <w:color w:val="auto"/>
              </w:rPr>
              <w:t>167,327</w:t>
            </w:r>
          </w:p>
        </w:tc>
        <w:tc>
          <w:tcPr>
            <w:tcW w:w="1200" w:type="dxa"/>
            <w:vAlign w:val="bottom"/>
            <w:tcBorders>
              <w:right w:val="single" w:sz="8" w:color="007CBA"/>
            </w:tcBorders>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240" w:type="dxa"/>
            <w:vAlign w:val="bottom"/>
            <w:tcBorders>
              <w:right w:val="single" w:sz="8" w:color="007CBA"/>
            </w:tcBorders>
          </w:tcPr>
          <w:p>
            <w:pPr>
              <w:spacing w:after="0"/>
              <w:rPr>
                <w:sz w:val="16"/>
                <w:szCs w:val="16"/>
                <w:color w:val="auto"/>
              </w:rPr>
            </w:pPr>
          </w:p>
        </w:tc>
        <w:tc>
          <w:tcPr>
            <w:tcW w:w="1000" w:type="dxa"/>
            <w:vAlign w:val="bottom"/>
            <w:tcBorders>
              <w:right w:val="single" w:sz="8" w:color="007CBA"/>
            </w:tcBorders>
            <w:gridSpan w:val="2"/>
          </w:tcPr>
          <w:p>
            <w:pPr>
              <w:jc w:val="right"/>
              <w:ind w:right="52"/>
              <w:spacing w:after="0"/>
              <w:rPr>
                <w:sz w:val="20"/>
                <w:szCs w:val="20"/>
                <w:color w:val="auto"/>
              </w:rPr>
            </w:pPr>
            <w:r>
              <w:rPr>
                <w:rFonts w:ascii="Arial" w:cs="Arial" w:eastAsia="Arial" w:hAnsi="Arial"/>
                <w:sz w:val="14"/>
                <w:szCs w:val="14"/>
                <w:color w:val="auto"/>
              </w:rPr>
              <w:t>827</w:t>
            </w:r>
          </w:p>
        </w:tc>
        <w:tc>
          <w:tcPr>
            <w:tcW w:w="1140" w:type="dxa"/>
            <w:vAlign w:val="bottom"/>
            <w:tcBorders>
              <w:right w:val="single" w:sz="8" w:color="007CBA"/>
            </w:tcBorders>
          </w:tcPr>
          <w:p>
            <w:pPr>
              <w:jc w:val="right"/>
              <w:ind w:right="14"/>
              <w:spacing w:after="0" w:line="194" w:lineRule="exact"/>
              <w:rPr>
                <w:sz w:val="20"/>
                <w:szCs w:val="20"/>
                <w:color w:val="auto"/>
              </w:rPr>
            </w:pPr>
            <w:r>
              <w:rPr>
                <w:rFonts w:ascii="Arial" w:cs="Arial" w:eastAsia="Arial" w:hAnsi="Arial"/>
                <w:sz w:val="13"/>
                <w:szCs w:val="13"/>
                <w:color w:val="auto"/>
              </w:rPr>
              <w:t>1,651</w:t>
            </w:r>
            <w:r>
              <w:rPr>
                <w:rFonts w:ascii="Arial" w:cs="Arial" w:eastAsia="Arial" w:hAnsi="Arial"/>
                <w:sz w:val="22"/>
                <w:szCs w:val="22"/>
                <w:color w:val="auto"/>
                <w:vertAlign w:val="superscript"/>
              </w:rPr>
              <w:t>3</w:t>
            </w:r>
          </w:p>
        </w:tc>
        <w:tc>
          <w:tcPr>
            <w:tcW w:w="74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154.58</w:t>
            </w:r>
          </w:p>
        </w:tc>
        <w:tc>
          <w:tcPr>
            <w:tcW w:w="88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5/21/2025</w:t>
            </w:r>
          </w:p>
        </w:tc>
        <w:tc>
          <w:tcPr>
            <w:tcW w:w="1000" w:type="dxa"/>
            <w:vAlign w:val="bottom"/>
            <w:tcBorders>
              <w:right w:val="single" w:sz="8" w:color="007CBA"/>
            </w:tcBorders>
          </w:tcPr>
          <w:p>
            <w:pPr>
              <w:jc w:val="right"/>
              <w:ind w:right="100"/>
              <w:spacing w:after="0" w:line="194" w:lineRule="exact"/>
              <w:rPr>
                <w:sz w:val="20"/>
                <w:szCs w:val="20"/>
                <w:color w:val="auto"/>
              </w:rPr>
            </w:pPr>
            <w:r>
              <w:rPr>
                <w:rFonts w:ascii="Arial" w:cs="Arial" w:eastAsia="Arial" w:hAnsi="Arial"/>
                <w:sz w:val="13"/>
                <w:szCs w:val="13"/>
                <w:color w:val="auto"/>
              </w:rPr>
              <w:t>1,121</w:t>
            </w:r>
            <w:r>
              <w:rPr>
                <w:rFonts w:ascii="Arial" w:cs="Arial" w:eastAsia="Arial" w:hAnsi="Arial"/>
                <w:sz w:val="22"/>
                <w:szCs w:val="22"/>
                <w:color w:val="auto"/>
                <w:vertAlign w:val="superscript"/>
              </w:rPr>
              <w:t>9</w:t>
            </w:r>
          </w:p>
        </w:tc>
        <w:tc>
          <w:tcPr>
            <w:tcW w:w="960" w:type="dxa"/>
            <w:vAlign w:val="bottom"/>
            <w:tcBorders>
              <w:right w:val="single" w:sz="8" w:color="007CBA"/>
            </w:tcBorders>
          </w:tcPr>
          <w:p>
            <w:pPr>
              <w:jc w:val="right"/>
              <w:ind w:right="69"/>
              <w:spacing w:after="0"/>
              <w:rPr>
                <w:sz w:val="20"/>
                <w:szCs w:val="20"/>
                <w:color w:val="auto"/>
              </w:rPr>
            </w:pPr>
            <w:r>
              <w:rPr>
                <w:rFonts w:ascii="Arial" w:cs="Arial" w:eastAsia="Arial" w:hAnsi="Arial"/>
                <w:sz w:val="14"/>
                <w:szCs w:val="14"/>
                <w:color w:val="auto"/>
              </w:rPr>
              <w:t>247,786</w:t>
            </w:r>
          </w:p>
        </w:tc>
        <w:tc>
          <w:tcPr>
            <w:tcW w:w="1200" w:type="dxa"/>
            <w:vAlign w:val="bottom"/>
            <w:tcBorders>
              <w:right w:val="single" w:sz="8" w:color="007CBA"/>
            </w:tcBorders>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3240" w:type="dxa"/>
            <w:vAlign w:val="bottom"/>
            <w:tcBorders>
              <w:right w:val="single" w:sz="8" w:color="007CBA"/>
            </w:tcBorders>
            <w:shd w:val="clear" w:color="auto" w:fill="E5F1F8"/>
          </w:tcPr>
          <w:p>
            <w:pPr>
              <w:ind w:left="60"/>
              <w:spacing w:after="0" w:line="143" w:lineRule="exact"/>
              <w:rPr>
                <w:sz w:val="20"/>
                <w:szCs w:val="20"/>
                <w:color w:val="auto"/>
              </w:rPr>
            </w:pPr>
            <w:r>
              <w:rPr>
                <w:rFonts w:ascii="Arial" w:cs="Arial" w:eastAsia="Arial" w:hAnsi="Arial"/>
                <w:sz w:val="14"/>
                <w:szCs w:val="14"/>
                <w:b w:val="1"/>
                <w:bCs w:val="1"/>
                <w:color w:val="auto"/>
              </w:rPr>
              <w:t>Donald A. McCunniff</w:t>
            </w:r>
          </w:p>
        </w:tc>
        <w:tc>
          <w:tcPr>
            <w:tcW w:w="1000" w:type="dxa"/>
            <w:vAlign w:val="bottom"/>
            <w:tcBorders>
              <w:right w:val="single" w:sz="8" w:color="007CBA"/>
            </w:tcBorders>
            <w:gridSpan w:val="2"/>
            <w:shd w:val="clear" w:color="auto" w:fill="E5F1F8"/>
          </w:tcPr>
          <w:p>
            <w:pPr>
              <w:jc w:val="right"/>
              <w:ind w:right="52"/>
              <w:spacing w:after="0" w:line="143" w:lineRule="exact"/>
              <w:rPr>
                <w:sz w:val="20"/>
                <w:szCs w:val="20"/>
                <w:color w:val="auto"/>
              </w:rPr>
            </w:pPr>
            <w:r>
              <w:rPr>
                <w:rFonts w:ascii="Arial" w:cs="Arial" w:eastAsia="Arial" w:hAnsi="Arial"/>
                <w:sz w:val="14"/>
                <w:szCs w:val="14"/>
                <w:color w:val="auto"/>
              </w:rPr>
              <w:t>1,818</w:t>
            </w:r>
          </w:p>
        </w:tc>
        <w:tc>
          <w:tcPr>
            <w:tcW w:w="1140" w:type="dxa"/>
            <w:vAlign w:val="bottom"/>
            <w:tcBorders>
              <w:right w:val="single" w:sz="8" w:color="007CBA"/>
            </w:tcBorders>
            <w:shd w:val="clear" w:color="auto" w:fill="E5F1F8"/>
          </w:tcPr>
          <w:p>
            <w:pPr>
              <w:jc w:val="right"/>
              <w:ind w:right="94"/>
              <w:spacing w:after="0" w:line="143" w:lineRule="exact"/>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right"/>
              <w:ind w:right="49"/>
              <w:spacing w:after="0" w:line="143" w:lineRule="exact"/>
              <w:rPr>
                <w:sz w:val="20"/>
                <w:szCs w:val="20"/>
                <w:color w:val="auto"/>
              </w:rPr>
            </w:pPr>
            <w:r>
              <w:rPr>
                <w:rFonts w:ascii="Arial" w:cs="Arial" w:eastAsia="Arial" w:hAnsi="Arial"/>
                <w:sz w:val="14"/>
                <w:szCs w:val="14"/>
                <w:color w:val="auto"/>
              </w:rPr>
              <w:t>69.12</w:t>
            </w:r>
          </w:p>
        </w:tc>
        <w:tc>
          <w:tcPr>
            <w:tcW w:w="880" w:type="dxa"/>
            <w:vAlign w:val="bottom"/>
            <w:tcBorders>
              <w:right w:val="single" w:sz="8" w:color="007CBA"/>
            </w:tcBorders>
            <w:shd w:val="clear" w:color="auto" w:fill="E5F1F8"/>
          </w:tcPr>
          <w:p>
            <w:pPr>
              <w:jc w:val="right"/>
              <w:ind w:right="49"/>
              <w:spacing w:after="0" w:line="143" w:lineRule="exact"/>
              <w:rPr>
                <w:sz w:val="20"/>
                <w:szCs w:val="20"/>
                <w:color w:val="auto"/>
              </w:rPr>
            </w:pPr>
            <w:r>
              <w:rPr>
                <w:rFonts w:ascii="Arial" w:cs="Arial" w:eastAsia="Arial" w:hAnsi="Arial"/>
                <w:sz w:val="14"/>
                <w:szCs w:val="14"/>
                <w:color w:val="auto"/>
              </w:rPr>
              <w:t>5/24/2020</w:t>
            </w:r>
          </w:p>
        </w:tc>
        <w:tc>
          <w:tcPr>
            <w:tcW w:w="1000" w:type="dxa"/>
            <w:vAlign w:val="bottom"/>
            <w:tcBorders>
              <w:right w:val="single" w:sz="8" w:color="007CBA"/>
            </w:tcBorders>
            <w:shd w:val="clear" w:color="auto" w:fill="E5F1F8"/>
          </w:tcPr>
          <w:p>
            <w:pPr>
              <w:jc w:val="right"/>
              <w:ind w:right="100"/>
              <w:spacing w:after="0" w:line="144" w:lineRule="exact"/>
              <w:rPr>
                <w:sz w:val="20"/>
                <w:szCs w:val="20"/>
                <w:color w:val="auto"/>
              </w:rPr>
            </w:pPr>
            <w:r>
              <w:rPr>
                <w:rFonts w:ascii="Arial" w:cs="Arial" w:eastAsia="Arial" w:hAnsi="Arial"/>
                <w:sz w:val="10"/>
                <w:szCs w:val="10"/>
                <w:color w:val="auto"/>
              </w:rPr>
              <w:t>8,127</w:t>
            </w:r>
            <w:r>
              <w:rPr>
                <w:rFonts w:ascii="Arial" w:cs="Arial" w:eastAsia="Arial" w:hAnsi="Arial"/>
                <w:sz w:val="16"/>
                <w:szCs w:val="16"/>
                <w:color w:val="auto"/>
                <w:vertAlign w:val="superscript"/>
              </w:rPr>
              <w:t>4</w:t>
            </w:r>
          </w:p>
        </w:tc>
        <w:tc>
          <w:tcPr>
            <w:tcW w:w="960" w:type="dxa"/>
            <w:vAlign w:val="bottom"/>
            <w:tcBorders>
              <w:right w:val="single" w:sz="8" w:color="007CBA"/>
            </w:tcBorders>
            <w:shd w:val="clear" w:color="auto" w:fill="E5F1F8"/>
          </w:tcPr>
          <w:p>
            <w:pPr>
              <w:jc w:val="right"/>
              <w:ind w:right="69"/>
              <w:spacing w:after="0" w:line="143" w:lineRule="exact"/>
              <w:rPr>
                <w:sz w:val="20"/>
                <w:szCs w:val="20"/>
                <w:color w:val="auto"/>
              </w:rPr>
            </w:pPr>
            <w:r>
              <w:rPr>
                <w:rFonts w:ascii="Arial" w:cs="Arial" w:eastAsia="Arial" w:hAnsi="Arial"/>
                <w:sz w:val="14"/>
                <w:szCs w:val="14"/>
                <w:color w:val="auto"/>
              </w:rPr>
              <w:t>1,796,392</w:t>
            </w:r>
          </w:p>
        </w:tc>
        <w:tc>
          <w:tcPr>
            <w:tcW w:w="1200" w:type="dxa"/>
            <w:vAlign w:val="bottom"/>
            <w:tcBorders>
              <w:right w:val="single" w:sz="8" w:color="007CBA"/>
            </w:tcBorders>
            <w:shd w:val="clear" w:color="auto" w:fill="E5F1F8"/>
          </w:tcPr>
          <w:p>
            <w:pPr>
              <w:ind w:left="620"/>
              <w:spacing w:after="0" w:line="144" w:lineRule="exact"/>
              <w:rPr>
                <w:sz w:val="20"/>
                <w:szCs w:val="20"/>
                <w:color w:val="auto"/>
              </w:rPr>
            </w:pPr>
            <w:r>
              <w:rPr>
                <w:rFonts w:ascii="Arial" w:cs="Arial" w:eastAsia="Arial" w:hAnsi="Arial"/>
                <w:sz w:val="10"/>
                <w:szCs w:val="10"/>
                <w:color w:val="auto"/>
              </w:rPr>
              <w:t>1,328</w:t>
            </w:r>
            <w:r>
              <w:rPr>
                <w:rFonts w:ascii="Arial" w:cs="Arial" w:eastAsia="Arial" w:hAnsi="Arial"/>
                <w:sz w:val="16"/>
                <w:szCs w:val="16"/>
                <w:color w:val="auto"/>
                <w:vertAlign w:val="superscript"/>
              </w:rPr>
              <w:t>10</w:t>
            </w:r>
          </w:p>
        </w:tc>
        <w:tc>
          <w:tcPr>
            <w:tcW w:w="860" w:type="dxa"/>
            <w:vAlign w:val="bottom"/>
            <w:shd w:val="clear" w:color="auto" w:fill="E5F1F8"/>
          </w:tcPr>
          <w:p>
            <w:pPr>
              <w:jc w:val="right"/>
              <w:ind w:right="50"/>
              <w:spacing w:after="0" w:line="143" w:lineRule="exact"/>
              <w:rPr>
                <w:sz w:val="20"/>
                <w:szCs w:val="20"/>
                <w:color w:val="auto"/>
              </w:rPr>
            </w:pPr>
            <w:r>
              <w:rPr>
                <w:rFonts w:ascii="Arial" w:cs="Arial" w:eastAsia="Arial" w:hAnsi="Arial"/>
                <w:sz w:val="14"/>
                <w:szCs w:val="14"/>
                <w:color w:val="auto"/>
              </w:rPr>
              <w:t>293,541</w:t>
            </w:r>
          </w:p>
        </w:tc>
        <w:tc>
          <w:tcPr>
            <w:tcW w:w="0" w:type="dxa"/>
            <w:vAlign w:val="bottom"/>
          </w:tcPr>
          <w:p>
            <w:pPr>
              <w:spacing w:after="0"/>
              <w:rPr>
                <w:sz w:val="1"/>
                <w:szCs w:val="1"/>
                <w:color w:val="auto"/>
              </w:rPr>
            </w:pPr>
          </w:p>
        </w:tc>
      </w:tr>
      <w:tr>
        <w:trPr>
          <w:trHeight w:val="162"/>
        </w:trPr>
        <w:tc>
          <w:tcPr>
            <w:tcW w:w="3240" w:type="dxa"/>
            <w:vAlign w:val="bottom"/>
            <w:tcBorders>
              <w:right w:val="single" w:sz="8" w:color="007CBA"/>
            </w:tcBorders>
            <w:shd w:val="clear" w:color="auto" w:fill="E5F1F8"/>
          </w:tcPr>
          <w:p>
            <w:pPr>
              <w:spacing w:after="0"/>
              <w:rPr>
                <w:sz w:val="14"/>
                <w:szCs w:val="14"/>
                <w:color w:val="auto"/>
              </w:rPr>
            </w:pPr>
          </w:p>
        </w:tc>
        <w:tc>
          <w:tcPr>
            <w:tcW w:w="1000" w:type="dxa"/>
            <w:vAlign w:val="bottom"/>
            <w:tcBorders>
              <w:right w:val="single" w:sz="8" w:color="007CBA"/>
            </w:tcBorders>
            <w:gridSpan w:val="2"/>
            <w:shd w:val="clear" w:color="auto" w:fill="E5F1F8"/>
          </w:tcPr>
          <w:p>
            <w:pPr>
              <w:jc w:val="right"/>
              <w:ind w:right="52"/>
              <w:spacing w:after="0"/>
              <w:rPr>
                <w:sz w:val="20"/>
                <w:szCs w:val="20"/>
                <w:color w:val="auto"/>
              </w:rPr>
            </w:pPr>
            <w:r>
              <w:rPr>
                <w:rFonts w:ascii="Arial" w:cs="Arial" w:eastAsia="Arial" w:hAnsi="Arial"/>
                <w:sz w:val="14"/>
                <w:szCs w:val="14"/>
                <w:color w:val="auto"/>
              </w:rPr>
              <w:t>3,226</w:t>
            </w:r>
          </w:p>
        </w:tc>
        <w:tc>
          <w:tcPr>
            <w:tcW w:w="1140" w:type="dxa"/>
            <w:vAlign w:val="bottom"/>
            <w:tcBorders>
              <w:right w:val="single" w:sz="8" w:color="007CBA"/>
            </w:tcBorders>
            <w:shd w:val="clear" w:color="auto" w:fill="E5F1F8"/>
          </w:tcPr>
          <w:p>
            <w:pPr>
              <w:jc w:val="right"/>
              <w:ind w:right="94"/>
              <w:spacing w:after="0"/>
              <w:rPr>
                <w:sz w:val="20"/>
                <w:szCs w:val="20"/>
                <w:color w:val="auto"/>
              </w:rPr>
            </w:pPr>
            <w:r>
              <w:rPr>
                <w:rFonts w:ascii="Arial" w:cs="Arial" w:eastAsia="Arial" w:hAnsi="Arial"/>
                <w:sz w:val="14"/>
                <w:szCs w:val="14"/>
                <w:color w:val="auto"/>
              </w:rPr>
              <w:t>805</w:t>
            </w:r>
          </w:p>
        </w:tc>
        <w:tc>
          <w:tcPr>
            <w:tcW w:w="74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108.24</w:t>
            </w:r>
          </w:p>
        </w:tc>
        <w:tc>
          <w:tcPr>
            <w:tcW w:w="88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5/23/2023</w:t>
            </w:r>
          </w:p>
        </w:tc>
        <w:tc>
          <w:tcPr>
            <w:tcW w:w="1000" w:type="dxa"/>
            <w:vAlign w:val="bottom"/>
            <w:tcBorders>
              <w:right w:val="single" w:sz="8" w:color="007CBA"/>
            </w:tcBorders>
            <w:shd w:val="clear" w:color="auto" w:fill="E5F1F8"/>
          </w:tcPr>
          <w:p>
            <w:pPr>
              <w:jc w:val="right"/>
              <w:ind w:right="100"/>
              <w:spacing w:after="0" w:line="162" w:lineRule="exact"/>
              <w:rPr>
                <w:sz w:val="20"/>
                <w:szCs w:val="20"/>
                <w:color w:val="auto"/>
              </w:rPr>
            </w:pPr>
            <w:r>
              <w:rPr>
                <w:rFonts w:ascii="Arial" w:cs="Arial" w:eastAsia="Arial" w:hAnsi="Arial"/>
                <w:sz w:val="11"/>
                <w:szCs w:val="11"/>
                <w:color w:val="auto"/>
              </w:rPr>
              <w:t>1,332</w:t>
            </w:r>
            <w:r>
              <w:rPr>
                <w:rFonts w:ascii="Arial" w:cs="Arial" w:eastAsia="Arial" w:hAnsi="Arial"/>
                <w:sz w:val="18"/>
                <w:szCs w:val="18"/>
                <w:color w:val="auto"/>
                <w:vertAlign w:val="superscript"/>
              </w:rPr>
              <w:t>5</w:t>
            </w:r>
          </w:p>
        </w:tc>
        <w:tc>
          <w:tcPr>
            <w:tcW w:w="960" w:type="dxa"/>
            <w:vAlign w:val="bottom"/>
            <w:tcBorders>
              <w:right w:val="single" w:sz="8" w:color="007CBA"/>
            </w:tcBorders>
            <w:shd w:val="clear" w:color="auto" w:fill="E5F1F8"/>
          </w:tcPr>
          <w:p>
            <w:pPr>
              <w:jc w:val="right"/>
              <w:ind w:right="69"/>
              <w:spacing w:after="0"/>
              <w:rPr>
                <w:sz w:val="20"/>
                <w:szCs w:val="20"/>
                <w:color w:val="auto"/>
              </w:rPr>
            </w:pPr>
            <w:r>
              <w:rPr>
                <w:rFonts w:ascii="Arial" w:cs="Arial" w:eastAsia="Arial" w:hAnsi="Arial"/>
                <w:sz w:val="14"/>
                <w:szCs w:val="14"/>
                <w:color w:val="auto"/>
              </w:rPr>
              <w:t>294,425</w:t>
            </w:r>
          </w:p>
        </w:tc>
        <w:tc>
          <w:tcPr>
            <w:tcW w:w="1200" w:type="dxa"/>
            <w:vAlign w:val="bottom"/>
            <w:tcBorders>
              <w:right w:val="single" w:sz="8" w:color="007CBA"/>
            </w:tcBorders>
            <w:shd w:val="clear" w:color="auto" w:fill="E5F1F8"/>
          </w:tcPr>
          <w:p>
            <w:pPr>
              <w:ind w:left="620"/>
              <w:spacing w:after="0" w:line="162" w:lineRule="exact"/>
              <w:rPr>
                <w:sz w:val="20"/>
                <w:szCs w:val="20"/>
                <w:color w:val="auto"/>
              </w:rPr>
            </w:pPr>
            <w:r>
              <w:rPr>
                <w:rFonts w:ascii="Arial" w:cs="Arial" w:eastAsia="Arial" w:hAnsi="Arial"/>
                <w:sz w:val="11"/>
                <w:szCs w:val="11"/>
                <w:color w:val="auto"/>
              </w:rPr>
              <w:t>2,942</w:t>
            </w:r>
            <w:r>
              <w:rPr>
                <w:rFonts w:ascii="Arial" w:cs="Arial" w:eastAsia="Arial" w:hAnsi="Arial"/>
                <w:sz w:val="18"/>
                <w:szCs w:val="18"/>
                <w:color w:val="auto"/>
                <w:vertAlign w:val="superscript"/>
              </w:rPr>
              <w:t>11</w:t>
            </w:r>
          </w:p>
        </w:tc>
        <w:tc>
          <w:tcPr>
            <w:tcW w:w="860" w:type="dxa"/>
            <w:vAlign w:val="bottom"/>
            <w:shd w:val="clear" w:color="auto" w:fill="E5F1F8"/>
          </w:tcPr>
          <w:p>
            <w:pPr>
              <w:jc w:val="right"/>
              <w:ind w:right="50"/>
              <w:spacing w:after="0"/>
              <w:rPr>
                <w:sz w:val="20"/>
                <w:szCs w:val="20"/>
                <w:color w:val="auto"/>
              </w:rPr>
            </w:pPr>
            <w:r>
              <w:rPr>
                <w:rFonts w:ascii="Arial" w:cs="Arial" w:eastAsia="Arial" w:hAnsi="Arial"/>
                <w:sz w:val="14"/>
                <w:szCs w:val="14"/>
                <w:color w:val="auto"/>
              </w:rPr>
              <w:t>650,300</w:t>
            </w:r>
          </w:p>
        </w:tc>
        <w:tc>
          <w:tcPr>
            <w:tcW w:w="0" w:type="dxa"/>
            <w:vAlign w:val="bottom"/>
          </w:tcPr>
          <w:p>
            <w:pPr>
              <w:spacing w:after="0"/>
              <w:rPr>
                <w:sz w:val="1"/>
                <w:szCs w:val="1"/>
                <w:color w:val="auto"/>
              </w:rPr>
            </w:pPr>
          </w:p>
        </w:tc>
      </w:tr>
      <w:tr>
        <w:trPr>
          <w:trHeight w:val="162"/>
        </w:trPr>
        <w:tc>
          <w:tcPr>
            <w:tcW w:w="3240" w:type="dxa"/>
            <w:vAlign w:val="bottom"/>
            <w:tcBorders>
              <w:right w:val="single" w:sz="8" w:color="007CBA"/>
            </w:tcBorders>
            <w:shd w:val="clear" w:color="auto" w:fill="E5F1F8"/>
          </w:tcPr>
          <w:p>
            <w:pPr>
              <w:spacing w:after="0"/>
              <w:rPr>
                <w:sz w:val="14"/>
                <w:szCs w:val="14"/>
                <w:color w:val="auto"/>
              </w:rPr>
            </w:pPr>
          </w:p>
        </w:tc>
        <w:tc>
          <w:tcPr>
            <w:tcW w:w="1000" w:type="dxa"/>
            <w:vAlign w:val="bottom"/>
            <w:tcBorders>
              <w:right w:val="single" w:sz="8" w:color="007CBA"/>
            </w:tcBorders>
            <w:gridSpan w:val="2"/>
            <w:shd w:val="clear" w:color="auto" w:fill="E5F1F8"/>
          </w:tcPr>
          <w:p>
            <w:pPr>
              <w:jc w:val="right"/>
              <w:ind w:right="52"/>
              <w:spacing w:after="0"/>
              <w:rPr>
                <w:sz w:val="20"/>
                <w:szCs w:val="20"/>
                <w:color w:val="auto"/>
              </w:rPr>
            </w:pPr>
            <w:r>
              <w:rPr>
                <w:rFonts w:ascii="Arial" w:cs="Arial" w:eastAsia="Arial" w:hAnsi="Arial"/>
                <w:sz w:val="14"/>
                <w:szCs w:val="14"/>
                <w:color w:val="auto"/>
              </w:rPr>
              <w:t>2,271</w:t>
            </w:r>
          </w:p>
        </w:tc>
        <w:tc>
          <w:tcPr>
            <w:tcW w:w="1140" w:type="dxa"/>
            <w:vAlign w:val="bottom"/>
            <w:tcBorders>
              <w:right w:val="single" w:sz="8" w:color="007CBA"/>
            </w:tcBorders>
            <w:shd w:val="clear" w:color="auto" w:fill="E5F1F8"/>
          </w:tcPr>
          <w:p>
            <w:pPr>
              <w:jc w:val="right"/>
              <w:ind w:right="14"/>
              <w:spacing w:after="0" w:line="162" w:lineRule="exact"/>
              <w:rPr>
                <w:sz w:val="20"/>
                <w:szCs w:val="20"/>
                <w:color w:val="auto"/>
              </w:rPr>
            </w:pPr>
            <w:r>
              <w:rPr>
                <w:rFonts w:ascii="Arial" w:cs="Arial" w:eastAsia="Arial" w:hAnsi="Arial"/>
                <w:sz w:val="11"/>
                <w:szCs w:val="11"/>
                <w:color w:val="auto"/>
              </w:rPr>
              <w:t>756</w:t>
            </w:r>
            <w:r>
              <w:rPr>
                <w:rFonts w:ascii="Arial" w:cs="Arial" w:eastAsia="Arial" w:hAnsi="Arial"/>
                <w:sz w:val="18"/>
                <w:szCs w:val="18"/>
                <w:color w:val="auto"/>
                <w:vertAlign w:val="superscript"/>
              </w:rPr>
              <w:t>2</w:t>
            </w:r>
          </w:p>
        </w:tc>
        <w:tc>
          <w:tcPr>
            <w:tcW w:w="74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121.00</w:t>
            </w:r>
          </w:p>
        </w:tc>
        <w:tc>
          <w:tcPr>
            <w:tcW w:w="88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5/22/2024</w:t>
            </w:r>
          </w:p>
        </w:tc>
        <w:tc>
          <w:tcPr>
            <w:tcW w:w="1000" w:type="dxa"/>
            <w:vAlign w:val="bottom"/>
            <w:tcBorders>
              <w:right w:val="single" w:sz="8" w:color="007CBA"/>
            </w:tcBorders>
            <w:shd w:val="clear" w:color="auto" w:fill="E5F1F8"/>
          </w:tcPr>
          <w:p>
            <w:pPr>
              <w:jc w:val="right"/>
              <w:ind w:right="100"/>
              <w:spacing w:after="0" w:line="162" w:lineRule="exact"/>
              <w:rPr>
                <w:sz w:val="20"/>
                <w:szCs w:val="20"/>
                <w:color w:val="auto"/>
              </w:rPr>
            </w:pPr>
            <w:r>
              <w:rPr>
                <w:rFonts w:ascii="Arial" w:cs="Arial" w:eastAsia="Arial" w:hAnsi="Arial"/>
                <w:sz w:val="11"/>
                <w:szCs w:val="11"/>
                <w:color w:val="auto"/>
              </w:rPr>
              <w:t>980</w:t>
            </w:r>
            <w:r>
              <w:rPr>
                <w:rFonts w:ascii="Arial" w:cs="Arial" w:eastAsia="Arial" w:hAnsi="Arial"/>
                <w:sz w:val="18"/>
                <w:szCs w:val="18"/>
                <w:color w:val="auto"/>
                <w:vertAlign w:val="superscript"/>
              </w:rPr>
              <w:t>6</w:t>
            </w:r>
          </w:p>
        </w:tc>
        <w:tc>
          <w:tcPr>
            <w:tcW w:w="960" w:type="dxa"/>
            <w:vAlign w:val="bottom"/>
            <w:tcBorders>
              <w:right w:val="single" w:sz="8" w:color="007CBA"/>
            </w:tcBorders>
            <w:shd w:val="clear" w:color="auto" w:fill="E5F1F8"/>
          </w:tcPr>
          <w:p>
            <w:pPr>
              <w:jc w:val="right"/>
              <w:ind w:right="69"/>
              <w:spacing w:after="0"/>
              <w:rPr>
                <w:sz w:val="20"/>
                <w:szCs w:val="20"/>
                <w:color w:val="auto"/>
              </w:rPr>
            </w:pPr>
            <w:r>
              <w:rPr>
                <w:rFonts w:ascii="Arial" w:cs="Arial" w:eastAsia="Arial" w:hAnsi="Arial"/>
                <w:sz w:val="14"/>
                <w:szCs w:val="14"/>
                <w:color w:val="auto"/>
              </w:rPr>
              <w:t>216,619</w:t>
            </w:r>
          </w:p>
        </w:tc>
        <w:tc>
          <w:tcPr>
            <w:tcW w:w="1200" w:type="dxa"/>
            <w:vAlign w:val="bottom"/>
            <w:tcBorders>
              <w:right w:val="single" w:sz="8" w:color="007CBA"/>
            </w:tcBorders>
            <w:shd w:val="clear" w:color="auto" w:fill="E5F1F8"/>
          </w:tcPr>
          <w:p>
            <w:pPr>
              <w:ind w:left="620"/>
              <w:spacing w:after="0" w:line="162" w:lineRule="exact"/>
              <w:rPr>
                <w:sz w:val="20"/>
                <w:szCs w:val="20"/>
                <w:color w:val="auto"/>
              </w:rPr>
            </w:pPr>
            <w:r>
              <w:rPr>
                <w:rFonts w:ascii="Arial" w:cs="Arial" w:eastAsia="Arial" w:hAnsi="Arial"/>
                <w:sz w:val="11"/>
                <w:szCs w:val="11"/>
                <w:color w:val="auto"/>
              </w:rPr>
              <w:t>2,470</w:t>
            </w:r>
            <w:r>
              <w:rPr>
                <w:rFonts w:ascii="Arial" w:cs="Arial" w:eastAsia="Arial" w:hAnsi="Arial"/>
                <w:sz w:val="18"/>
                <w:szCs w:val="18"/>
                <w:color w:val="auto"/>
                <w:vertAlign w:val="superscript"/>
              </w:rPr>
              <w:t>12</w:t>
            </w:r>
          </w:p>
        </w:tc>
        <w:tc>
          <w:tcPr>
            <w:tcW w:w="860" w:type="dxa"/>
            <w:vAlign w:val="bottom"/>
            <w:shd w:val="clear" w:color="auto" w:fill="E5F1F8"/>
          </w:tcPr>
          <w:p>
            <w:pPr>
              <w:jc w:val="right"/>
              <w:ind w:right="50"/>
              <w:spacing w:after="0"/>
              <w:rPr>
                <w:sz w:val="20"/>
                <w:szCs w:val="20"/>
                <w:color w:val="auto"/>
              </w:rPr>
            </w:pPr>
            <w:r>
              <w:rPr>
                <w:rFonts w:ascii="Arial" w:cs="Arial" w:eastAsia="Arial" w:hAnsi="Arial"/>
                <w:sz w:val="14"/>
                <w:szCs w:val="14"/>
                <w:color w:val="auto"/>
              </w:rPr>
              <w:t>545,969</w:t>
            </w:r>
          </w:p>
        </w:tc>
        <w:tc>
          <w:tcPr>
            <w:tcW w:w="0" w:type="dxa"/>
            <w:vAlign w:val="bottom"/>
          </w:tcPr>
          <w:p>
            <w:pPr>
              <w:spacing w:after="0"/>
              <w:rPr>
                <w:sz w:val="1"/>
                <w:szCs w:val="1"/>
                <w:color w:val="auto"/>
              </w:rPr>
            </w:pPr>
          </w:p>
        </w:tc>
      </w:tr>
      <w:tr>
        <w:trPr>
          <w:trHeight w:val="162"/>
        </w:trPr>
        <w:tc>
          <w:tcPr>
            <w:tcW w:w="3240" w:type="dxa"/>
            <w:vAlign w:val="bottom"/>
            <w:tcBorders>
              <w:right w:val="single" w:sz="8" w:color="007CBA"/>
            </w:tcBorders>
            <w:shd w:val="clear" w:color="auto" w:fill="E5F1F8"/>
          </w:tcPr>
          <w:p>
            <w:pPr>
              <w:spacing w:after="0"/>
              <w:rPr>
                <w:sz w:val="14"/>
                <w:szCs w:val="14"/>
                <w:color w:val="auto"/>
              </w:rPr>
            </w:pPr>
          </w:p>
        </w:tc>
        <w:tc>
          <w:tcPr>
            <w:tcW w:w="1000" w:type="dxa"/>
            <w:vAlign w:val="bottom"/>
            <w:tcBorders>
              <w:right w:val="single" w:sz="8" w:color="007CBA"/>
            </w:tcBorders>
            <w:gridSpan w:val="2"/>
            <w:shd w:val="clear" w:color="auto" w:fill="E5F1F8"/>
          </w:tcPr>
          <w:p>
            <w:pPr>
              <w:jc w:val="right"/>
              <w:ind w:right="52"/>
              <w:spacing w:after="0"/>
              <w:rPr>
                <w:sz w:val="20"/>
                <w:szCs w:val="20"/>
                <w:color w:val="auto"/>
              </w:rPr>
            </w:pPr>
            <w:r>
              <w:rPr>
                <w:rFonts w:ascii="Arial" w:cs="Arial" w:eastAsia="Arial" w:hAnsi="Arial"/>
                <w:sz w:val="14"/>
                <w:szCs w:val="14"/>
                <w:color w:val="auto"/>
              </w:rPr>
              <w:t>1,332</w:t>
            </w:r>
          </w:p>
        </w:tc>
        <w:tc>
          <w:tcPr>
            <w:tcW w:w="1140" w:type="dxa"/>
            <w:vAlign w:val="bottom"/>
            <w:tcBorders>
              <w:right w:val="single" w:sz="8" w:color="007CBA"/>
            </w:tcBorders>
            <w:shd w:val="clear" w:color="auto" w:fill="E5F1F8"/>
          </w:tcPr>
          <w:p>
            <w:pPr>
              <w:jc w:val="right"/>
              <w:ind w:right="14"/>
              <w:spacing w:after="0" w:line="162" w:lineRule="exact"/>
              <w:rPr>
                <w:sz w:val="20"/>
                <w:szCs w:val="20"/>
                <w:color w:val="auto"/>
              </w:rPr>
            </w:pPr>
            <w:r>
              <w:rPr>
                <w:rFonts w:ascii="Arial" w:cs="Arial" w:eastAsia="Arial" w:hAnsi="Arial"/>
                <w:sz w:val="11"/>
                <w:szCs w:val="11"/>
                <w:color w:val="auto"/>
              </w:rPr>
              <w:t>1,331</w:t>
            </w:r>
            <w:r>
              <w:rPr>
                <w:rFonts w:ascii="Arial" w:cs="Arial" w:eastAsia="Arial" w:hAnsi="Arial"/>
                <w:sz w:val="18"/>
                <w:szCs w:val="18"/>
                <w:color w:val="auto"/>
                <w:vertAlign w:val="superscript"/>
              </w:rPr>
              <w:t>3</w:t>
            </w:r>
          </w:p>
        </w:tc>
        <w:tc>
          <w:tcPr>
            <w:tcW w:w="74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154.58</w:t>
            </w:r>
          </w:p>
        </w:tc>
        <w:tc>
          <w:tcPr>
            <w:tcW w:w="88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5/21/2025</w:t>
            </w:r>
          </w:p>
        </w:tc>
        <w:tc>
          <w:tcPr>
            <w:tcW w:w="1000" w:type="dxa"/>
            <w:vAlign w:val="bottom"/>
            <w:tcBorders>
              <w:right w:val="single" w:sz="8" w:color="007CBA"/>
            </w:tcBorders>
            <w:shd w:val="clear" w:color="auto" w:fill="E5F1F8"/>
          </w:tcPr>
          <w:p>
            <w:pPr>
              <w:jc w:val="right"/>
              <w:ind w:right="100"/>
              <w:spacing w:after="0" w:line="162" w:lineRule="exact"/>
              <w:rPr>
                <w:sz w:val="20"/>
                <w:szCs w:val="20"/>
                <w:color w:val="auto"/>
              </w:rPr>
            </w:pPr>
            <w:r>
              <w:rPr>
                <w:rFonts w:ascii="Arial" w:cs="Arial" w:eastAsia="Arial" w:hAnsi="Arial"/>
                <w:sz w:val="11"/>
                <w:szCs w:val="11"/>
                <w:color w:val="auto"/>
              </w:rPr>
              <w:t>2,122</w:t>
            </w:r>
            <w:r>
              <w:rPr>
                <w:rFonts w:ascii="Arial" w:cs="Arial" w:eastAsia="Arial" w:hAnsi="Arial"/>
                <w:sz w:val="18"/>
                <w:szCs w:val="18"/>
                <w:color w:val="auto"/>
                <w:vertAlign w:val="superscript"/>
              </w:rPr>
              <w:t>7</w:t>
            </w:r>
          </w:p>
        </w:tc>
        <w:tc>
          <w:tcPr>
            <w:tcW w:w="960" w:type="dxa"/>
            <w:vAlign w:val="bottom"/>
            <w:tcBorders>
              <w:right w:val="single" w:sz="8" w:color="007CBA"/>
            </w:tcBorders>
            <w:shd w:val="clear" w:color="auto" w:fill="E5F1F8"/>
          </w:tcPr>
          <w:p>
            <w:pPr>
              <w:jc w:val="right"/>
              <w:ind w:right="69"/>
              <w:spacing w:after="0"/>
              <w:rPr>
                <w:sz w:val="20"/>
                <w:szCs w:val="20"/>
                <w:color w:val="auto"/>
              </w:rPr>
            </w:pPr>
            <w:r>
              <w:rPr>
                <w:rFonts w:ascii="Arial" w:cs="Arial" w:eastAsia="Arial" w:hAnsi="Arial"/>
                <w:sz w:val="14"/>
                <w:szCs w:val="14"/>
                <w:color w:val="auto"/>
              </w:rPr>
              <w:t>469,047</w:t>
            </w:r>
          </w:p>
        </w:tc>
        <w:tc>
          <w:tcPr>
            <w:tcW w:w="1200" w:type="dxa"/>
            <w:vAlign w:val="bottom"/>
            <w:tcBorders>
              <w:right w:val="single" w:sz="8" w:color="007CBA"/>
            </w:tcBorders>
            <w:shd w:val="clear" w:color="auto" w:fill="E5F1F8"/>
          </w:tcPr>
          <w:p>
            <w:pPr>
              <w:spacing w:after="0"/>
              <w:rPr>
                <w:sz w:val="14"/>
                <w:szCs w:val="14"/>
                <w:color w:val="auto"/>
              </w:rPr>
            </w:pPr>
          </w:p>
        </w:tc>
        <w:tc>
          <w:tcPr>
            <w:tcW w:w="860" w:type="dxa"/>
            <w:vAlign w:val="bottom"/>
            <w:shd w:val="clear" w:color="auto" w:fill="E5F1F8"/>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40" w:type="dxa"/>
            <w:vAlign w:val="bottom"/>
            <w:tcBorders>
              <w:right w:val="single" w:sz="8" w:color="007CBA"/>
            </w:tcBorders>
            <w:shd w:val="clear" w:color="auto" w:fill="E5F1F8"/>
          </w:tcPr>
          <w:p>
            <w:pPr>
              <w:spacing w:after="0"/>
              <w:rPr>
                <w:sz w:val="14"/>
                <w:szCs w:val="14"/>
                <w:color w:val="auto"/>
              </w:rPr>
            </w:pPr>
          </w:p>
        </w:tc>
        <w:tc>
          <w:tcPr>
            <w:tcW w:w="80" w:type="dxa"/>
            <w:vAlign w:val="bottom"/>
            <w:shd w:val="clear" w:color="auto" w:fill="E5F1F8"/>
          </w:tcPr>
          <w:p>
            <w:pPr>
              <w:spacing w:after="0"/>
              <w:rPr>
                <w:sz w:val="14"/>
                <w:szCs w:val="14"/>
                <w:color w:val="auto"/>
              </w:rPr>
            </w:pPr>
          </w:p>
        </w:tc>
        <w:tc>
          <w:tcPr>
            <w:tcW w:w="920" w:type="dxa"/>
            <w:vAlign w:val="bottom"/>
            <w:tcBorders>
              <w:right w:val="single" w:sz="8" w:color="007CBA"/>
            </w:tcBorders>
            <w:shd w:val="clear" w:color="auto" w:fill="E5F1F8"/>
          </w:tcPr>
          <w:p>
            <w:pPr>
              <w:spacing w:after="0"/>
              <w:rPr>
                <w:sz w:val="14"/>
                <w:szCs w:val="14"/>
                <w:color w:val="auto"/>
              </w:rPr>
            </w:pPr>
          </w:p>
        </w:tc>
        <w:tc>
          <w:tcPr>
            <w:tcW w:w="1140" w:type="dxa"/>
            <w:vAlign w:val="bottom"/>
            <w:tcBorders>
              <w:right w:val="single" w:sz="8" w:color="007CBA"/>
            </w:tcBorders>
            <w:shd w:val="clear" w:color="auto" w:fill="E5F1F8"/>
          </w:tcPr>
          <w:p>
            <w:pPr>
              <w:spacing w:after="0"/>
              <w:rPr>
                <w:sz w:val="14"/>
                <w:szCs w:val="14"/>
                <w:color w:val="auto"/>
              </w:rPr>
            </w:pPr>
          </w:p>
        </w:tc>
        <w:tc>
          <w:tcPr>
            <w:tcW w:w="740" w:type="dxa"/>
            <w:vAlign w:val="bottom"/>
            <w:tcBorders>
              <w:right w:val="single" w:sz="8" w:color="007CBA"/>
            </w:tcBorders>
            <w:shd w:val="clear" w:color="auto" w:fill="E5F1F8"/>
          </w:tcPr>
          <w:p>
            <w:pPr>
              <w:spacing w:after="0"/>
              <w:rPr>
                <w:sz w:val="14"/>
                <w:szCs w:val="14"/>
                <w:color w:val="auto"/>
              </w:rPr>
            </w:pPr>
          </w:p>
        </w:tc>
        <w:tc>
          <w:tcPr>
            <w:tcW w:w="880" w:type="dxa"/>
            <w:vAlign w:val="bottom"/>
            <w:tcBorders>
              <w:right w:val="single" w:sz="8" w:color="007CBA"/>
            </w:tcBorders>
            <w:shd w:val="clear" w:color="auto" w:fill="E5F1F8"/>
          </w:tcPr>
          <w:p>
            <w:pPr>
              <w:spacing w:after="0"/>
              <w:rPr>
                <w:sz w:val="14"/>
                <w:szCs w:val="14"/>
                <w:color w:val="auto"/>
              </w:rPr>
            </w:pPr>
          </w:p>
        </w:tc>
        <w:tc>
          <w:tcPr>
            <w:tcW w:w="1000" w:type="dxa"/>
            <w:vAlign w:val="bottom"/>
            <w:tcBorders>
              <w:right w:val="single" w:sz="8" w:color="007CBA"/>
            </w:tcBorders>
            <w:shd w:val="clear" w:color="auto" w:fill="E5F1F8"/>
          </w:tcPr>
          <w:p>
            <w:pPr>
              <w:jc w:val="right"/>
              <w:ind w:right="100"/>
              <w:spacing w:after="0" w:line="162" w:lineRule="exact"/>
              <w:rPr>
                <w:sz w:val="20"/>
                <w:szCs w:val="20"/>
                <w:color w:val="auto"/>
              </w:rPr>
            </w:pPr>
            <w:r>
              <w:rPr>
                <w:rFonts w:ascii="Arial" w:cs="Arial" w:eastAsia="Arial" w:hAnsi="Arial"/>
                <w:sz w:val="11"/>
                <w:szCs w:val="11"/>
                <w:color w:val="auto"/>
              </w:rPr>
              <w:t>481</w:t>
            </w:r>
            <w:r>
              <w:rPr>
                <w:rFonts w:ascii="Arial" w:cs="Arial" w:eastAsia="Arial" w:hAnsi="Arial"/>
                <w:sz w:val="18"/>
                <w:szCs w:val="18"/>
                <w:color w:val="auto"/>
                <w:vertAlign w:val="superscript"/>
              </w:rPr>
              <w:t>8</w:t>
            </w:r>
          </w:p>
        </w:tc>
        <w:tc>
          <w:tcPr>
            <w:tcW w:w="960" w:type="dxa"/>
            <w:vAlign w:val="bottom"/>
            <w:tcBorders>
              <w:right w:val="single" w:sz="8" w:color="007CBA"/>
            </w:tcBorders>
            <w:shd w:val="clear" w:color="auto" w:fill="E5F1F8"/>
          </w:tcPr>
          <w:p>
            <w:pPr>
              <w:jc w:val="right"/>
              <w:ind w:right="69"/>
              <w:spacing w:after="0"/>
              <w:rPr>
                <w:sz w:val="20"/>
                <w:szCs w:val="20"/>
                <w:color w:val="auto"/>
              </w:rPr>
            </w:pPr>
            <w:r>
              <w:rPr>
                <w:rFonts w:ascii="Arial" w:cs="Arial" w:eastAsia="Arial" w:hAnsi="Arial"/>
                <w:sz w:val="14"/>
                <w:szCs w:val="14"/>
                <w:color w:val="auto"/>
              </w:rPr>
              <w:t>106,320</w:t>
            </w:r>
          </w:p>
        </w:tc>
        <w:tc>
          <w:tcPr>
            <w:tcW w:w="1200" w:type="dxa"/>
            <w:vAlign w:val="bottom"/>
            <w:tcBorders>
              <w:right w:val="single" w:sz="8" w:color="007CBA"/>
            </w:tcBorders>
            <w:shd w:val="clear" w:color="auto" w:fill="E5F1F8"/>
          </w:tcPr>
          <w:p>
            <w:pPr>
              <w:spacing w:after="0"/>
              <w:rPr>
                <w:sz w:val="14"/>
                <w:szCs w:val="14"/>
                <w:color w:val="auto"/>
              </w:rPr>
            </w:pPr>
          </w:p>
        </w:tc>
        <w:tc>
          <w:tcPr>
            <w:tcW w:w="860" w:type="dxa"/>
            <w:vAlign w:val="bottom"/>
            <w:shd w:val="clear" w:color="auto" w:fill="E5F1F8"/>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240" w:type="dxa"/>
            <w:vAlign w:val="bottom"/>
            <w:tcBorders>
              <w:right w:val="single" w:sz="8" w:color="007CBA"/>
            </w:tcBorders>
            <w:shd w:val="clear" w:color="auto" w:fill="E5F1F8"/>
          </w:tcPr>
          <w:p>
            <w:pPr>
              <w:spacing w:after="0"/>
              <w:rPr>
                <w:sz w:val="16"/>
                <w:szCs w:val="16"/>
                <w:color w:val="auto"/>
              </w:rPr>
            </w:pPr>
          </w:p>
        </w:tc>
        <w:tc>
          <w:tcPr>
            <w:tcW w:w="80" w:type="dxa"/>
            <w:vAlign w:val="bottom"/>
            <w:shd w:val="clear" w:color="auto" w:fill="E5F1F8"/>
          </w:tcPr>
          <w:p>
            <w:pPr>
              <w:spacing w:after="0"/>
              <w:rPr>
                <w:sz w:val="16"/>
                <w:szCs w:val="16"/>
                <w:color w:val="auto"/>
              </w:rPr>
            </w:pPr>
          </w:p>
        </w:tc>
        <w:tc>
          <w:tcPr>
            <w:tcW w:w="920" w:type="dxa"/>
            <w:vAlign w:val="bottom"/>
            <w:tcBorders>
              <w:right w:val="single" w:sz="8" w:color="007CBA"/>
            </w:tcBorders>
            <w:shd w:val="clear" w:color="auto" w:fill="E5F1F8"/>
          </w:tcPr>
          <w:p>
            <w:pPr>
              <w:spacing w:after="0"/>
              <w:rPr>
                <w:sz w:val="16"/>
                <w:szCs w:val="16"/>
                <w:color w:val="auto"/>
              </w:rPr>
            </w:pPr>
          </w:p>
        </w:tc>
        <w:tc>
          <w:tcPr>
            <w:tcW w:w="1140" w:type="dxa"/>
            <w:vAlign w:val="bottom"/>
            <w:tcBorders>
              <w:right w:val="single" w:sz="8" w:color="007CBA"/>
            </w:tcBorders>
            <w:shd w:val="clear" w:color="auto" w:fill="E5F1F8"/>
          </w:tcPr>
          <w:p>
            <w:pPr>
              <w:spacing w:after="0"/>
              <w:rPr>
                <w:sz w:val="16"/>
                <w:szCs w:val="16"/>
                <w:color w:val="auto"/>
              </w:rPr>
            </w:pPr>
          </w:p>
        </w:tc>
        <w:tc>
          <w:tcPr>
            <w:tcW w:w="740" w:type="dxa"/>
            <w:vAlign w:val="bottom"/>
            <w:tcBorders>
              <w:right w:val="single" w:sz="8" w:color="007CBA"/>
            </w:tcBorders>
            <w:shd w:val="clear" w:color="auto" w:fill="E5F1F8"/>
          </w:tcPr>
          <w:p>
            <w:pPr>
              <w:spacing w:after="0"/>
              <w:rPr>
                <w:sz w:val="16"/>
                <w:szCs w:val="16"/>
                <w:color w:val="auto"/>
              </w:rPr>
            </w:pPr>
          </w:p>
        </w:tc>
        <w:tc>
          <w:tcPr>
            <w:tcW w:w="880" w:type="dxa"/>
            <w:vAlign w:val="bottom"/>
            <w:tcBorders>
              <w:right w:val="single" w:sz="8" w:color="007CBA"/>
            </w:tcBorders>
            <w:shd w:val="clear" w:color="auto" w:fill="E5F1F8"/>
          </w:tcPr>
          <w:p>
            <w:pPr>
              <w:spacing w:after="0"/>
              <w:rPr>
                <w:sz w:val="16"/>
                <w:szCs w:val="16"/>
                <w:color w:val="auto"/>
              </w:rPr>
            </w:pPr>
          </w:p>
        </w:tc>
        <w:tc>
          <w:tcPr>
            <w:tcW w:w="1000" w:type="dxa"/>
            <w:vAlign w:val="bottom"/>
            <w:tcBorders>
              <w:right w:val="single" w:sz="8" w:color="007CBA"/>
            </w:tcBorders>
            <w:shd w:val="clear" w:color="auto" w:fill="E5F1F8"/>
          </w:tcPr>
          <w:p>
            <w:pPr>
              <w:jc w:val="right"/>
              <w:ind w:right="100"/>
              <w:spacing w:after="0" w:line="194" w:lineRule="exact"/>
              <w:rPr>
                <w:sz w:val="20"/>
                <w:szCs w:val="20"/>
                <w:color w:val="auto"/>
              </w:rPr>
            </w:pPr>
            <w:r>
              <w:rPr>
                <w:rFonts w:ascii="Arial" w:cs="Arial" w:eastAsia="Arial" w:hAnsi="Arial"/>
                <w:sz w:val="13"/>
                <w:szCs w:val="13"/>
                <w:color w:val="auto"/>
              </w:rPr>
              <w:t>485</w:t>
            </w:r>
            <w:r>
              <w:rPr>
                <w:rFonts w:ascii="Arial" w:cs="Arial" w:eastAsia="Arial" w:hAnsi="Arial"/>
                <w:sz w:val="22"/>
                <w:szCs w:val="22"/>
                <w:color w:val="auto"/>
                <w:vertAlign w:val="superscript"/>
              </w:rPr>
              <w:t>9</w:t>
            </w:r>
          </w:p>
        </w:tc>
        <w:tc>
          <w:tcPr>
            <w:tcW w:w="960" w:type="dxa"/>
            <w:vAlign w:val="bottom"/>
            <w:tcBorders>
              <w:right w:val="single" w:sz="8" w:color="007CBA"/>
            </w:tcBorders>
            <w:shd w:val="clear" w:color="auto" w:fill="E5F1F8"/>
          </w:tcPr>
          <w:p>
            <w:pPr>
              <w:jc w:val="right"/>
              <w:ind w:right="69"/>
              <w:spacing w:after="0"/>
              <w:rPr>
                <w:sz w:val="20"/>
                <w:szCs w:val="20"/>
                <w:color w:val="auto"/>
              </w:rPr>
            </w:pPr>
            <w:r>
              <w:rPr>
                <w:rFonts w:ascii="Arial" w:cs="Arial" w:eastAsia="Arial" w:hAnsi="Arial"/>
                <w:sz w:val="14"/>
                <w:szCs w:val="14"/>
                <w:color w:val="auto"/>
              </w:rPr>
              <w:t>107,240</w:t>
            </w:r>
          </w:p>
        </w:tc>
        <w:tc>
          <w:tcPr>
            <w:tcW w:w="1200" w:type="dxa"/>
            <w:vAlign w:val="bottom"/>
            <w:tcBorders>
              <w:right w:val="single" w:sz="8" w:color="007CBA"/>
            </w:tcBorders>
            <w:shd w:val="clear" w:color="auto" w:fill="E5F1F8"/>
          </w:tcPr>
          <w:p>
            <w:pPr>
              <w:spacing w:after="0"/>
              <w:rPr>
                <w:sz w:val="16"/>
                <w:szCs w:val="16"/>
                <w:color w:val="auto"/>
              </w:rPr>
            </w:pPr>
          </w:p>
        </w:tc>
        <w:tc>
          <w:tcPr>
            <w:tcW w:w="860" w:type="dxa"/>
            <w:vAlign w:val="bottom"/>
            <w:shd w:val="clear" w:color="auto" w:fill="E5F1F8"/>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3240" w:type="dxa"/>
            <w:vAlign w:val="bottom"/>
            <w:tcBorders>
              <w:right w:val="single" w:sz="8" w:color="007CBA"/>
            </w:tcBorders>
          </w:tcPr>
          <w:p>
            <w:pPr>
              <w:ind w:left="60"/>
              <w:spacing w:after="0" w:line="143" w:lineRule="exact"/>
              <w:rPr>
                <w:sz w:val="20"/>
                <w:szCs w:val="20"/>
                <w:color w:val="auto"/>
              </w:rPr>
            </w:pPr>
            <w:r>
              <w:rPr>
                <w:rFonts w:ascii="Arial" w:cs="Arial" w:eastAsia="Arial" w:hAnsi="Arial"/>
                <w:sz w:val="14"/>
                <w:szCs w:val="14"/>
                <w:b w:val="1"/>
                <w:bCs w:val="1"/>
                <w:color w:val="auto"/>
              </w:rPr>
              <w:t>Daniel L. Grant</w:t>
            </w:r>
          </w:p>
        </w:tc>
        <w:tc>
          <w:tcPr>
            <w:tcW w:w="1000" w:type="dxa"/>
            <w:vAlign w:val="bottom"/>
            <w:tcBorders>
              <w:right w:val="single" w:sz="8" w:color="007CBA"/>
            </w:tcBorders>
            <w:gridSpan w:val="2"/>
          </w:tcPr>
          <w:p>
            <w:pPr>
              <w:jc w:val="right"/>
              <w:ind w:right="52"/>
              <w:spacing w:after="0" w:line="143" w:lineRule="exact"/>
              <w:rPr>
                <w:sz w:val="20"/>
                <w:szCs w:val="20"/>
                <w:color w:val="auto"/>
              </w:rPr>
            </w:pPr>
            <w:r>
              <w:rPr>
                <w:rFonts w:ascii="Arial" w:cs="Arial" w:eastAsia="Arial" w:hAnsi="Arial"/>
                <w:sz w:val="14"/>
                <w:szCs w:val="14"/>
                <w:color w:val="auto"/>
              </w:rPr>
              <w:t>408</w:t>
            </w:r>
          </w:p>
        </w:tc>
        <w:tc>
          <w:tcPr>
            <w:tcW w:w="1140" w:type="dxa"/>
            <w:vAlign w:val="bottom"/>
            <w:tcBorders>
              <w:right w:val="single" w:sz="8" w:color="007CBA"/>
            </w:tcBorders>
          </w:tcPr>
          <w:p>
            <w:pPr>
              <w:jc w:val="right"/>
              <w:ind w:right="14"/>
              <w:spacing w:after="0" w:line="144" w:lineRule="exact"/>
              <w:rPr>
                <w:sz w:val="20"/>
                <w:szCs w:val="20"/>
                <w:color w:val="auto"/>
              </w:rPr>
            </w:pPr>
            <w:r>
              <w:rPr>
                <w:rFonts w:ascii="Arial" w:cs="Arial" w:eastAsia="Arial" w:hAnsi="Arial"/>
                <w:sz w:val="10"/>
                <w:szCs w:val="10"/>
                <w:color w:val="auto"/>
              </w:rPr>
              <w:t>408</w:t>
            </w:r>
            <w:r>
              <w:rPr>
                <w:rFonts w:ascii="Arial" w:cs="Arial" w:eastAsia="Arial" w:hAnsi="Arial"/>
                <w:sz w:val="16"/>
                <w:szCs w:val="16"/>
                <w:color w:val="auto"/>
                <w:vertAlign w:val="superscript"/>
              </w:rPr>
              <w:t>2</w:t>
            </w:r>
          </w:p>
        </w:tc>
        <w:tc>
          <w:tcPr>
            <w:tcW w:w="740" w:type="dxa"/>
            <w:vAlign w:val="bottom"/>
            <w:tcBorders>
              <w:right w:val="single" w:sz="8" w:color="007CBA"/>
            </w:tcBorders>
          </w:tcPr>
          <w:p>
            <w:pPr>
              <w:jc w:val="right"/>
              <w:ind w:right="49"/>
              <w:spacing w:after="0" w:line="143" w:lineRule="exact"/>
              <w:rPr>
                <w:sz w:val="20"/>
                <w:szCs w:val="20"/>
                <w:color w:val="auto"/>
              </w:rPr>
            </w:pPr>
            <w:r>
              <w:rPr>
                <w:rFonts w:ascii="Arial" w:cs="Arial" w:eastAsia="Arial" w:hAnsi="Arial"/>
                <w:sz w:val="14"/>
                <w:szCs w:val="14"/>
                <w:color w:val="auto"/>
              </w:rPr>
              <w:t>121.00</w:t>
            </w:r>
          </w:p>
        </w:tc>
        <w:tc>
          <w:tcPr>
            <w:tcW w:w="880" w:type="dxa"/>
            <w:vAlign w:val="bottom"/>
            <w:tcBorders>
              <w:right w:val="single" w:sz="8" w:color="007CBA"/>
            </w:tcBorders>
          </w:tcPr>
          <w:p>
            <w:pPr>
              <w:jc w:val="right"/>
              <w:ind w:right="49"/>
              <w:spacing w:after="0" w:line="143" w:lineRule="exact"/>
              <w:rPr>
                <w:sz w:val="20"/>
                <w:szCs w:val="20"/>
                <w:color w:val="auto"/>
              </w:rPr>
            </w:pPr>
            <w:r>
              <w:rPr>
                <w:rFonts w:ascii="Arial" w:cs="Arial" w:eastAsia="Arial" w:hAnsi="Arial"/>
                <w:sz w:val="14"/>
                <w:szCs w:val="14"/>
                <w:color w:val="auto"/>
              </w:rPr>
              <w:t>5/22/2024</w:t>
            </w:r>
          </w:p>
        </w:tc>
        <w:tc>
          <w:tcPr>
            <w:tcW w:w="1000" w:type="dxa"/>
            <w:vAlign w:val="bottom"/>
            <w:tcBorders>
              <w:right w:val="single" w:sz="8" w:color="007CBA"/>
            </w:tcBorders>
          </w:tcPr>
          <w:p>
            <w:pPr>
              <w:jc w:val="right"/>
              <w:ind w:right="100"/>
              <w:spacing w:after="0" w:line="144" w:lineRule="exact"/>
              <w:rPr>
                <w:sz w:val="20"/>
                <w:szCs w:val="20"/>
                <w:color w:val="auto"/>
              </w:rPr>
            </w:pPr>
            <w:r>
              <w:rPr>
                <w:rFonts w:ascii="Arial" w:cs="Arial" w:eastAsia="Arial" w:hAnsi="Arial"/>
                <w:sz w:val="10"/>
                <w:szCs w:val="10"/>
                <w:color w:val="auto"/>
              </w:rPr>
              <w:t>7,643</w:t>
            </w:r>
            <w:r>
              <w:rPr>
                <w:rFonts w:ascii="Arial" w:cs="Arial" w:eastAsia="Arial" w:hAnsi="Arial"/>
                <w:sz w:val="16"/>
                <w:szCs w:val="16"/>
                <w:color w:val="auto"/>
                <w:vertAlign w:val="superscript"/>
              </w:rPr>
              <w:t>4</w:t>
            </w:r>
          </w:p>
        </w:tc>
        <w:tc>
          <w:tcPr>
            <w:tcW w:w="960" w:type="dxa"/>
            <w:vAlign w:val="bottom"/>
            <w:tcBorders>
              <w:right w:val="single" w:sz="8" w:color="007CBA"/>
            </w:tcBorders>
          </w:tcPr>
          <w:p>
            <w:pPr>
              <w:jc w:val="right"/>
              <w:ind w:right="69"/>
              <w:spacing w:after="0" w:line="143" w:lineRule="exact"/>
              <w:rPr>
                <w:sz w:val="20"/>
                <w:szCs w:val="20"/>
                <w:color w:val="auto"/>
              </w:rPr>
            </w:pPr>
            <w:r>
              <w:rPr>
                <w:rFonts w:ascii="Arial" w:cs="Arial" w:eastAsia="Arial" w:hAnsi="Arial"/>
                <w:sz w:val="14"/>
                <w:szCs w:val="14"/>
                <w:color w:val="auto"/>
              </w:rPr>
              <w:t>1,689,409</w:t>
            </w:r>
          </w:p>
        </w:tc>
        <w:tc>
          <w:tcPr>
            <w:tcW w:w="1200" w:type="dxa"/>
            <w:vAlign w:val="bottom"/>
            <w:tcBorders>
              <w:right w:val="single" w:sz="8" w:color="007CBA"/>
            </w:tcBorders>
          </w:tcPr>
          <w:p>
            <w:pPr>
              <w:ind w:left="620"/>
              <w:spacing w:after="0" w:line="144" w:lineRule="exact"/>
              <w:rPr>
                <w:sz w:val="20"/>
                <w:szCs w:val="20"/>
                <w:color w:val="auto"/>
              </w:rPr>
            </w:pPr>
            <w:r>
              <w:rPr>
                <w:rFonts w:ascii="Arial" w:cs="Arial" w:eastAsia="Arial" w:hAnsi="Arial"/>
                <w:sz w:val="10"/>
                <w:szCs w:val="10"/>
                <w:color w:val="auto"/>
              </w:rPr>
              <w:t>1,253</w:t>
            </w:r>
            <w:r>
              <w:rPr>
                <w:rFonts w:ascii="Arial" w:cs="Arial" w:eastAsia="Arial" w:hAnsi="Arial"/>
                <w:sz w:val="16"/>
                <w:szCs w:val="16"/>
                <w:color w:val="auto"/>
                <w:vertAlign w:val="superscript"/>
              </w:rPr>
              <w:t>10</w:t>
            </w:r>
          </w:p>
        </w:tc>
        <w:tc>
          <w:tcPr>
            <w:tcW w:w="860" w:type="dxa"/>
            <w:vAlign w:val="bottom"/>
          </w:tcPr>
          <w:p>
            <w:pPr>
              <w:jc w:val="right"/>
              <w:ind w:right="50"/>
              <w:spacing w:after="0" w:line="143" w:lineRule="exact"/>
              <w:rPr>
                <w:sz w:val="20"/>
                <w:szCs w:val="20"/>
                <w:color w:val="auto"/>
              </w:rPr>
            </w:pPr>
            <w:r>
              <w:rPr>
                <w:rFonts w:ascii="Arial" w:cs="Arial" w:eastAsia="Arial" w:hAnsi="Arial"/>
                <w:sz w:val="14"/>
                <w:szCs w:val="14"/>
                <w:color w:val="auto"/>
              </w:rPr>
              <w:t>276,963</w:t>
            </w:r>
          </w:p>
        </w:tc>
        <w:tc>
          <w:tcPr>
            <w:tcW w:w="0" w:type="dxa"/>
            <w:vAlign w:val="bottom"/>
          </w:tcPr>
          <w:p>
            <w:pPr>
              <w:spacing w:after="0"/>
              <w:rPr>
                <w:sz w:val="1"/>
                <w:szCs w:val="1"/>
                <w:color w:val="auto"/>
              </w:rPr>
            </w:pPr>
          </w:p>
        </w:tc>
      </w:tr>
      <w:tr>
        <w:trPr>
          <w:trHeight w:val="162"/>
        </w:trPr>
        <w:tc>
          <w:tcPr>
            <w:tcW w:w="3240" w:type="dxa"/>
            <w:vAlign w:val="bottom"/>
            <w:tcBorders>
              <w:right w:val="single" w:sz="8" w:color="007CBA"/>
            </w:tcBorders>
          </w:tcPr>
          <w:p>
            <w:pPr>
              <w:spacing w:after="0"/>
              <w:rPr>
                <w:sz w:val="14"/>
                <w:szCs w:val="14"/>
                <w:color w:val="auto"/>
              </w:rPr>
            </w:pPr>
          </w:p>
        </w:tc>
        <w:tc>
          <w:tcPr>
            <w:tcW w:w="1000" w:type="dxa"/>
            <w:vAlign w:val="bottom"/>
            <w:tcBorders>
              <w:right w:val="single" w:sz="8" w:color="007CBA"/>
            </w:tcBorders>
            <w:gridSpan w:val="2"/>
          </w:tcPr>
          <w:p>
            <w:pPr>
              <w:jc w:val="right"/>
              <w:ind w:right="52"/>
              <w:spacing w:after="0"/>
              <w:rPr>
                <w:sz w:val="20"/>
                <w:szCs w:val="20"/>
                <w:color w:val="auto"/>
              </w:rPr>
            </w:pPr>
            <w:r>
              <w:rPr>
                <w:rFonts w:ascii="Arial" w:cs="Arial" w:eastAsia="Arial" w:hAnsi="Arial"/>
                <w:sz w:val="14"/>
                <w:szCs w:val="14"/>
                <w:color w:val="auto"/>
              </w:rPr>
              <w:t>359</w:t>
            </w:r>
          </w:p>
        </w:tc>
        <w:tc>
          <w:tcPr>
            <w:tcW w:w="1140" w:type="dxa"/>
            <w:vAlign w:val="bottom"/>
            <w:tcBorders>
              <w:right w:val="single" w:sz="8" w:color="007CBA"/>
            </w:tcBorders>
          </w:tcPr>
          <w:p>
            <w:pPr>
              <w:jc w:val="right"/>
              <w:ind w:right="14"/>
              <w:spacing w:after="0" w:line="162" w:lineRule="exact"/>
              <w:rPr>
                <w:sz w:val="20"/>
                <w:szCs w:val="20"/>
                <w:color w:val="auto"/>
              </w:rPr>
            </w:pPr>
            <w:r>
              <w:rPr>
                <w:rFonts w:ascii="Arial" w:cs="Arial" w:eastAsia="Arial" w:hAnsi="Arial"/>
                <w:sz w:val="11"/>
                <w:szCs w:val="11"/>
                <w:color w:val="auto"/>
              </w:rPr>
              <w:t>717</w:t>
            </w:r>
            <w:r>
              <w:rPr>
                <w:rFonts w:ascii="Arial" w:cs="Arial" w:eastAsia="Arial" w:hAnsi="Arial"/>
                <w:sz w:val="18"/>
                <w:szCs w:val="18"/>
                <w:color w:val="auto"/>
                <w:vertAlign w:val="superscript"/>
              </w:rPr>
              <w:t>3</w:t>
            </w:r>
          </w:p>
        </w:tc>
        <w:tc>
          <w:tcPr>
            <w:tcW w:w="74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154.58</w:t>
            </w:r>
          </w:p>
        </w:tc>
        <w:tc>
          <w:tcPr>
            <w:tcW w:w="88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5/21/2025</w:t>
            </w:r>
          </w:p>
        </w:tc>
        <w:tc>
          <w:tcPr>
            <w:tcW w:w="1000" w:type="dxa"/>
            <w:vAlign w:val="bottom"/>
            <w:tcBorders>
              <w:right w:val="single" w:sz="8" w:color="007CBA"/>
            </w:tcBorders>
          </w:tcPr>
          <w:p>
            <w:pPr>
              <w:jc w:val="right"/>
              <w:ind w:right="100"/>
              <w:spacing w:after="0" w:line="162" w:lineRule="exact"/>
              <w:rPr>
                <w:sz w:val="20"/>
                <w:szCs w:val="20"/>
                <w:color w:val="auto"/>
              </w:rPr>
            </w:pPr>
            <w:r>
              <w:rPr>
                <w:rFonts w:ascii="Arial" w:cs="Arial" w:eastAsia="Arial" w:hAnsi="Arial"/>
                <w:sz w:val="11"/>
                <w:szCs w:val="11"/>
                <w:color w:val="auto"/>
              </w:rPr>
              <w:t>718</w:t>
            </w:r>
            <w:r>
              <w:rPr>
                <w:rFonts w:ascii="Arial" w:cs="Arial" w:eastAsia="Arial" w:hAnsi="Arial"/>
                <w:sz w:val="18"/>
                <w:szCs w:val="18"/>
                <w:color w:val="auto"/>
                <w:vertAlign w:val="superscript"/>
              </w:rPr>
              <w:t>5</w:t>
            </w:r>
          </w:p>
        </w:tc>
        <w:tc>
          <w:tcPr>
            <w:tcW w:w="960" w:type="dxa"/>
            <w:vAlign w:val="bottom"/>
            <w:tcBorders>
              <w:right w:val="single" w:sz="8" w:color="007CBA"/>
            </w:tcBorders>
          </w:tcPr>
          <w:p>
            <w:pPr>
              <w:jc w:val="right"/>
              <w:ind w:right="69"/>
              <w:spacing w:after="0"/>
              <w:rPr>
                <w:sz w:val="20"/>
                <w:szCs w:val="20"/>
                <w:color w:val="auto"/>
              </w:rPr>
            </w:pPr>
            <w:r>
              <w:rPr>
                <w:rFonts w:ascii="Arial" w:cs="Arial" w:eastAsia="Arial" w:hAnsi="Arial"/>
                <w:sz w:val="14"/>
                <w:szCs w:val="14"/>
                <w:color w:val="auto"/>
              </w:rPr>
              <w:t>158,707</w:t>
            </w:r>
          </w:p>
        </w:tc>
        <w:tc>
          <w:tcPr>
            <w:tcW w:w="1200" w:type="dxa"/>
            <w:vAlign w:val="bottom"/>
            <w:tcBorders>
              <w:right w:val="single" w:sz="8" w:color="007CBA"/>
            </w:tcBorders>
          </w:tcPr>
          <w:p>
            <w:pPr>
              <w:ind w:left="620"/>
              <w:spacing w:after="0" w:line="162" w:lineRule="exact"/>
              <w:rPr>
                <w:sz w:val="20"/>
                <w:szCs w:val="20"/>
                <w:color w:val="auto"/>
              </w:rPr>
            </w:pPr>
            <w:r>
              <w:rPr>
                <w:rFonts w:ascii="Arial" w:cs="Arial" w:eastAsia="Arial" w:hAnsi="Arial"/>
                <w:sz w:val="11"/>
                <w:szCs w:val="11"/>
                <w:color w:val="auto"/>
              </w:rPr>
              <w:t>2,407</w:t>
            </w:r>
            <w:r>
              <w:rPr>
                <w:rFonts w:ascii="Arial" w:cs="Arial" w:eastAsia="Arial" w:hAnsi="Arial"/>
                <w:sz w:val="18"/>
                <w:szCs w:val="18"/>
                <w:color w:val="auto"/>
                <w:vertAlign w:val="superscript"/>
              </w:rPr>
              <w:t>11</w:t>
            </w: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532,043</w:t>
            </w:r>
          </w:p>
        </w:tc>
        <w:tc>
          <w:tcPr>
            <w:tcW w:w="0" w:type="dxa"/>
            <w:vAlign w:val="bottom"/>
          </w:tcPr>
          <w:p>
            <w:pPr>
              <w:spacing w:after="0"/>
              <w:rPr>
                <w:sz w:val="1"/>
                <w:szCs w:val="1"/>
                <w:color w:val="auto"/>
              </w:rPr>
            </w:pPr>
          </w:p>
        </w:tc>
      </w:tr>
      <w:tr>
        <w:trPr>
          <w:trHeight w:val="162"/>
        </w:trPr>
        <w:tc>
          <w:tcPr>
            <w:tcW w:w="3240" w:type="dxa"/>
            <w:vAlign w:val="bottom"/>
            <w:tcBorders>
              <w:right w:val="single" w:sz="8" w:color="007CBA"/>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right w:val="single" w:sz="8" w:color="007CBA"/>
            </w:tcBorders>
          </w:tcPr>
          <w:p>
            <w:pPr>
              <w:spacing w:after="0"/>
              <w:rPr>
                <w:sz w:val="14"/>
                <w:szCs w:val="14"/>
                <w:color w:val="auto"/>
              </w:rPr>
            </w:pPr>
          </w:p>
        </w:tc>
        <w:tc>
          <w:tcPr>
            <w:tcW w:w="1140" w:type="dxa"/>
            <w:vAlign w:val="bottom"/>
            <w:tcBorders>
              <w:right w:val="single" w:sz="8" w:color="007CBA"/>
            </w:tcBorders>
          </w:tcPr>
          <w:p>
            <w:pPr>
              <w:spacing w:after="0"/>
              <w:rPr>
                <w:sz w:val="14"/>
                <w:szCs w:val="14"/>
                <w:color w:val="auto"/>
              </w:rPr>
            </w:pPr>
          </w:p>
        </w:tc>
        <w:tc>
          <w:tcPr>
            <w:tcW w:w="740" w:type="dxa"/>
            <w:vAlign w:val="bottom"/>
            <w:tcBorders>
              <w:right w:val="single" w:sz="8" w:color="007CBA"/>
            </w:tcBorders>
          </w:tcPr>
          <w:p>
            <w:pPr>
              <w:spacing w:after="0"/>
              <w:rPr>
                <w:sz w:val="14"/>
                <w:szCs w:val="14"/>
                <w:color w:val="auto"/>
              </w:rPr>
            </w:pPr>
          </w:p>
        </w:tc>
        <w:tc>
          <w:tcPr>
            <w:tcW w:w="880" w:type="dxa"/>
            <w:vAlign w:val="bottom"/>
            <w:tcBorders>
              <w:right w:val="single" w:sz="8" w:color="007CBA"/>
            </w:tcBorders>
          </w:tcPr>
          <w:p>
            <w:pPr>
              <w:spacing w:after="0"/>
              <w:rPr>
                <w:sz w:val="14"/>
                <w:szCs w:val="14"/>
                <w:color w:val="auto"/>
              </w:rPr>
            </w:pPr>
          </w:p>
        </w:tc>
        <w:tc>
          <w:tcPr>
            <w:tcW w:w="1000" w:type="dxa"/>
            <w:vAlign w:val="bottom"/>
            <w:tcBorders>
              <w:right w:val="single" w:sz="8" w:color="007CBA"/>
            </w:tcBorders>
          </w:tcPr>
          <w:p>
            <w:pPr>
              <w:jc w:val="right"/>
              <w:ind w:right="100"/>
              <w:spacing w:after="0" w:line="162" w:lineRule="exact"/>
              <w:rPr>
                <w:sz w:val="20"/>
                <w:szCs w:val="20"/>
                <w:color w:val="auto"/>
              </w:rPr>
            </w:pPr>
            <w:r>
              <w:rPr>
                <w:rFonts w:ascii="Arial" w:cs="Arial" w:eastAsia="Arial" w:hAnsi="Arial"/>
                <w:sz w:val="11"/>
                <w:szCs w:val="11"/>
                <w:color w:val="auto"/>
              </w:rPr>
              <w:t>802</w:t>
            </w:r>
            <w:r>
              <w:rPr>
                <w:rFonts w:ascii="Arial" w:cs="Arial" w:eastAsia="Arial" w:hAnsi="Arial"/>
                <w:sz w:val="18"/>
                <w:szCs w:val="18"/>
                <w:color w:val="auto"/>
                <w:vertAlign w:val="superscript"/>
              </w:rPr>
              <w:t>6</w:t>
            </w:r>
          </w:p>
        </w:tc>
        <w:tc>
          <w:tcPr>
            <w:tcW w:w="960" w:type="dxa"/>
            <w:vAlign w:val="bottom"/>
            <w:tcBorders>
              <w:right w:val="single" w:sz="8" w:color="007CBA"/>
            </w:tcBorders>
          </w:tcPr>
          <w:p>
            <w:pPr>
              <w:jc w:val="right"/>
              <w:ind w:right="69"/>
              <w:spacing w:after="0"/>
              <w:rPr>
                <w:sz w:val="20"/>
                <w:szCs w:val="20"/>
                <w:color w:val="auto"/>
              </w:rPr>
            </w:pPr>
            <w:r>
              <w:rPr>
                <w:rFonts w:ascii="Arial" w:cs="Arial" w:eastAsia="Arial" w:hAnsi="Arial"/>
                <w:sz w:val="14"/>
                <w:szCs w:val="14"/>
                <w:color w:val="auto"/>
              </w:rPr>
              <w:t>177,274</w:t>
            </w:r>
          </w:p>
        </w:tc>
        <w:tc>
          <w:tcPr>
            <w:tcW w:w="1200" w:type="dxa"/>
            <w:vAlign w:val="bottom"/>
            <w:tcBorders>
              <w:right w:val="single" w:sz="8" w:color="007CBA"/>
            </w:tcBorders>
          </w:tcPr>
          <w:p>
            <w:pPr>
              <w:ind w:left="620"/>
              <w:spacing w:after="0" w:line="162" w:lineRule="exact"/>
              <w:rPr>
                <w:sz w:val="20"/>
                <w:szCs w:val="20"/>
                <w:color w:val="auto"/>
              </w:rPr>
            </w:pPr>
            <w:r>
              <w:rPr>
                <w:rFonts w:ascii="Arial" w:cs="Arial" w:eastAsia="Arial" w:hAnsi="Arial"/>
                <w:sz w:val="11"/>
                <w:szCs w:val="11"/>
                <w:color w:val="auto"/>
              </w:rPr>
              <w:t>2,210</w:t>
            </w:r>
            <w:r>
              <w:rPr>
                <w:rFonts w:ascii="Arial" w:cs="Arial" w:eastAsia="Arial" w:hAnsi="Arial"/>
                <w:sz w:val="18"/>
                <w:szCs w:val="18"/>
                <w:color w:val="auto"/>
                <w:vertAlign w:val="superscript"/>
              </w:rPr>
              <w:t>12</w:t>
            </w: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488,498</w:t>
            </w:r>
          </w:p>
        </w:tc>
        <w:tc>
          <w:tcPr>
            <w:tcW w:w="0" w:type="dxa"/>
            <w:vAlign w:val="bottom"/>
          </w:tcPr>
          <w:p>
            <w:pPr>
              <w:spacing w:after="0"/>
              <w:rPr>
                <w:sz w:val="1"/>
                <w:szCs w:val="1"/>
                <w:color w:val="auto"/>
              </w:rPr>
            </w:pPr>
          </w:p>
        </w:tc>
      </w:tr>
      <w:tr>
        <w:trPr>
          <w:trHeight w:val="162"/>
        </w:trPr>
        <w:tc>
          <w:tcPr>
            <w:tcW w:w="3240" w:type="dxa"/>
            <w:vAlign w:val="bottom"/>
            <w:tcBorders>
              <w:right w:val="single" w:sz="8" w:color="007CBA"/>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right w:val="single" w:sz="8" w:color="007CBA"/>
            </w:tcBorders>
          </w:tcPr>
          <w:p>
            <w:pPr>
              <w:spacing w:after="0"/>
              <w:rPr>
                <w:sz w:val="14"/>
                <w:szCs w:val="14"/>
                <w:color w:val="auto"/>
              </w:rPr>
            </w:pPr>
          </w:p>
        </w:tc>
        <w:tc>
          <w:tcPr>
            <w:tcW w:w="1140" w:type="dxa"/>
            <w:vAlign w:val="bottom"/>
            <w:tcBorders>
              <w:right w:val="single" w:sz="8" w:color="007CBA"/>
            </w:tcBorders>
          </w:tcPr>
          <w:p>
            <w:pPr>
              <w:spacing w:after="0"/>
              <w:rPr>
                <w:sz w:val="14"/>
                <w:szCs w:val="14"/>
                <w:color w:val="auto"/>
              </w:rPr>
            </w:pPr>
          </w:p>
        </w:tc>
        <w:tc>
          <w:tcPr>
            <w:tcW w:w="740" w:type="dxa"/>
            <w:vAlign w:val="bottom"/>
            <w:tcBorders>
              <w:right w:val="single" w:sz="8" w:color="007CBA"/>
            </w:tcBorders>
          </w:tcPr>
          <w:p>
            <w:pPr>
              <w:spacing w:after="0"/>
              <w:rPr>
                <w:sz w:val="14"/>
                <w:szCs w:val="14"/>
                <w:color w:val="auto"/>
              </w:rPr>
            </w:pPr>
          </w:p>
        </w:tc>
        <w:tc>
          <w:tcPr>
            <w:tcW w:w="880" w:type="dxa"/>
            <w:vAlign w:val="bottom"/>
            <w:tcBorders>
              <w:right w:val="single" w:sz="8" w:color="007CBA"/>
            </w:tcBorders>
          </w:tcPr>
          <w:p>
            <w:pPr>
              <w:spacing w:after="0"/>
              <w:rPr>
                <w:sz w:val="14"/>
                <w:szCs w:val="14"/>
                <w:color w:val="auto"/>
              </w:rPr>
            </w:pPr>
          </w:p>
        </w:tc>
        <w:tc>
          <w:tcPr>
            <w:tcW w:w="1000" w:type="dxa"/>
            <w:vAlign w:val="bottom"/>
            <w:tcBorders>
              <w:right w:val="single" w:sz="8" w:color="007CBA"/>
            </w:tcBorders>
          </w:tcPr>
          <w:p>
            <w:pPr>
              <w:jc w:val="right"/>
              <w:ind w:right="100"/>
              <w:spacing w:after="0" w:line="162" w:lineRule="exact"/>
              <w:rPr>
                <w:sz w:val="20"/>
                <w:szCs w:val="20"/>
                <w:color w:val="auto"/>
              </w:rPr>
            </w:pPr>
            <w:r>
              <w:rPr>
                <w:rFonts w:ascii="Arial" w:cs="Arial" w:eastAsia="Arial" w:hAnsi="Arial"/>
                <w:sz w:val="11"/>
                <w:szCs w:val="11"/>
                <w:color w:val="auto"/>
              </w:rPr>
              <w:t>1,833</w:t>
            </w:r>
            <w:r>
              <w:rPr>
                <w:rFonts w:ascii="Arial" w:cs="Arial" w:eastAsia="Arial" w:hAnsi="Arial"/>
                <w:sz w:val="18"/>
                <w:szCs w:val="18"/>
                <w:color w:val="auto"/>
                <w:vertAlign w:val="superscript"/>
              </w:rPr>
              <w:t>7</w:t>
            </w:r>
          </w:p>
        </w:tc>
        <w:tc>
          <w:tcPr>
            <w:tcW w:w="960" w:type="dxa"/>
            <w:vAlign w:val="bottom"/>
            <w:tcBorders>
              <w:right w:val="single" w:sz="8" w:color="007CBA"/>
            </w:tcBorders>
          </w:tcPr>
          <w:p>
            <w:pPr>
              <w:jc w:val="right"/>
              <w:ind w:right="69"/>
              <w:spacing w:after="0"/>
              <w:rPr>
                <w:sz w:val="20"/>
                <w:szCs w:val="20"/>
                <w:color w:val="auto"/>
              </w:rPr>
            </w:pPr>
            <w:r>
              <w:rPr>
                <w:rFonts w:ascii="Arial" w:cs="Arial" w:eastAsia="Arial" w:hAnsi="Arial"/>
                <w:sz w:val="14"/>
                <w:szCs w:val="14"/>
                <w:color w:val="auto"/>
              </w:rPr>
              <w:t>405,166</w:t>
            </w:r>
          </w:p>
        </w:tc>
        <w:tc>
          <w:tcPr>
            <w:tcW w:w="1200" w:type="dxa"/>
            <w:vAlign w:val="bottom"/>
            <w:tcBorders>
              <w:right w:val="single" w:sz="8" w:color="007CBA"/>
            </w:tcBorders>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40" w:type="dxa"/>
            <w:vAlign w:val="bottom"/>
            <w:tcBorders>
              <w:right w:val="single" w:sz="8" w:color="007CBA"/>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right w:val="single" w:sz="8" w:color="007CBA"/>
            </w:tcBorders>
          </w:tcPr>
          <w:p>
            <w:pPr>
              <w:spacing w:after="0"/>
              <w:rPr>
                <w:sz w:val="14"/>
                <w:szCs w:val="14"/>
                <w:color w:val="auto"/>
              </w:rPr>
            </w:pPr>
          </w:p>
        </w:tc>
        <w:tc>
          <w:tcPr>
            <w:tcW w:w="1140" w:type="dxa"/>
            <w:vAlign w:val="bottom"/>
            <w:tcBorders>
              <w:right w:val="single" w:sz="8" w:color="007CBA"/>
            </w:tcBorders>
          </w:tcPr>
          <w:p>
            <w:pPr>
              <w:spacing w:after="0"/>
              <w:rPr>
                <w:sz w:val="14"/>
                <w:szCs w:val="14"/>
                <w:color w:val="auto"/>
              </w:rPr>
            </w:pPr>
          </w:p>
        </w:tc>
        <w:tc>
          <w:tcPr>
            <w:tcW w:w="740" w:type="dxa"/>
            <w:vAlign w:val="bottom"/>
            <w:tcBorders>
              <w:right w:val="single" w:sz="8" w:color="007CBA"/>
            </w:tcBorders>
          </w:tcPr>
          <w:p>
            <w:pPr>
              <w:spacing w:after="0"/>
              <w:rPr>
                <w:sz w:val="14"/>
                <w:szCs w:val="14"/>
                <w:color w:val="auto"/>
              </w:rPr>
            </w:pPr>
          </w:p>
        </w:tc>
        <w:tc>
          <w:tcPr>
            <w:tcW w:w="880" w:type="dxa"/>
            <w:vAlign w:val="bottom"/>
            <w:tcBorders>
              <w:right w:val="single" w:sz="8" w:color="007CBA"/>
            </w:tcBorders>
          </w:tcPr>
          <w:p>
            <w:pPr>
              <w:spacing w:after="0"/>
              <w:rPr>
                <w:sz w:val="14"/>
                <w:szCs w:val="14"/>
                <w:color w:val="auto"/>
              </w:rPr>
            </w:pPr>
          </w:p>
        </w:tc>
        <w:tc>
          <w:tcPr>
            <w:tcW w:w="1000" w:type="dxa"/>
            <w:vAlign w:val="bottom"/>
            <w:tcBorders>
              <w:right w:val="single" w:sz="8" w:color="007CBA"/>
            </w:tcBorders>
          </w:tcPr>
          <w:p>
            <w:pPr>
              <w:jc w:val="right"/>
              <w:ind w:right="100"/>
              <w:spacing w:after="0" w:line="162" w:lineRule="exact"/>
              <w:rPr>
                <w:sz w:val="20"/>
                <w:szCs w:val="20"/>
                <w:color w:val="auto"/>
              </w:rPr>
            </w:pPr>
            <w:r>
              <w:rPr>
                <w:rFonts w:ascii="Arial" w:cs="Arial" w:eastAsia="Arial" w:hAnsi="Arial"/>
                <w:sz w:val="11"/>
                <w:szCs w:val="11"/>
                <w:color w:val="auto"/>
              </w:rPr>
              <w:t>680</w:t>
            </w:r>
            <w:r>
              <w:rPr>
                <w:rFonts w:ascii="Arial" w:cs="Arial" w:eastAsia="Arial" w:hAnsi="Arial"/>
                <w:sz w:val="18"/>
                <w:szCs w:val="18"/>
                <w:color w:val="auto"/>
                <w:vertAlign w:val="superscript"/>
              </w:rPr>
              <w:t>8</w:t>
            </w:r>
          </w:p>
        </w:tc>
        <w:tc>
          <w:tcPr>
            <w:tcW w:w="960" w:type="dxa"/>
            <w:vAlign w:val="bottom"/>
            <w:tcBorders>
              <w:right w:val="single" w:sz="8" w:color="007CBA"/>
            </w:tcBorders>
          </w:tcPr>
          <w:p>
            <w:pPr>
              <w:jc w:val="right"/>
              <w:ind w:right="69"/>
              <w:spacing w:after="0"/>
              <w:rPr>
                <w:sz w:val="20"/>
                <w:szCs w:val="20"/>
                <w:color w:val="auto"/>
              </w:rPr>
            </w:pPr>
            <w:r>
              <w:rPr>
                <w:rFonts w:ascii="Arial" w:cs="Arial" w:eastAsia="Arial" w:hAnsi="Arial"/>
                <w:sz w:val="14"/>
                <w:szCs w:val="14"/>
                <w:color w:val="auto"/>
              </w:rPr>
              <w:t>150,307</w:t>
            </w:r>
          </w:p>
        </w:tc>
        <w:tc>
          <w:tcPr>
            <w:tcW w:w="1200" w:type="dxa"/>
            <w:vAlign w:val="bottom"/>
            <w:tcBorders>
              <w:right w:val="single" w:sz="8" w:color="007CBA"/>
            </w:tcBorders>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240" w:type="dxa"/>
            <w:vAlign w:val="bottom"/>
            <w:tcBorders>
              <w:right w:val="single" w:sz="8" w:color="007CBA"/>
            </w:tcBorders>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Borders>
              <w:right w:val="single" w:sz="8" w:color="007CBA"/>
            </w:tcBorders>
          </w:tcPr>
          <w:p>
            <w:pPr>
              <w:spacing w:after="0"/>
              <w:rPr>
                <w:sz w:val="16"/>
                <w:szCs w:val="16"/>
                <w:color w:val="auto"/>
              </w:rPr>
            </w:pPr>
          </w:p>
        </w:tc>
        <w:tc>
          <w:tcPr>
            <w:tcW w:w="1140" w:type="dxa"/>
            <w:vAlign w:val="bottom"/>
            <w:tcBorders>
              <w:right w:val="single" w:sz="8" w:color="007CBA"/>
            </w:tcBorders>
          </w:tcPr>
          <w:p>
            <w:pPr>
              <w:spacing w:after="0"/>
              <w:rPr>
                <w:sz w:val="16"/>
                <w:szCs w:val="16"/>
                <w:color w:val="auto"/>
              </w:rPr>
            </w:pPr>
          </w:p>
        </w:tc>
        <w:tc>
          <w:tcPr>
            <w:tcW w:w="740" w:type="dxa"/>
            <w:vAlign w:val="bottom"/>
            <w:tcBorders>
              <w:right w:val="single" w:sz="8" w:color="007CBA"/>
            </w:tcBorders>
          </w:tcPr>
          <w:p>
            <w:pPr>
              <w:spacing w:after="0"/>
              <w:rPr>
                <w:sz w:val="16"/>
                <w:szCs w:val="16"/>
                <w:color w:val="auto"/>
              </w:rPr>
            </w:pPr>
          </w:p>
        </w:tc>
        <w:tc>
          <w:tcPr>
            <w:tcW w:w="880" w:type="dxa"/>
            <w:vAlign w:val="bottom"/>
            <w:tcBorders>
              <w:right w:val="single" w:sz="8" w:color="007CBA"/>
            </w:tcBorders>
          </w:tcPr>
          <w:p>
            <w:pPr>
              <w:spacing w:after="0"/>
              <w:rPr>
                <w:sz w:val="16"/>
                <w:szCs w:val="16"/>
                <w:color w:val="auto"/>
              </w:rPr>
            </w:pPr>
          </w:p>
        </w:tc>
        <w:tc>
          <w:tcPr>
            <w:tcW w:w="1000" w:type="dxa"/>
            <w:vAlign w:val="bottom"/>
            <w:tcBorders>
              <w:right w:val="single" w:sz="8" w:color="007CBA"/>
            </w:tcBorders>
          </w:tcPr>
          <w:p>
            <w:pPr>
              <w:jc w:val="right"/>
              <w:ind w:right="100"/>
              <w:spacing w:after="0" w:line="194" w:lineRule="exact"/>
              <w:rPr>
                <w:sz w:val="20"/>
                <w:szCs w:val="20"/>
                <w:color w:val="auto"/>
              </w:rPr>
            </w:pPr>
            <w:r>
              <w:rPr>
                <w:rFonts w:ascii="Arial" w:cs="Arial" w:eastAsia="Arial" w:hAnsi="Arial"/>
                <w:sz w:val="13"/>
                <w:szCs w:val="13"/>
                <w:color w:val="auto"/>
              </w:rPr>
              <w:t>568</w:t>
            </w:r>
            <w:r>
              <w:rPr>
                <w:rFonts w:ascii="Arial" w:cs="Arial" w:eastAsia="Arial" w:hAnsi="Arial"/>
                <w:sz w:val="22"/>
                <w:szCs w:val="22"/>
                <w:color w:val="auto"/>
                <w:vertAlign w:val="superscript"/>
              </w:rPr>
              <w:t>9</w:t>
            </w:r>
          </w:p>
        </w:tc>
        <w:tc>
          <w:tcPr>
            <w:tcW w:w="960" w:type="dxa"/>
            <w:vAlign w:val="bottom"/>
            <w:tcBorders>
              <w:right w:val="single" w:sz="8" w:color="007CBA"/>
            </w:tcBorders>
          </w:tcPr>
          <w:p>
            <w:pPr>
              <w:jc w:val="right"/>
              <w:ind w:right="69"/>
              <w:spacing w:after="0"/>
              <w:rPr>
                <w:sz w:val="20"/>
                <w:szCs w:val="20"/>
                <w:color w:val="auto"/>
              </w:rPr>
            </w:pPr>
            <w:r>
              <w:rPr>
                <w:rFonts w:ascii="Arial" w:cs="Arial" w:eastAsia="Arial" w:hAnsi="Arial"/>
                <w:sz w:val="14"/>
                <w:szCs w:val="14"/>
                <w:color w:val="auto"/>
              </w:rPr>
              <w:t>125,551</w:t>
            </w:r>
          </w:p>
        </w:tc>
        <w:tc>
          <w:tcPr>
            <w:tcW w:w="1200" w:type="dxa"/>
            <w:vAlign w:val="bottom"/>
            <w:tcBorders>
              <w:right w:val="single" w:sz="8" w:color="007CBA"/>
            </w:tcBorders>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3240" w:type="dxa"/>
            <w:vAlign w:val="bottom"/>
            <w:tcBorders>
              <w:right w:val="single" w:sz="8" w:color="007CBA"/>
            </w:tcBorders>
            <w:shd w:val="clear" w:color="auto" w:fill="E5F1F8"/>
          </w:tcPr>
          <w:p>
            <w:pPr>
              <w:ind w:left="60"/>
              <w:spacing w:after="0" w:line="143" w:lineRule="exact"/>
              <w:rPr>
                <w:sz w:val="20"/>
                <w:szCs w:val="20"/>
                <w:color w:val="auto"/>
              </w:rPr>
            </w:pPr>
            <w:r>
              <w:rPr>
                <w:rFonts w:ascii="Arial" w:cs="Arial" w:eastAsia="Arial" w:hAnsi="Arial"/>
                <w:sz w:val="14"/>
                <w:szCs w:val="14"/>
                <w:i w:val="1"/>
                <w:iCs w:val="1"/>
                <w:color w:val="auto"/>
              </w:rPr>
              <w:t>Former Executive Officer:</w:t>
            </w:r>
          </w:p>
        </w:tc>
        <w:tc>
          <w:tcPr>
            <w:tcW w:w="1000" w:type="dxa"/>
            <w:vAlign w:val="bottom"/>
            <w:tcBorders>
              <w:right w:val="single" w:sz="8" w:color="007CBA"/>
            </w:tcBorders>
            <w:gridSpan w:val="2"/>
            <w:shd w:val="clear" w:color="auto" w:fill="E5F1F8"/>
          </w:tcPr>
          <w:p>
            <w:pPr>
              <w:jc w:val="right"/>
              <w:ind w:right="52"/>
              <w:spacing w:after="0" w:line="143" w:lineRule="exact"/>
              <w:rPr>
                <w:sz w:val="20"/>
                <w:szCs w:val="20"/>
                <w:color w:val="auto"/>
              </w:rPr>
            </w:pPr>
            <w:r>
              <w:rPr>
                <w:rFonts w:ascii="Arial" w:cs="Arial" w:eastAsia="Arial" w:hAnsi="Arial"/>
                <w:sz w:val="14"/>
                <w:szCs w:val="14"/>
                <w:color w:val="auto"/>
              </w:rPr>
              <w:t>0</w:t>
            </w:r>
          </w:p>
        </w:tc>
        <w:tc>
          <w:tcPr>
            <w:tcW w:w="1140" w:type="dxa"/>
            <w:vAlign w:val="bottom"/>
            <w:tcBorders>
              <w:right w:val="single" w:sz="8" w:color="007CBA"/>
            </w:tcBorders>
            <w:shd w:val="clear" w:color="auto" w:fill="E5F1F8"/>
          </w:tcPr>
          <w:p>
            <w:pPr>
              <w:jc w:val="right"/>
              <w:ind w:right="14"/>
              <w:spacing w:after="0" w:line="144" w:lineRule="exact"/>
              <w:rPr>
                <w:sz w:val="20"/>
                <w:szCs w:val="20"/>
                <w:color w:val="auto"/>
              </w:rPr>
            </w:pPr>
            <w:r>
              <w:rPr>
                <w:rFonts w:ascii="Arial" w:cs="Arial" w:eastAsia="Arial" w:hAnsi="Arial"/>
                <w:sz w:val="10"/>
                <w:szCs w:val="10"/>
                <w:color w:val="auto"/>
              </w:rPr>
              <w:t>1,151</w:t>
            </w:r>
            <w:r>
              <w:rPr>
                <w:rFonts w:ascii="Arial" w:cs="Arial" w:eastAsia="Arial" w:hAnsi="Arial"/>
                <w:sz w:val="16"/>
                <w:szCs w:val="16"/>
                <w:color w:val="auto"/>
                <w:vertAlign w:val="superscript"/>
              </w:rPr>
              <w:t>2</w:t>
            </w:r>
          </w:p>
        </w:tc>
        <w:tc>
          <w:tcPr>
            <w:tcW w:w="740" w:type="dxa"/>
            <w:vAlign w:val="bottom"/>
            <w:tcBorders>
              <w:right w:val="single" w:sz="8" w:color="007CBA"/>
            </w:tcBorders>
            <w:shd w:val="clear" w:color="auto" w:fill="E5F1F8"/>
          </w:tcPr>
          <w:p>
            <w:pPr>
              <w:jc w:val="right"/>
              <w:ind w:right="49"/>
              <w:spacing w:after="0" w:line="143" w:lineRule="exact"/>
              <w:rPr>
                <w:sz w:val="20"/>
                <w:szCs w:val="20"/>
                <w:color w:val="auto"/>
              </w:rPr>
            </w:pPr>
            <w:r>
              <w:rPr>
                <w:rFonts w:ascii="Arial" w:cs="Arial" w:eastAsia="Arial" w:hAnsi="Arial"/>
                <w:sz w:val="14"/>
                <w:szCs w:val="14"/>
                <w:color w:val="auto"/>
              </w:rPr>
              <w:t>121.00</w:t>
            </w:r>
          </w:p>
        </w:tc>
        <w:tc>
          <w:tcPr>
            <w:tcW w:w="880" w:type="dxa"/>
            <w:vAlign w:val="bottom"/>
            <w:tcBorders>
              <w:right w:val="single" w:sz="8" w:color="007CBA"/>
            </w:tcBorders>
            <w:shd w:val="clear" w:color="auto" w:fill="E5F1F8"/>
          </w:tcPr>
          <w:p>
            <w:pPr>
              <w:jc w:val="right"/>
              <w:ind w:right="49"/>
              <w:spacing w:after="0" w:line="143" w:lineRule="exact"/>
              <w:rPr>
                <w:sz w:val="20"/>
                <w:szCs w:val="20"/>
                <w:color w:val="auto"/>
              </w:rPr>
            </w:pPr>
            <w:r>
              <w:rPr>
                <w:rFonts w:ascii="Arial" w:cs="Arial" w:eastAsia="Arial" w:hAnsi="Arial"/>
                <w:sz w:val="14"/>
                <w:szCs w:val="14"/>
                <w:color w:val="auto"/>
              </w:rPr>
              <w:t>5/22/2024</w:t>
            </w:r>
          </w:p>
        </w:tc>
        <w:tc>
          <w:tcPr>
            <w:tcW w:w="1000" w:type="dxa"/>
            <w:vAlign w:val="bottom"/>
            <w:tcBorders>
              <w:right w:val="single" w:sz="8" w:color="007CBA"/>
            </w:tcBorders>
            <w:shd w:val="clear" w:color="auto" w:fill="E5F1F8"/>
          </w:tcPr>
          <w:p>
            <w:pPr>
              <w:jc w:val="right"/>
              <w:ind w:right="100"/>
              <w:spacing w:after="0" w:line="144" w:lineRule="exact"/>
              <w:rPr>
                <w:sz w:val="20"/>
                <w:szCs w:val="20"/>
                <w:color w:val="auto"/>
              </w:rPr>
            </w:pPr>
            <w:r>
              <w:rPr>
                <w:rFonts w:ascii="Arial" w:cs="Arial" w:eastAsia="Arial" w:hAnsi="Arial"/>
                <w:sz w:val="10"/>
                <w:szCs w:val="10"/>
                <w:color w:val="auto"/>
              </w:rPr>
              <w:t>11,878</w:t>
            </w:r>
            <w:r>
              <w:rPr>
                <w:rFonts w:ascii="Arial" w:cs="Arial" w:eastAsia="Arial" w:hAnsi="Arial"/>
                <w:sz w:val="16"/>
                <w:szCs w:val="16"/>
                <w:color w:val="auto"/>
                <w:vertAlign w:val="superscript"/>
              </w:rPr>
              <w:t>4</w:t>
            </w:r>
          </w:p>
        </w:tc>
        <w:tc>
          <w:tcPr>
            <w:tcW w:w="960" w:type="dxa"/>
            <w:vAlign w:val="bottom"/>
            <w:tcBorders>
              <w:right w:val="single" w:sz="8" w:color="007CBA"/>
            </w:tcBorders>
            <w:shd w:val="clear" w:color="auto" w:fill="E5F1F8"/>
          </w:tcPr>
          <w:p>
            <w:pPr>
              <w:jc w:val="right"/>
              <w:ind w:right="69"/>
              <w:spacing w:after="0" w:line="143" w:lineRule="exact"/>
              <w:rPr>
                <w:sz w:val="20"/>
                <w:szCs w:val="20"/>
                <w:color w:val="auto"/>
              </w:rPr>
            </w:pPr>
            <w:r>
              <w:rPr>
                <w:rFonts w:ascii="Arial" w:cs="Arial" w:eastAsia="Arial" w:hAnsi="Arial"/>
                <w:sz w:val="14"/>
                <w:szCs w:val="14"/>
                <w:color w:val="auto"/>
              </w:rPr>
              <w:t>2,625,513</w:t>
            </w:r>
          </w:p>
        </w:tc>
        <w:tc>
          <w:tcPr>
            <w:tcW w:w="1200" w:type="dxa"/>
            <w:vAlign w:val="bottom"/>
            <w:tcBorders>
              <w:right w:val="single" w:sz="8" w:color="007CBA"/>
            </w:tcBorders>
            <w:shd w:val="clear" w:color="auto" w:fill="E5F1F8"/>
          </w:tcPr>
          <w:p>
            <w:pPr>
              <w:ind w:left="620"/>
              <w:spacing w:after="0" w:line="144" w:lineRule="exact"/>
              <w:rPr>
                <w:sz w:val="20"/>
                <w:szCs w:val="20"/>
                <w:color w:val="auto"/>
              </w:rPr>
            </w:pPr>
            <w:r>
              <w:rPr>
                <w:rFonts w:ascii="Arial" w:cs="Arial" w:eastAsia="Arial" w:hAnsi="Arial"/>
                <w:sz w:val="10"/>
                <w:szCs w:val="10"/>
                <w:color w:val="auto"/>
              </w:rPr>
              <w:t>1,941</w:t>
            </w:r>
            <w:r>
              <w:rPr>
                <w:rFonts w:ascii="Arial" w:cs="Arial" w:eastAsia="Arial" w:hAnsi="Arial"/>
                <w:sz w:val="16"/>
                <w:szCs w:val="16"/>
                <w:color w:val="auto"/>
                <w:vertAlign w:val="superscript"/>
              </w:rPr>
              <w:t>10</w:t>
            </w:r>
          </w:p>
        </w:tc>
        <w:tc>
          <w:tcPr>
            <w:tcW w:w="860" w:type="dxa"/>
            <w:vAlign w:val="bottom"/>
            <w:shd w:val="clear" w:color="auto" w:fill="E5F1F8"/>
          </w:tcPr>
          <w:p>
            <w:pPr>
              <w:jc w:val="right"/>
              <w:ind w:right="50"/>
              <w:spacing w:after="0" w:line="143" w:lineRule="exact"/>
              <w:rPr>
                <w:sz w:val="20"/>
                <w:szCs w:val="20"/>
                <w:color w:val="auto"/>
              </w:rPr>
            </w:pPr>
            <w:r>
              <w:rPr>
                <w:rFonts w:ascii="Arial" w:cs="Arial" w:eastAsia="Arial" w:hAnsi="Arial"/>
                <w:sz w:val="14"/>
                <w:szCs w:val="14"/>
                <w:color w:val="auto"/>
              </w:rPr>
              <w:t>429,039</w:t>
            </w:r>
          </w:p>
        </w:tc>
        <w:tc>
          <w:tcPr>
            <w:tcW w:w="0" w:type="dxa"/>
            <w:vAlign w:val="bottom"/>
          </w:tcPr>
          <w:p>
            <w:pPr>
              <w:spacing w:after="0"/>
              <w:rPr>
                <w:sz w:val="1"/>
                <w:szCs w:val="1"/>
                <w:color w:val="auto"/>
              </w:rPr>
            </w:pPr>
          </w:p>
        </w:tc>
      </w:tr>
      <w:tr>
        <w:trPr>
          <w:trHeight w:val="162"/>
        </w:trPr>
        <w:tc>
          <w:tcPr>
            <w:tcW w:w="324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b w:val="1"/>
                <w:bCs w:val="1"/>
                <w:color w:val="auto"/>
              </w:rPr>
              <w:t>Anne H. Lloyd</w:t>
            </w:r>
          </w:p>
        </w:tc>
        <w:tc>
          <w:tcPr>
            <w:tcW w:w="1000" w:type="dxa"/>
            <w:vAlign w:val="bottom"/>
            <w:tcBorders>
              <w:right w:val="single" w:sz="8" w:color="007CBA"/>
            </w:tcBorders>
            <w:gridSpan w:val="2"/>
            <w:shd w:val="clear" w:color="auto" w:fill="E5F1F8"/>
          </w:tcPr>
          <w:p>
            <w:pPr>
              <w:jc w:val="right"/>
              <w:ind w:right="52"/>
              <w:spacing w:after="0"/>
              <w:rPr>
                <w:sz w:val="20"/>
                <w:szCs w:val="20"/>
                <w:color w:val="auto"/>
              </w:rPr>
            </w:pPr>
            <w:r>
              <w:rPr>
                <w:rFonts w:ascii="Arial" w:cs="Arial" w:eastAsia="Arial" w:hAnsi="Arial"/>
                <w:sz w:val="14"/>
                <w:szCs w:val="14"/>
                <w:color w:val="auto"/>
              </w:rPr>
              <w:t>0</w:t>
            </w:r>
          </w:p>
        </w:tc>
        <w:tc>
          <w:tcPr>
            <w:tcW w:w="1140" w:type="dxa"/>
            <w:vAlign w:val="bottom"/>
            <w:tcBorders>
              <w:right w:val="single" w:sz="8" w:color="007CBA"/>
            </w:tcBorders>
            <w:shd w:val="clear" w:color="auto" w:fill="E5F1F8"/>
          </w:tcPr>
          <w:p>
            <w:pPr>
              <w:jc w:val="right"/>
              <w:ind w:right="14"/>
              <w:spacing w:after="0" w:line="162" w:lineRule="exact"/>
              <w:rPr>
                <w:sz w:val="20"/>
                <w:szCs w:val="20"/>
                <w:color w:val="auto"/>
              </w:rPr>
            </w:pPr>
            <w:r>
              <w:rPr>
                <w:rFonts w:ascii="Arial" w:cs="Arial" w:eastAsia="Arial" w:hAnsi="Arial"/>
                <w:sz w:val="11"/>
                <w:szCs w:val="11"/>
                <w:color w:val="auto"/>
              </w:rPr>
              <w:t>2,023</w:t>
            </w:r>
            <w:r>
              <w:rPr>
                <w:rFonts w:ascii="Arial" w:cs="Arial" w:eastAsia="Arial" w:hAnsi="Arial"/>
                <w:sz w:val="18"/>
                <w:szCs w:val="18"/>
                <w:color w:val="auto"/>
                <w:vertAlign w:val="superscript"/>
              </w:rPr>
              <w:t>3</w:t>
            </w:r>
          </w:p>
        </w:tc>
        <w:tc>
          <w:tcPr>
            <w:tcW w:w="74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154.58</w:t>
            </w:r>
          </w:p>
        </w:tc>
        <w:tc>
          <w:tcPr>
            <w:tcW w:w="88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5/21/2025</w:t>
            </w:r>
          </w:p>
        </w:tc>
        <w:tc>
          <w:tcPr>
            <w:tcW w:w="1000" w:type="dxa"/>
            <w:vAlign w:val="bottom"/>
            <w:tcBorders>
              <w:right w:val="single" w:sz="8" w:color="007CBA"/>
            </w:tcBorders>
            <w:shd w:val="clear" w:color="auto" w:fill="E5F1F8"/>
          </w:tcPr>
          <w:p>
            <w:pPr>
              <w:jc w:val="right"/>
              <w:ind w:right="100"/>
              <w:spacing w:after="0" w:line="162" w:lineRule="exact"/>
              <w:rPr>
                <w:sz w:val="20"/>
                <w:szCs w:val="20"/>
                <w:color w:val="auto"/>
              </w:rPr>
            </w:pPr>
            <w:r>
              <w:rPr>
                <w:rFonts w:ascii="Arial" w:cs="Arial" w:eastAsia="Arial" w:hAnsi="Arial"/>
                <w:sz w:val="11"/>
                <w:szCs w:val="11"/>
                <w:color w:val="auto"/>
              </w:rPr>
              <w:t>2,025</w:t>
            </w:r>
            <w:r>
              <w:rPr>
                <w:rFonts w:ascii="Arial" w:cs="Arial" w:eastAsia="Arial" w:hAnsi="Arial"/>
                <w:sz w:val="18"/>
                <w:szCs w:val="18"/>
                <w:color w:val="auto"/>
                <w:vertAlign w:val="superscript"/>
              </w:rPr>
              <w:t>5</w:t>
            </w:r>
          </w:p>
        </w:tc>
        <w:tc>
          <w:tcPr>
            <w:tcW w:w="960" w:type="dxa"/>
            <w:vAlign w:val="bottom"/>
            <w:tcBorders>
              <w:right w:val="single" w:sz="8" w:color="007CBA"/>
            </w:tcBorders>
            <w:shd w:val="clear" w:color="auto" w:fill="E5F1F8"/>
          </w:tcPr>
          <w:p>
            <w:pPr>
              <w:jc w:val="right"/>
              <w:ind w:right="69"/>
              <w:spacing w:after="0"/>
              <w:rPr>
                <w:sz w:val="20"/>
                <w:szCs w:val="20"/>
                <w:color w:val="auto"/>
              </w:rPr>
            </w:pPr>
            <w:r>
              <w:rPr>
                <w:rFonts w:ascii="Arial" w:cs="Arial" w:eastAsia="Arial" w:hAnsi="Arial"/>
                <w:sz w:val="14"/>
                <w:szCs w:val="14"/>
                <w:color w:val="auto"/>
              </w:rPr>
              <w:t>447,606</w:t>
            </w:r>
          </w:p>
        </w:tc>
        <w:tc>
          <w:tcPr>
            <w:tcW w:w="1200" w:type="dxa"/>
            <w:vAlign w:val="bottom"/>
            <w:tcBorders>
              <w:right w:val="single" w:sz="8" w:color="007CBA"/>
            </w:tcBorders>
            <w:shd w:val="clear" w:color="auto" w:fill="E5F1F8"/>
          </w:tcPr>
          <w:p>
            <w:pPr>
              <w:ind w:left="620"/>
              <w:spacing w:after="0" w:line="162" w:lineRule="exact"/>
              <w:rPr>
                <w:sz w:val="20"/>
                <w:szCs w:val="20"/>
                <w:color w:val="auto"/>
              </w:rPr>
            </w:pPr>
            <w:r>
              <w:rPr>
                <w:rFonts w:ascii="Arial" w:cs="Arial" w:eastAsia="Arial" w:hAnsi="Arial"/>
                <w:sz w:val="11"/>
                <w:szCs w:val="11"/>
                <w:color w:val="auto"/>
              </w:rPr>
              <w:t>5,017</w:t>
            </w:r>
            <w:r>
              <w:rPr>
                <w:rFonts w:ascii="Arial" w:cs="Arial" w:eastAsia="Arial" w:hAnsi="Arial"/>
                <w:sz w:val="18"/>
                <w:szCs w:val="18"/>
                <w:color w:val="auto"/>
                <w:vertAlign w:val="superscript"/>
              </w:rPr>
              <w:t>11</w:t>
            </w:r>
          </w:p>
        </w:tc>
        <w:tc>
          <w:tcPr>
            <w:tcW w:w="860" w:type="dxa"/>
            <w:vAlign w:val="bottom"/>
            <w:shd w:val="clear" w:color="auto" w:fill="E5F1F8"/>
          </w:tcPr>
          <w:p>
            <w:pPr>
              <w:jc w:val="right"/>
              <w:ind w:right="50"/>
              <w:spacing w:after="0"/>
              <w:rPr>
                <w:sz w:val="20"/>
                <w:szCs w:val="20"/>
                <w:color w:val="auto"/>
              </w:rPr>
            </w:pPr>
            <w:r>
              <w:rPr>
                <w:rFonts w:ascii="Arial" w:cs="Arial" w:eastAsia="Arial" w:hAnsi="Arial"/>
                <w:sz w:val="14"/>
                <w:szCs w:val="14"/>
                <w:color w:val="auto"/>
              </w:rPr>
              <w:t>1,108,958</w:t>
            </w:r>
          </w:p>
        </w:tc>
        <w:tc>
          <w:tcPr>
            <w:tcW w:w="0" w:type="dxa"/>
            <w:vAlign w:val="bottom"/>
          </w:tcPr>
          <w:p>
            <w:pPr>
              <w:spacing w:after="0"/>
              <w:rPr>
                <w:sz w:val="1"/>
                <w:szCs w:val="1"/>
                <w:color w:val="auto"/>
              </w:rPr>
            </w:pPr>
          </w:p>
        </w:tc>
      </w:tr>
      <w:tr>
        <w:trPr>
          <w:trHeight w:val="162"/>
        </w:trPr>
        <w:tc>
          <w:tcPr>
            <w:tcW w:w="3240" w:type="dxa"/>
            <w:vAlign w:val="bottom"/>
            <w:tcBorders>
              <w:right w:val="single" w:sz="8" w:color="007CBA"/>
            </w:tcBorders>
            <w:shd w:val="clear" w:color="auto" w:fill="E5F1F8"/>
          </w:tcPr>
          <w:p>
            <w:pPr>
              <w:spacing w:after="0"/>
              <w:rPr>
                <w:sz w:val="14"/>
                <w:szCs w:val="14"/>
                <w:color w:val="auto"/>
              </w:rPr>
            </w:pPr>
          </w:p>
        </w:tc>
        <w:tc>
          <w:tcPr>
            <w:tcW w:w="80" w:type="dxa"/>
            <w:vAlign w:val="bottom"/>
            <w:shd w:val="clear" w:color="auto" w:fill="E5F1F8"/>
          </w:tcPr>
          <w:p>
            <w:pPr>
              <w:spacing w:after="0"/>
              <w:rPr>
                <w:sz w:val="14"/>
                <w:szCs w:val="14"/>
                <w:color w:val="auto"/>
              </w:rPr>
            </w:pPr>
          </w:p>
        </w:tc>
        <w:tc>
          <w:tcPr>
            <w:tcW w:w="920" w:type="dxa"/>
            <w:vAlign w:val="bottom"/>
            <w:tcBorders>
              <w:right w:val="single" w:sz="8" w:color="007CBA"/>
            </w:tcBorders>
            <w:shd w:val="clear" w:color="auto" w:fill="E5F1F8"/>
          </w:tcPr>
          <w:p>
            <w:pPr>
              <w:spacing w:after="0"/>
              <w:rPr>
                <w:sz w:val="14"/>
                <w:szCs w:val="14"/>
                <w:color w:val="auto"/>
              </w:rPr>
            </w:pPr>
          </w:p>
        </w:tc>
        <w:tc>
          <w:tcPr>
            <w:tcW w:w="1140" w:type="dxa"/>
            <w:vAlign w:val="bottom"/>
            <w:tcBorders>
              <w:right w:val="single" w:sz="8" w:color="007CBA"/>
            </w:tcBorders>
            <w:shd w:val="clear" w:color="auto" w:fill="E5F1F8"/>
          </w:tcPr>
          <w:p>
            <w:pPr>
              <w:spacing w:after="0"/>
              <w:rPr>
                <w:sz w:val="14"/>
                <w:szCs w:val="14"/>
                <w:color w:val="auto"/>
              </w:rPr>
            </w:pPr>
          </w:p>
        </w:tc>
        <w:tc>
          <w:tcPr>
            <w:tcW w:w="740" w:type="dxa"/>
            <w:vAlign w:val="bottom"/>
            <w:tcBorders>
              <w:right w:val="single" w:sz="8" w:color="007CBA"/>
            </w:tcBorders>
            <w:shd w:val="clear" w:color="auto" w:fill="E5F1F8"/>
          </w:tcPr>
          <w:p>
            <w:pPr>
              <w:spacing w:after="0"/>
              <w:rPr>
                <w:sz w:val="14"/>
                <w:szCs w:val="14"/>
                <w:color w:val="auto"/>
              </w:rPr>
            </w:pPr>
          </w:p>
        </w:tc>
        <w:tc>
          <w:tcPr>
            <w:tcW w:w="880" w:type="dxa"/>
            <w:vAlign w:val="bottom"/>
            <w:tcBorders>
              <w:right w:val="single" w:sz="8" w:color="007CBA"/>
            </w:tcBorders>
            <w:shd w:val="clear" w:color="auto" w:fill="E5F1F8"/>
          </w:tcPr>
          <w:p>
            <w:pPr>
              <w:spacing w:after="0"/>
              <w:rPr>
                <w:sz w:val="14"/>
                <w:szCs w:val="14"/>
                <w:color w:val="auto"/>
              </w:rPr>
            </w:pPr>
          </w:p>
        </w:tc>
        <w:tc>
          <w:tcPr>
            <w:tcW w:w="1000" w:type="dxa"/>
            <w:vAlign w:val="bottom"/>
            <w:tcBorders>
              <w:right w:val="single" w:sz="8" w:color="007CBA"/>
            </w:tcBorders>
            <w:shd w:val="clear" w:color="auto" w:fill="E5F1F8"/>
          </w:tcPr>
          <w:p>
            <w:pPr>
              <w:jc w:val="right"/>
              <w:ind w:right="100"/>
              <w:spacing w:after="0" w:line="162" w:lineRule="exact"/>
              <w:rPr>
                <w:sz w:val="20"/>
                <w:szCs w:val="20"/>
                <w:color w:val="auto"/>
              </w:rPr>
            </w:pPr>
            <w:r>
              <w:rPr>
                <w:rFonts w:ascii="Arial" w:cs="Arial" w:eastAsia="Arial" w:hAnsi="Arial"/>
                <w:sz w:val="11"/>
                <w:szCs w:val="11"/>
                <w:color w:val="auto"/>
              </w:rPr>
              <w:t>1,672</w:t>
            </w:r>
            <w:r>
              <w:rPr>
                <w:rFonts w:ascii="Arial" w:cs="Arial" w:eastAsia="Arial" w:hAnsi="Arial"/>
                <w:sz w:val="18"/>
                <w:szCs w:val="18"/>
                <w:color w:val="auto"/>
                <w:vertAlign w:val="superscript"/>
              </w:rPr>
              <w:t>6</w:t>
            </w:r>
          </w:p>
        </w:tc>
        <w:tc>
          <w:tcPr>
            <w:tcW w:w="960" w:type="dxa"/>
            <w:vAlign w:val="bottom"/>
            <w:tcBorders>
              <w:right w:val="single" w:sz="8" w:color="007CBA"/>
            </w:tcBorders>
            <w:shd w:val="clear" w:color="auto" w:fill="E5F1F8"/>
          </w:tcPr>
          <w:p>
            <w:pPr>
              <w:jc w:val="right"/>
              <w:ind w:right="69"/>
              <w:spacing w:after="0"/>
              <w:rPr>
                <w:sz w:val="20"/>
                <w:szCs w:val="20"/>
                <w:color w:val="auto"/>
              </w:rPr>
            </w:pPr>
            <w:r>
              <w:rPr>
                <w:rFonts w:ascii="Arial" w:cs="Arial" w:eastAsia="Arial" w:hAnsi="Arial"/>
                <w:sz w:val="14"/>
                <w:szCs w:val="14"/>
                <w:color w:val="auto"/>
              </w:rPr>
              <w:t>369,579</w:t>
            </w:r>
          </w:p>
        </w:tc>
        <w:tc>
          <w:tcPr>
            <w:tcW w:w="1200" w:type="dxa"/>
            <w:vAlign w:val="bottom"/>
            <w:tcBorders>
              <w:right w:val="single" w:sz="8" w:color="007CBA"/>
            </w:tcBorders>
            <w:shd w:val="clear" w:color="auto" w:fill="E5F1F8"/>
          </w:tcPr>
          <w:p>
            <w:pPr>
              <w:ind w:left="620"/>
              <w:spacing w:after="0" w:line="162" w:lineRule="exact"/>
              <w:rPr>
                <w:sz w:val="20"/>
                <w:szCs w:val="20"/>
                <w:color w:val="auto"/>
              </w:rPr>
            </w:pPr>
            <w:r>
              <w:rPr>
                <w:rFonts w:ascii="Arial" w:cs="Arial" w:eastAsia="Arial" w:hAnsi="Arial"/>
                <w:sz w:val="11"/>
                <w:szCs w:val="11"/>
                <w:color w:val="auto"/>
              </w:rPr>
              <w:t>3,467</w:t>
            </w:r>
            <w:r>
              <w:rPr>
                <w:rFonts w:ascii="Arial" w:cs="Arial" w:eastAsia="Arial" w:hAnsi="Arial"/>
                <w:sz w:val="18"/>
                <w:szCs w:val="18"/>
                <w:color w:val="auto"/>
                <w:vertAlign w:val="superscript"/>
              </w:rPr>
              <w:t>12</w:t>
            </w:r>
          </w:p>
        </w:tc>
        <w:tc>
          <w:tcPr>
            <w:tcW w:w="860" w:type="dxa"/>
            <w:vAlign w:val="bottom"/>
            <w:shd w:val="clear" w:color="auto" w:fill="E5F1F8"/>
          </w:tcPr>
          <w:p>
            <w:pPr>
              <w:jc w:val="right"/>
              <w:ind w:right="50"/>
              <w:spacing w:after="0"/>
              <w:rPr>
                <w:sz w:val="20"/>
                <w:szCs w:val="20"/>
                <w:color w:val="auto"/>
              </w:rPr>
            </w:pPr>
            <w:r>
              <w:rPr>
                <w:rFonts w:ascii="Arial" w:cs="Arial" w:eastAsia="Arial" w:hAnsi="Arial"/>
                <w:sz w:val="14"/>
                <w:szCs w:val="14"/>
                <w:color w:val="auto"/>
              </w:rPr>
              <w:t>766,346</w:t>
            </w:r>
          </w:p>
        </w:tc>
        <w:tc>
          <w:tcPr>
            <w:tcW w:w="0" w:type="dxa"/>
            <w:vAlign w:val="bottom"/>
          </w:tcPr>
          <w:p>
            <w:pPr>
              <w:spacing w:after="0"/>
              <w:rPr>
                <w:sz w:val="1"/>
                <w:szCs w:val="1"/>
                <w:color w:val="auto"/>
              </w:rPr>
            </w:pPr>
          </w:p>
        </w:tc>
      </w:tr>
      <w:tr>
        <w:trPr>
          <w:trHeight w:val="162"/>
        </w:trPr>
        <w:tc>
          <w:tcPr>
            <w:tcW w:w="3240" w:type="dxa"/>
            <w:vAlign w:val="bottom"/>
            <w:tcBorders>
              <w:right w:val="single" w:sz="8" w:color="007CBA"/>
            </w:tcBorders>
            <w:shd w:val="clear" w:color="auto" w:fill="E5F1F8"/>
          </w:tcPr>
          <w:p>
            <w:pPr>
              <w:spacing w:after="0"/>
              <w:rPr>
                <w:sz w:val="14"/>
                <w:szCs w:val="14"/>
                <w:color w:val="auto"/>
              </w:rPr>
            </w:pPr>
          </w:p>
        </w:tc>
        <w:tc>
          <w:tcPr>
            <w:tcW w:w="80" w:type="dxa"/>
            <w:vAlign w:val="bottom"/>
            <w:shd w:val="clear" w:color="auto" w:fill="E5F1F8"/>
          </w:tcPr>
          <w:p>
            <w:pPr>
              <w:spacing w:after="0"/>
              <w:rPr>
                <w:sz w:val="14"/>
                <w:szCs w:val="14"/>
                <w:color w:val="auto"/>
              </w:rPr>
            </w:pPr>
          </w:p>
        </w:tc>
        <w:tc>
          <w:tcPr>
            <w:tcW w:w="920" w:type="dxa"/>
            <w:vAlign w:val="bottom"/>
            <w:tcBorders>
              <w:right w:val="single" w:sz="8" w:color="007CBA"/>
            </w:tcBorders>
            <w:shd w:val="clear" w:color="auto" w:fill="E5F1F8"/>
          </w:tcPr>
          <w:p>
            <w:pPr>
              <w:spacing w:after="0"/>
              <w:rPr>
                <w:sz w:val="14"/>
                <w:szCs w:val="14"/>
                <w:color w:val="auto"/>
              </w:rPr>
            </w:pPr>
          </w:p>
        </w:tc>
        <w:tc>
          <w:tcPr>
            <w:tcW w:w="1140" w:type="dxa"/>
            <w:vAlign w:val="bottom"/>
            <w:tcBorders>
              <w:right w:val="single" w:sz="8" w:color="007CBA"/>
            </w:tcBorders>
            <w:shd w:val="clear" w:color="auto" w:fill="E5F1F8"/>
          </w:tcPr>
          <w:p>
            <w:pPr>
              <w:spacing w:after="0"/>
              <w:rPr>
                <w:sz w:val="14"/>
                <w:szCs w:val="14"/>
                <w:color w:val="auto"/>
              </w:rPr>
            </w:pPr>
          </w:p>
        </w:tc>
        <w:tc>
          <w:tcPr>
            <w:tcW w:w="740" w:type="dxa"/>
            <w:vAlign w:val="bottom"/>
            <w:tcBorders>
              <w:right w:val="single" w:sz="8" w:color="007CBA"/>
            </w:tcBorders>
            <w:shd w:val="clear" w:color="auto" w:fill="E5F1F8"/>
          </w:tcPr>
          <w:p>
            <w:pPr>
              <w:spacing w:after="0"/>
              <w:rPr>
                <w:sz w:val="14"/>
                <w:szCs w:val="14"/>
                <w:color w:val="auto"/>
              </w:rPr>
            </w:pPr>
          </w:p>
        </w:tc>
        <w:tc>
          <w:tcPr>
            <w:tcW w:w="880" w:type="dxa"/>
            <w:vAlign w:val="bottom"/>
            <w:tcBorders>
              <w:right w:val="single" w:sz="8" w:color="007CBA"/>
            </w:tcBorders>
            <w:shd w:val="clear" w:color="auto" w:fill="E5F1F8"/>
          </w:tcPr>
          <w:p>
            <w:pPr>
              <w:spacing w:after="0"/>
              <w:rPr>
                <w:sz w:val="14"/>
                <w:szCs w:val="14"/>
                <w:color w:val="auto"/>
              </w:rPr>
            </w:pPr>
          </w:p>
        </w:tc>
        <w:tc>
          <w:tcPr>
            <w:tcW w:w="1000" w:type="dxa"/>
            <w:vAlign w:val="bottom"/>
            <w:tcBorders>
              <w:right w:val="single" w:sz="8" w:color="007CBA"/>
            </w:tcBorders>
            <w:shd w:val="clear" w:color="auto" w:fill="E5F1F8"/>
          </w:tcPr>
          <w:p>
            <w:pPr>
              <w:jc w:val="right"/>
              <w:ind w:right="100"/>
              <w:spacing w:after="0" w:line="162" w:lineRule="exact"/>
              <w:rPr>
                <w:sz w:val="20"/>
                <w:szCs w:val="20"/>
                <w:color w:val="auto"/>
              </w:rPr>
            </w:pPr>
            <w:r>
              <w:rPr>
                <w:rFonts w:ascii="Arial" w:cs="Arial" w:eastAsia="Arial" w:hAnsi="Arial"/>
                <w:sz w:val="11"/>
                <w:szCs w:val="11"/>
                <w:color w:val="auto"/>
              </w:rPr>
              <w:t>2,979</w:t>
            </w:r>
            <w:r>
              <w:rPr>
                <w:rFonts w:ascii="Arial" w:cs="Arial" w:eastAsia="Arial" w:hAnsi="Arial"/>
                <w:sz w:val="18"/>
                <w:szCs w:val="18"/>
                <w:color w:val="auto"/>
                <w:vertAlign w:val="superscript"/>
              </w:rPr>
              <w:t>7</w:t>
            </w:r>
          </w:p>
        </w:tc>
        <w:tc>
          <w:tcPr>
            <w:tcW w:w="960" w:type="dxa"/>
            <w:vAlign w:val="bottom"/>
            <w:tcBorders>
              <w:right w:val="single" w:sz="8" w:color="007CBA"/>
            </w:tcBorders>
            <w:shd w:val="clear" w:color="auto" w:fill="E5F1F8"/>
          </w:tcPr>
          <w:p>
            <w:pPr>
              <w:jc w:val="right"/>
              <w:ind w:right="69"/>
              <w:spacing w:after="0"/>
              <w:rPr>
                <w:sz w:val="20"/>
                <w:szCs w:val="20"/>
                <w:color w:val="auto"/>
              </w:rPr>
            </w:pPr>
            <w:r>
              <w:rPr>
                <w:rFonts w:ascii="Arial" w:cs="Arial" w:eastAsia="Arial" w:hAnsi="Arial"/>
                <w:sz w:val="14"/>
                <w:szCs w:val="14"/>
                <w:color w:val="auto"/>
              </w:rPr>
              <w:t>658,478</w:t>
            </w:r>
          </w:p>
        </w:tc>
        <w:tc>
          <w:tcPr>
            <w:tcW w:w="1200" w:type="dxa"/>
            <w:vAlign w:val="bottom"/>
            <w:tcBorders>
              <w:right w:val="single" w:sz="8" w:color="007CBA"/>
            </w:tcBorders>
            <w:shd w:val="clear" w:color="auto" w:fill="E5F1F8"/>
          </w:tcPr>
          <w:p>
            <w:pPr>
              <w:spacing w:after="0"/>
              <w:rPr>
                <w:sz w:val="14"/>
                <w:szCs w:val="14"/>
                <w:color w:val="auto"/>
              </w:rPr>
            </w:pPr>
          </w:p>
        </w:tc>
        <w:tc>
          <w:tcPr>
            <w:tcW w:w="860" w:type="dxa"/>
            <w:vAlign w:val="bottom"/>
            <w:shd w:val="clear" w:color="auto" w:fill="E5F1F8"/>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40" w:type="dxa"/>
            <w:vAlign w:val="bottom"/>
            <w:tcBorders>
              <w:right w:val="single" w:sz="8" w:color="007CBA"/>
            </w:tcBorders>
            <w:shd w:val="clear" w:color="auto" w:fill="E5F1F8"/>
          </w:tcPr>
          <w:p>
            <w:pPr>
              <w:spacing w:after="0"/>
              <w:rPr>
                <w:sz w:val="14"/>
                <w:szCs w:val="14"/>
                <w:color w:val="auto"/>
              </w:rPr>
            </w:pPr>
          </w:p>
        </w:tc>
        <w:tc>
          <w:tcPr>
            <w:tcW w:w="80" w:type="dxa"/>
            <w:vAlign w:val="bottom"/>
            <w:shd w:val="clear" w:color="auto" w:fill="E5F1F8"/>
          </w:tcPr>
          <w:p>
            <w:pPr>
              <w:spacing w:after="0"/>
              <w:rPr>
                <w:sz w:val="14"/>
                <w:szCs w:val="14"/>
                <w:color w:val="auto"/>
              </w:rPr>
            </w:pPr>
          </w:p>
        </w:tc>
        <w:tc>
          <w:tcPr>
            <w:tcW w:w="920" w:type="dxa"/>
            <w:vAlign w:val="bottom"/>
            <w:tcBorders>
              <w:right w:val="single" w:sz="8" w:color="007CBA"/>
            </w:tcBorders>
            <w:shd w:val="clear" w:color="auto" w:fill="E5F1F8"/>
          </w:tcPr>
          <w:p>
            <w:pPr>
              <w:spacing w:after="0"/>
              <w:rPr>
                <w:sz w:val="14"/>
                <w:szCs w:val="14"/>
                <w:color w:val="auto"/>
              </w:rPr>
            </w:pPr>
          </w:p>
        </w:tc>
        <w:tc>
          <w:tcPr>
            <w:tcW w:w="1140" w:type="dxa"/>
            <w:vAlign w:val="bottom"/>
            <w:tcBorders>
              <w:right w:val="single" w:sz="8" w:color="007CBA"/>
            </w:tcBorders>
            <w:shd w:val="clear" w:color="auto" w:fill="E5F1F8"/>
          </w:tcPr>
          <w:p>
            <w:pPr>
              <w:spacing w:after="0"/>
              <w:rPr>
                <w:sz w:val="14"/>
                <w:szCs w:val="14"/>
                <w:color w:val="auto"/>
              </w:rPr>
            </w:pPr>
          </w:p>
        </w:tc>
        <w:tc>
          <w:tcPr>
            <w:tcW w:w="740" w:type="dxa"/>
            <w:vAlign w:val="bottom"/>
            <w:tcBorders>
              <w:right w:val="single" w:sz="8" w:color="007CBA"/>
            </w:tcBorders>
            <w:shd w:val="clear" w:color="auto" w:fill="E5F1F8"/>
          </w:tcPr>
          <w:p>
            <w:pPr>
              <w:spacing w:after="0"/>
              <w:rPr>
                <w:sz w:val="14"/>
                <w:szCs w:val="14"/>
                <w:color w:val="auto"/>
              </w:rPr>
            </w:pPr>
          </w:p>
        </w:tc>
        <w:tc>
          <w:tcPr>
            <w:tcW w:w="880" w:type="dxa"/>
            <w:vAlign w:val="bottom"/>
            <w:tcBorders>
              <w:right w:val="single" w:sz="8" w:color="007CBA"/>
            </w:tcBorders>
            <w:shd w:val="clear" w:color="auto" w:fill="E5F1F8"/>
          </w:tcPr>
          <w:p>
            <w:pPr>
              <w:spacing w:after="0"/>
              <w:rPr>
                <w:sz w:val="14"/>
                <w:szCs w:val="14"/>
                <w:color w:val="auto"/>
              </w:rPr>
            </w:pPr>
          </w:p>
        </w:tc>
        <w:tc>
          <w:tcPr>
            <w:tcW w:w="1000" w:type="dxa"/>
            <w:vAlign w:val="bottom"/>
            <w:tcBorders>
              <w:right w:val="single" w:sz="8" w:color="007CBA"/>
            </w:tcBorders>
            <w:shd w:val="clear" w:color="auto" w:fill="E5F1F8"/>
          </w:tcPr>
          <w:p>
            <w:pPr>
              <w:jc w:val="right"/>
              <w:ind w:right="100"/>
              <w:spacing w:after="0" w:line="162" w:lineRule="exact"/>
              <w:rPr>
                <w:sz w:val="20"/>
                <w:szCs w:val="20"/>
                <w:color w:val="auto"/>
              </w:rPr>
            </w:pPr>
            <w:r>
              <w:rPr>
                <w:rFonts w:ascii="Arial" w:cs="Arial" w:eastAsia="Arial" w:hAnsi="Arial"/>
                <w:sz w:val="11"/>
                <w:szCs w:val="11"/>
                <w:color w:val="auto"/>
              </w:rPr>
              <w:t>1,003</w:t>
            </w:r>
            <w:r>
              <w:rPr>
                <w:rFonts w:ascii="Arial" w:cs="Arial" w:eastAsia="Arial" w:hAnsi="Arial"/>
                <w:sz w:val="18"/>
                <w:szCs w:val="18"/>
                <w:color w:val="auto"/>
                <w:vertAlign w:val="superscript"/>
              </w:rPr>
              <w:t>8</w:t>
            </w:r>
          </w:p>
        </w:tc>
        <w:tc>
          <w:tcPr>
            <w:tcW w:w="960" w:type="dxa"/>
            <w:vAlign w:val="bottom"/>
            <w:tcBorders>
              <w:right w:val="single" w:sz="8" w:color="007CBA"/>
            </w:tcBorders>
            <w:shd w:val="clear" w:color="auto" w:fill="E5F1F8"/>
          </w:tcPr>
          <w:p>
            <w:pPr>
              <w:jc w:val="right"/>
              <w:ind w:right="69"/>
              <w:spacing w:after="0"/>
              <w:rPr>
                <w:sz w:val="20"/>
                <w:szCs w:val="20"/>
                <w:color w:val="auto"/>
              </w:rPr>
            </w:pPr>
            <w:r>
              <w:rPr>
                <w:rFonts w:ascii="Arial" w:cs="Arial" w:eastAsia="Arial" w:hAnsi="Arial"/>
                <w:sz w:val="14"/>
                <w:szCs w:val="14"/>
                <w:color w:val="auto"/>
              </w:rPr>
              <w:t>221,703</w:t>
            </w:r>
          </w:p>
        </w:tc>
        <w:tc>
          <w:tcPr>
            <w:tcW w:w="1200" w:type="dxa"/>
            <w:vAlign w:val="bottom"/>
            <w:tcBorders>
              <w:right w:val="single" w:sz="8" w:color="007CBA"/>
            </w:tcBorders>
            <w:shd w:val="clear" w:color="auto" w:fill="E5F1F8"/>
          </w:tcPr>
          <w:p>
            <w:pPr>
              <w:spacing w:after="0"/>
              <w:rPr>
                <w:sz w:val="14"/>
                <w:szCs w:val="14"/>
                <w:color w:val="auto"/>
              </w:rPr>
            </w:pPr>
          </w:p>
        </w:tc>
        <w:tc>
          <w:tcPr>
            <w:tcW w:w="860" w:type="dxa"/>
            <w:vAlign w:val="bottom"/>
            <w:shd w:val="clear" w:color="auto" w:fill="E5F1F8"/>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240" w:type="dxa"/>
            <w:vAlign w:val="bottom"/>
            <w:tcBorders>
              <w:bottom w:val="single" w:sz="8" w:color="007CBA"/>
              <w:right w:val="single" w:sz="8" w:color="007CBA"/>
            </w:tcBorders>
            <w:shd w:val="clear" w:color="auto" w:fill="E5F1F8"/>
          </w:tcPr>
          <w:p>
            <w:pPr>
              <w:spacing w:after="0"/>
              <w:rPr>
                <w:sz w:val="16"/>
                <w:szCs w:val="16"/>
                <w:color w:val="auto"/>
              </w:rPr>
            </w:pPr>
          </w:p>
        </w:tc>
        <w:tc>
          <w:tcPr>
            <w:tcW w:w="80" w:type="dxa"/>
            <w:vAlign w:val="bottom"/>
            <w:tcBorders>
              <w:bottom w:val="single" w:sz="8" w:color="007CBA"/>
            </w:tcBorders>
            <w:shd w:val="clear" w:color="auto" w:fill="E5F1F8"/>
          </w:tcPr>
          <w:p>
            <w:pPr>
              <w:spacing w:after="0"/>
              <w:rPr>
                <w:sz w:val="16"/>
                <w:szCs w:val="16"/>
                <w:color w:val="auto"/>
              </w:rPr>
            </w:pPr>
          </w:p>
        </w:tc>
        <w:tc>
          <w:tcPr>
            <w:tcW w:w="920" w:type="dxa"/>
            <w:vAlign w:val="bottom"/>
            <w:tcBorders>
              <w:bottom w:val="single" w:sz="8" w:color="007CBA"/>
              <w:right w:val="single" w:sz="8" w:color="007CBA"/>
            </w:tcBorders>
            <w:shd w:val="clear" w:color="auto" w:fill="E5F1F8"/>
          </w:tcPr>
          <w:p>
            <w:pPr>
              <w:spacing w:after="0"/>
              <w:rPr>
                <w:sz w:val="16"/>
                <w:szCs w:val="16"/>
                <w:color w:val="auto"/>
              </w:rPr>
            </w:pPr>
          </w:p>
        </w:tc>
        <w:tc>
          <w:tcPr>
            <w:tcW w:w="1140" w:type="dxa"/>
            <w:vAlign w:val="bottom"/>
            <w:tcBorders>
              <w:bottom w:val="single" w:sz="8" w:color="007CBA"/>
              <w:right w:val="single" w:sz="8" w:color="007CBA"/>
            </w:tcBorders>
            <w:shd w:val="clear" w:color="auto" w:fill="E5F1F8"/>
          </w:tcPr>
          <w:p>
            <w:pPr>
              <w:spacing w:after="0"/>
              <w:rPr>
                <w:sz w:val="16"/>
                <w:szCs w:val="16"/>
                <w:color w:val="auto"/>
              </w:rPr>
            </w:pPr>
          </w:p>
        </w:tc>
        <w:tc>
          <w:tcPr>
            <w:tcW w:w="740" w:type="dxa"/>
            <w:vAlign w:val="bottom"/>
            <w:tcBorders>
              <w:bottom w:val="single" w:sz="8" w:color="007CBA"/>
              <w:right w:val="single" w:sz="8" w:color="007CBA"/>
            </w:tcBorders>
            <w:shd w:val="clear" w:color="auto" w:fill="E5F1F8"/>
          </w:tcPr>
          <w:p>
            <w:pPr>
              <w:spacing w:after="0"/>
              <w:rPr>
                <w:sz w:val="16"/>
                <w:szCs w:val="16"/>
                <w:color w:val="auto"/>
              </w:rPr>
            </w:pPr>
          </w:p>
        </w:tc>
        <w:tc>
          <w:tcPr>
            <w:tcW w:w="880" w:type="dxa"/>
            <w:vAlign w:val="bottom"/>
            <w:tcBorders>
              <w:bottom w:val="single" w:sz="8" w:color="007CBA"/>
              <w:right w:val="single" w:sz="8" w:color="007CBA"/>
            </w:tcBorders>
            <w:shd w:val="clear" w:color="auto" w:fill="E5F1F8"/>
          </w:tcPr>
          <w:p>
            <w:pPr>
              <w:spacing w:after="0"/>
              <w:rPr>
                <w:sz w:val="16"/>
                <w:szCs w:val="16"/>
                <w:color w:val="auto"/>
              </w:rPr>
            </w:pPr>
          </w:p>
        </w:tc>
        <w:tc>
          <w:tcPr>
            <w:tcW w:w="1000" w:type="dxa"/>
            <w:vAlign w:val="bottom"/>
            <w:tcBorders>
              <w:bottom w:val="single" w:sz="8" w:color="007CBA"/>
              <w:right w:val="single" w:sz="8" w:color="007CBA"/>
            </w:tcBorders>
            <w:shd w:val="clear" w:color="auto" w:fill="E5F1F8"/>
          </w:tcPr>
          <w:p>
            <w:pPr>
              <w:jc w:val="right"/>
              <w:ind w:right="100"/>
              <w:spacing w:after="0" w:line="194" w:lineRule="exact"/>
              <w:rPr>
                <w:sz w:val="20"/>
                <w:szCs w:val="20"/>
                <w:color w:val="auto"/>
              </w:rPr>
            </w:pPr>
            <w:r>
              <w:rPr>
                <w:rFonts w:ascii="Arial" w:cs="Arial" w:eastAsia="Arial" w:hAnsi="Arial"/>
                <w:sz w:val="13"/>
                <w:szCs w:val="13"/>
                <w:color w:val="auto"/>
              </w:rPr>
              <w:t>788</w:t>
            </w:r>
            <w:r>
              <w:rPr>
                <w:rFonts w:ascii="Arial" w:cs="Arial" w:eastAsia="Arial" w:hAnsi="Arial"/>
                <w:sz w:val="22"/>
                <w:szCs w:val="22"/>
                <w:color w:val="auto"/>
                <w:vertAlign w:val="superscript"/>
              </w:rPr>
              <w:t>9</w:t>
            </w:r>
          </w:p>
        </w:tc>
        <w:tc>
          <w:tcPr>
            <w:tcW w:w="960" w:type="dxa"/>
            <w:vAlign w:val="bottom"/>
            <w:tcBorders>
              <w:bottom w:val="single" w:sz="8" w:color="007CBA"/>
              <w:right w:val="single" w:sz="8" w:color="007CBA"/>
            </w:tcBorders>
            <w:shd w:val="clear" w:color="auto" w:fill="E5F1F8"/>
          </w:tcPr>
          <w:p>
            <w:pPr>
              <w:jc w:val="right"/>
              <w:ind w:right="69"/>
              <w:spacing w:after="0"/>
              <w:rPr>
                <w:sz w:val="20"/>
                <w:szCs w:val="20"/>
                <w:color w:val="auto"/>
              </w:rPr>
            </w:pPr>
            <w:r>
              <w:rPr>
                <w:rFonts w:ascii="Arial" w:cs="Arial" w:eastAsia="Arial" w:hAnsi="Arial"/>
                <w:sz w:val="14"/>
                <w:szCs w:val="14"/>
                <w:color w:val="auto"/>
              </w:rPr>
              <w:t>174,180</w:t>
            </w:r>
          </w:p>
        </w:tc>
        <w:tc>
          <w:tcPr>
            <w:tcW w:w="1200" w:type="dxa"/>
            <w:vAlign w:val="bottom"/>
            <w:tcBorders>
              <w:bottom w:val="single" w:sz="8" w:color="007CBA"/>
              <w:right w:val="single" w:sz="8" w:color="007CBA"/>
            </w:tcBorders>
            <w:shd w:val="clear" w:color="auto" w:fill="E5F1F8"/>
          </w:tcPr>
          <w:p>
            <w:pPr>
              <w:spacing w:after="0"/>
              <w:rPr>
                <w:sz w:val="16"/>
                <w:szCs w:val="16"/>
                <w:color w:val="auto"/>
              </w:rPr>
            </w:pPr>
          </w:p>
        </w:tc>
        <w:tc>
          <w:tcPr>
            <w:tcW w:w="860" w:type="dxa"/>
            <w:vAlign w:val="bottom"/>
            <w:tcBorders>
              <w:bottom w:val="single" w:sz="8" w:color="007CBA"/>
            </w:tcBorders>
            <w:shd w:val="clear" w:color="auto" w:fill="E5F1F8"/>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-4878705</wp:posOffset>
            </wp:positionV>
            <wp:extent cx="482790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827905" cy="8890"/>
                    </a:xfrm>
                    <a:prstGeom prst="rect">
                      <a:avLst/>
                    </a:prstGeom>
                    <a:noFill/>
                  </pic:spPr>
                </pic:pic>
              </a:graphicData>
            </a:graphic>
          </wp:anchor>
        </w:drawing>
      </w:r>
    </w:p>
    <w:p>
      <w:pPr>
        <w:ind w:left="320" w:hanging="116"/>
        <w:spacing w:after="0" w:line="227" w:lineRule="auto"/>
        <w:tabs>
          <w:tab w:leader="none" w:pos="320" w:val="left"/>
        </w:tabs>
        <w:numPr>
          <w:ilvl w:val="0"/>
          <w:numId w:val="109"/>
        </w:numPr>
        <w:rPr>
          <w:rFonts w:ascii="Arial" w:cs="Arial" w:eastAsia="Arial" w:hAnsi="Arial"/>
          <w:sz w:val="24"/>
          <w:szCs w:val="24"/>
          <w:color w:val="auto"/>
          <w:vertAlign w:val="superscript"/>
        </w:rPr>
      </w:pPr>
      <w:r>
        <w:rPr>
          <w:rFonts w:ascii="Arial" w:cs="Arial" w:eastAsia="Arial" w:hAnsi="Arial"/>
          <w:sz w:val="14"/>
          <w:szCs w:val="14"/>
          <w:color w:val="auto"/>
        </w:rPr>
        <w:t>Based on the closing price of our common stock as of December 29, 2017 ($221.04).</w:t>
      </w:r>
    </w:p>
    <w:p>
      <w:pPr>
        <w:spacing w:after="0" w:line="67" w:lineRule="exact"/>
        <w:rPr>
          <w:rFonts w:ascii="Arial" w:cs="Arial" w:eastAsia="Arial" w:hAnsi="Arial"/>
          <w:sz w:val="24"/>
          <w:szCs w:val="24"/>
          <w:color w:val="auto"/>
          <w:vertAlign w:val="superscript"/>
        </w:rPr>
      </w:pPr>
    </w:p>
    <w:p>
      <w:pPr>
        <w:ind w:left="200"/>
        <w:spacing w:after="0" w:line="211" w:lineRule="auto"/>
        <w:rPr>
          <w:rFonts w:ascii="Arial" w:cs="Arial" w:eastAsia="Arial" w:hAnsi="Arial"/>
          <w:sz w:val="24"/>
          <w:szCs w:val="24"/>
          <w:color w:val="auto"/>
          <w:vertAlign w:val="superscript"/>
        </w:rPr>
      </w:pPr>
      <w:r>
        <w:rPr>
          <w:rFonts w:ascii="Arial" w:cs="Arial" w:eastAsia="Arial" w:hAnsi="Arial"/>
          <w:sz w:val="24"/>
          <w:szCs w:val="24"/>
          <w:color w:val="auto"/>
          <w:vertAlign w:val="superscript"/>
        </w:rPr>
        <w:t>2</w:t>
      </w:r>
      <w:r>
        <w:rPr>
          <w:rFonts w:ascii="Arial" w:cs="Arial" w:eastAsia="Arial" w:hAnsi="Arial"/>
          <w:sz w:val="14"/>
          <w:szCs w:val="14"/>
          <w:color w:val="auto"/>
        </w:rPr>
        <w:t xml:space="preserve"> Options exercisable on May 22, 2018.</w:t>
      </w:r>
    </w:p>
    <w:p>
      <w:pPr>
        <w:ind w:left="200"/>
        <w:spacing w:after="0" w:line="211" w:lineRule="auto"/>
        <w:rPr>
          <w:rFonts w:ascii="Arial" w:cs="Arial" w:eastAsia="Arial" w:hAnsi="Arial"/>
          <w:sz w:val="24"/>
          <w:szCs w:val="24"/>
          <w:color w:val="auto"/>
          <w:vertAlign w:val="superscript"/>
        </w:rPr>
      </w:pPr>
      <w:r>
        <w:rPr>
          <w:rFonts w:ascii="Arial" w:cs="Arial" w:eastAsia="Arial" w:hAnsi="Arial"/>
          <w:sz w:val="24"/>
          <w:szCs w:val="24"/>
          <w:color w:val="auto"/>
          <w:vertAlign w:val="superscript"/>
        </w:rPr>
        <w:t>3</w:t>
      </w:r>
      <w:r>
        <w:rPr>
          <w:rFonts w:ascii="Arial" w:cs="Arial" w:eastAsia="Arial" w:hAnsi="Arial"/>
          <w:sz w:val="14"/>
          <w:szCs w:val="14"/>
          <w:color w:val="auto"/>
        </w:rPr>
        <w:t xml:space="preserve"> Options exercisable ratably in installments on May 21, 2018 and 2019.</w:t>
      </w:r>
    </w:p>
    <w:p>
      <w:pPr>
        <w:ind w:left="200"/>
        <w:spacing w:after="0" w:line="211" w:lineRule="auto"/>
        <w:rPr>
          <w:rFonts w:ascii="Arial" w:cs="Arial" w:eastAsia="Arial" w:hAnsi="Arial"/>
          <w:sz w:val="24"/>
          <w:szCs w:val="24"/>
          <w:color w:val="auto"/>
          <w:vertAlign w:val="superscript"/>
        </w:rPr>
      </w:pPr>
      <w:r>
        <w:rPr>
          <w:rFonts w:ascii="Arial" w:cs="Arial" w:eastAsia="Arial" w:hAnsi="Arial"/>
          <w:sz w:val="24"/>
          <w:szCs w:val="24"/>
          <w:color w:val="auto"/>
          <w:vertAlign w:val="superscript"/>
        </w:rPr>
        <w:t>4</w:t>
      </w:r>
      <w:r>
        <w:rPr>
          <w:rFonts w:ascii="Arial" w:cs="Arial" w:eastAsia="Arial" w:hAnsi="Arial"/>
          <w:sz w:val="14"/>
          <w:szCs w:val="14"/>
          <w:color w:val="auto"/>
        </w:rPr>
        <w:t xml:space="preserve"> RSU restrictions lapse August 21, 2019.</w:t>
      </w:r>
    </w:p>
    <w:p>
      <w:pPr>
        <w:ind w:left="200"/>
        <w:spacing w:after="0" w:line="211" w:lineRule="auto"/>
        <w:rPr>
          <w:rFonts w:ascii="Arial" w:cs="Arial" w:eastAsia="Arial" w:hAnsi="Arial"/>
          <w:sz w:val="24"/>
          <w:szCs w:val="24"/>
          <w:color w:val="auto"/>
          <w:vertAlign w:val="superscript"/>
        </w:rPr>
      </w:pPr>
      <w:r>
        <w:rPr>
          <w:rFonts w:ascii="Arial" w:cs="Arial" w:eastAsia="Arial" w:hAnsi="Arial"/>
          <w:sz w:val="24"/>
          <w:szCs w:val="24"/>
          <w:color w:val="auto"/>
          <w:vertAlign w:val="superscript"/>
        </w:rPr>
        <w:t>5</w:t>
      </w:r>
      <w:r>
        <w:rPr>
          <w:rFonts w:ascii="Arial" w:cs="Arial" w:eastAsia="Arial" w:hAnsi="Arial"/>
          <w:sz w:val="14"/>
          <w:szCs w:val="14"/>
          <w:color w:val="auto"/>
        </w:rPr>
        <w:t xml:space="preserve"> RSU restrictions lapse on May 21, 2018.</w:t>
      </w:r>
    </w:p>
    <w:p>
      <w:pPr>
        <w:ind w:left="200"/>
        <w:spacing w:after="0"/>
        <w:rPr>
          <w:rFonts w:ascii="Arial" w:cs="Arial" w:eastAsia="Arial" w:hAnsi="Arial"/>
          <w:sz w:val="24"/>
          <w:szCs w:val="24"/>
          <w:color w:val="auto"/>
          <w:vertAlign w:val="superscript"/>
        </w:rPr>
      </w:pPr>
      <w:r>
        <w:rPr>
          <w:rFonts w:ascii="Arial" w:cs="Arial" w:eastAsia="Arial" w:hAnsi="Arial"/>
          <w:sz w:val="24"/>
          <w:szCs w:val="24"/>
          <w:color w:val="auto"/>
          <w:vertAlign w:val="superscript"/>
        </w:rPr>
        <w:t>6</w:t>
      </w:r>
      <w:r>
        <w:rPr>
          <w:rFonts w:ascii="Arial" w:cs="Arial" w:eastAsia="Arial" w:hAnsi="Arial"/>
          <w:sz w:val="14"/>
          <w:szCs w:val="14"/>
          <w:color w:val="auto"/>
        </w:rPr>
        <w:t xml:space="preserve"> RSU restrictions lapse ratably in installments on February 4, 2018 and February 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19050</wp:posOffset>
            </wp:positionV>
            <wp:extent cx="411480" cy="2489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26" w:lineRule="exact"/>
        <w:rPr>
          <w:sz w:val="20"/>
          <w:szCs w:val="20"/>
          <w:color w:val="auto"/>
        </w:rPr>
      </w:pPr>
    </w:p>
    <w:tbl>
      <w:tblPr>
        <w:tblLayout w:type="fixed"/>
        <w:tblInd w:w="9260" w:type="dxa"/>
        <w:tblCellMar>
          <w:top w:w="0" w:type="dxa"/>
          <w:left w:w="0" w:type="dxa"/>
          <w:bottom w:w="0" w:type="dxa"/>
          <w:right w:w="0" w:type="dxa"/>
        </w:tblCellMar>
      </w:tblPr>
      <w:tr>
        <w:trPr>
          <w:trHeight w:val="178"/>
        </w:trPr>
        <w:tc>
          <w:tcPr>
            <w:tcW w:w="1680" w:type="dxa"/>
            <w:vAlign w:val="bottom"/>
          </w:tcPr>
          <w:p>
            <w:pPr>
              <w:spacing w:after="0"/>
              <w:rPr>
                <w:sz w:val="20"/>
                <w:szCs w:val="20"/>
                <w:color w:val="auto"/>
              </w:rPr>
            </w:pPr>
            <w:r>
              <w:rPr>
                <w:rFonts w:ascii="Arial" w:cs="Arial" w:eastAsia="Arial" w:hAnsi="Arial"/>
                <w:sz w:val="13"/>
                <w:szCs w:val="13"/>
                <w:color w:val="007CBA"/>
              </w:rPr>
              <w:t>2018 PROXY STATEMENT</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rPr>
              <w:t>55</w:t>
            </w:r>
          </w:p>
        </w:tc>
      </w:tr>
    </w:tbl>
    <w:p>
      <w:pPr>
        <w:sectPr>
          <w:pgSz w:w="11900" w:h="16838" w:orient="portrait"/>
          <w:cols w:equalWidth="0" w:num="1">
            <w:col w:w="11240"/>
          </w:cols>
          <w:pgMar w:left="240" w:top="455" w:right="41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64" w:lineRule="exact"/>
        <w:rPr>
          <w:sz w:val="20"/>
          <w:szCs w:val="20"/>
          <w:color w:val="auto"/>
        </w:rPr>
      </w:pPr>
    </w:p>
    <w:p>
      <w:pPr>
        <w:ind w:left="200"/>
        <w:spacing w:after="0" w:line="288" w:lineRule="exact"/>
        <w:rPr>
          <w:sz w:val="20"/>
          <w:szCs w:val="20"/>
          <w:color w:val="auto"/>
        </w:rPr>
      </w:pPr>
      <w:r>
        <w:rPr>
          <w:rFonts w:ascii="Arial" w:cs="Arial" w:eastAsia="Arial" w:hAnsi="Arial"/>
          <w:sz w:val="14"/>
          <w:szCs w:val="14"/>
          <w:color w:val="007CBA"/>
        </w:rPr>
        <w:t xml:space="preserve">Executive Compensation </w:t>
      </w:r>
      <w:r>
        <w:rPr>
          <w:rFonts w:ascii="MS PGothic" w:cs="MS PGothic" w:eastAsia="MS PGothic" w:hAnsi="MS PGothic"/>
          <w:sz w:val="25"/>
          <w:szCs w:val="25"/>
          <w:color w:val="007CBA"/>
        </w:rPr>
        <w:t>◆</w:t>
      </w:r>
      <w:r>
        <w:rPr>
          <w:rFonts w:ascii="Arial" w:cs="Arial" w:eastAsia="Arial" w:hAnsi="Arial"/>
          <w:sz w:val="14"/>
          <w:szCs w:val="14"/>
          <w:color w:val="007CBA"/>
        </w:rPr>
        <w:t xml:space="preserve"> </w:t>
      </w:r>
      <w:r>
        <w:rPr>
          <w:rFonts w:ascii="Arial" w:cs="Arial" w:eastAsia="Arial" w:hAnsi="Arial"/>
          <w:sz w:val="14"/>
          <w:szCs w:val="14"/>
          <w:color w:val="000000"/>
        </w:rPr>
        <w:t>Outstanding Equity Awards at Fiscal Year-End</w:t>
      </w:r>
    </w:p>
    <w:p>
      <w:pPr>
        <w:spacing w:after="0" w:line="128" w:lineRule="exact"/>
        <w:rPr>
          <w:sz w:val="20"/>
          <w:szCs w:val="20"/>
          <w:color w:val="auto"/>
        </w:rPr>
      </w:pPr>
    </w:p>
    <w:p>
      <w:pPr>
        <w:ind w:left="320" w:hanging="116"/>
        <w:spacing w:after="0"/>
        <w:tabs>
          <w:tab w:leader="none" w:pos="320" w:val="left"/>
        </w:tabs>
        <w:numPr>
          <w:ilvl w:val="0"/>
          <w:numId w:val="110"/>
        </w:numPr>
        <w:rPr>
          <w:rFonts w:ascii="Arial" w:cs="Arial" w:eastAsia="Arial" w:hAnsi="Arial"/>
          <w:sz w:val="24"/>
          <w:szCs w:val="24"/>
          <w:color w:val="auto"/>
          <w:vertAlign w:val="superscript"/>
        </w:rPr>
      </w:pPr>
      <w:r>
        <w:rPr>
          <w:rFonts w:ascii="Arial" w:cs="Arial" w:eastAsia="Arial" w:hAnsi="Arial"/>
          <w:sz w:val="14"/>
          <w:szCs w:val="14"/>
          <w:color w:val="auto"/>
        </w:rPr>
        <w:t>RSU restrictions lapse ratably in installments on March 28, 2018, March 28, 2019 and March 28, 2020.</w:t>
      </w:r>
    </w:p>
    <w:p>
      <w:pPr>
        <w:spacing w:after="0" w:line="66" w:lineRule="exact"/>
        <w:rPr>
          <w:rFonts w:ascii="Arial" w:cs="Arial" w:eastAsia="Arial" w:hAnsi="Arial"/>
          <w:sz w:val="24"/>
          <w:szCs w:val="24"/>
          <w:color w:val="auto"/>
          <w:vertAlign w:val="superscript"/>
        </w:rPr>
      </w:pPr>
    </w:p>
    <w:p>
      <w:pPr>
        <w:ind w:left="200"/>
        <w:spacing w:after="0" w:line="211" w:lineRule="auto"/>
        <w:rPr>
          <w:rFonts w:ascii="Arial" w:cs="Arial" w:eastAsia="Arial" w:hAnsi="Arial"/>
          <w:sz w:val="24"/>
          <w:szCs w:val="24"/>
          <w:color w:val="auto"/>
          <w:vertAlign w:val="superscript"/>
        </w:rPr>
      </w:pPr>
      <w:r>
        <w:rPr>
          <w:rFonts w:ascii="Arial" w:cs="Arial" w:eastAsia="Arial" w:hAnsi="Arial"/>
          <w:sz w:val="24"/>
          <w:szCs w:val="24"/>
          <w:color w:val="auto"/>
          <w:vertAlign w:val="superscript"/>
        </w:rPr>
        <w:t>8</w:t>
      </w:r>
      <w:r>
        <w:rPr>
          <w:rFonts w:ascii="Arial" w:cs="Arial" w:eastAsia="Arial" w:hAnsi="Arial"/>
          <w:sz w:val="14"/>
          <w:szCs w:val="14"/>
          <w:color w:val="auto"/>
        </w:rPr>
        <w:t xml:space="preserve"> Incentive Stock Plan units restrictions lapse on December 1, 2018.</w:t>
      </w:r>
    </w:p>
    <w:p>
      <w:pPr>
        <w:ind w:left="200"/>
        <w:spacing w:after="0" w:line="211" w:lineRule="auto"/>
        <w:rPr>
          <w:rFonts w:ascii="Arial" w:cs="Arial" w:eastAsia="Arial" w:hAnsi="Arial"/>
          <w:sz w:val="24"/>
          <w:szCs w:val="24"/>
          <w:color w:val="auto"/>
          <w:vertAlign w:val="superscript"/>
        </w:rPr>
      </w:pPr>
      <w:r>
        <w:rPr>
          <w:rFonts w:ascii="Arial" w:cs="Arial" w:eastAsia="Arial" w:hAnsi="Arial"/>
          <w:sz w:val="24"/>
          <w:szCs w:val="24"/>
          <w:color w:val="auto"/>
          <w:vertAlign w:val="superscript"/>
        </w:rPr>
        <w:t>9</w:t>
      </w:r>
      <w:r>
        <w:rPr>
          <w:rFonts w:ascii="Arial" w:cs="Arial" w:eastAsia="Arial" w:hAnsi="Arial"/>
          <w:sz w:val="14"/>
          <w:szCs w:val="14"/>
          <w:color w:val="auto"/>
        </w:rPr>
        <w:t xml:space="preserve"> Incentive Stock Plan units restrictions lapse on December 1, 2019.</w:t>
      </w:r>
    </w:p>
    <w:p>
      <w:pPr>
        <w:jc w:val="both"/>
        <w:ind w:left="200" w:right="1360"/>
        <w:spacing w:after="0" w:line="242" w:lineRule="auto"/>
        <w:rPr>
          <w:rFonts w:ascii="Arial" w:cs="Arial" w:eastAsia="Arial" w:hAnsi="Arial"/>
          <w:sz w:val="24"/>
          <w:szCs w:val="24"/>
          <w:color w:val="auto"/>
          <w:vertAlign w:val="superscript"/>
        </w:rPr>
      </w:pPr>
      <w:r>
        <w:rPr>
          <w:rFonts w:ascii="Arial" w:cs="Arial" w:eastAsia="Arial" w:hAnsi="Arial"/>
          <w:sz w:val="24"/>
          <w:szCs w:val="24"/>
          <w:color w:val="auto"/>
          <w:vertAlign w:val="superscript"/>
        </w:rPr>
        <w:t>10</w:t>
      </w:r>
      <w:r>
        <w:rPr>
          <w:rFonts w:ascii="Arial" w:cs="Arial" w:eastAsia="Arial" w:hAnsi="Arial"/>
          <w:sz w:val="14"/>
          <w:szCs w:val="14"/>
          <w:color w:val="auto"/>
        </w:rPr>
        <w:t xml:space="preserve"> The amount for these outstanding awards of PSUs are presented at the target performance levels. The awards generally vest at December 31, 2017. </w:t>
      </w:r>
      <w:r>
        <w:rPr>
          <w:rFonts w:ascii="Arial" w:cs="Arial" w:eastAsia="Arial" w:hAnsi="Arial"/>
          <w:sz w:val="24"/>
          <w:szCs w:val="24"/>
          <w:color w:val="auto"/>
          <w:vertAlign w:val="superscript"/>
        </w:rPr>
        <w:t>11</w:t>
      </w:r>
      <w:r>
        <w:rPr>
          <w:rFonts w:ascii="Arial" w:cs="Arial" w:eastAsia="Arial" w:hAnsi="Arial"/>
          <w:sz w:val="14"/>
          <w:szCs w:val="14"/>
          <w:color w:val="auto"/>
        </w:rPr>
        <w:t xml:space="preserve"> The amount for these outstanding awards of PSUs are presented at the target performance levels. The awards generally vest at December 31, 2018. </w:t>
      </w:r>
      <w:r>
        <w:rPr>
          <w:rFonts w:ascii="Arial" w:cs="Arial" w:eastAsia="Arial" w:hAnsi="Arial"/>
          <w:sz w:val="24"/>
          <w:szCs w:val="24"/>
          <w:color w:val="auto"/>
          <w:vertAlign w:val="superscript"/>
        </w:rPr>
        <w:t>12</w:t>
      </w:r>
      <w:r>
        <w:rPr>
          <w:rFonts w:ascii="Arial" w:cs="Arial" w:eastAsia="Arial" w:hAnsi="Arial"/>
          <w:sz w:val="14"/>
          <w:szCs w:val="14"/>
          <w:color w:val="auto"/>
        </w:rPr>
        <w:t xml:space="preserve"> The amount for these outstanding awards of PSUs are presented at the target performance levels. The awards generally vest at December 31, 2019.</w:t>
      </w:r>
    </w:p>
    <w:p>
      <w:pPr>
        <w:spacing w:after="0" w:line="3" w:lineRule="exact"/>
        <w:rPr>
          <w:sz w:val="20"/>
          <w:szCs w:val="20"/>
          <w:color w:val="auto"/>
        </w:rPr>
      </w:pPr>
    </w:p>
    <w:p>
      <w:pPr>
        <w:jc w:val="both"/>
        <w:ind w:left="400" w:right="20" w:hanging="196"/>
        <w:spacing w:after="0" w:line="211" w:lineRule="auto"/>
        <w:tabs>
          <w:tab w:leader="none" w:pos="400" w:val="left"/>
        </w:tabs>
        <w:numPr>
          <w:ilvl w:val="0"/>
          <w:numId w:val="111"/>
        </w:numPr>
        <w:rPr>
          <w:rFonts w:ascii="Arial" w:cs="Arial" w:eastAsia="Arial" w:hAnsi="Arial"/>
          <w:sz w:val="24"/>
          <w:szCs w:val="24"/>
          <w:color w:val="auto"/>
          <w:vertAlign w:val="superscript"/>
        </w:rPr>
      </w:pPr>
      <w:r>
        <w:rPr>
          <w:rFonts w:ascii="Arial" w:cs="Arial" w:eastAsia="Arial" w:hAnsi="Arial"/>
          <w:sz w:val="14"/>
          <w:szCs w:val="14"/>
          <w:color w:val="auto"/>
        </w:rPr>
        <w:t>RSU vests as follows subject to continued employment on the dates of vesting: 1,506 units vest on December 31, 2018, 1,083 units vest on December 31, 2019, and 4,047 units vest on August 21, 2022. If Mr. Nickolas’ employment terminates prior to August 21, 2022 as a result of his voluntary termination or the Company’s termination of Mr. Nickolas for cause, all outstanding RSUs expire and he is required to return to the Company the value of any vested shares of common stock that vested in connection with this award.</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007CBA"/>
        </w:rPr>
        <w:t>Option Exercises and Stock Vested</w:t>
      </w:r>
    </w:p>
    <w:p>
      <w:pPr>
        <w:spacing w:after="0" w:line="242" w:lineRule="exact"/>
        <w:rPr>
          <w:sz w:val="20"/>
          <w:szCs w:val="20"/>
          <w:color w:val="auto"/>
        </w:rPr>
      </w:pPr>
    </w:p>
    <w:p>
      <w:pPr>
        <w:jc w:val="both"/>
        <w:ind w:left="200" w:right="20"/>
        <w:spacing w:after="0" w:line="269" w:lineRule="auto"/>
        <w:rPr>
          <w:sz w:val="20"/>
          <w:szCs w:val="20"/>
          <w:color w:val="auto"/>
        </w:rPr>
      </w:pPr>
      <w:r>
        <w:rPr>
          <w:rFonts w:ascii="Arial" w:cs="Arial" w:eastAsia="Arial" w:hAnsi="Arial"/>
          <w:sz w:val="16"/>
          <w:szCs w:val="16"/>
          <w:color w:val="auto"/>
        </w:rPr>
        <w:t>The table below shows on an aggregated basis for each of the named executive officers information on (1) the exercise of options for the purchase of Martin Marietta’s common stock and (2) the vesting of stock, including RSUs, PSUs and Incentive Stock Plan units, during the last completed fiscal year. There are no awards of stock appreciation rights for Martin Marietta’s common stock or other similar instruments.</w:t>
      </w:r>
    </w:p>
    <w:p>
      <w:pPr>
        <w:spacing w:after="0" w:line="112"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OPTION EXERCISES AND STOCK VESTED TABLE</w:t>
      </w:r>
    </w:p>
    <w:p>
      <w:pPr>
        <w:spacing w:after="0" w:line="240"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6160" w:type="dxa"/>
            <w:vAlign w:val="bottom"/>
            <w:tcBorders>
              <w:right w:val="single" w:sz="8" w:color="007CBA"/>
            </w:tcBorders>
            <w:shd w:val="clear" w:color="auto" w:fill="007CBA"/>
          </w:tcPr>
          <w:p>
            <w:pPr>
              <w:spacing w:after="0"/>
              <w:rPr>
                <w:sz w:val="14"/>
                <w:szCs w:val="14"/>
                <w:color w:val="auto"/>
              </w:rPr>
            </w:pPr>
          </w:p>
        </w:tc>
        <w:tc>
          <w:tcPr>
            <w:tcW w:w="2480" w:type="dxa"/>
            <w:vAlign w:val="bottom"/>
            <w:tcBorders>
              <w:right w:val="single" w:sz="8" w:color="007CBA"/>
            </w:tcBorders>
            <w:gridSpan w:val="2"/>
            <w:shd w:val="clear" w:color="auto" w:fill="007CBA"/>
          </w:tcPr>
          <w:p>
            <w:pPr>
              <w:jc w:val="right"/>
              <w:ind w:right="583"/>
              <w:spacing w:after="0"/>
              <w:rPr>
                <w:sz w:val="20"/>
                <w:szCs w:val="20"/>
                <w:color w:val="auto"/>
              </w:rPr>
            </w:pPr>
            <w:r>
              <w:rPr>
                <w:rFonts w:ascii="Arial" w:cs="Arial" w:eastAsia="Arial" w:hAnsi="Arial"/>
                <w:sz w:val="14"/>
                <w:szCs w:val="14"/>
                <w:b w:val="1"/>
                <w:bCs w:val="1"/>
                <w:color w:val="FFFFFF"/>
              </w:rPr>
              <w:t>OPTION AWARDS</w:t>
            </w:r>
          </w:p>
        </w:tc>
        <w:tc>
          <w:tcPr>
            <w:tcW w:w="2380" w:type="dxa"/>
            <w:vAlign w:val="bottom"/>
            <w:gridSpan w:val="2"/>
            <w:shd w:val="clear" w:color="auto" w:fill="007CBA"/>
          </w:tcPr>
          <w:p>
            <w:pPr>
              <w:jc w:val="right"/>
              <w:ind w:right="544"/>
              <w:spacing w:after="0"/>
              <w:rPr>
                <w:sz w:val="20"/>
                <w:szCs w:val="20"/>
                <w:color w:val="auto"/>
              </w:rPr>
            </w:pPr>
            <w:r>
              <w:rPr>
                <w:rFonts w:ascii="Arial" w:cs="Arial" w:eastAsia="Arial" w:hAnsi="Arial"/>
                <w:sz w:val="14"/>
                <w:szCs w:val="14"/>
                <w:b w:val="1"/>
                <w:bCs w:val="1"/>
                <w:color w:val="FFFFFF"/>
              </w:rPr>
              <w:t>STOCK AWARDS</w:t>
            </w:r>
          </w:p>
        </w:tc>
      </w:tr>
      <w:tr>
        <w:trPr>
          <w:trHeight w:val="160"/>
        </w:trPr>
        <w:tc>
          <w:tcPr>
            <w:tcW w:w="6160" w:type="dxa"/>
            <w:vAlign w:val="bottom"/>
            <w:tcBorders>
              <w:right w:val="single" w:sz="8" w:color="007CBA"/>
            </w:tcBorders>
            <w:shd w:val="clear" w:color="auto" w:fill="007CBA"/>
          </w:tcPr>
          <w:p>
            <w:pPr>
              <w:spacing w:after="0"/>
              <w:rPr>
                <w:sz w:val="13"/>
                <w:szCs w:val="13"/>
                <w:color w:val="auto"/>
              </w:rPr>
            </w:pPr>
          </w:p>
        </w:tc>
        <w:tc>
          <w:tcPr>
            <w:tcW w:w="12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Number</w:t>
            </w:r>
          </w:p>
        </w:tc>
        <w:tc>
          <w:tcPr>
            <w:tcW w:w="1240" w:type="dxa"/>
            <w:vAlign w:val="bottom"/>
            <w:tcBorders>
              <w:right w:val="single" w:sz="8" w:color="007CBA"/>
            </w:tcBorders>
            <w:shd w:val="clear" w:color="auto" w:fill="007CBA"/>
          </w:tcPr>
          <w:p>
            <w:pPr>
              <w:spacing w:after="0"/>
              <w:rPr>
                <w:sz w:val="13"/>
                <w:szCs w:val="13"/>
                <w:color w:val="auto"/>
              </w:rPr>
            </w:pPr>
          </w:p>
        </w:tc>
        <w:tc>
          <w:tcPr>
            <w:tcW w:w="11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Number of</w:t>
            </w:r>
          </w:p>
        </w:tc>
        <w:tc>
          <w:tcPr>
            <w:tcW w:w="1220" w:type="dxa"/>
            <w:vAlign w:val="bottom"/>
            <w:shd w:val="clear" w:color="auto" w:fill="007CBA"/>
          </w:tcPr>
          <w:p>
            <w:pPr>
              <w:spacing w:after="0"/>
              <w:rPr>
                <w:sz w:val="13"/>
                <w:szCs w:val="13"/>
                <w:color w:val="auto"/>
              </w:rPr>
            </w:pPr>
          </w:p>
        </w:tc>
      </w:tr>
      <w:tr>
        <w:trPr>
          <w:trHeight w:val="162"/>
        </w:trPr>
        <w:tc>
          <w:tcPr>
            <w:tcW w:w="6160" w:type="dxa"/>
            <w:vAlign w:val="bottom"/>
            <w:tcBorders>
              <w:right w:val="single" w:sz="8" w:color="007CBA"/>
            </w:tcBorders>
            <w:shd w:val="clear" w:color="auto" w:fill="007CBA"/>
          </w:tcPr>
          <w:p>
            <w:pPr>
              <w:spacing w:after="0"/>
              <w:rPr>
                <w:sz w:val="14"/>
                <w:szCs w:val="14"/>
                <w:color w:val="auto"/>
              </w:rPr>
            </w:pPr>
          </w:p>
        </w:tc>
        <w:tc>
          <w:tcPr>
            <w:tcW w:w="12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of Shares</w:t>
            </w:r>
          </w:p>
        </w:tc>
        <w:tc>
          <w:tcPr>
            <w:tcW w:w="12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Value</w:t>
            </w:r>
          </w:p>
        </w:tc>
        <w:tc>
          <w:tcPr>
            <w:tcW w:w="11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Shares</w:t>
            </w:r>
          </w:p>
        </w:tc>
        <w:tc>
          <w:tcPr>
            <w:tcW w:w="122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Value</w:t>
            </w:r>
          </w:p>
        </w:tc>
      </w:tr>
      <w:tr>
        <w:trPr>
          <w:trHeight w:val="159"/>
        </w:trPr>
        <w:tc>
          <w:tcPr>
            <w:tcW w:w="6160" w:type="dxa"/>
            <w:vAlign w:val="bottom"/>
            <w:tcBorders>
              <w:right w:val="single" w:sz="8" w:color="007CBA"/>
            </w:tcBorders>
            <w:shd w:val="clear" w:color="auto" w:fill="007CBA"/>
          </w:tcPr>
          <w:p>
            <w:pPr>
              <w:spacing w:after="0"/>
              <w:rPr>
                <w:sz w:val="13"/>
                <w:szCs w:val="13"/>
                <w:color w:val="auto"/>
              </w:rPr>
            </w:pPr>
          </w:p>
        </w:tc>
        <w:tc>
          <w:tcPr>
            <w:tcW w:w="1240" w:type="dxa"/>
            <w:vAlign w:val="bottom"/>
            <w:tcBorders>
              <w:right w:val="single" w:sz="8" w:color="007CBA"/>
            </w:tcBorders>
            <w:shd w:val="clear" w:color="auto" w:fill="007CBA"/>
          </w:tcPr>
          <w:p>
            <w:pPr>
              <w:jc w:val="center"/>
              <w:spacing w:after="0" w:line="159" w:lineRule="exact"/>
              <w:rPr>
                <w:sz w:val="20"/>
                <w:szCs w:val="20"/>
                <w:color w:val="auto"/>
              </w:rPr>
            </w:pPr>
            <w:r>
              <w:rPr>
                <w:rFonts w:ascii="Arial" w:cs="Arial" w:eastAsia="Arial" w:hAnsi="Arial"/>
                <w:sz w:val="14"/>
                <w:szCs w:val="14"/>
                <w:b w:val="1"/>
                <w:bCs w:val="1"/>
                <w:color w:val="FFFFFF"/>
              </w:rPr>
              <w:t>Acquired</w:t>
            </w:r>
          </w:p>
        </w:tc>
        <w:tc>
          <w:tcPr>
            <w:tcW w:w="1240" w:type="dxa"/>
            <w:vAlign w:val="bottom"/>
            <w:tcBorders>
              <w:right w:val="single" w:sz="8" w:color="007CBA"/>
            </w:tcBorders>
            <w:shd w:val="clear" w:color="auto" w:fill="007CBA"/>
          </w:tcPr>
          <w:p>
            <w:pPr>
              <w:jc w:val="center"/>
              <w:spacing w:after="0" w:line="159" w:lineRule="exact"/>
              <w:rPr>
                <w:sz w:val="20"/>
                <w:szCs w:val="20"/>
                <w:color w:val="auto"/>
              </w:rPr>
            </w:pPr>
            <w:r>
              <w:rPr>
                <w:rFonts w:ascii="Arial" w:cs="Arial" w:eastAsia="Arial" w:hAnsi="Arial"/>
                <w:sz w:val="14"/>
                <w:szCs w:val="14"/>
                <w:b w:val="1"/>
                <w:bCs w:val="1"/>
                <w:color w:val="FFFFFF"/>
              </w:rPr>
              <w:t>Realized</w:t>
            </w:r>
          </w:p>
        </w:tc>
        <w:tc>
          <w:tcPr>
            <w:tcW w:w="1160" w:type="dxa"/>
            <w:vAlign w:val="bottom"/>
            <w:tcBorders>
              <w:right w:val="single" w:sz="8" w:color="007CBA"/>
            </w:tcBorders>
            <w:shd w:val="clear" w:color="auto" w:fill="007CBA"/>
          </w:tcPr>
          <w:p>
            <w:pPr>
              <w:jc w:val="center"/>
              <w:spacing w:after="0" w:line="159" w:lineRule="exact"/>
              <w:rPr>
                <w:sz w:val="20"/>
                <w:szCs w:val="20"/>
                <w:color w:val="auto"/>
              </w:rPr>
            </w:pPr>
            <w:r>
              <w:rPr>
                <w:rFonts w:ascii="Arial" w:cs="Arial" w:eastAsia="Arial" w:hAnsi="Arial"/>
                <w:sz w:val="14"/>
                <w:szCs w:val="14"/>
                <w:b w:val="1"/>
                <w:bCs w:val="1"/>
                <w:color w:val="FFFFFF"/>
              </w:rPr>
              <w:t>Acquired</w:t>
            </w:r>
          </w:p>
        </w:tc>
        <w:tc>
          <w:tcPr>
            <w:tcW w:w="1220" w:type="dxa"/>
            <w:vAlign w:val="bottom"/>
            <w:shd w:val="clear" w:color="auto" w:fill="007CBA"/>
          </w:tcPr>
          <w:p>
            <w:pPr>
              <w:jc w:val="center"/>
              <w:spacing w:after="0" w:line="159" w:lineRule="exact"/>
              <w:rPr>
                <w:sz w:val="20"/>
                <w:szCs w:val="20"/>
                <w:color w:val="auto"/>
              </w:rPr>
            </w:pPr>
            <w:r>
              <w:rPr>
                <w:rFonts w:ascii="Arial" w:cs="Arial" w:eastAsia="Arial" w:hAnsi="Arial"/>
                <w:sz w:val="14"/>
                <w:szCs w:val="14"/>
                <w:b w:val="1"/>
                <w:bCs w:val="1"/>
                <w:color w:val="FFFFFF"/>
              </w:rPr>
              <w:t>Realized</w:t>
            </w:r>
          </w:p>
        </w:tc>
      </w:tr>
      <w:tr>
        <w:trPr>
          <w:trHeight w:val="166"/>
        </w:trPr>
        <w:tc>
          <w:tcPr>
            <w:tcW w:w="6160" w:type="dxa"/>
            <w:vAlign w:val="bottom"/>
            <w:tcBorders>
              <w:right w:val="single" w:sz="8" w:color="007CBA"/>
            </w:tcBorders>
            <w:shd w:val="clear" w:color="auto" w:fill="007CBA"/>
          </w:tcPr>
          <w:p>
            <w:pPr>
              <w:spacing w:after="0"/>
              <w:rPr>
                <w:sz w:val="14"/>
                <w:szCs w:val="14"/>
                <w:color w:val="auto"/>
              </w:rPr>
            </w:pPr>
          </w:p>
        </w:tc>
        <w:tc>
          <w:tcPr>
            <w:tcW w:w="12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on Exercise</w:t>
            </w:r>
          </w:p>
        </w:tc>
        <w:tc>
          <w:tcPr>
            <w:tcW w:w="12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on Exercise</w:t>
            </w:r>
          </w:p>
        </w:tc>
        <w:tc>
          <w:tcPr>
            <w:tcW w:w="11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on Vesting</w:t>
            </w:r>
          </w:p>
        </w:tc>
        <w:tc>
          <w:tcPr>
            <w:tcW w:w="1220" w:type="dxa"/>
            <w:vAlign w:val="bottom"/>
            <w:shd w:val="clear" w:color="auto" w:fill="007CBA"/>
          </w:tcPr>
          <w:p>
            <w:pPr>
              <w:jc w:val="center"/>
              <w:spacing w:after="0" w:line="165" w:lineRule="exact"/>
              <w:rPr>
                <w:sz w:val="20"/>
                <w:szCs w:val="20"/>
                <w:color w:val="auto"/>
              </w:rPr>
            </w:pPr>
            <w:r>
              <w:rPr>
                <w:rFonts w:ascii="Arial" w:cs="Arial" w:eastAsia="Arial" w:hAnsi="Arial"/>
                <w:sz w:val="12"/>
                <w:szCs w:val="12"/>
                <w:b w:val="1"/>
                <w:bCs w:val="1"/>
                <w:color w:val="FFFFFF"/>
              </w:rPr>
              <w:t>on Vesting</w:t>
            </w:r>
            <w:r>
              <w:rPr>
                <w:rFonts w:ascii="Arial" w:cs="Arial" w:eastAsia="Arial" w:hAnsi="Arial"/>
                <w:sz w:val="19"/>
                <w:szCs w:val="19"/>
                <w:b w:val="1"/>
                <w:bCs w:val="1"/>
                <w:color w:val="FFFFFF"/>
                <w:vertAlign w:val="superscript"/>
              </w:rPr>
              <w:t>1</w:t>
            </w:r>
          </w:p>
        </w:tc>
      </w:tr>
      <w:tr>
        <w:trPr>
          <w:trHeight w:val="162"/>
        </w:trPr>
        <w:tc>
          <w:tcPr>
            <w:tcW w:w="616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4"/>
                <w:szCs w:val="14"/>
                <w:b w:val="1"/>
                <w:bCs w:val="1"/>
                <w:color w:val="FFFFFF"/>
              </w:rPr>
              <w:t>Name</w:t>
            </w:r>
          </w:p>
        </w:tc>
        <w:tc>
          <w:tcPr>
            <w:tcW w:w="12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12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11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122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r>
      <w:tr>
        <w:trPr>
          <w:trHeight w:val="191"/>
        </w:trPr>
        <w:tc>
          <w:tcPr>
            <w:tcW w:w="616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4"/>
                <w:szCs w:val="14"/>
                <w:b w:val="1"/>
                <w:bCs w:val="1"/>
                <w:color w:val="FFFFFF"/>
              </w:rPr>
              <w:t>(a)</w:t>
            </w:r>
          </w:p>
        </w:tc>
        <w:tc>
          <w:tcPr>
            <w:tcW w:w="12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(b)</w:t>
            </w:r>
          </w:p>
        </w:tc>
        <w:tc>
          <w:tcPr>
            <w:tcW w:w="12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(c)</w:t>
            </w:r>
          </w:p>
        </w:tc>
        <w:tc>
          <w:tcPr>
            <w:tcW w:w="11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(d)</w:t>
            </w:r>
          </w:p>
        </w:tc>
        <w:tc>
          <w:tcPr>
            <w:tcW w:w="122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(e)</w:t>
            </w:r>
          </w:p>
        </w:tc>
      </w:tr>
      <w:tr>
        <w:trPr>
          <w:trHeight w:val="189"/>
        </w:trPr>
        <w:tc>
          <w:tcPr>
            <w:tcW w:w="6160" w:type="dxa"/>
            <w:vAlign w:val="bottom"/>
            <w:tcBorders>
              <w:right w:val="single" w:sz="8" w:color="007CBA"/>
            </w:tcBorders>
          </w:tcPr>
          <w:p>
            <w:pPr>
              <w:ind w:left="60"/>
              <w:spacing w:after="0"/>
              <w:rPr>
                <w:sz w:val="20"/>
                <w:szCs w:val="20"/>
                <w:color w:val="auto"/>
              </w:rPr>
            </w:pPr>
            <w:r>
              <w:rPr>
                <w:rFonts w:ascii="Arial" w:cs="Arial" w:eastAsia="Arial" w:hAnsi="Arial"/>
                <w:sz w:val="16"/>
                <w:szCs w:val="16"/>
                <w:b w:val="1"/>
                <w:bCs w:val="1"/>
                <w:color w:val="auto"/>
              </w:rPr>
              <w:t>C. Howard Nye</w:t>
            </w:r>
          </w:p>
        </w:tc>
        <w:tc>
          <w:tcPr>
            <w:tcW w:w="1240" w:type="dxa"/>
            <w:vAlign w:val="bottom"/>
            <w:tcBorders>
              <w:right w:val="single" w:sz="8" w:color="007CBA"/>
            </w:tcBorders>
          </w:tcPr>
          <w:p>
            <w:pPr>
              <w:jc w:val="right"/>
              <w:ind w:right="164"/>
              <w:spacing w:after="0"/>
              <w:rPr>
                <w:sz w:val="20"/>
                <w:szCs w:val="20"/>
                <w:color w:val="auto"/>
              </w:rPr>
            </w:pPr>
            <w:r>
              <w:rPr>
                <w:rFonts w:ascii="Arial" w:cs="Arial" w:eastAsia="Arial" w:hAnsi="Arial"/>
                <w:sz w:val="16"/>
                <w:szCs w:val="16"/>
                <w:color w:val="auto"/>
              </w:rPr>
              <w:t>15,039</w:t>
            </w:r>
          </w:p>
        </w:tc>
        <w:tc>
          <w:tcPr>
            <w:tcW w:w="1240" w:type="dxa"/>
            <w:vAlign w:val="bottom"/>
            <w:tcBorders>
              <w:right w:val="single" w:sz="8" w:color="007CBA"/>
            </w:tcBorders>
          </w:tcPr>
          <w:p>
            <w:pPr>
              <w:jc w:val="right"/>
              <w:ind w:right="163"/>
              <w:spacing w:after="0"/>
              <w:rPr>
                <w:sz w:val="20"/>
                <w:szCs w:val="20"/>
                <w:color w:val="auto"/>
              </w:rPr>
            </w:pPr>
            <w:r>
              <w:rPr>
                <w:rFonts w:ascii="Arial" w:cs="Arial" w:eastAsia="Arial" w:hAnsi="Arial"/>
                <w:sz w:val="16"/>
                <w:szCs w:val="16"/>
                <w:color w:val="auto"/>
              </w:rPr>
              <w:t>2,396,740</w:t>
            </w:r>
          </w:p>
        </w:tc>
        <w:tc>
          <w:tcPr>
            <w:tcW w:w="1160" w:type="dxa"/>
            <w:vAlign w:val="bottom"/>
            <w:tcBorders>
              <w:right w:val="single" w:sz="8" w:color="007CBA"/>
            </w:tcBorders>
          </w:tcPr>
          <w:p>
            <w:pPr>
              <w:jc w:val="right"/>
              <w:ind w:right="164"/>
              <w:spacing w:after="0"/>
              <w:rPr>
                <w:sz w:val="20"/>
                <w:szCs w:val="20"/>
                <w:color w:val="auto"/>
              </w:rPr>
            </w:pPr>
            <w:r>
              <w:rPr>
                <w:rFonts w:ascii="Arial" w:cs="Arial" w:eastAsia="Arial" w:hAnsi="Arial"/>
                <w:sz w:val="16"/>
                <w:szCs w:val="16"/>
                <w:color w:val="auto"/>
              </w:rPr>
              <w:t>20,108</w:t>
            </w:r>
          </w:p>
        </w:tc>
        <w:tc>
          <w:tcPr>
            <w:tcW w:w="1220" w:type="dxa"/>
            <w:vAlign w:val="bottom"/>
          </w:tcPr>
          <w:p>
            <w:pPr>
              <w:jc w:val="right"/>
              <w:ind w:right="164"/>
              <w:spacing w:after="0"/>
              <w:rPr>
                <w:sz w:val="20"/>
                <w:szCs w:val="20"/>
                <w:color w:val="auto"/>
              </w:rPr>
            </w:pPr>
            <w:r>
              <w:rPr>
                <w:rFonts w:ascii="Arial" w:cs="Arial" w:eastAsia="Arial" w:hAnsi="Arial"/>
                <w:sz w:val="16"/>
                <w:szCs w:val="16"/>
                <w:color w:val="auto"/>
              </w:rPr>
              <w:t>3,854,461</w:t>
            </w:r>
          </w:p>
        </w:tc>
      </w:tr>
      <w:tr>
        <w:trPr>
          <w:trHeight w:val="189"/>
        </w:trPr>
        <w:tc>
          <w:tcPr>
            <w:tcW w:w="616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6"/>
                <w:szCs w:val="16"/>
                <w:b w:val="1"/>
                <w:bCs w:val="1"/>
                <w:color w:val="auto"/>
              </w:rPr>
              <w:t>James A. J. Nickolas</w:t>
            </w:r>
          </w:p>
        </w:tc>
        <w:tc>
          <w:tcPr>
            <w:tcW w:w="1240" w:type="dxa"/>
            <w:vAlign w:val="bottom"/>
            <w:tcBorders>
              <w:right w:val="single" w:sz="8" w:color="007CBA"/>
            </w:tcBorders>
            <w:shd w:val="clear" w:color="auto" w:fill="E5F1F8"/>
          </w:tcPr>
          <w:p>
            <w:pPr>
              <w:jc w:val="right"/>
              <w:ind w:right="164"/>
              <w:spacing w:after="0"/>
              <w:rPr>
                <w:sz w:val="20"/>
                <w:szCs w:val="20"/>
                <w:color w:val="auto"/>
              </w:rPr>
            </w:pPr>
            <w:r>
              <w:rPr>
                <w:rFonts w:ascii="Arial" w:cs="Arial" w:eastAsia="Arial" w:hAnsi="Arial"/>
                <w:sz w:val="16"/>
                <w:szCs w:val="16"/>
                <w:color w:val="auto"/>
              </w:rPr>
              <w:t>0</w:t>
            </w:r>
          </w:p>
        </w:tc>
        <w:tc>
          <w:tcPr>
            <w:tcW w:w="1240" w:type="dxa"/>
            <w:vAlign w:val="bottom"/>
            <w:tcBorders>
              <w:right w:val="single" w:sz="8" w:color="007CBA"/>
            </w:tcBorders>
            <w:shd w:val="clear" w:color="auto" w:fill="E5F1F8"/>
          </w:tcPr>
          <w:p>
            <w:pPr>
              <w:jc w:val="right"/>
              <w:ind w:right="163"/>
              <w:spacing w:after="0"/>
              <w:rPr>
                <w:sz w:val="20"/>
                <w:szCs w:val="20"/>
                <w:color w:val="auto"/>
              </w:rPr>
            </w:pPr>
            <w:r>
              <w:rPr>
                <w:rFonts w:ascii="Arial" w:cs="Arial" w:eastAsia="Arial" w:hAnsi="Arial"/>
                <w:sz w:val="16"/>
                <w:szCs w:val="16"/>
                <w:color w:val="auto"/>
              </w:rPr>
              <w:t>0</w:t>
            </w:r>
          </w:p>
        </w:tc>
        <w:tc>
          <w:tcPr>
            <w:tcW w:w="1160" w:type="dxa"/>
            <w:vAlign w:val="bottom"/>
            <w:tcBorders>
              <w:right w:val="single" w:sz="8" w:color="007CBA"/>
            </w:tcBorders>
            <w:shd w:val="clear" w:color="auto" w:fill="E5F1F8"/>
          </w:tcPr>
          <w:p>
            <w:pPr>
              <w:jc w:val="right"/>
              <w:ind w:right="164"/>
              <w:spacing w:after="0"/>
              <w:rPr>
                <w:sz w:val="20"/>
                <w:szCs w:val="20"/>
                <w:color w:val="auto"/>
              </w:rPr>
            </w:pPr>
            <w:r>
              <w:rPr>
                <w:rFonts w:ascii="Arial" w:cs="Arial" w:eastAsia="Arial" w:hAnsi="Arial"/>
                <w:sz w:val="16"/>
                <w:szCs w:val="16"/>
                <w:color w:val="auto"/>
              </w:rPr>
              <w:t>0</w:t>
            </w:r>
          </w:p>
        </w:tc>
        <w:tc>
          <w:tcPr>
            <w:tcW w:w="1220" w:type="dxa"/>
            <w:vAlign w:val="bottom"/>
            <w:shd w:val="clear" w:color="auto" w:fill="E5F1F8"/>
          </w:tcPr>
          <w:p>
            <w:pPr>
              <w:jc w:val="right"/>
              <w:ind w:right="164"/>
              <w:spacing w:after="0"/>
              <w:rPr>
                <w:sz w:val="20"/>
                <w:szCs w:val="20"/>
                <w:color w:val="auto"/>
              </w:rPr>
            </w:pPr>
            <w:r>
              <w:rPr>
                <w:rFonts w:ascii="Arial" w:cs="Arial" w:eastAsia="Arial" w:hAnsi="Arial"/>
                <w:sz w:val="16"/>
                <w:szCs w:val="16"/>
                <w:color w:val="auto"/>
              </w:rPr>
              <w:t>0</w:t>
            </w:r>
          </w:p>
        </w:tc>
      </w:tr>
      <w:tr>
        <w:trPr>
          <w:trHeight w:val="189"/>
        </w:trPr>
        <w:tc>
          <w:tcPr>
            <w:tcW w:w="6160" w:type="dxa"/>
            <w:vAlign w:val="bottom"/>
            <w:tcBorders>
              <w:right w:val="single" w:sz="8" w:color="007CBA"/>
            </w:tcBorders>
          </w:tcPr>
          <w:p>
            <w:pPr>
              <w:ind w:left="60"/>
              <w:spacing w:after="0"/>
              <w:rPr>
                <w:sz w:val="20"/>
                <w:szCs w:val="20"/>
                <w:color w:val="auto"/>
              </w:rPr>
            </w:pPr>
            <w:r>
              <w:rPr>
                <w:rFonts w:ascii="Arial" w:cs="Arial" w:eastAsia="Arial" w:hAnsi="Arial"/>
                <w:sz w:val="16"/>
                <w:szCs w:val="16"/>
                <w:b w:val="1"/>
                <w:bCs w:val="1"/>
                <w:color w:val="auto"/>
              </w:rPr>
              <w:t>Roselyn R. Bar</w:t>
            </w:r>
          </w:p>
        </w:tc>
        <w:tc>
          <w:tcPr>
            <w:tcW w:w="1240" w:type="dxa"/>
            <w:vAlign w:val="bottom"/>
            <w:tcBorders>
              <w:right w:val="single" w:sz="8" w:color="007CBA"/>
            </w:tcBorders>
          </w:tcPr>
          <w:p>
            <w:pPr>
              <w:jc w:val="right"/>
              <w:ind w:right="164"/>
              <w:spacing w:after="0"/>
              <w:rPr>
                <w:sz w:val="20"/>
                <w:szCs w:val="20"/>
                <w:color w:val="auto"/>
              </w:rPr>
            </w:pPr>
            <w:r>
              <w:rPr>
                <w:rFonts w:ascii="Arial" w:cs="Arial" w:eastAsia="Arial" w:hAnsi="Arial"/>
                <w:sz w:val="16"/>
                <w:szCs w:val="16"/>
                <w:color w:val="auto"/>
              </w:rPr>
              <w:t>0</w:t>
            </w:r>
          </w:p>
        </w:tc>
        <w:tc>
          <w:tcPr>
            <w:tcW w:w="1240" w:type="dxa"/>
            <w:vAlign w:val="bottom"/>
            <w:tcBorders>
              <w:right w:val="single" w:sz="8" w:color="007CBA"/>
            </w:tcBorders>
          </w:tcPr>
          <w:p>
            <w:pPr>
              <w:jc w:val="right"/>
              <w:ind w:right="163"/>
              <w:spacing w:after="0"/>
              <w:rPr>
                <w:sz w:val="20"/>
                <w:szCs w:val="20"/>
                <w:color w:val="auto"/>
              </w:rPr>
            </w:pPr>
            <w:r>
              <w:rPr>
                <w:rFonts w:ascii="Arial" w:cs="Arial" w:eastAsia="Arial" w:hAnsi="Arial"/>
                <w:sz w:val="16"/>
                <w:szCs w:val="16"/>
                <w:color w:val="auto"/>
              </w:rPr>
              <w:t>0</w:t>
            </w:r>
          </w:p>
        </w:tc>
        <w:tc>
          <w:tcPr>
            <w:tcW w:w="1160" w:type="dxa"/>
            <w:vAlign w:val="bottom"/>
            <w:tcBorders>
              <w:right w:val="single" w:sz="8" w:color="007CBA"/>
            </w:tcBorders>
          </w:tcPr>
          <w:p>
            <w:pPr>
              <w:jc w:val="right"/>
              <w:ind w:right="164"/>
              <w:spacing w:after="0"/>
              <w:rPr>
                <w:sz w:val="20"/>
                <w:szCs w:val="20"/>
                <w:color w:val="auto"/>
              </w:rPr>
            </w:pPr>
            <w:r>
              <w:rPr>
                <w:rFonts w:ascii="Arial" w:cs="Arial" w:eastAsia="Arial" w:hAnsi="Arial"/>
                <w:sz w:val="16"/>
                <w:szCs w:val="16"/>
                <w:color w:val="auto"/>
              </w:rPr>
              <w:t>5,175</w:t>
            </w:r>
          </w:p>
        </w:tc>
        <w:tc>
          <w:tcPr>
            <w:tcW w:w="1220" w:type="dxa"/>
            <w:vAlign w:val="bottom"/>
          </w:tcPr>
          <w:p>
            <w:pPr>
              <w:jc w:val="right"/>
              <w:ind w:right="164"/>
              <w:spacing w:after="0"/>
              <w:rPr>
                <w:sz w:val="20"/>
                <w:szCs w:val="20"/>
                <w:color w:val="auto"/>
              </w:rPr>
            </w:pPr>
            <w:r>
              <w:rPr>
                <w:rFonts w:ascii="Arial" w:cs="Arial" w:eastAsia="Arial" w:hAnsi="Arial"/>
                <w:sz w:val="16"/>
                <w:szCs w:val="16"/>
                <w:color w:val="auto"/>
              </w:rPr>
              <w:t>1,054,936</w:t>
            </w:r>
          </w:p>
        </w:tc>
      </w:tr>
      <w:tr>
        <w:trPr>
          <w:trHeight w:val="189"/>
        </w:trPr>
        <w:tc>
          <w:tcPr>
            <w:tcW w:w="616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6"/>
                <w:szCs w:val="16"/>
                <w:b w:val="1"/>
                <w:bCs w:val="1"/>
                <w:color w:val="auto"/>
              </w:rPr>
              <w:t>Donald A. McCunniff</w:t>
            </w:r>
          </w:p>
        </w:tc>
        <w:tc>
          <w:tcPr>
            <w:tcW w:w="1240" w:type="dxa"/>
            <w:vAlign w:val="bottom"/>
            <w:tcBorders>
              <w:right w:val="single" w:sz="8" w:color="007CBA"/>
            </w:tcBorders>
            <w:shd w:val="clear" w:color="auto" w:fill="E5F1F8"/>
          </w:tcPr>
          <w:p>
            <w:pPr>
              <w:jc w:val="right"/>
              <w:ind w:right="164"/>
              <w:spacing w:after="0"/>
              <w:rPr>
                <w:sz w:val="20"/>
                <w:szCs w:val="20"/>
                <w:color w:val="auto"/>
              </w:rPr>
            </w:pPr>
            <w:r>
              <w:rPr>
                <w:rFonts w:ascii="Arial" w:cs="Arial" w:eastAsia="Arial" w:hAnsi="Arial"/>
                <w:sz w:val="16"/>
                <w:szCs w:val="16"/>
                <w:color w:val="auto"/>
              </w:rPr>
              <w:t>1,819</w:t>
            </w:r>
          </w:p>
        </w:tc>
        <w:tc>
          <w:tcPr>
            <w:tcW w:w="1240" w:type="dxa"/>
            <w:vAlign w:val="bottom"/>
            <w:tcBorders>
              <w:right w:val="single" w:sz="8" w:color="007CBA"/>
            </w:tcBorders>
            <w:shd w:val="clear" w:color="auto" w:fill="E5F1F8"/>
          </w:tcPr>
          <w:p>
            <w:pPr>
              <w:jc w:val="right"/>
              <w:ind w:right="163"/>
              <w:spacing w:after="0"/>
              <w:rPr>
                <w:sz w:val="20"/>
                <w:szCs w:val="20"/>
                <w:color w:val="auto"/>
              </w:rPr>
            </w:pPr>
            <w:r>
              <w:rPr>
                <w:rFonts w:ascii="Arial" w:cs="Arial" w:eastAsia="Arial" w:hAnsi="Arial"/>
                <w:sz w:val="16"/>
                <w:szCs w:val="16"/>
                <w:color w:val="auto"/>
              </w:rPr>
              <w:t>308,057</w:t>
            </w:r>
          </w:p>
        </w:tc>
        <w:tc>
          <w:tcPr>
            <w:tcW w:w="1160" w:type="dxa"/>
            <w:vAlign w:val="bottom"/>
            <w:tcBorders>
              <w:right w:val="single" w:sz="8" w:color="007CBA"/>
            </w:tcBorders>
            <w:shd w:val="clear" w:color="auto" w:fill="E5F1F8"/>
          </w:tcPr>
          <w:p>
            <w:pPr>
              <w:jc w:val="right"/>
              <w:ind w:right="164"/>
              <w:spacing w:after="0"/>
              <w:rPr>
                <w:sz w:val="20"/>
                <w:szCs w:val="20"/>
                <w:color w:val="auto"/>
              </w:rPr>
            </w:pPr>
            <w:r>
              <w:rPr>
                <w:rFonts w:ascii="Arial" w:cs="Arial" w:eastAsia="Arial" w:hAnsi="Arial"/>
                <w:sz w:val="16"/>
                <w:szCs w:val="16"/>
                <w:color w:val="auto"/>
              </w:rPr>
              <w:t>3,789</w:t>
            </w:r>
          </w:p>
        </w:tc>
        <w:tc>
          <w:tcPr>
            <w:tcW w:w="1220" w:type="dxa"/>
            <w:vAlign w:val="bottom"/>
            <w:shd w:val="clear" w:color="auto" w:fill="E5F1F8"/>
          </w:tcPr>
          <w:p>
            <w:pPr>
              <w:jc w:val="right"/>
              <w:ind w:right="164"/>
              <w:spacing w:after="0"/>
              <w:rPr>
                <w:sz w:val="20"/>
                <w:szCs w:val="20"/>
                <w:color w:val="auto"/>
              </w:rPr>
            </w:pPr>
            <w:r>
              <w:rPr>
                <w:rFonts w:ascii="Arial" w:cs="Arial" w:eastAsia="Arial" w:hAnsi="Arial"/>
                <w:sz w:val="16"/>
                <w:szCs w:val="16"/>
                <w:color w:val="auto"/>
              </w:rPr>
              <w:t>792,065</w:t>
            </w:r>
          </w:p>
        </w:tc>
      </w:tr>
      <w:tr>
        <w:trPr>
          <w:trHeight w:val="189"/>
        </w:trPr>
        <w:tc>
          <w:tcPr>
            <w:tcW w:w="6160" w:type="dxa"/>
            <w:vAlign w:val="bottom"/>
            <w:tcBorders>
              <w:right w:val="single" w:sz="8" w:color="007CBA"/>
            </w:tcBorders>
          </w:tcPr>
          <w:p>
            <w:pPr>
              <w:ind w:left="60"/>
              <w:spacing w:after="0"/>
              <w:rPr>
                <w:sz w:val="20"/>
                <w:szCs w:val="20"/>
                <w:color w:val="auto"/>
              </w:rPr>
            </w:pPr>
            <w:r>
              <w:rPr>
                <w:rFonts w:ascii="Arial" w:cs="Arial" w:eastAsia="Arial" w:hAnsi="Arial"/>
                <w:sz w:val="16"/>
                <w:szCs w:val="16"/>
                <w:b w:val="1"/>
                <w:bCs w:val="1"/>
                <w:color w:val="auto"/>
              </w:rPr>
              <w:t>Daniel L. Grant</w:t>
            </w:r>
          </w:p>
        </w:tc>
        <w:tc>
          <w:tcPr>
            <w:tcW w:w="1240" w:type="dxa"/>
            <w:vAlign w:val="bottom"/>
            <w:tcBorders>
              <w:right w:val="single" w:sz="8" w:color="007CBA"/>
            </w:tcBorders>
          </w:tcPr>
          <w:p>
            <w:pPr>
              <w:jc w:val="right"/>
              <w:ind w:right="164"/>
              <w:spacing w:after="0"/>
              <w:rPr>
                <w:sz w:val="20"/>
                <w:szCs w:val="20"/>
                <w:color w:val="auto"/>
              </w:rPr>
            </w:pPr>
            <w:r>
              <w:rPr>
                <w:rFonts w:ascii="Arial" w:cs="Arial" w:eastAsia="Arial" w:hAnsi="Arial"/>
                <w:sz w:val="16"/>
                <w:szCs w:val="16"/>
                <w:color w:val="auto"/>
              </w:rPr>
              <w:t>0</w:t>
            </w:r>
          </w:p>
        </w:tc>
        <w:tc>
          <w:tcPr>
            <w:tcW w:w="1240" w:type="dxa"/>
            <w:vAlign w:val="bottom"/>
            <w:tcBorders>
              <w:right w:val="single" w:sz="8" w:color="007CBA"/>
            </w:tcBorders>
          </w:tcPr>
          <w:p>
            <w:pPr>
              <w:jc w:val="right"/>
              <w:ind w:right="163"/>
              <w:spacing w:after="0"/>
              <w:rPr>
                <w:sz w:val="20"/>
                <w:szCs w:val="20"/>
                <w:color w:val="auto"/>
              </w:rPr>
            </w:pPr>
            <w:r>
              <w:rPr>
                <w:rFonts w:ascii="Arial" w:cs="Arial" w:eastAsia="Arial" w:hAnsi="Arial"/>
                <w:sz w:val="16"/>
                <w:szCs w:val="16"/>
                <w:color w:val="auto"/>
              </w:rPr>
              <w:t>0</w:t>
            </w:r>
          </w:p>
        </w:tc>
        <w:tc>
          <w:tcPr>
            <w:tcW w:w="1160" w:type="dxa"/>
            <w:vAlign w:val="bottom"/>
            <w:tcBorders>
              <w:right w:val="single" w:sz="8" w:color="007CBA"/>
            </w:tcBorders>
          </w:tcPr>
          <w:p>
            <w:pPr>
              <w:jc w:val="right"/>
              <w:ind w:right="164"/>
              <w:spacing w:after="0"/>
              <w:rPr>
                <w:sz w:val="20"/>
                <w:szCs w:val="20"/>
                <w:color w:val="auto"/>
              </w:rPr>
            </w:pPr>
            <w:r>
              <w:rPr>
                <w:rFonts w:ascii="Arial" w:cs="Arial" w:eastAsia="Arial" w:hAnsi="Arial"/>
                <w:sz w:val="16"/>
                <w:szCs w:val="16"/>
                <w:color w:val="auto"/>
              </w:rPr>
              <w:t>3,085</w:t>
            </w:r>
          </w:p>
        </w:tc>
        <w:tc>
          <w:tcPr>
            <w:tcW w:w="1220" w:type="dxa"/>
            <w:vAlign w:val="bottom"/>
          </w:tcPr>
          <w:p>
            <w:pPr>
              <w:jc w:val="right"/>
              <w:ind w:right="164"/>
              <w:spacing w:after="0"/>
              <w:rPr>
                <w:sz w:val="20"/>
                <w:szCs w:val="20"/>
                <w:color w:val="auto"/>
              </w:rPr>
            </w:pPr>
            <w:r>
              <w:rPr>
                <w:rFonts w:ascii="Arial" w:cs="Arial" w:eastAsia="Arial" w:hAnsi="Arial"/>
                <w:sz w:val="16"/>
                <w:szCs w:val="16"/>
                <w:color w:val="auto"/>
              </w:rPr>
              <w:t>979,118</w:t>
            </w:r>
          </w:p>
        </w:tc>
      </w:tr>
      <w:tr>
        <w:trPr>
          <w:trHeight w:val="169"/>
        </w:trPr>
        <w:tc>
          <w:tcPr>
            <w:tcW w:w="6160" w:type="dxa"/>
            <w:vAlign w:val="bottom"/>
            <w:tcBorders>
              <w:right w:val="single" w:sz="8" w:color="007CBA"/>
            </w:tcBorders>
            <w:shd w:val="clear" w:color="auto" w:fill="E5F1F8"/>
          </w:tcPr>
          <w:p>
            <w:pPr>
              <w:ind w:left="60"/>
              <w:spacing w:after="0" w:line="169" w:lineRule="exact"/>
              <w:rPr>
                <w:sz w:val="20"/>
                <w:szCs w:val="20"/>
                <w:color w:val="auto"/>
              </w:rPr>
            </w:pPr>
            <w:r>
              <w:rPr>
                <w:rFonts w:ascii="Arial" w:cs="Arial" w:eastAsia="Arial" w:hAnsi="Arial"/>
                <w:sz w:val="16"/>
                <w:szCs w:val="16"/>
                <w:i w:val="1"/>
                <w:iCs w:val="1"/>
                <w:color w:val="auto"/>
              </w:rPr>
              <w:t>Former Executive Officer:</w:t>
            </w:r>
          </w:p>
        </w:tc>
        <w:tc>
          <w:tcPr>
            <w:tcW w:w="1240" w:type="dxa"/>
            <w:vAlign w:val="bottom"/>
            <w:tcBorders>
              <w:right w:val="single" w:sz="8" w:color="007CBA"/>
            </w:tcBorders>
            <w:shd w:val="clear" w:color="auto" w:fill="E5F1F8"/>
          </w:tcPr>
          <w:p>
            <w:pPr>
              <w:spacing w:after="0"/>
              <w:rPr>
                <w:sz w:val="14"/>
                <w:szCs w:val="14"/>
                <w:color w:val="auto"/>
              </w:rPr>
            </w:pPr>
          </w:p>
        </w:tc>
        <w:tc>
          <w:tcPr>
            <w:tcW w:w="1240" w:type="dxa"/>
            <w:vAlign w:val="bottom"/>
            <w:tcBorders>
              <w:right w:val="single" w:sz="8" w:color="007CBA"/>
            </w:tcBorders>
            <w:shd w:val="clear" w:color="auto" w:fill="E5F1F8"/>
          </w:tcPr>
          <w:p>
            <w:pPr>
              <w:spacing w:after="0"/>
              <w:rPr>
                <w:sz w:val="14"/>
                <w:szCs w:val="14"/>
                <w:color w:val="auto"/>
              </w:rPr>
            </w:pPr>
          </w:p>
        </w:tc>
        <w:tc>
          <w:tcPr>
            <w:tcW w:w="1160" w:type="dxa"/>
            <w:vAlign w:val="bottom"/>
            <w:tcBorders>
              <w:right w:val="single" w:sz="8" w:color="007CBA"/>
            </w:tcBorders>
            <w:shd w:val="clear" w:color="auto" w:fill="E5F1F8"/>
          </w:tcPr>
          <w:p>
            <w:pPr>
              <w:spacing w:after="0"/>
              <w:rPr>
                <w:sz w:val="14"/>
                <w:szCs w:val="14"/>
                <w:color w:val="auto"/>
              </w:rPr>
            </w:pPr>
          </w:p>
        </w:tc>
        <w:tc>
          <w:tcPr>
            <w:tcW w:w="1220" w:type="dxa"/>
            <w:vAlign w:val="bottom"/>
            <w:shd w:val="clear" w:color="auto" w:fill="E5F1F8"/>
          </w:tcPr>
          <w:p>
            <w:pPr>
              <w:spacing w:after="0"/>
              <w:rPr>
                <w:sz w:val="14"/>
                <w:szCs w:val="14"/>
                <w:color w:val="auto"/>
              </w:rPr>
            </w:pPr>
          </w:p>
        </w:tc>
      </w:tr>
      <w:tr>
        <w:trPr>
          <w:trHeight w:val="223"/>
        </w:trPr>
        <w:tc>
          <w:tcPr>
            <w:tcW w:w="6160" w:type="dxa"/>
            <w:vAlign w:val="bottom"/>
            <w:tcBorders>
              <w:bottom w:val="single" w:sz="8" w:color="007CBA"/>
              <w:right w:val="single" w:sz="8" w:color="007CBA"/>
            </w:tcBorders>
            <w:shd w:val="clear" w:color="auto" w:fill="E5F1F8"/>
          </w:tcPr>
          <w:p>
            <w:pPr>
              <w:ind w:left="60"/>
              <w:spacing w:after="0"/>
              <w:rPr>
                <w:sz w:val="20"/>
                <w:szCs w:val="20"/>
                <w:color w:val="auto"/>
              </w:rPr>
            </w:pPr>
            <w:r>
              <w:rPr>
                <w:rFonts w:ascii="Arial" w:cs="Arial" w:eastAsia="Arial" w:hAnsi="Arial"/>
                <w:sz w:val="16"/>
                <w:szCs w:val="16"/>
                <w:b w:val="1"/>
                <w:bCs w:val="1"/>
                <w:color w:val="auto"/>
              </w:rPr>
              <w:t>Anne H. Lloyd</w:t>
            </w:r>
          </w:p>
        </w:tc>
        <w:tc>
          <w:tcPr>
            <w:tcW w:w="1240" w:type="dxa"/>
            <w:vAlign w:val="bottom"/>
            <w:tcBorders>
              <w:bottom w:val="single" w:sz="8" w:color="007CBA"/>
              <w:right w:val="single" w:sz="8" w:color="007CBA"/>
            </w:tcBorders>
            <w:shd w:val="clear" w:color="auto" w:fill="E5F1F8"/>
          </w:tcPr>
          <w:p>
            <w:pPr>
              <w:jc w:val="right"/>
              <w:ind w:right="164"/>
              <w:spacing w:after="0"/>
              <w:rPr>
                <w:sz w:val="20"/>
                <w:szCs w:val="20"/>
                <w:color w:val="auto"/>
              </w:rPr>
            </w:pPr>
            <w:r>
              <w:rPr>
                <w:rFonts w:ascii="Arial" w:cs="Arial" w:eastAsia="Arial" w:hAnsi="Arial"/>
                <w:sz w:val="16"/>
                <w:szCs w:val="16"/>
                <w:color w:val="auto"/>
              </w:rPr>
              <w:t>29,727</w:t>
            </w:r>
          </w:p>
        </w:tc>
        <w:tc>
          <w:tcPr>
            <w:tcW w:w="1240" w:type="dxa"/>
            <w:vAlign w:val="bottom"/>
            <w:tcBorders>
              <w:bottom w:val="single" w:sz="8" w:color="007CBA"/>
              <w:right w:val="single" w:sz="8" w:color="007CBA"/>
            </w:tcBorders>
            <w:shd w:val="clear" w:color="auto" w:fill="E5F1F8"/>
          </w:tcPr>
          <w:p>
            <w:pPr>
              <w:jc w:val="right"/>
              <w:ind w:right="163"/>
              <w:spacing w:after="0"/>
              <w:rPr>
                <w:sz w:val="20"/>
                <w:szCs w:val="20"/>
                <w:color w:val="auto"/>
              </w:rPr>
            </w:pPr>
            <w:r>
              <w:rPr>
                <w:rFonts w:ascii="Arial" w:cs="Arial" w:eastAsia="Arial" w:hAnsi="Arial"/>
                <w:sz w:val="16"/>
                <w:szCs w:val="16"/>
                <w:color w:val="auto"/>
              </w:rPr>
              <w:t>3,878,895</w:t>
            </w:r>
          </w:p>
        </w:tc>
        <w:tc>
          <w:tcPr>
            <w:tcW w:w="1160" w:type="dxa"/>
            <w:vAlign w:val="bottom"/>
            <w:tcBorders>
              <w:bottom w:val="single" w:sz="8" w:color="007CBA"/>
              <w:right w:val="single" w:sz="8" w:color="007CBA"/>
            </w:tcBorders>
            <w:shd w:val="clear" w:color="auto" w:fill="E5F1F8"/>
          </w:tcPr>
          <w:p>
            <w:pPr>
              <w:jc w:val="right"/>
              <w:ind w:right="164"/>
              <w:spacing w:after="0"/>
              <w:rPr>
                <w:sz w:val="20"/>
                <w:szCs w:val="20"/>
                <w:color w:val="auto"/>
              </w:rPr>
            </w:pPr>
            <w:r>
              <w:rPr>
                <w:rFonts w:ascii="Arial" w:cs="Arial" w:eastAsia="Arial" w:hAnsi="Arial"/>
                <w:sz w:val="16"/>
                <w:szCs w:val="16"/>
                <w:color w:val="auto"/>
              </w:rPr>
              <w:t>6,307</w:t>
            </w:r>
          </w:p>
        </w:tc>
        <w:tc>
          <w:tcPr>
            <w:tcW w:w="1220" w:type="dxa"/>
            <w:vAlign w:val="bottom"/>
            <w:tcBorders>
              <w:bottom w:val="single" w:sz="8" w:color="007CBA"/>
            </w:tcBorders>
            <w:shd w:val="clear" w:color="auto" w:fill="E5F1F8"/>
          </w:tcPr>
          <w:p>
            <w:pPr>
              <w:jc w:val="right"/>
              <w:ind w:right="164"/>
              <w:spacing w:after="0"/>
              <w:rPr>
                <w:sz w:val="20"/>
                <w:szCs w:val="20"/>
                <w:color w:val="auto"/>
              </w:rPr>
            </w:pPr>
            <w:r>
              <w:rPr>
                <w:rFonts w:ascii="Arial" w:cs="Arial" w:eastAsia="Arial" w:hAnsi="Arial"/>
                <w:sz w:val="16"/>
                <w:szCs w:val="16"/>
                <w:color w:val="auto"/>
              </w:rPr>
              <w:t>1,270,720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-1491615</wp:posOffset>
            </wp:positionV>
            <wp:extent cx="282130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48" w:lineRule="exact"/>
        <w:rPr>
          <w:sz w:val="20"/>
          <w:szCs w:val="20"/>
          <w:color w:val="auto"/>
        </w:rPr>
      </w:pPr>
    </w:p>
    <w:p>
      <w:pPr>
        <w:ind w:left="320" w:right="20" w:hanging="116"/>
        <w:spacing w:after="0" w:line="195" w:lineRule="auto"/>
        <w:tabs>
          <w:tab w:leader="none" w:pos="320" w:val="left"/>
        </w:tabs>
        <w:numPr>
          <w:ilvl w:val="0"/>
          <w:numId w:val="112"/>
        </w:numPr>
        <w:rPr>
          <w:rFonts w:ascii="Arial" w:cs="Arial" w:eastAsia="Arial" w:hAnsi="Arial"/>
          <w:sz w:val="24"/>
          <w:szCs w:val="24"/>
          <w:color w:val="auto"/>
          <w:vertAlign w:val="superscript"/>
        </w:rPr>
      </w:pPr>
      <w:r>
        <w:rPr>
          <w:rFonts w:ascii="Arial" w:cs="Arial" w:eastAsia="Arial" w:hAnsi="Arial"/>
          <w:sz w:val="14"/>
          <w:szCs w:val="14"/>
          <w:color w:val="auto"/>
        </w:rPr>
        <w:t>The amounts in column (e) include the value of RSUs and PSUs at the time of vesting and the appreciation of both mandatory and voluntary contributions under the Incentive Stock Plan.</w:t>
      </w:r>
    </w:p>
    <w:p>
      <w:pPr>
        <w:sectPr>
          <w:pgSz w:w="11900" w:h="16838" w:orient="portrait"/>
          <w:cols w:equalWidth="0" w:num="1">
            <w:col w:w="11240"/>
          </w:cols>
          <w:pgMar w:left="240" w:top="455" w:right="419" w:bottom="1440" w:gutter="0" w:footer="0" w:header="0"/>
        </w:sectPr>
      </w:pPr>
    </w:p>
    <w:p>
      <w:pPr>
        <w:spacing w:after="0" w:line="234"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007CBA"/>
        </w:rPr>
        <w:t>Retirement and Other Benefits</w:t>
      </w:r>
    </w:p>
    <w:p>
      <w:pPr>
        <w:spacing w:after="0" w:line="25" w:lineRule="exact"/>
        <w:rPr>
          <w:sz w:val="20"/>
          <w:szCs w:val="20"/>
          <w:color w:val="auto"/>
        </w:rPr>
      </w:pPr>
    </w:p>
    <w:p>
      <w:pPr>
        <w:jc w:val="both"/>
        <w:ind w:left="220"/>
        <w:spacing w:after="0" w:line="248" w:lineRule="auto"/>
        <w:rPr>
          <w:sz w:val="20"/>
          <w:szCs w:val="20"/>
          <w:color w:val="auto"/>
        </w:rPr>
      </w:pPr>
      <w:r>
        <w:rPr>
          <w:rFonts w:ascii="Arial" w:cs="Arial" w:eastAsia="Arial" w:hAnsi="Arial"/>
          <w:sz w:val="16"/>
          <w:szCs w:val="16"/>
          <w:color w:val="auto"/>
        </w:rPr>
        <w:t>In order to maintain market competitive levels of compensation, we provide retirement and other benefits to the named executive officers and other employees. The benefits under the defined benefit pension plan are more valuable for employees who remain with Martin Marietta for longer periods, thereby furthering Martin Marietta’s objectives of retaining individuals with more expertise in relevant areas and who can participate in management development for purposes of executive succession planning. All of Martin Marietta’s salaried employees in the United States are eligible to participate in the following retirement and other plans. The named executive officers participate in the plans on the same terms as Martin Marietta’s other salaried employees.</w:t>
      </w:r>
    </w:p>
    <w:p>
      <w:pPr>
        <w:spacing w:after="0" w:line="183" w:lineRule="exact"/>
        <w:rPr>
          <w:sz w:val="20"/>
          <w:szCs w:val="20"/>
          <w:color w:val="auto"/>
        </w:rPr>
      </w:pPr>
    </w:p>
    <w:p>
      <w:pPr>
        <w:jc w:val="both"/>
        <w:ind w:left="220" w:right="20"/>
        <w:spacing w:after="0" w:line="294" w:lineRule="auto"/>
        <w:rPr>
          <w:sz w:val="20"/>
          <w:szCs w:val="20"/>
          <w:color w:val="auto"/>
        </w:rPr>
      </w:pPr>
      <w:r>
        <w:rPr>
          <w:rFonts w:ascii="Arial" w:cs="Arial" w:eastAsia="Arial" w:hAnsi="Arial"/>
          <w:sz w:val="16"/>
          <w:szCs w:val="16"/>
          <w:b w:val="1"/>
          <w:bCs w:val="1"/>
          <w:color w:val="auto"/>
        </w:rPr>
        <w:t xml:space="preserve">Pension Plan. </w:t>
      </w:r>
      <w:r>
        <w:rPr>
          <w:rFonts w:ascii="Arial" w:cs="Arial" w:eastAsia="Arial" w:hAnsi="Arial"/>
          <w:sz w:val="16"/>
          <w:szCs w:val="16"/>
          <w:color w:val="auto"/>
        </w:rPr>
        <w:t>We have a tax qualified defined benefit pension plan</w:t>
      </w:r>
      <w:r>
        <w:rPr>
          <w:rFonts w:ascii="Arial" w:cs="Arial" w:eastAsia="Arial" w:hAnsi="Arial"/>
          <w:sz w:val="16"/>
          <w:szCs w:val="16"/>
          <w:b w:val="1"/>
          <w:bCs w:val="1"/>
          <w:color w:val="auto"/>
        </w:rPr>
        <w:t xml:space="preserve"> </w:t>
      </w:r>
      <w:r>
        <w:rPr>
          <w:rFonts w:ascii="Arial" w:cs="Arial" w:eastAsia="Arial" w:hAnsi="Arial"/>
          <w:sz w:val="16"/>
          <w:szCs w:val="16"/>
          <w:color w:val="auto"/>
        </w:rPr>
        <w:t>(“Pension Plan”) under which eligible full-time salaried</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employees of Martin Marietta who have completed five continuous years of employment with Martin Marietta, including the named executive officers, earn the right to receive certain benefits upon retirement on a reduced basis at or after age 55 and on an unreduced basis at or after age 62. Retirement benefits are monthly payments for life based on a multiple of the years of service and the final average eligible pay for the five highest consecutive years in the last ten years before retirement, less an offset for social security. The amount is equal to the sum of (A) plus (B) plus (C) below:</w:t>
      </w:r>
    </w:p>
    <w:p>
      <w:pPr>
        <w:spacing w:after="0" w:line="278" w:lineRule="exact"/>
        <w:rPr>
          <w:sz w:val="20"/>
          <w:szCs w:val="20"/>
          <w:color w:val="auto"/>
        </w:rPr>
      </w:pPr>
    </w:p>
    <w:p>
      <w:pPr>
        <w:jc w:val="both"/>
        <w:ind w:left="320" w:right="20" w:hanging="311"/>
        <w:spacing w:after="0" w:line="269" w:lineRule="auto"/>
        <w:tabs>
          <w:tab w:leader="none" w:pos="32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1.165% of the participant’s final average eligible pay up to social security covered compensation, multiplied by the participant’s credited years of service up to 35 years;</w:t>
      </w:r>
    </w:p>
    <w:p>
      <w:pPr>
        <w:spacing w:after="0" w:line="70" w:lineRule="exact"/>
        <w:rPr>
          <w:rFonts w:ascii="Arial" w:cs="Arial" w:eastAsia="Arial" w:hAnsi="Arial"/>
          <w:sz w:val="16"/>
          <w:szCs w:val="16"/>
          <w:color w:val="auto"/>
        </w:rPr>
      </w:pPr>
    </w:p>
    <w:p>
      <w:pPr>
        <w:jc w:val="both"/>
        <w:ind w:left="320" w:right="20" w:hanging="311"/>
        <w:spacing w:after="0" w:line="269" w:lineRule="auto"/>
        <w:tabs>
          <w:tab w:leader="none" w:pos="32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1.50% of the participant’s final average eligible pay in excess of social security covered compensation, multiplied by the participant’s credited years of service up to 35 years;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167640</wp:posOffset>
            </wp:positionV>
            <wp:extent cx="411480" cy="2489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00" w:space="320"/>
            <w:col w:w="5420"/>
          </w:cols>
          <w:pgMar w:left="240" w:top="455" w:right="419" w:bottom="1440" w:gutter="0" w:footer="0" w:header="0"/>
          <w:type w:val="continuous"/>
        </w:sectPr>
      </w:pPr>
    </w:p>
    <w:p>
      <w:pPr>
        <w:spacing w:after="0" w:line="82" w:lineRule="exact"/>
        <w:rPr>
          <w:sz w:val="20"/>
          <w:szCs w:val="20"/>
          <w:color w:val="auto"/>
        </w:rPr>
      </w:pPr>
    </w:p>
    <w:p>
      <w:pPr>
        <w:ind w:left="640" w:hanging="436"/>
        <w:spacing w:after="0"/>
        <w:tabs>
          <w:tab w:leader="none" w:pos="640" w:val="left"/>
        </w:tabs>
        <w:numPr>
          <w:ilvl w:val="0"/>
          <w:numId w:val="114"/>
        </w:numPr>
        <w:rPr>
          <w:rFonts w:ascii="Arial" w:cs="Arial" w:eastAsia="Arial" w:hAnsi="Arial"/>
          <w:sz w:val="12"/>
          <w:szCs w:val="12"/>
          <w:b w:val="1"/>
          <w:bCs w:val="1"/>
          <w:color w:val="auto"/>
        </w:rPr>
      </w:pPr>
      <w:r>
        <w:rPr>
          <w:rFonts w:ascii="Arial" w:cs="Arial" w:eastAsia="Arial" w:hAnsi="Arial"/>
          <w:sz w:val="12"/>
          <w:szCs w:val="12"/>
          <w:color w:val="007CBA"/>
        </w:rPr>
        <w:t>2018 PROXY STATEMENT</w:t>
      </w:r>
    </w:p>
    <w:p>
      <w:pPr>
        <w:sectPr>
          <w:pgSz w:w="11900" w:h="16838" w:orient="portrait"/>
          <w:cols w:equalWidth="0" w:num="1">
            <w:col w:w="11240"/>
          </w:cols>
          <w:pgMar w:left="240" w:top="455" w:right="419" w:bottom="1440" w:gutter="0" w:footer="0" w:header="0"/>
          <w:type w:val="continuous"/>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64" w:lineRule="exact"/>
        <w:rPr>
          <w:sz w:val="20"/>
          <w:szCs w:val="20"/>
          <w:color w:val="auto"/>
        </w:rPr>
      </w:pPr>
    </w:p>
    <w:p>
      <w:pPr>
        <w:jc w:val="right"/>
        <w:spacing w:after="0" w:line="288" w:lineRule="exact"/>
        <w:rPr>
          <w:sz w:val="20"/>
          <w:szCs w:val="20"/>
          <w:color w:val="auto"/>
        </w:rPr>
      </w:pPr>
      <w:r>
        <w:rPr>
          <w:rFonts w:ascii="Arial" w:cs="Arial" w:eastAsia="Arial" w:hAnsi="Arial"/>
          <w:sz w:val="14"/>
          <w:szCs w:val="14"/>
          <w:color w:val="auto"/>
        </w:rPr>
        <w:t xml:space="preserve">Option Exercises and Stock Vested </w:t>
      </w:r>
      <w:r>
        <w:rPr>
          <w:rFonts w:ascii="MS PGothic" w:cs="MS PGothic" w:eastAsia="MS PGothic" w:hAnsi="MS PGothic"/>
          <w:sz w:val="25"/>
          <w:szCs w:val="25"/>
          <w:color w:val="007CBA"/>
        </w:rPr>
        <w:t>◆</w:t>
      </w:r>
      <w:r>
        <w:rPr>
          <w:rFonts w:ascii="Arial" w:cs="Arial" w:eastAsia="Arial" w:hAnsi="Arial"/>
          <w:sz w:val="14"/>
          <w:szCs w:val="14"/>
          <w:color w:val="auto"/>
        </w:rPr>
        <w:t xml:space="preserve"> </w:t>
      </w:r>
      <w:r>
        <w:rPr>
          <w:rFonts w:ascii="Arial" w:cs="Arial" w:eastAsia="Arial" w:hAnsi="Arial"/>
          <w:sz w:val="14"/>
          <w:szCs w:val="14"/>
          <w:color w:val="007CBA"/>
        </w:rPr>
        <w:t>Executive Compensation</w:t>
      </w:r>
    </w:p>
    <w:p>
      <w:pPr>
        <w:sectPr>
          <w:pgSz w:w="11900" w:h="16838" w:orient="portrait"/>
          <w:cols w:equalWidth="0" w:num="1">
            <w:col w:w="11220"/>
          </w:cols>
          <w:pgMar w:left="240" w:top="455" w:right="439" w:bottom="1440" w:gutter="0" w:footer="0" w:header="0"/>
        </w:sectPr>
      </w:pPr>
    </w:p>
    <w:p>
      <w:pPr>
        <w:spacing w:after="0" w:line="258" w:lineRule="exact"/>
        <w:rPr>
          <w:sz w:val="20"/>
          <w:szCs w:val="20"/>
          <w:color w:val="auto"/>
        </w:rPr>
      </w:pPr>
    </w:p>
    <w:p>
      <w:pPr>
        <w:ind w:left="520" w:right="20" w:hanging="309"/>
        <w:spacing w:after="0" w:line="291" w:lineRule="auto"/>
        <w:tabs>
          <w:tab w:leader="none" w:pos="52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1.50% of the participant’s final average eligible pay multiplied by the participant’s credited years of service in excess of 35 years.</w:t>
      </w:r>
    </w:p>
    <w:p>
      <w:pPr>
        <w:spacing w:after="0" w:line="119" w:lineRule="exact"/>
        <w:rPr>
          <w:sz w:val="20"/>
          <w:szCs w:val="20"/>
          <w:color w:val="auto"/>
        </w:rPr>
      </w:pPr>
    </w:p>
    <w:p>
      <w:pPr>
        <w:jc w:val="both"/>
        <w:ind w:left="220"/>
        <w:spacing w:after="0" w:line="253" w:lineRule="auto"/>
        <w:rPr>
          <w:sz w:val="20"/>
          <w:szCs w:val="20"/>
          <w:color w:val="auto"/>
        </w:rPr>
      </w:pPr>
      <w:r>
        <w:rPr>
          <w:rFonts w:ascii="Arial" w:cs="Arial" w:eastAsia="Arial" w:hAnsi="Arial"/>
          <w:sz w:val="16"/>
          <w:szCs w:val="16"/>
          <w:b w:val="1"/>
          <w:bCs w:val="1"/>
          <w:color w:val="auto"/>
        </w:rPr>
        <w:t xml:space="preserve">Supplemental Excess Retirement Plan (SERP). </w:t>
      </w:r>
      <w:r>
        <w:rPr>
          <w:rFonts w:ascii="Arial" w:cs="Arial" w:eastAsia="Arial" w:hAnsi="Arial"/>
          <w:sz w:val="16"/>
          <w:szCs w:val="16"/>
          <w:color w:val="auto"/>
        </w:rPr>
        <w:t>We also have a</w:t>
      </w:r>
      <w:r>
        <w:rPr>
          <w:rFonts w:ascii="Arial" w:cs="Arial" w:eastAsia="Arial" w:hAnsi="Arial"/>
          <w:sz w:val="16"/>
          <w:szCs w:val="16"/>
          <w:b w:val="1"/>
          <w:bCs w:val="1"/>
          <w:color w:val="auto"/>
        </w:rPr>
        <w:t xml:space="preserve"> </w:t>
      </w:r>
      <w:r>
        <w:rPr>
          <w:rFonts w:ascii="Arial" w:cs="Arial" w:eastAsia="Arial" w:hAnsi="Arial"/>
          <w:sz w:val="16"/>
          <w:szCs w:val="16"/>
          <w:color w:val="auto"/>
        </w:rPr>
        <w:t>nonqualified restoration plan that covers any employee in the defined benefit pension plan, including the named executive officers, who are highly compensated and whose qualified plan benefit is reduced by Internal Revenue Code benefit or pay limits in Sections 415(b) and 401(a) (17). The plan is based on the same formula as the qualified Pension Plan described above. Benefits under our nonqualified plan are paid from our general assets.</w:t>
      </w:r>
    </w:p>
    <w:p>
      <w:pPr>
        <w:spacing w:after="0" w:line="137" w:lineRule="exact"/>
        <w:rPr>
          <w:sz w:val="20"/>
          <w:szCs w:val="20"/>
          <w:color w:val="auto"/>
        </w:rPr>
      </w:pPr>
    </w:p>
    <w:p>
      <w:pPr>
        <w:jc w:val="both"/>
        <w:ind w:left="220"/>
        <w:spacing w:after="0" w:line="250" w:lineRule="auto"/>
        <w:rPr>
          <w:sz w:val="20"/>
          <w:szCs w:val="20"/>
          <w:color w:val="auto"/>
        </w:rPr>
      </w:pPr>
      <w:r>
        <w:rPr>
          <w:rFonts w:ascii="Arial" w:cs="Arial" w:eastAsia="Arial" w:hAnsi="Arial"/>
          <w:sz w:val="16"/>
          <w:szCs w:val="16"/>
          <w:b w:val="1"/>
          <w:bCs w:val="1"/>
          <w:color w:val="auto"/>
        </w:rPr>
        <w:t xml:space="preserve">Savings and Investment Plan. </w:t>
      </w:r>
      <w:r>
        <w:rPr>
          <w:rFonts w:ascii="Arial" w:cs="Arial" w:eastAsia="Arial" w:hAnsi="Arial"/>
          <w:sz w:val="16"/>
          <w:szCs w:val="16"/>
          <w:color w:val="auto"/>
        </w:rPr>
        <w:t>The Savings and Investment Plan is a</w:t>
      </w:r>
      <w:r>
        <w:rPr>
          <w:rFonts w:ascii="Arial" w:cs="Arial" w:eastAsia="Arial" w:hAnsi="Arial"/>
          <w:sz w:val="16"/>
          <w:szCs w:val="16"/>
          <w:b w:val="1"/>
          <w:bCs w:val="1"/>
          <w:color w:val="auto"/>
        </w:rPr>
        <w:t xml:space="preserve"> </w:t>
      </w:r>
      <w:r>
        <w:rPr>
          <w:rFonts w:ascii="Arial" w:cs="Arial" w:eastAsia="Arial" w:hAnsi="Arial"/>
          <w:sz w:val="16"/>
          <w:szCs w:val="16"/>
          <w:color w:val="auto"/>
        </w:rPr>
        <w:t>tax-qualified defined contribution retirement savings plan pursuant to which all employees in the United States, including the named executive officers, are eligible to contribute up to 25% or the limit prescribed by the Internal Revenue Service on a ROTH individual retirement account on a before-tax basis and up to an additional 17% of pay on an after-tax basis not to exceed a total of 25% of pay. We match 100% of the first 1% of pay and 50% of the next 5% of pay that is contributed by employees to the Savings and Investment Plan up to Internal Revenue Service limitations. All contributions as well as any matching contributions are fully vested upon contribution. Prior to 2015, the Company sponsored two defined contribution savings plans, the Performance Sharing Plan for salaried employees and the Savings and Investment Plan for hourly employees generally. The two plans were merged in 2014.</w:t>
      </w:r>
    </w:p>
    <w:p>
      <w:pPr>
        <w:spacing w:after="0" w:line="139" w:lineRule="exact"/>
        <w:rPr>
          <w:sz w:val="20"/>
          <w:szCs w:val="20"/>
          <w:color w:val="auto"/>
        </w:rPr>
      </w:pPr>
    </w:p>
    <w:p>
      <w:pPr>
        <w:jc w:val="both"/>
        <w:ind w:left="220" w:right="20"/>
        <w:spacing w:after="0" w:line="258" w:lineRule="auto"/>
        <w:rPr>
          <w:sz w:val="20"/>
          <w:szCs w:val="20"/>
          <w:color w:val="auto"/>
        </w:rPr>
      </w:pPr>
      <w:r>
        <w:rPr>
          <w:rFonts w:ascii="Arial" w:cs="Arial" w:eastAsia="Arial" w:hAnsi="Arial"/>
          <w:sz w:val="16"/>
          <w:szCs w:val="16"/>
          <w:b w:val="1"/>
          <w:bCs w:val="1"/>
          <w:color w:val="auto"/>
        </w:rPr>
        <w:t xml:space="preserve">Retiree Medical. </w:t>
      </w:r>
      <w:r>
        <w:rPr>
          <w:rFonts w:ascii="Arial" w:cs="Arial" w:eastAsia="Arial" w:hAnsi="Arial"/>
          <w:sz w:val="16"/>
          <w:szCs w:val="16"/>
          <w:color w:val="auto"/>
        </w:rPr>
        <w:t>Eligible salaried employees who commenced</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with Martin Marietta prior to December 1, 1999 and who retire with at least 5 years of service are currently eligible for retiree medical benefits for life. Eligible salaried employees who commenced employment with Martin Marietta</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between December 1, 1999 and December 31, 2001 and who retire with at least 15 years of service are currently eligible for retiree medical benefits until age 65. Eligible employees share the cost of retiree medical based on their years of service and a predetermined cap on total payments by Martin Marietta. Employees who commenced employment with Martin Marietta on or after January 1, 2002 are not eligible for retiree medical benefits. Mr. Nye, Mr. Nickolas, Mr. McCunniff and Mr. Grant are not eligible for retiree medical benefits as each commenced employment with Martin Marietta after 2002.</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6"/>
          <w:szCs w:val="16"/>
          <w:b w:val="1"/>
          <w:bCs w:val="1"/>
          <w:color w:val="auto"/>
        </w:rPr>
        <w:t xml:space="preserve">Medical Insurance. </w:t>
      </w:r>
      <w:r>
        <w:rPr>
          <w:rFonts w:ascii="Arial" w:cs="Arial" w:eastAsia="Arial" w:hAnsi="Arial"/>
          <w:sz w:val="16"/>
          <w:szCs w:val="16"/>
          <w:color w:val="auto"/>
        </w:rPr>
        <w:t>Martin Marietta provides an opportunity to all of its</w:t>
      </w:r>
      <w:r>
        <w:rPr>
          <w:rFonts w:ascii="Arial" w:cs="Arial" w:eastAsia="Arial" w:hAnsi="Arial"/>
          <w:sz w:val="16"/>
          <w:szCs w:val="16"/>
          <w:b w:val="1"/>
          <w:bCs w:val="1"/>
          <w:color w:val="auto"/>
        </w:rPr>
        <w:t xml:space="preserve"> </w:t>
      </w:r>
      <w:r>
        <w:rPr>
          <w:rFonts w:ascii="Arial" w:cs="Arial" w:eastAsia="Arial" w:hAnsi="Arial"/>
          <w:sz w:val="16"/>
          <w:szCs w:val="16"/>
          <w:color w:val="auto"/>
        </w:rPr>
        <w:t>salaried employees in the United States and the employees’ immediate family members to select health, dental and vision insurance coverage. Martin Marietta pays a portion of the premiums for this insurance for all employees. All employees in the United States, including the named executive officers, pay a portion of the premiums depending on the coverage they choose.</w:t>
      </w:r>
    </w:p>
    <w:p>
      <w:pPr>
        <w:spacing w:after="0" w:line="13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color w:val="auto"/>
        </w:rPr>
        <w:t xml:space="preserve">Life and Disability Insurance. </w:t>
      </w:r>
      <w:r>
        <w:rPr>
          <w:rFonts w:ascii="Arial" w:cs="Arial" w:eastAsia="Arial" w:hAnsi="Arial"/>
          <w:sz w:val="16"/>
          <w:szCs w:val="16"/>
          <w:color w:val="auto"/>
        </w:rPr>
        <w:t>Martin Marietta provides to all of its</w:t>
      </w:r>
      <w:r>
        <w:rPr>
          <w:rFonts w:ascii="Arial" w:cs="Arial" w:eastAsia="Arial" w:hAnsi="Arial"/>
          <w:sz w:val="16"/>
          <w:szCs w:val="16"/>
          <w:b w:val="1"/>
          <w:bCs w:val="1"/>
          <w:color w:val="auto"/>
        </w:rPr>
        <w:t xml:space="preserve"> </w:t>
      </w:r>
      <w:r>
        <w:rPr>
          <w:rFonts w:ascii="Arial" w:cs="Arial" w:eastAsia="Arial" w:hAnsi="Arial"/>
          <w:sz w:val="16"/>
          <w:szCs w:val="16"/>
          <w:color w:val="auto"/>
        </w:rPr>
        <w:t>salaried employees in the United States, including the named executive officers, long-term disability and life insurance that provides up to 1.5 times base salary at no cost to the employee. All employees in the United States, including the named executive officers, can choose additional coverage and pay a portion of the premiums depending on the coverage they choose. In addition, Martin Marietta pays an amount equal to one year of base salary in the event of death of any active salaried employee.</w:t>
      </w:r>
    </w:p>
    <w:p>
      <w:pPr>
        <w:spacing w:after="0" w:line="137" w:lineRule="exact"/>
        <w:rPr>
          <w:sz w:val="20"/>
          <w:szCs w:val="20"/>
          <w:color w:val="auto"/>
        </w:rPr>
      </w:pPr>
    </w:p>
    <w:p>
      <w:pPr>
        <w:jc w:val="both"/>
        <w:spacing w:after="0" w:line="262" w:lineRule="auto"/>
        <w:rPr>
          <w:sz w:val="20"/>
          <w:szCs w:val="20"/>
          <w:color w:val="auto"/>
        </w:rPr>
      </w:pPr>
      <w:r>
        <w:rPr>
          <w:rFonts w:ascii="Arial" w:cs="Arial" w:eastAsia="Arial" w:hAnsi="Arial"/>
          <w:sz w:val="16"/>
          <w:szCs w:val="16"/>
          <w:b w:val="1"/>
          <w:bCs w:val="1"/>
          <w:color w:val="auto"/>
        </w:rPr>
        <w:t xml:space="preserve">Housing Allowance and Relocation Costs. </w:t>
      </w:r>
      <w:r>
        <w:rPr>
          <w:rFonts w:ascii="Arial" w:cs="Arial" w:eastAsia="Arial" w:hAnsi="Arial"/>
          <w:sz w:val="16"/>
          <w:szCs w:val="16"/>
          <w:color w:val="auto"/>
        </w:rPr>
        <w:t>Martin Marietta provides</w:t>
      </w:r>
      <w:r>
        <w:rPr>
          <w:rFonts w:ascii="Arial" w:cs="Arial" w:eastAsia="Arial" w:hAnsi="Arial"/>
          <w:sz w:val="16"/>
          <w:szCs w:val="16"/>
          <w:b w:val="1"/>
          <w:bCs w:val="1"/>
          <w:color w:val="auto"/>
        </w:rPr>
        <w:t xml:space="preserve"> </w:t>
      </w:r>
      <w:r>
        <w:rPr>
          <w:rFonts w:ascii="Arial" w:cs="Arial" w:eastAsia="Arial" w:hAnsi="Arial"/>
          <w:sz w:val="16"/>
          <w:szCs w:val="16"/>
          <w:color w:val="auto"/>
        </w:rPr>
        <w:t>relocation benefits, including a housing allowance, to certain employees upon their employment with Martin Marietta or in conjunction with a job relocation or promotion.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-259715</wp:posOffset>
            </wp:positionH>
            <wp:positionV relativeFrom="paragraph">
              <wp:posOffset>291465</wp:posOffset>
            </wp:positionV>
            <wp:extent cx="411480" cy="2489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tbl>
      <w:tblPr>
        <w:tblLayout w:type="fixed"/>
        <w:tblInd w:w="3440" w:type="dxa"/>
        <w:tblCellMar>
          <w:top w:w="0" w:type="dxa"/>
          <w:left w:w="0" w:type="dxa"/>
          <w:bottom w:w="0" w:type="dxa"/>
          <w:right w:w="0" w:type="dxa"/>
        </w:tblCellMar>
      </w:tblPr>
      <w:tr>
        <w:trPr>
          <w:trHeight w:val="178"/>
        </w:trPr>
        <w:tc>
          <w:tcPr>
            <w:tcW w:w="1680" w:type="dxa"/>
            <w:vAlign w:val="bottom"/>
          </w:tcPr>
          <w:p>
            <w:pPr>
              <w:spacing w:after="0"/>
              <w:rPr>
                <w:sz w:val="20"/>
                <w:szCs w:val="20"/>
                <w:color w:val="auto"/>
              </w:rPr>
            </w:pPr>
            <w:r>
              <w:rPr>
                <w:rFonts w:ascii="Arial" w:cs="Arial" w:eastAsia="Arial" w:hAnsi="Arial"/>
                <w:sz w:val="13"/>
                <w:szCs w:val="13"/>
                <w:color w:val="007CBA"/>
              </w:rPr>
              <w:t>2018 PROXY STATEMENT</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rPr>
              <w:t>57</w:t>
            </w:r>
          </w:p>
        </w:tc>
      </w:tr>
    </w:tbl>
    <w:p>
      <w:pPr>
        <w:sectPr>
          <w:pgSz w:w="11900" w:h="16838" w:orient="portrait"/>
          <w:cols w:equalWidth="0" w:num="2">
            <w:col w:w="5500" w:space="320"/>
            <w:col w:w="5400"/>
          </w:cols>
          <w:pgMar w:left="240" w:top="455" w:right="439" w:bottom="1440" w:gutter="0" w:footer="0" w:header="0"/>
          <w:type w:val="continuous"/>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64" w:lineRule="exact"/>
        <w:rPr>
          <w:sz w:val="20"/>
          <w:szCs w:val="20"/>
          <w:color w:val="auto"/>
        </w:rPr>
      </w:pPr>
    </w:p>
    <w:p>
      <w:pPr>
        <w:ind w:left="200"/>
        <w:spacing w:after="0" w:line="288" w:lineRule="exact"/>
        <w:rPr>
          <w:sz w:val="20"/>
          <w:szCs w:val="20"/>
          <w:color w:val="auto"/>
        </w:rPr>
      </w:pPr>
      <w:r>
        <w:rPr>
          <w:rFonts w:ascii="Arial" w:cs="Arial" w:eastAsia="Arial" w:hAnsi="Arial"/>
          <w:sz w:val="14"/>
          <w:szCs w:val="14"/>
          <w:color w:val="007CBA"/>
        </w:rPr>
        <w:t xml:space="preserve">Executive Compensation </w:t>
      </w:r>
      <w:r>
        <w:rPr>
          <w:rFonts w:ascii="MS PGothic" w:cs="MS PGothic" w:eastAsia="MS PGothic" w:hAnsi="MS PGothic"/>
          <w:sz w:val="25"/>
          <w:szCs w:val="25"/>
          <w:color w:val="007CBA"/>
        </w:rPr>
        <w:t>◆</w:t>
      </w:r>
      <w:r>
        <w:rPr>
          <w:rFonts w:ascii="Arial" w:cs="Arial" w:eastAsia="Arial" w:hAnsi="Arial"/>
          <w:sz w:val="14"/>
          <w:szCs w:val="14"/>
          <w:color w:val="007CBA"/>
        </w:rPr>
        <w:t xml:space="preserve"> </w:t>
      </w:r>
      <w:r>
        <w:rPr>
          <w:rFonts w:ascii="Arial" w:cs="Arial" w:eastAsia="Arial" w:hAnsi="Arial"/>
          <w:sz w:val="14"/>
          <w:szCs w:val="14"/>
          <w:color w:val="000000"/>
        </w:rPr>
        <w:t>Pension Benefits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007CBA"/>
        </w:rPr>
        <w:t>Pension Benefits</w:t>
      </w:r>
    </w:p>
    <w:p>
      <w:pPr>
        <w:spacing w:after="0" w:line="134" w:lineRule="exact"/>
        <w:rPr>
          <w:sz w:val="20"/>
          <w:szCs w:val="20"/>
          <w:color w:val="auto"/>
        </w:rPr>
      </w:pPr>
    </w:p>
    <w:p>
      <w:pPr>
        <w:jc w:val="both"/>
        <w:ind w:left="200" w:right="20"/>
        <w:spacing w:after="0" w:line="269" w:lineRule="auto"/>
        <w:rPr>
          <w:sz w:val="20"/>
          <w:szCs w:val="20"/>
          <w:color w:val="auto"/>
        </w:rPr>
      </w:pPr>
      <w:r>
        <w:rPr>
          <w:rFonts w:ascii="Arial" w:cs="Arial" w:eastAsia="Arial" w:hAnsi="Arial"/>
          <w:sz w:val="16"/>
          <w:szCs w:val="16"/>
          <w:color w:val="auto"/>
        </w:rPr>
        <w:t>The table below shows the present value of accumulated benefits payable to each of the named executive officers, including the number of years of service credited to each such named executive officer, under our Pension Plan and SERP, determined using interest rate and mortality rate assumptions consistent with those used in Martin Marietta’s financial statements.</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PENSION BENEFITS TABLE</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3800" w:type="dxa"/>
            <w:vAlign w:val="bottom"/>
            <w:tcBorders>
              <w:right w:val="single" w:sz="8" w:color="007CBA"/>
            </w:tcBorders>
            <w:shd w:val="clear" w:color="auto" w:fill="007CBA"/>
          </w:tcPr>
          <w:p>
            <w:pPr>
              <w:spacing w:after="0"/>
              <w:rPr>
                <w:sz w:val="14"/>
                <w:szCs w:val="14"/>
                <w:color w:val="auto"/>
              </w:rPr>
            </w:pPr>
          </w:p>
        </w:tc>
        <w:tc>
          <w:tcPr>
            <w:tcW w:w="1320" w:type="dxa"/>
            <w:vAlign w:val="bottom"/>
            <w:tcBorders>
              <w:right w:val="single" w:sz="8" w:color="007CBA"/>
            </w:tcBorders>
            <w:shd w:val="clear" w:color="auto" w:fill="007CBA"/>
          </w:tcPr>
          <w:p>
            <w:pPr>
              <w:spacing w:after="0"/>
              <w:rPr>
                <w:sz w:val="14"/>
                <w:szCs w:val="14"/>
                <w:color w:val="auto"/>
              </w:rPr>
            </w:pPr>
          </w:p>
        </w:tc>
        <w:tc>
          <w:tcPr>
            <w:tcW w:w="1960" w:type="dxa"/>
            <w:vAlign w:val="bottom"/>
            <w:tcBorders>
              <w:right w:val="single" w:sz="8" w:color="007CBA"/>
            </w:tcBorders>
            <w:shd w:val="clear" w:color="auto" w:fill="007CBA"/>
          </w:tcPr>
          <w:p>
            <w:pPr>
              <w:jc w:val="center"/>
              <w:ind w:right="21"/>
              <w:spacing w:after="0"/>
              <w:rPr>
                <w:sz w:val="20"/>
                <w:szCs w:val="20"/>
                <w:color w:val="auto"/>
              </w:rPr>
            </w:pPr>
            <w:r>
              <w:rPr>
                <w:rFonts w:ascii="Arial" w:cs="Arial" w:eastAsia="Arial" w:hAnsi="Arial"/>
                <w:sz w:val="14"/>
                <w:szCs w:val="14"/>
                <w:b w:val="1"/>
                <w:bCs w:val="1"/>
                <w:color w:val="FFFFFF"/>
              </w:rPr>
              <w:t>Numbers of Years</w:t>
            </w:r>
          </w:p>
        </w:tc>
        <w:tc>
          <w:tcPr>
            <w:tcW w:w="21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Present Value of</w:t>
            </w:r>
          </w:p>
        </w:tc>
        <w:tc>
          <w:tcPr>
            <w:tcW w:w="184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Payments During</w:t>
            </w:r>
          </w:p>
        </w:tc>
      </w:tr>
      <w:tr>
        <w:trPr>
          <w:trHeight w:val="159"/>
        </w:trPr>
        <w:tc>
          <w:tcPr>
            <w:tcW w:w="3800" w:type="dxa"/>
            <w:vAlign w:val="bottom"/>
            <w:tcBorders>
              <w:right w:val="single" w:sz="8" w:color="007CBA"/>
            </w:tcBorders>
            <w:shd w:val="clear" w:color="auto" w:fill="007CBA"/>
          </w:tcPr>
          <w:p>
            <w:pPr>
              <w:spacing w:after="0"/>
              <w:rPr>
                <w:sz w:val="13"/>
                <w:szCs w:val="13"/>
                <w:color w:val="auto"/>
              </w:rPr>
            </w:pPr>
          </w:p>
        </w:tc>
        <w:tc>
          <w:tcPr>
            <w:tcW w:w="1320" w:type="dxa"/>
            <w:vAlign w:val="bottom"/>
            <w:tcBorders>
              <w:right w:val="single" w:sz="8" w:color="007CBA"/>
            </w:tcBorders>
            <w:shd w:val="clear" w:color="auto" w:fill="007CBA"/>
          </w:tcPr>
          <w:p>
            <w:pPr>
              <w:spacing w:after="0"/>
              <w:rPr>
                <w:sz w:val="13"/>
                <w:szCs w:val="13"/>
                <w:color w:val="auto"/>
              </w:rPr>
            </w:pPr>
          </w:p>
        </w:tc>
        <w:tc>
          <w:tcPr>
            <w:tcW w:w="1960" w:type="dxa"/>
            <w:vAlign w:val="bottom"/>
            <w:tcBorders>
              <w:right w:val="single" w:sz="8" w:color="007CBA"/>
            </w:tcBorders>
            <w:shd w:val="clear" w:color="auto" w:fill="007CBA"/>
          </w:tcPr>
          <w:p>
            <w:pPr>
              <w:jc w:val="center"/>
              <w:ind w:right="41"/>
              <w:spacing w:after="0" w:line="159" w:lineRule="exact"/>
              <w:rPr>
                <w:sz w:val="20"/>
                <w:szCs w:val="20"/>
                <w:color w:val="auto"/>
              </w:rPr>
            </w:pPr>
            <w:r>
              <w:rPr>
                <w:rFonts w:ascii="Arial" w:cs="Arial" w:eastAsia="Arial" w:hAnsi="Arial"/>
                <w:sz w:val="14"/>
                <w:szCs w:val="14"/>
                <w:b w:val="1"/>
                <w:bCs w:val="1"/>
                <w:color w:val="FFFFFF"/>
              </w:rPr>
              <w:t>Credited Service</w:t>
            </w:r>
          </w:p>
        </w:tc>
        <w:tc>
          <w:tcPr>
            <w:tcW w:w="2100" w:type="dxa"/>
            <w:vAlign w:val="bottom"/>
            <w:tcBorders>
              <w:right w:val="single" w:sz="8" w:color="007CBA"/>
            </w:tcBorders>
            <w:shd w:val="clear" w:color="auto" w:fill="007CBA"/>
          </w:tcPr>
          <w:p>
            <w:pPr>
              <w:jc w:val="center"/>
              <w:spacing w:after="0" w:line="159" w:lineRule="exact"/>
              <w:rPr>
                <w:sz w:val="20"/>
                <w:szCs w:val="20"/>
                <w:color w:val="auto"/>
              </w:rPr>
            </w:pPr>
            <w:r>
              <w:rPr>
                <w:rFonts w:ascii="Arial" w:cs="Arial" w:eastAsia="Arial" w:hAnsi="Arial"/>
                <w:sz w:val="14"/>
                <w:szCs w:val="14"/>
                <w:b w:val="1"/>
                <w:bCs w:val="1"/>
                <w:color w:val="FFFFFF"/>
              </w:rPr>
              <w:t>Accumulated Benefit</w:t>
            </w:r>
          </w:p>
        </w:tc>
        <w:tc>
          <w:tcPr>
            <w:tcW w:w="1840" w:type="dxa"/>
            <w:vAlign w:val="bottom"/>
            <w:shd w:val="clear" w:color="auto" w:fill="007CBA"/>
          </w:tcPr>
          <w:p>
            <w:pPr>
              <w:jc w:val="center"/>
              <w:spacing w:after="0" w:line="159" w:lineRule="exact"/>
              <w:rPr>
                <w:sz w:val="20"/>
                <w:szCs w:val="20"/>
                <w:color w:val="auto"/>
              </w:rPr>
            </w:pPr>
            <w:r>
              <w:rPr>
                <w:rFonts w:ascii="Arial" w:cs="Arial" w:eastAsia="Arial" w:hAnsi="Arial"/>
                <w:sz w:val="14"/>
                <w:szCs w:val="14"/>
                <w:b w:val="1"/>
                <w:bCs w:val="1"/>
                <w:color w:val="FFFFFF"/>
              </w:rPr>
              <w:t>Last Fiscal Year</w:t>
            </w:r>
          </w:p>
        </w:tc>
      </w:tr>
      <w:tr>
        <w:trPr>
          <w:trHeight w:val="166"/>
        </w:trPr>
        <w:tc>
          <w:tcPr>
            <w:tcW w:w="380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4"/>
                <w:szCs w:val="14"/>
                <w:b w:val="1"/>
                <w:bCs w:val="1"/>
                <w:color w:val="FFFFFF"/>
              </w:rPr>
              <w:t>Name</w:t>
            </w:r>
          </w:p>
        </w:tc>
        <w:tc>
          <w:tcPr>
            <w:tcW w:w="1320" w:type="dxa"/>
            <w:vAlign w:val="bottom"/>
            <w:tcBorders>
              <w:right w:val="single" w:sz="8" w:color="007CBA"/>
            </w:tcBorders>
            <w:shd w:val="clear" w:color="auto" w:fill="007CBA"/>
          </w:tcPr>
          <w:p>
            <w:pPr>
              <w:jc w:val="center"/>
              <w:ind w:left="220"/>
              <w:spacing w:after="0"/>
              <w:rPr>
                <w:sz w:val="20"/>
                <w:szCs w:val="20"/>
                <w:color w:val="auto"/>
              </w:rPr>
            </w:pPr>
            <w:r>
              <w:rPr>
                <w:rFonts w:ascii="Arial" w:cs="Arial" w:eastAsia="Arial" w:hAnsi="Arial"/>
                <w:sz w:val="14"/>
                <w:szCs w:val="14"/>
                <w:b w:val="1"/>
                <w:bCs w:val="1"/>
                <w:color w:val="FFFFFF"/>
              </w:rPr>
              <w:t>Plan Name</w:t>
            </w:r>
          </w:p>
        </w:tc>
        <w:tc>
          <w:tcPr>
            <w:tcW w:w="1960" w:type="dxa"/>
            <w:vAlign w:val="bottom"/>
            <w:tcBorders>
              <w:right w:val="single" w:sz="8" w:color="007CBA"/>
            </w:tcBorders>
            <w:shd w:val="clear" w:color="auto" w:fill="007CBA"/>
          </w:tcPr>
          <w:p>
            <w:pPr>
              <w:jc w:val="center"/>
              <w:ind w:right="41"/>
              <w:spacing w:after="0"/>
              <w:rPr>
                <w:sz w:val="20"/>
                <w:szCs w:val="20"/>
                <w:color w:val="auto"/>
              </w:rPr>
            </w:pPr>
            <w:r>
              <w:rPr>
                <w:rFonts w:ascii="Arial" w:cs="Arial" w:eastAsia="Arial" w:hAnsi="Arial"/>
                <w:sz w:val="14"/>
                <w:szCs w:val="14"/>
                <w:b w:val="1"/>
                <w:bCs w:val="1"/>
                <w:color w:val="FFFFFF"/>
                <w:w w:val="93"/>
              </w:rPr>
              <w:t>(#)</w:t>
            </w:r>
          </w:p>
        </w:tc>
        <w:tc>
          <w:tcPr>
            <w:tcW w:w="2100" w:type="dxa"/>
            <w:vAlign w:val="bottom"/>
            <w:tcBorders>
              <w:right w:val="single" w:sz="8" w:color="007CBA"/>
            </w:tcBorders>
            <w:shd w:val="clear" w:color="auto" w:fill="007CBA"/>
          </w:tcPr>
          <w:p>
            <w:pPr>
              <w:jc w:val="center"/>
              <w:spacing w:after="0" w:line="165" w:lineRule="exact"/>
              <w:rPr>
                <w:sz w:val="20"/>
                <w:szCs w:val="20"/>
                <w:color w:val="auto"/>
              </w:rPr>
            </w:pPr>
            <w:r>
              <w:rPr>
                <w:rFonts w:ascii="Arial" w:cs="Arial" w:eastAsia="Arial" w:hAnsi="Arial"/>
                <w:sz w:val="12"/>
                <w:szCs w:val="12"/>
                <w:b w:val="1"/>
                <w:bCs w:val="1"/>
                <w:color w:val="FFFFFF"/>
              </w:rPr>
              <w:t>($)</w:t>
            </w:r>
            <w:r>
              <w:rPr>
                <w:rFonts w:ascii="Arial" w:cs="Arial" w:eastAsia="Arial" w:hAnsi="Arial"/>
                <w:sz w:val="19"/>
                <w:szCs w:val="19"/>
                <w:b w:val="1"/>
                <w:bCs w:val="1"/>
                <w:color w:val="FFFFFF"/>
                <w:vertAlign w:val="superscript"/>
              </w:rPr>
              <w:t>1</w:t>
            </w:r>
          </w:p>
        </w:tc>
        <w:tc>
          <w:tcPr>
            <w:tcW w:w="184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r>
      <w:tr>
        <w:trPr>
          <w:trHeight w:val="191"/>
        </w:trPr>
        <w:tc>
          <w:tcPr>
            <w:tcW w:w="380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4"/>
                <w:szCs w:val="14"/>
                <w:b w:val="1"/>
                <w:bCs w:val="1"/>
                <w:color w:val="FFFFFF"/>
              </w:rPr>
              <w:t>(a)</w:t>
            </w:r>
          </w:p>
        </w:tc>
        <w:tc>
          <w:tcPr>
            <w:tcW w:w="1320" w:type="dxa"/>
            <w:vAlign w:val="bottom"/>
            <w:tcBorders>
              <w:right w:val="single" w:sz="8" w:color="007CBA"/>
            </w:tcBorders>
            <w:shd w:val="clear" w:color="auto" w:fill="007CBA"/>
          </w:tcPr>
          <w:p>
            <w:pPr>
              <w:jc w:val="center"/>
              <w:ind w:left="220"/>
              <w:spacing w:after="0"/>
              <w:rPr>
                <w:sz w:val="20"/>
                <w:szCs w:val="20"/>
                <w:color w:val="auto"/>
              </w:rPr>
            </w:pPr>
            <w:r>
              <w:rPr>
                <w:rFonts w:ascii="Arial" w:cs="Arial" w:eastAsia="Arial" w:hAnsi="Arial"/>
                <w:sz w:val="14"/>
                <w:szCs w:val="14"/>
                <w:b w:val="1"/>
                <w:bCs w:val="1"/>
                <w:color w:val="FFFFFF"/>
              </w:rPr>
              <w:t>(b)</w:t>
            </w:r>
          </w:p>
        </w:tc>
        <w:tc>
          <w:tcPr>
            <w:tcW w:w="1960" w:type="dxa"/>
            <w:vAlign w:val="bottom"/>
            <w:tcBorders>
              <w:right w:val="single" w:sz="8" w:color="007CBA"/>
            </w:tcBorders>
            <w:shd w:val="clear" w:color="auto" w:fill="007CBA"/>
          </w:tcPr>
          <w:p>
            <w:pPr>
              <w:jc w:val="center"/>
              <w:ind w:right="41"/>
              <w:spacing w:after="0"/>
              <w:rPr>
                <w:sz w:val="20"/>
                <w:szCs w:val="20"/>
                <w:color w:val="auto"/>
              </w:rPr>
            </w:pPr>
            <w:r>
              <w:rPr>
                <w:rFonts w:ascii="Arial" w:cs="Arial" w:eastAsia="Arial" w:hAnsi="Arial"/>
                <w:sz w:val="14"/>
                <w:szCs w:val="14"/>
                <w:b w:val="1"/>
                <w:bCs w:val="1"/>
                <w:color w:val="FFFFFF"/>
                <w:w w:val="93"/>
              </w:rPr>
              <w:t>(c)</w:t>
            </w:r>
          </w:p>
        </w:tc>
        <w:tc>
          <w:tcPr>
            <w:tcW w:w="21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(d)</w:t>
            </w:r>
          </w:p>
        </w:tc>
        <w:tc>
          <w:tcPr>
            <w:tcW w:w="184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(e)</w:t>
            </w:r>
          </w:p>
        </w:tc>
      </w:tr>
      <w:tr>
        <w:trPr>
          <w:trHeight w:val="171"/>
        </w:trPr>
        <w:tc>
          <w:tcPr>
            <w:tcW w:w="3800" w:type="dxa"/>
            <w:vAlign w:val="bottom"/>
            <w:tcBorders>
              <w:right w:val="single" w:sz="8" w:color="007CBA"/>
            </w:tcBorders>
          </w:tcPr>
          <w:p>
            <w:pPr>
              <w:ind w:left="60"/>
              <w:spacing w:after="0" w:line="171" w:lineRule="exact"/>
              <w:rPr>
                <w:sz w:val="20"/>
                <w:szCs w:val="20"/>
                <w:color w:val="auto"/>
              </w:rPr>
            </w:pPr>
            <w:r>
              <w:rPr>
                <w:rFonts w:ascii="Arial" w:cs="Arial" w:eastAsia="Arial" w:hAnsi="Arial"/>
                <w:sz w:val="16"/>
                <w:szCs w:val="16"/>
                <w:b w:val="1"/>
                <w:bCs w:val="1"/>
                <w:color w:val="auto"/>
              </w:rPr>
              <w:t>C. Howard Nye</w:t>
            </w:r>
          </w:p>
        </w:tc>
        <w:tc>
          <w:tcPr>
            <w:tcW w:w="1320" w:type="dxa"/>
            <w:vAlign w:val="bottom"/>
            <w:tcBorders>
              <w:right w:val="single" w:sz="8" w:color="007CBA"/>
            </w:tcBorders>
          </w:tcPr>
          <w:p>
            <w:pPr>
              <w:jc w:val="center"/>
              <w:ind w:left="220"/>
              <w:spacing w:after="0" w:line="171" w:lineRule="exact"/>
              <w:rPr>
                <w:sz w:val="20"/>
                <w:szCs w:val="20"/>
                <w:color w:val="auto"/>
              </w:rPr>
            </w:pPr>
            <w:r>
              <w:rPr>
                <w:rFonts w:ascii="Arial" w:cs="Arial" w:eastAsia="Arial" w:hAnsi="Arial"/>
                <w:sz w:val="16"/>
                <w:szCs w:val="16"/>
                <w:color w:val="auto"/>
                <w:w w:val="99"/>
              </w:rPr>
              <w:t>Pension Plan</w:t>
            </w:r>
          </w:p>
        </w:tc>
        <w:tc>
          <w:tcPr>
            <w:tcW w:w="1960" w:type="dxa"/>
            <w:vAlign w:val="bottom"/>
            <w:tcBorders>
              <w:right w:val="single" w:sz="8" w:color="007CBA"/>
            </w:tcBorders>
          </w:tcPr>
          <w:p>
            <w:pPr>
              <w:jc w:val="right"/>
              <w:ind w:right="341"/>
              <w:spacing w:after="0" w:line="171" w:lineRule="exact"/>
              <w:rPr>
                <w:sz w:val="20"/>
                <w:szCs w:val="20"/>
                <w:color w:val="auto"/>
              </w:rPr>
            </w:pPr>
            <w:r>
              <w:rPr>
                <w:rFonts w:ascii="Arial" w:cs="Arial" w:eastAsia="Arial" w:hAnsi="Arial"/>
                <w:sz w:val="16"/>
                <w:szCs w:val="16"/>
                <w:color w:val="auto"/>
              </w:rPr>
              <w:t>11.417</w:t>
            </w:r>
          </w:p>
        </w:tc>
        <w:tc>
          <w:tcPr>
            <w:tcW w:w="2100" w:type="dxa"/>
            <w:vAlign w:val="bottom"/>
            <w:tcBorders>
              <w:right w:val="single" w:sz="8" w:color="007CBA"/>
            </w:tcBorders>
          </w:tcPr>
          <w:p>
            <w:pPr>
              <w:jc w:val="right"/>
              <w:ind w:right="282"/>
              <w:spacing w:after="0" w:line="171" w:lineRule="exact"/>
              <w:rPr>
                <w:sz w:val="20"/>
                <w:szCs w:val="20"/>
                <w:color w:val="auto"/>
              </w:rPr>
            </w:pPr>
            <w:r>
              <w:rPr>
                <w:rFonts w:ascii="Arial" w:cs="Arial" w:eastAsia="Arial" w:hAnsi="Arial"/>
                <w:sz w:val="16"/>
                <w:szCs w:val="16"/>
                <w:color w:val="auto"/>
              </w:rPr>
              <w:t>476,596</w:t>
            </w:r>
          </w:p>
        </w:tc>
        <w:tc>
          <w:tcPr>
            <w:tcW w:w="1840" w:type="dxa"/>
            <w:vAlign w:val="bottom"/>
          </w:tcPr>
          <w:p>
            <w:pPr>
              <w:spacing w:after="0"/>
              <w:rPr>
                <w:sz w:val="14"/>
                <w:szCs w:val="14"/>
                <w:color w:val="auto"/>
              </w:rPr>
            </w:pPr>
          </w:p>
        </w:tc>
      </w:tr>
      <w:tr>
        <w:trPr>
          <w:trHeight w:val="220"/>
        </w:trPr>
        <w:tc>
          <w:tcPr>
            <w:tcW w:w="3800" w:type="dxa"/>
            <w:vAlign w:val="bottom"/>
            <w:tcBorders>
              <w:right w:val="single" w:sz="8" w:color="007CBA"/>
            </w:tcBorders>
          </w:tcPr>
          <w:p>
            <w:pPr>
              <w:spacing w:after="0"/>
              <w:rPr>
                <w:sz w:val="19"/>
                <w:szCs w:val="19"/>
                <w:color w:val="auto"/>
              </w:rPr>
            </w:pPr>
          </w:p>
        </w:tc>
        <w:tc>
          <w:tcPr>
            <w:tcW w:w="1320" w:type="dxa"/>
            <w:vAlign w:val="bottom"/>
            <w:tcBorders>
              <w:right w:val="single" w:sz="8" w:color="007CBA"/>
            </w:tcBorders>
          </w:tcPr>
          <w:p>
            <w:pPr>
              <w:jc w:val="center"/>
              <w:ind w:left="220"/>
              <w:spacing w:after="0"/>
              <w:rPr>
                <w:sz w:val="20"/>
                <w:szCs w:val="20"/>
                <w:color w:val="auto"/>
              </w:rPr>
            </w:pPr>
            <w:r>
              <w:rPr>
                <w:rFonts w:ascii="Arial" w:cs="Arial" w:eastAsia="Arial" w:hAnsi="Arial"/>
                <w:sz w:val="16"/>
                <w:szCs w:val="16"/>
                <w:color w:val="auto"/>
              </w:rPr>
              <w:t>SERP</w:t>
            </w:r>
          </w:p>
        </w:tc>
        <w:tc>
          <w:tcPr>
            <w:tcW w:w="1960" w:type="dxa"/>
            <w:vAlign w:val="bottom"/>
            <w:tcBorders>
              <w:right w:val="single" w:sz="8" w:color="007CBA"/>
            </w:tcBorders>
          </w:tcPr>
          <w:p>
            <w:pPr>
              <w:jc w:val="right"/>
              <w:ind w:right="341"/>
              <w:spacing w:after="0"/>
              <w:rPr>
                <w:sz w:val="20"/>
                <w:szCs w:val="20"/>
                <w:color w:val="auto"/>
              </w:rPr>
            </w:pPr>
            <w:r>
              <w:rPr>
                <w:rFonts w:ascii="Arial" w:cs="Arial" w:eastAsia="Arial" w:hAnsi="Arial"/>
                <w:sz w:val="16"/>
                <w:szCs w:val="16"/>
                <w:color w:val="auto"/>
              </w:rPr>
              <w:t>11.417</w:t>
            </w:r>
          </w:p>
        </w:tc>
        <w:tc>
          <w:tcPr>
            <w:tcW w:w="2100" w:type="dxa"/>
            <w:vAlign w:val="bottom"/>
            <w:tcBorders>
              <w:right w:val="single" w:sz="8" w:color="007CBA"/>
            </w:tcBorders>
          </w:tcPr>
          <w:p>
            <w:pPr>
              <w:jc w:val="right"/>
              <w:ind w:right="282"/>
              <w:spacing w:after="0"/>
              <w:rPr>
                <w:sz w:val="20"/>
                <w:szCs w:val="20"/>
                <w:color w:val="auto"/>
              </w:rPr>
            </w:pPr>
            <w:r>
              <w:rPr>
                <w:rFonts w:ascii="Arial" w:cs="Arial" w:eastAsia="Arial" w:hAnsi="Arial"/>
                <w:sz w:val="16"/>
                <w:szCs w:val="16"/>
                <w:color w:val="auto"/>
              </w:rPr>
              <w:t>4,103,323</w:t>
            </w:r>
          </w:p>
        </w:tc>
        <w:tc>
          <w:tcPr>
            <w:tcW w:w="1840" w:type="dxa"/>
            <w:vAlign w:val="bottom"/>
          </w:tcPr>
          <w:p>
            <w:pPr>
              <w:spacing w:after="0"/>
              <w:rPr>
                <w:sz w:val="19"/>
                <w:szCs w:val="19"/>
                <w:color w:val="auto"/>
              </w:rPr>
            </w:pPr>
          </w:p>
        </w:tc>
      </w:tr>
      <w:tr>
        <w:trPr>
          <w:trHeight w:val="172"/>
        </w:trPr>
        <w:tc>
          <w:tcPr>
            <w:tcW w:w="3800" w:type="dxa"/>
            <w:vAlign w:val="bottom"/>
            <w:tcBorders>
              <w:right w:val="single" w:sz="8" w:color="007CBA"/>
            </w:tcBorders>
            <w:shd w:val="clear" w:color="auto" w:fill="E5F1F8"/>
          </w:tcPr>
          <w:p>
            <w:pPr>
              <w:ind w:left="60"/>
              <w:spacing w:after="0" w:line="172" w:lineRule="exact"/>
              <w:rPr>
                <w:sz w:val="20"/>
                <w:szCs w:val="20"/>
                <w:color w:val="auto"/>
              </w:rPr>
            </w:pPr>
            <w:r>
              <w:rPr>
                <w:rFonts w:ascii="Arial" w:cs="Arial" w:eastAsia="Arial" w:hAnsi="Arial"/>
                <w:sz w:val="16"/>
                <w:szCs w:val="16"/>
                <w:b w:val="1"/>
                <w:bCs w:val="1"/>
                <w:color w:val="auto"/>
              </w:rPr>
              <w:t>James A. J. Nickolas</w:t>
            </w:r>
          </w:p>
        </w:tc>
        <w:tc>
          <w:tcPr>
            <w:tcW w:w="1320" w:type="dxa"/>
            <w:vAlign w:val="bottom"/>
            <w:tcBorders>
              <w:right w:val="single" w:sz="8" w:color="007CBA"/>
            </w:tcBorders>
            <w:shd w:val="clear" w:color="auto" w:fill="E5F1F8"/>
          </w:tcPr>
          <w:p>
            <w:pPr>
              <w:jc w:val="center"/>
              <w:ind w:left="220"/>
              <w:spacing w:after="0" w:line="172" w:lineRule="exact"/>
              <w:rPr>
                <w:sz w:val="20"/>
                <w:szCs w:val="20"/>
                <w:color w:val="auto"/>
              </w:rPr>
            </w:pPr>
            <w:r>
              <w:rPr>
                <w:rFonts w:ascii="Arial" w:cs="Arial" w:eastAsia="Arial" w:hAnsi="Arial"/>
                <w:sz w:val="16"/>
                <w:szCs w:val="16"/>
                <w:color w:val="auto"/>
                <w:w w:val="99"/>
              </w:rPr>
              <w:t>Pension Plan</w:t>
            </w:r>
          </w:p>
        </w:tc>
        <w:tc>
          <w:tcPr>
            <w:tcW w:w="1960" w:type="dxa"/>
            <w:vAlign w:val="bottom"/>
            <w:tcBorders>
              <w:right w:val="single" w:sz="8" w:color="007CBA"/>
            </w:tcBorders>
            <w:shd w:val="clear" w:color="auto" w:fill="E5F1F8"/>
          </w:tcPr>
          <w:p>
            <w:pPr>
              <w:jc w:val="right"/>
              <w:ind w:right="341"/>
              <w:spacing w:after="0" w:line="172" w:lineRule="exact"/>
              <w:rPr>
                <w:sz w:val="20"/>
                <w:szCs w:val="20"/>
                <w:color w:val="auto"/>
              </w:rPr>
            </w:pPr>
            <w:r>
              <w:rPr>
                <w:rFonts w:ascii="Arial" w:cs="Arial" w:eastAsia="Arial" w:hAnsi="Arial"/>
                <w:sz w:val="16"/>
                <w:szCs w:val="16"/>
                <w:color w:val="auto"/>
              </w:rPr>
              <w:t>.417</w:t>
            </w:r>
          </w:p>
        </w:tc>
        <w:tc>
          <w:tcPr>
            <w:tcW w:w="2100" w:type="dxa"/>
            <w:vAlign w:val="bottom"/>
            <w:tcBorders>
              <w:right w:val="single" w:sz="8" w:color="007CBA"/>
            </w:tcBorders>
            <w:shd w:val="clear" w:color="auto" w:fill="E5F1F8"/>
          </w:tcPr>
          <w:p>
            <w:pPr>
              <w:jc w:val="right"/>
              <w:ind w:right="282"/>
              <w:spacing w:after="0" w:line="172" w:lineRule="exact"/>
              <w:rPr>
                <w:sz w:val="20"/>
                <w:szCs w:val="20"/>
                <w:color w:val="auto"/>
              </w:rPr>
            </w:pPr>
            <w:r>
              <w:rPr>
                <w:rFonts w:ascii="Arial" w:cs="Arial" w:eastAsia="Arial" w:hAnsi="Arial"/>
                <w:sz w:val="16"/>
                <w:szCs w:val="16"/>
                <w:color w:val="auto"/>
              </w:rPr>
              <w:t>13,278</w:t>
            </w:r>
          </w:p>
        </w:tc>
        <w:tc>
          <w:tcPr>
            <w:tcW w:w="1840" w:type="dxa"/>
            <w:vAlign w:val="bottom"/>
            <w:shd w:val="clear" w:color="auto" w:fill="E5F1F8"/>
          </w:tcPr>
          <w:p>
            <w:pPr>
              <w:spacing w:after="0"/>
              <w:rPr>
                <w:sz w:val="14"/>
                <w:szCs w:val="14"/>
                <w:color w:val="auto"/>
              </w:rPr>
            </w:pPr>
          </w:p>
        </w:tc>
      </w:tr>
      <w:tr>
        <w:trPr>
          <w:trHeight w:val="221"/>
        </w:trPr>
        <w:tc>
          <w:tcPr>
            <w:tcW w:w="3800" w:type="dxa"/>
            <w:vAlign w:val="bottom"/>
            <w:tcBorders>
              <w:right w:val="single" w:sz="8" w:color="007CBA"/>
            </w:tcBorders>
            <w:shd w:val="clear" w:color="auto" w:fill="E5F1F8"/>
          </w:tcPr>
          <w:p>
            <w:pPr>
              <w:spacing w:after="0"/>
              <w:rPr>
                <w:sz w:val="19"/>
                <w:szCs w:val="19"/>
                <w:color w:val="auto"/>
              </w:rPr>
            </w:pPr>
          </w:p>
        </w:tc>
        <w:tc>
          <w:tcPr>
            <w:tcW w:w="1320" w:type="dxa"/>
            <w:vAlign w:val="bottom"/>
            <w:tcBorders>
              <w:right w:val="single" w:sz="8" w:color="007CBA"/>
            </w:tcBorders>
            <w:shd w:val="clear" w:color="auto" w:fill="E5F1F8"/>
          </w:tcPr>
          <w:p>
            <w:pPr>
              <w:jc w:val="center"/>
              <w:ind w:left="220"/>
              <w:spacing w:after="0"/>
              <w:rPr>
                <w:sz w:val="20"/>
                <w:szCs w:val="20"/>
                <w:color w:val="auto"/>
              </w:rPr>
            </w:pPr>
            <w:r>
              <w:rPr>
                <w:rFonts w:ascii="Arial" w:cs="Arial" w:eastAsia="Arial" w:hAnsi="Arial"/>
                <w:sz w:val="16"/>
                <w:szCs w:val="16"/>
                <w:color w:val="auto"/>
              </w:rPr>
              <w:t>SERP</w:t>
            </w:r>
          </w:p>
        </w:tc>
        <w:tc>
          <w:tcPr>
            <w:tcW w:w="1960" w:type="dxa"/>
            <w:vAlign w:val="bottom"/>
            <w:tcBorders>
              <w:right w:val="single" w:sz="8" w:color="007CBA"/>
            </w:tcBorders>
            <w:shd w:val="clear" w:color="auto" w:fill="E5F1F8"/>
          </w:tcPr>
          <w:p>
            <w:pPr>
              <w:jc w:val="right"/>
              <w:ind w:right="341"/>
              <w:spacing w:after="0"/>
              <w:rPr>
                <w:sz w:val="20"/>
                <w:szCs w:val="20"/>
                <w:color w:val="auto"/>
              </w:rPr>
            </w:pPr>
            <w:r>
              <w:rPr>
                <w:rFonts w:ascii="Arial" w:cs="Arial" w:eastAsia="Arial" w:hAnsi="Arial"/>
                <w:sz w:val="16"/>
                <w:szCs w:val="16"/>
                <w:color w:val="auto"/>
              </w:rPr>
              <w:t>.417</w:t>
            </w:r>
          </w:p>
        </w:tc>
        <w:tc>
          <w:tcPr>
            <w:tcW w:w="2100" w:type="dxa"/>
            <w:vAlign w:val="bottom"/>
            <w:tcBorders>
              <w:right w:val="single" w:sz="8" w:color="007CBA"/>
            </w:tcBorders>
            <w:shd w:val="clear" w:color="auto" w:fill="E5F1F8"/>
          </w:tcPr>
          <w:p>
            <w:pPr>
              <w:jc w:val="right"/>
              <w:ind w:right="282"/>
              <w:spacing w:after="0"/>
              <w:rPr>
                <w:sz w:val="20"/>
                <w:szCs w:val="20"/>
                <w:color w:val="auto"/>
              </w:rPr>
            </w:pPr>
            <w:r>
              <w:rPr>
                <w:rFonts w:ascii="Arial" w:cs="Arial" w:eastAsia="Arial" w:hAnsi="Arial"/>
                <w:sz w:val="16"/>
                <w:szCs w:val="16"/>
                <w:color w:val="auto"/>
              </w:rPr>
              <w:t>12,717</w:t>
            </w:r>
          </w:p>
        </w:tc>
        <w:tc>
          <w:tcPr>
            <w:tcW w:w="1840" w:type="dxa"/>
            <w:vAlign w:val="bottom"/>
            <w:shd w:val="clear" w:color="auto" w:fill="E5F1F8"/>
          </w:tcPr>
          <w:p>
            <w:pPr>
              <w:spacing w:after="0"/>
              <w:rPr>
                <w:sz w:val="19"/>
                <w:szCs w:val="19"/>
                <w:color w:val="auto"/>
              </w:rPr>
            </w:pPr>
          </w:p>
        </w:tc>
      </w:tr>
      <w:tr>
        <w:trPr>
          <w:trHeight w:val="171"/>
        </w:trPr>
        <w:tc>
          <w:tcPr>
            <w:tcW w:w="3800" w:type="dxa"/>
            <w:vAlign w:val="bottom"/>
            <w:tcBorders>
              <w:right w:val="single" w:sz="8" w:color="007CBA"/>
            </w:tcBorders>
          </w:tcPr>
          <w:p>
            <w:pPr>
              <w:ind w:left="60"/>
              <w:spacing w:after="0" w:line="171" w:lineRule="exact"/>
              <w:rPr>
                <w:sz w:val="20"/>
                <w:szCs w:val="20"/>
                <w:color w:val="auto"/>
              </w:rPr>
            </w:pPr>
            <w:r>
              <w:rPr>
                <w:rFonts w:ascii="Arial" w:cs="Arial" w:eastAsia="Arial" w:hAnsi="Arial"/>
                <w:sz w:val="16"/>
                <w:szCs w:val="16"/>
                <w:b w:val="1"/>
                <w:bCs w:val="1"/>
                <w:color w:val="auto"/>
              </w:rPr>
              <w:t>Roselyn R. Bar</w:t>
            </w:r>
          </w:p>
        </w:tc>
        <w:tc>
          <w:tcPr>
            <w:tcW w:w="1320" w:type="dxa"/>
            <w:vAlign w:val="bottom"/>
            <w:tcBorders>
              <w:right w:val="single" w:sz="8" w:color="007CBA"/>
            </w:tcBorders>
          </w:tcPr>
          <w:p>
            <w:pPr>
              <w:jc w:val="center"/>
              <w:ind w:left="220"/>
              <w:spacing w:after="0" w:line="171" w:lineRule="exact"/>
              <w:rPr>
                <w:sz w:val="20"/>
                <w:szCs w:val="20"/>
                <w:color w:val="auto"/>
              </w:rPr>
            </w:pPr>
            <w:r>
              <w:rPr>
                <w:rFonts w:ascii="Arial" w:cs="Arial" w:eastAsia="Arial" w:hAnsi="Arial"/>
                <w:sz w:val="16"/>
                <w:szCs w:val="16"/>
                <w:color w:val="auto"/>
                <w:w w:val="99"/>
              </w:rPr>
              <w:t>Pension Plan</w:t>
            </w:r>
          </w:p>
        </w:tc>
        <w:tc>
          <w:tcPr>
            <w:tcW w:w="1960" w:type="dxa"/>
            <w:vAlign w:val="bottom"/>
            <w:tcBorders>
              <w:right w:val="single" w:sz="8" w:color="007CBA"/>
            </w:tcBorders>
          </w:tcPr>
          <w:p>
            <w:pPr>
              <w:jc w:val="right"/>
              <w:ind w:right="341"/>
              <w:spacing w:after="0" w:line="171" w:lineRule="exact"/>
              <w:rPr>
                <w:sz w:val="20"/>
                <w:szCs w:val="20"/>
                <w:color w:val="auto"/>
              </w:rPr>
            </w:pPr>
            <w:r>
              <w:rPr>
                <w:rFonts w:ascii="Arial" w:cs="Arial" w:eastAsia="Arial" w:hAnsi="Arial"/>
                <w:sz w:val="16"/>
                <w:szCs w:val="16"/>
                <w:color w:val="auto"/>
              </w:rPr>
              <w:t>23.500</w:t>
            </w:r>
          </w:p>
        </w:tc>
        <w:tc>
          <w:tcPr>
            <w:tcW w:w="2100" w:type="dxa"/>
            <w:vAlign w:val="bottom"/>
            <w:tcBorders>
              <w:right w:val="single" w:sz="8" w:color="007CBA"/>
            </w:tcBorders>
          </w:tcPr>
          <w:p>
            <w:pPr>
              <w:jc w:val="right"/>
              <w:ind w:right="282"/>
              <w:spacing w:after="0" w:line="171" w:lineRule="exact"/>
              <w:rPr>
                <w:sz w:val="20"/>
                <w:szCs w:val="20"/>
                <w:color w:val="auto"/>
              </w:rPr>
            </w:pPr>
            <w:r>
              <w:rPr>
                <w:rFonts w:ascii="Arial" w:cs="Arial" w:eastAsia="Arial" w:hAnsi="Arial"/>
                <w:sz w:val="16"/>
                <w:szCs w:val="16"/>
                <w:color w:val="auto"/>
              </w:rPr>
              <w:t>1,235,701</w:t>
            </w:r>
          </w:p>
        </w:tc>
        <w:tc>
          <w:tcPr>
            <w:tcW w:w="1840" w:type="dxa"/>
            <w:vAlign w:val="bottom"/>
          </w:tcPr>
          <w:p>
            <w:pPr>
              <w:spacing w:after="0"/>
              <w:rPr>
                <w:sz w:val="14"/>
                <w:szCs w:val="14"/>
                <w:color w:val="auto"/>
              </w:rPr>
            </w:pPr>
          </w:p>
        </w:tc>
      </w:tr>
      <w:tr>
        <w:trPr>
          <w:trHeight w:val="220"/>
        </w:trPr>
        <w:tc>
          <w:tcPr>
            <w:tcW w:w="3800" w:type="dxa"/>
            <w:vAlign w:val="bottom"/>
            <w:tcBorders>
              <w:right w:val="single" w:sz="8" w:color="007CBA"/>
            </w:tcBorders>
          </w:tcPr>
          <w:p>
            <w:pPr>
              <w:spacing w:after="0"/>
              <w:rPr>
                <w:sz w:val="19"/>
                <w:szCs w:val="19"/>
                <w:color w:val="auto"/>
              </w:rPr>
            </w:pPr>
          </w:p>
        </w:tc>
        <w:tc>
          <w:tcPr>
            <w:tcW w:w="1320" w:type="dxa"/>
            <w:vAlign w:val="bottom"/>
            <w:tcBorders>
              <w:right w:val="single" w:sz="8" w:color="007CBA"/>
            </w:tcBorders>
          </w:tcPr>
          <w:p>
            <w:pPr>
              <w:jc w:val="center"/>
              <w:ind w:left="220"/>
              <w:spacing w:after="0"/>
              <w:rPr>
                <w:sz w:val="20"/>
                <w:szCs w:val="20"/>
                <w:color w:val="auto"/>
              </w:rPr>
            </w:pPr>
            <w:r>
              <w:rPr>
                <w:rFonts w:ascii="Arial" w:cs="Arial" w:eastAsia="Arial" w:hAnsi="Arial"/>
                <w:sz w:val="16"/>
                <w:szCs w:val="16"/>
                <w:color w:val="auto"/>
              </w:rPr>
              <w:t>SERP</w:t>
            </w:r>
          </w:p>
        </w:tc>
        <w:tc>
          <w:tcPr>
            <w:tcW w:w="1960" w:type="dxa"/>
            <w:vAlign w:val="bottom"/>
            <w:tcBorders>
              <w:right w:val="single" w:sz="8" w:color="007CBA"/>
            </w:tcBorders>
          </w:tcPr>
          <w:p>
            <w:pPr>
              <w:jc w:val="right"/>
              <w:ind w:right="341"/>
              <w:spacing w:after="0"/>
              <w:rPr>
                <w:sz w:val="20"/>
                <w:szCs w:val="20"/>
                <w:color w:val="auto"/>
              </w:rPr>
            </w:pPr>
            <w:r>
              <w:rPr>
                <w:rFonts w:ascii="Arial" w:cs="Arial" w:eastAsia="Arial" w:hAnsi="Arial"/>
                <w:sz w:val="16"/>
                <w:szCs w:val="16"/>
                <w:color w:val="auto"/>
              </w:rPr>
              <w:t>23.500</w:t>
            </w:r>
          </w:p>
        </w:tc>
        <w:tc>
          <w:tcPr>
            <w:tcW w:w="2100" w:type="dxa"/>
            <w:vAlign w:val="bottom"/>
            <w:tcBorders>
              <w:right w:val="single" w:sz="8" w:color="007CBA"/>
            </w:tcBorders>
          </w:tcPr>
          <w:p>
            <w:pPr>
              <w:jc w:val="right"/>
              <w:ind w:right="282"/>
              <w:spacing w:after="0"/>
              <w:rPr>
                <w:sz w:val="20"/>
                <w:szCs w:val="20"/>
                <w:color w:val="auto"/>
              </w:rPr>
            </w:pPr>
            <w:r>
              <w:rPr>
                <w:rFonts w:ascii="Arial" w:cs="Arial" w:eastAsia="Arial" w:hAnsi="Arial"/>
                <w:sz w:val="16"/>
                <w:szCs w:val="16"/>
                <w:color w:val="auto"/>
              </w:rPr>
              <w:t>2,933,371</w:t>
            </w:r>
          </w:p>
        </w:tc>
        <w:tc>
          <w:tcPr>
            <w:tcW w:w="1840" w:type="dxa"/>
            <w:vAlign w:val="bottom"/>
          </w:tcPr>
          <w:p>
            <w:pPr>
              <w:spacing w:after="0"/>
              <w:rPr>
                <w:sz w:val="19"/>
                <w:szCs w:val="19"/>
                <w:color w:val="auto"/>
              </w:rPr>
            </w:pPr>
          </w:p>
        </w:tc>
      </w:tr>
      <w:tr>
        <w:trPr>
          <w:trHeight w:val="172"/>
        </w:trPr>
        <w:tc>
          <w:tcPr>
            <w:tcW w:w="3800" w:type="dxa"/>
            <w:vAlign w:val="bottom"/>
            <w:tcBorders>
              <w:right w:val="single" w:sz="8" w:color="007CBA"/>
            </w:tcBorders>
            <w:shd w:val="clear" w:color="auto" w:fill="E5F1F8"/>
          </w:tcPr>
          <w:p>
            <w:pPr>
              <w:ind w:left="60"/>
              <w:spacing w:after="0" w:line="172" w:lineRule="exact"/>
              <w:rPr>
                <w:sz w:val="20"/>
                <w:szCs w:val="20"/>
                <w:color w:val="auto"/>
              </w:rPr>
            </w:pPr>
            <w:r>
              <w:rPr>
                <w:rFonts w:ascii="Arial" w:cs="Arial" w:eastAsia="Arial" w:hAnsi="Arial"/>
                <w:sz w:val="16"/>
                <w:szCs w:val="16"/>
                <w:b w:val="1"/>
                <w:bCs w:val="1"/>
                <w:color w:val="auto"/>
              </w:rPr>
              <w:t>Donald A. McCunniff</w:t>
            </w:r>
          </w:p>
        </w:tc>
        <w:tc>
          <w:tcPr>
            <w:tcW w:w="1320" w:type="dxa"/>
            <w:vAlign w:val="bottom"/>
            <w:tcBorders>
              <w:right w:val="single" w:sz="8" w:color="007CBA"/>
            </w:tcBorders>
            <w:shd w:val="clear" w:color="auto" w:fill="E5F1F8"/>
          </w:tcPr>
          <w:p>
            <w:pPr>
              <w:jc w:val="center"/>
              <w:ind w:left="220"/>
              <w:spacing w:after="0" w:line="172" w:lineRule="exact"/>
              <w:rPr>
                <w:sz w:val="20"/>
                <w:szCs w:val="20"/>
                <w:color w:val="auto"/>
              </w:rPr>
            </w:pPr>
            <w:r>
              <w:rPr>
                <w:rFonts w:ascii="Arial" w:cs="Arial" w:eastAsia="Arial" w:hAnsi="Arial"/>
                <w:sz w:val="16"/>
                <w:szCs w:val="16"/>
                <w:color w:val="auto"/>
                <w:w w:val="99"/>
              </w:rPr>
              <w:t>Pension Plan</w:t>
            </w:r>
          </w:p>
        </w:tc>
        <w:tc>
          <w:tcPr>
            <w:tcW w:w="1960" w:type="dxa"/>
            <w:vAlign w:val="bottom"/>
            <w:tcBorders>
              <w:right w:val="single" w:sz="8" w:color="007CBA"/>
            </w:tcBorders>
            <w:shd w:val="clear" w:color="auto" w:fill="E5F1F8"/>
          </w:tcPr>
          <w:p>
            <w:pPr>
              <w:jc w:val="right"/>
              <w:ind w:right="341"/>
              <w:spacing w:after="0" w:line="172" w:lineRule="exact"/>
              <w:rPr>
                <w:sz w:val="20"/>
                <w:szCs w:val="20"/>
                <w:color w:val="auto"/>
              </w:rPr>
            </w:pPr>
            <w:r>
              <w:rPr>
                <w:rFonts w:ascii="Arial" w:cs="Arial" w:eastAsia="Arial" w:hAnsi="Arial"/>
                <w:sz w:val="16"/>
                <w:szCs w:val="16"/>
                <w:color w:val="auto"/>
              </w:rPr>
              <w:t>6.417</w:t>
            </w:r>
          </w:p>
        </w:tc>
        <w:tc>
          <w:tcPr>
            <w:tcW w:w="2100" w:type="dxa"/>
            <w:vAlign w:val="bottom"/>
            <w:tcBorders>
              <w:right w:val="single" w:sz="8" w:color="007CBA"/>
            </w:tcBorders>
            <w:shd w:val="clear" w:color="auto" w:fill="E5F1F8"/>
          </w:tcPr>
          <w:p>
            <w:pPr>
              <w:jc w:val="right"/>
              <w:ind w:right="282"/>
              <w:spacing w:after="0" w:line="172" w:lineRule="exact"/>
              <w:rPr>
                <w:sz w:val="20"/>
                <w:szCs w:val="20"/>
                <w:color w:val="auto"/>
              </w:rPr>
            </w:pPr>
            <w:r>
              <w:rPr>
                <w:rFonts w:ascii="Arial" w:cs="Arial" w:eastAsia="Arial" w:hAnsi="Arial"/>
                <w:sz w:val="16"/>
                <w:szCs w:val="16"/>
                <w:color w:val="auto"/>
              </w:rPr>
              <w:t>331,290</w:t>
            </w:r>
          </w:p>
        </w:tc>
        <w:tc>
          <w:tcPr>
            <w:tcW w:w="1840" w:type="dxa"/>
            <w:vAlign w:val="bottom"/>
            <w:shd w:val="clear" w:color="auto" w:fill="E5F1F8"/>
          </w:tcPr>
          <w:p>
            <w:pPr>
              <w:spacing w:after="0"/>
              <w:rPr>
                <w:sz w:val="14"/>
                <w:szCs w:val="14"/>
                <w:color w:val="auto"/>
              </w:rPr>
            </w:pPr>
          </w:p>
        </w:tc>
      </w:tr>
      <w:tr>
        <w:trPr>
          <w:trHeight w:val="221"/>
        </w:trPr>
        <w:tc>
          <w:tcPr>
            <w:tcW w:w="3800" w:type="dxa"/>
            <w:vAlign w:val="bottom"/>
            <w:tcBorders>
              <w:right w:val="single" w:sz="8" w:color="007CBA"/>
            </w:tcBorders>
            <w:shd w:val="clear" w:color="auto" w:fill="E5F1F8"/>
          </w:tcPr>
          <w:p>
            <w:pPr>
              <w:spacing w:after="0"/>
              <w:rPr>
                <w:sz w:val="19"/>
                <w:szCs w:val="19"/>
                <w:color w:val="auto"/>
              </w:rPr>
            </w:pPr>
          </w:p>
        </w:tc>
        <w:tc>
          <w:tcPr>
            <w:tcW w:w="1320" w:type="dxa"/>
            <w:vAlign w:val="bottom"/>
            <w:tcBorders>
              <w:right w:val="single" w:sz="8" w:color="007CBA"/>
            </w:tcBorders>
            <w:shd w:val="clear" w:color="auto" w:fill="E5F1F8"/>
          </w:tcPr>
          <w:p>
            <w:pPr>
              <w:jc w:val="center"/>
              <w:ind w:left="220"/>
              <w:spacing w:after="0"/>
              <w:rPr>
                <w:sz w:val="20"/>
                <w:szCs w:val="20"/>
                <w:color w:val="auto"/>
              </w:rPr>
            </w:pPr>
            <w:r>
              <w:rPr>
                <w:rFonts w:ascii="Arial" w:cs="Arial" w:eastAsia="Arial" w:hAnsi="Arial"/>
                <w:sz w:val="16"/>
                <w:szCs w:val="16"/>
                <w:color w:val="auto"/>
              </w:rPr>
              <w:t>SERP</w:t>
            </w:r>
          </w:p>
        </w:tc>
        <w:tc>
          <w:tcPr>
            <w:tcW w:w="1960" w:type="dxa"/>
            <w:vAlign w:val="bottom"/>
            <w:tcBorders>
              <w:right w:val="single" w:sz="8" w:color="007CBA"/>
            </w:tcBorders>
            <w:shd w:val="clear" w:color="auto" w:fill="E5F1F8"/>
          </w:tcPr>
          <w:p>
            <w:pPr>
              <w:jc w:val="right"/>
              <w:ind w:right="341"/>
              <w:spacing w:after="0"/>
              <w:rPr>
                <w:sz w:val="20"/>
                <w:szCs w:val="20"/>
                <w:color w:val="auto"/>
              </w:rPr>
            </w:pPr>
            <w:r>
              <w:rPr>
                <w:rFonts w:ascii="Arial" w:cs="Arial" w:eastAsia="Arial" w:hAnsi="Arial"/>
                <w:sz w:val="16"/>
                <w:szCs w:val="16"/>
                <w:color w:val="auto"/>
              </w:rPr>
              <w:t>6.417</w:t>
            </w:r>
          </w:p>
        </w:tc>
        <w:tc>
          <w:tcPr>
            <w:tcW w:w="2100" w:type="dxa"/>
            <w:vAlign w:val="bottom"/>
            <w:tcBorders>
              <w:right w:val="single" w:sz="8" w:color="007CBA"/>
            </w:tcBorders>
            <w:shd w:val="clear" w:color="auto" w:fill="E5F1F8"/>
          </w:tcPr>
          <w:p>
            <w:pPr>
              <w:jc w:val="right"/>
              <w:ind w:right="282"/>
              <w:spacing w:after="0"/>
              <w:rPr>
                <w:sz w:val="20"/>
                <w:szCs w:val="20"/>
                <w:color w:val="auto"/>
              </w:rPr>
            </w:pPr>
            <w:r>
              <w:rPr>
                <w:rFonts w:ascii="Arial" w:cs="Arial" w:eastAsia="Arial" w:hAnsi="Arial"/>
                <w:sz w:val="16"/>
                <w:szCs w:val="16"/>
                <w:color w:val="auto"/>
              </w:rPr>
              <w:t>549,247</w:t>
            </w:r>
          </w:p>
        </w:tc>
        <w:tc>
          <w:tcPr>
            <w:tcW w:w="1840" w:type="dxa"/>
            <w:vAlign w:val="bottom"/>
            <w:shd w:val="clear" w:color="auto" w:fill="E5F1F8"/>
          </w:tcPr>
          <w:p>
            <w:pPr>
              <w:spacing w:after="0"/>
              <w:rPr>
                <w:sz w:val="19"/>
                <w:szCs w:val="19"/>
                <w:color w:val="auto"/>
              </w:rPr>
            </w:pPr>
          </w:p>
        </w:tc>
      </w:tr>
      <w:tr>
        <w:trPr>
          <w:trHeight w:val="171"/>
        </w:trPr>
        <w:tc>
          <w:tcPr>
            <w:tcW w:w="3800" w:type="dxa"/>
            <w:vAlign w:val="bottom"/>
            <w:tcBorders>
              <w:right w:val="single" w:sz="8" w:color="007CBA"/>
            </w:tcBorders>
          </w:tcPr>
          <w:p>
            <w:pPr>
              <w:ind w:left="60"/>
              <w:spacing w:after="0" w:line="171" w:lineRule="exact"/>
              <w:rPr>
                <w:sz w:val="20"/>
                <w:szCs w:val="20"/>
                <w:color w:val="auto"/>
              </w:rPr>
            </w:pPr>
            <w:r>
              <w:rPr>
                <w:rFonts w:ascii="Arial" w:cs="Arial" w:eastAsia="Arial" w:hAnsi="Arial"/>
                <w:sz w:val="16"/>
                <w:szCs w:val="16"/>
                <w:b w:val="1"/>
                <w:bCs w:val="1"/>
                <w:color w:val="auto"/>
              </w:rPr>
              <w:t>Daniel L. Grant</w:t>
            </w:r>
          </w:p>
        </w:tc>
        <w:tc>
          <w:tcPr>
            <w:tcW w:w="1320" w:type="dxa"/>
            <w:vAlign w:val="bottom"/>
            <w:tcBorders>
              <w:right w:val="single" w:sz="8" w:color="007CBA"/>
            </w:tcBorders>
          </w:tcPr>
          <w:p>
            <w:pPr>
              <w:jc w:val="center"/>
              <w:ind w:left="220"/>
              <w:spacing w:after="0" w:line="171" w:lineRule="exact"/>
              <w:rPr>
                <w:sz w:val="20"/>
                <w:szCs w:val="20"/>
                <w:color w:val="auto"/>
              </w:rPr>
            </w:pPr>
            <w:r>
              <w:rPr>
                <w:rFonts w:ascii="Arial" w:cs="Arial" w:eastAsia="Arial" w:hAnsi="Arial"/>
                <w:sz w:val="16"/>
                <w:szCs w:val="16"/>
                <w:color w:val="auto"/>
                <w:w w:val="99"/>
              </w:rPr>
              <w:t>Pension Plan</w:t>
            </w:r>
          </w:p>
        </w:tc>
        <w:tc>
          <w:tcPr>
            <w:tcW w:w="1960" w:type="dxa"/>
            <w:vAlign w:val="bottom"/>
            <w:tcBorders>
              <w:right w:val="single" w:sz="8" w:color="007CBA"/>
            </w:tcBorders>
          </w:tcPr>
          <w:p>
            <w:pPr>
              <w:jc w:val="right"/>
              <w:ind w:right="341"/>
              <w:spacing w:after="0" w:line="171" w:lineRule="exact"/>
              <w:rPr>
                <w:sz w:val="20"/>
                <w:szCs w:val="20"/>
                <w:color w:val="auto"/>
              </w:rPr>
            </w:pPr>
            <w:r>
              <w:rPr>
                <w:rFonts w:ascii="Arial" w:cs="Arial" w:eastAsia="Arial" w:hAnsi="Arial"/>
                <w:sz w:val="16"/>
                <w:szCs w:val="16"/>
                <w:color w:val="auto"/>
              </w:rPr>
              <w:t>4.333</w:t>
            </w:r>
          </w:p>
        </w:tc>
        <w:tc>
          <w:tcPr>
            <w:tcW w:w="2100" w:type="dxa"/>
            <w:vAlign w:val="bottom"/>
            <w:tcBorders>
              <w:right w:val="single" w:sz="8" w:color="007CBA"/>
            </w:tcBorders>
          </w:tcPr>
          <w:p>
            <w:pPr>
              <w:jc w:val="right"/>
              <w:ind w:right="282"/>
              <w:spacing w:after="0" w:line="171" w:lineRule="exact"/>
              <w:rPr>
                <w:sz w:val="20"/>
                <w:szCs w:val="20"/>
                <w:color w:val="auto"/>
              </w:rPr>
            </w:pPr>
            <w:r>
              <w:rPr>
                <w:rFonts w:ascii="Arial" w:cs="Arial" w:eastAsia="Arial" w:hAnsi="Arial"/>
                <w:sz w:val="16"/>
                <w:szCs w:val="16"/>
                <w:color w:val="auto"/>
              </w:rPr>
              <w:t>224,692</w:t>
            </w:r>
          </w:p>
        </w:tc>
        <w:tc>
          <w:tcPr>
            <w:tcW w:w="1840" w:type="dxa"/>
            <w:vAlign w:val="bottom"/>
          </w:tcPr>
          <w:p>
            <w:pPr>
              <w:spacing w:after="0"/>
              <w:rPr>
                <w:sz w:val="14"/>
                <w:szCs w:val="14"/>
                <w:color w:val="auto"/>
              </w:rPr>
            </w:pPr>
          </w:p>
        </w:tc>
      </w:tr>
      <w:tr>
        <w:trPr>
          <w:trHeight w:val="220"/>
        </w:trPr>
        <w:tc>
          <w:tcPr>
            <w:tcW w:w="3800" w:type="dxa"/>
            <w:vAlign w:val="bottom"/>
            <w:tcBorders>
              <w:right w:val="single" w:sz="8" w:color="007CBA"/>
            </w:tcBorders>
          </w:tcPr>
          <w:p>
            <w:pPr>
              <w:spacing w:after="0"/>
              <w:rPr>
                <w:sz w:val="19"/>
                <w:szCs w:val="19"/>
                <w:color w:val="auto"/>
              </w:rPr>
            </w:pPr>
          </w:p>
        </w:tc>
        <w:tc>
          <w:tcPr>
            <w:tcW w:w="1320" w:type="dxa"/>
            <w:vAlign w:val="bottom"/>
            <w:tcBorders>
              <w:right w:val="single" w:sz="8" w:color="007CBA"/>
            </w:tcBorders>
          </w:tcPr>
          <w:p>
            <w:pPr>
              <w:jc w:val="center"/>
              <w:ind w:left="220"/>
              <w:spacing w:after="0"/>
              <w:rPr>
                <w:sz w:val="20"/>
                <w:szCs w:val="20"/>
                <w:color w:val="auto"/>
              </w:rPr>
            </w:pPr>
            <w:r>
              <w:rPr>
                <w:rFonts w:ascii="Arial" w:cs="Arial" w:eastAsia="Arial" w:hAnsi="Arial"/>
                <w:sz w:val="16"/>
                <w:szCs w:val="16"/>
                <w:color w:val="auto"/>
              </w:rPr>
              <w:t>SERP</w:t>
            </w:r>
          </w:p>
        </w:tc>
        <w:tc>
          <w:tcPr>
            <w:tcW w:w="1960" w:type="dxa"/>
            <w:vAlign w:val="bottom"/>
            <w:tcBorders>
              <w:right w:val="single" w:sz="8" w:color="007CBA"/>
            </w:tcBorders>
          </w:tcPr>
          <w:p>
            <w:pPr>
              <w:jc w:val="right"/>
              <w:ind w:right="341"/>
              <w:spacing w:after="0"/>
              <w:rPr>
                <w:sz w:val="20"/>
                <w:szCs w:val="20"/>
                <w:color w:val="auto"/>
              </w:rPr>
            </w:pPr>
            <w:r>
              <w:rPr>
                <w:rFonts w:ascii="Arial" w:cs="Arial" w:eastAsia="Arial" w:hAnsi="Arial"/>
                <w:sz w:val="16"/>
                <w:szCs w:val="16"/>
                <w:color w:val="auto"/>
              </w:rPr>
              <w:t>4.333</w:t>
            </w:r>
          </w:p>
        </w:tc>
        <w:tc>
          <w:tcPr>
            <w:tcW w:w="2100" w:type="dxa"/>
            <w:vAlign w:val="bottom"/>
            <w:tcBorders>
              <w:right w:val="single" w:sz="8" w:color="007CBA"/>
            </w:tcBorders>
          </w:tcPr>
          <w:p>
            <w:pPr>
              <w:jc w:val="right"/>
              <w:ind w:right="282"/>
              <w:spacing w:after="0"/>
              <w:rPr>
                <w:sz w:val="20"/>
                <w:szCs w:val="20"/>
                <w:color w:val="auto"/>
              </w:rPr>
            </w:pPr>
            <w:r>
              <w:rPr>
                <w:rFonts w:ascii="Arial" w:cs="Arial" w:eastAsia="Arial" w:hAnsi="Arial"/>
                <w:sz w:val="16"/>
                <w:szCs w:val="16"/>
                <w:color w:val="auto"/>
              </w:rPr>
              <w:t>305,093</w:t>
            </w:r>
          </w:p>
        </w:tc>
        <w:tc>
          <w:tcPr>
            <w:tcW w:w="1840" w:type="dxa"/>
            <w:vAlign w:val="bottom"/>
          </w:tcPr>
          <w:p>
            <w:pPr>
              <w:spacing w:after="0"/>
              <w:rPr>
                <w:sz w:val="19"/>
                <w:szCs w:val="19"/>
                <w:color w:val="auto"/>
              </w:rPr>
            </w:pPr>
          </w:p>
        </w:tc>
      </w:tr>
      <w:tr>
        <w:trPr>
          <w:trHeight w:val="170"/>
        </w:trPr>
        <w:tc>
          <w:tcPr>
            <w:tcW w:w="3800" w:type="dxa"/>
            <w:vAlign w:val="bottom"/>
            <w:tcBorders>
              <w:right w:val="single" w:sz="8" w:color="007CBA"/>
            </w:tcBorders>
            <w:shd w:val="clear" w:color="auto" w:fill="E5F1F8"/>
          </w:tcPr>
          <w:p>
            <w:pPr>
              <w:ind w:left="60"/>
              <w:spacing w:after="0" w:line="170" w:lineRule="exact"/>
              <w:rPr>
                <w:sz w:val="20"/>
                <w:szCs w:val="20"/>
                <w:color w:val="auto"/>
              </w:rPr>
            </w:pPr>
            <w:r>
              <w:rPr>
                <w:rFonts w:ascii="Arial" w:cs="Arial" w:eastAsia="Arial" w:hAnsi="Arial"/>
                <w:sz w:val="16"/>
                <w:szCs w:val="16"/>
                <w:i w:val="1"/>
                <w:iCs w:val="1"/>
                <w:color w:val="auto"/>
              </w:rPr>
              <w:t>Former Executive Officer:</w:t>
            </w:r>
          </w:p>
        </w:tc>
        <w:tc>
          <w:tcPr>
            <w:tcW w:w="1320" w:type="dxa"/>
            <w:vAlign w:val="bottom"/>
            <w:tcBorders>
              <w:right w:val="single" w:sz="8" w:color="007CBA"/>
            </w:tcBorders>
            <w:shd w:val="clear" w:color="auto" w:fill="E5F1F8"/>
          </w:tcPr>
          <w:p>
            <w:pPr>
              <w:jc w:val="center"/>
              <w:ind w:left="220"/>
              <w:spacing w:after="0" w:line="170" w:lineRule="exact"/>
              <w:rPr>
                <w:sz w:val="20"/>
                <w:szCs w:val="20"/>
                <w:color w:val="auto"/>
              </w:rPr>
            </w:pPr>
            <w:r>
              <w:rPr>
                <w:rFonts w:ascii="Arial" w:cs="Arial" w:eastAsia="Arial" w:hAnsi="Arial"/>
                <w:sz w:val="16"/>
                <w:szCs w:val="16"/>
                <w:color w:val="auto"/>
                <w:w w:val="99"/>
              </w:rPr>
              <w:t>Pension Plan</w:t>
            </w:r>
          </w:p>
        </w:tc>
        <w:tc>
          <w:tcPr>
            <w:tcW w:w="1960" w:type="dxa"/>
            <w:vAlign w:val="bottom"/>
            <w:tcBorders>
              <w:right w:val="single" w:sz="8" w:color="007CBA"/>
            </w:tcBorders>
            <w:shd w:val="clear" w:color="auto" w:fill="E5F1F8"/>
          </w:tcPr>
          <w:p>
            <w:pPr>
              <w:jc w:val="right"/>
              <w:ind w:right="341"/>
              <w:spacing w:after="0" w:line="170" w:lineRule="exact"/>
              <w:rPr>
                <w:sz w:val="20"/>
                <w:szCs w:val="20"/>
                <w:color w:val="auto"/>
              </w:rPr>
            </w:pPr>
            <w:r>
              <w:rPr>
                <w:rFonts w:ascii="Arial" w:cs="Arial" w:eastAsia="Arial" w:hAnsi="Arial"/>
                <w:sz w:val="16"/>
                <w:szCs w:val="16"/>
                <w:color w:val="auto"/>
              </w:rPr>
              <w:t>19.583</w:t>
            </w:r>
          </w:p>
        </w:tc>
        <w:tc>
          <w:tcPr>
            <w:tcW w:w="2100" w:type="dxa"/>
            <w:vAlign w:val="bottom"/>
            <w:tcBorders>
              <w:right w:val="single" w:sz="8" w:color="007CBA"/>
            </w:tcBorders>
            <w:shd w:val="clear" w:color="auto" w:fill="E5F1F8"/>
          </w:tcPr>
          <w:p>
            <w:pPr>
              <w:jc w:val="right"/>
              <w:ind w:right="282"/>
              <w:spacing w:after="0" w:line="170" w:lineRule="exact"/>
              <w:rPr>
                <w:sz w:val="20"/>
                <w:szCs w:val="20"/>
                <w:color w:val="auto"/>
              </w:rPr>
            </w:pPr>
            <w:r>
              <w:rPr>
                <w:rFonts w:ascii="Arial" w:cs="Arial" w:eastAsia="Arial" w:hAnsi="Arial"/>
                <w:sz w:val="16"/>
                <w:szCs w:val="16"/>
                <w:color w:val="auto"/>
              </w:rPr>
              <w:t>915,257</w:t>
            </w:r>
          </w:p>
        </w:tc>
        <w:tc>
          <w:tcPr>
            <w:tcW w:w="1840" w:type="dxa"/>
            <w:vAlign w:val="bottom"/>
            <w:shd w:val="clear" w:color="auto" w:fill="E5F1F8"/>
          </w:tcPr>
          <w:p>
            <w:pPr>
              <w:spacing w:after="0"/>
              <w:rPr>
                <w:sz w:val="14"/>
                <w:szCs w:val="14"/>
                <w:color w:val="auto"/>
              </w:rPr>
            </w:pPr>
          </w:p>
        </w:tc>
      </w:tr>
      <w:tr>
        <w:trPr>
          <w:trHeight w:val="223"/>
        </w:trPr>
        <w:tc>
          <w:tcPr>
            <w:tcW w:w="3800" w:type="dxa"/>
            <w:vAlign w:val="bottom"/>
            <w:tcBorders>
              <w:bottom w:val="single" w:sz="8" w:color="007CBA"/>
              <w:right w:val="single" w:sz="8" w:color="007CBA"/>
            </w:tcBorders>
            <w:shd w:val="clear" w:color="auto" w:fill="E5F1F8"/>
          </w:tcPr>
          <w:p>
            <w:pPr>
              <w:ind w:left="60"/>
              <w:spacing w:after="0"/>
              <w:rPr>
                <w:sz w:val="20"/>
                <w:szCs w:val="20"/>
                <w:color w:val="auto"/>
              </w:rPr>
            </w:pPr>
            <w:r>
              <w:rPr>
                <w:rFonts w:ascii="Arial" w:cs="Arial" w:eastAsia="Arial" w:hAnsi="Arial"/>
                <w:sz w:val="16"/>
                <w:szCs w:val="16"/>
                <w:b w:val="1"/>
                <w:bCs w:val="1"/>
                <w:color w:val="auto"/>
              </w:rPr>
              <w:t>Anne H. Lloyd</w:t>
            </w:r>
          </w:p>
        </w:tc>
        <w:tc>
          <w:tcPr>
            <w:tcW w:w="1320" w:type="dxa"/>
            <w:vAlign w:val="bottom"/>
            <w:tcBorders>
              <w:bottom w:val="single" w:sz="8" w:color="007CBA"/>
              <w:right w:val="single" w:sz="8" w:color="007CBA"/>
            </w:tcBorders>
            <w:shd w:val="clear" w:color="auto" w:fill="E5F1F8"/>
          </w:tcPr>
          <w:p>
            <w:pPr>
              <w:jc w:val="center"/>
              <w:ind w:left="220"/>
              <w:spacing w:after="0"/>
              <w:rPr>
                <w:sz w:val="20"/>
                <w:szCs w:val="20"/>
                <w:color w:val="auto"/>
              </w:rPr>
            </w:pPr>
            <w:r>
              <w:rPr>
                <w:rFonts w:ascii="Arial" w:cs="Arial" w:eastAsia="Arial" w:hAnsi="Arial"/>
                <w:sz w:val="16"/>
                <w:szCs w:val="16"/>
                <w:color w:val="auto"/>
              </w:rPr>
              <w:t>SERP</w:t>
            </w:r>
          </w:p>
        </w:tc>
        <w:tc>
          <w:tcPr>
            <w:tcW w:w="1960" w:type="dxa"/>
            <w:vAlign w:val="bottom"/>
            <w:tcBorders>
              <w:bottom w:val="single" w:sz="8" w:color="007CBA"/>
              <w:right w:val="single" w:sz="8" w:color="007CBA"/>
            </w:tcBorders>
            <w:shd w:val="clear" w:color="auto" w:fill="E5F1F8"/>
          </w:tcPr>
          <w:p>
            <w:pPr>
              <w:jc w:val="right"/>
              <w:ind w:right="341"/>
              <w:spacing w:after="0"/>
              <w:rPr>
                <w:sz w:val="20"/>
                <w:szCs w:val="20"/>
                <w:color w:val="auto"/>
              </w:rPr>
            </w:pPr>
            <w:r>
              <w:rPr>
                <w:rFonts w:ascii="Arial" w:cs="Arial" w:eastAsia="Arial" w:hAnsi="Arial"/>
                <w:sz w:val="16"/>
                <w:szCs w:val="16"/>
                <w:color w:val="auto"/>
              </w:rPr>
              <w:t>19.583</w:t>
            </w:r>
          </w:p>
        </w:tc>
        <w:tc>
          <w:tcPr>
            <w:tcW w:w="2100" w:type="dxa"/>
            <w:vAlign w:val="bottom"/>
            <w:tcBorders>
              <w:bottom w:val="single" w:sz="8" w:color="007CBA"/>
              <w:right w:val="single" w:sz="8" w:color="007CBA"/>
            </w:tcBorders>
            <w:shd w:val="clear" w:color="auto" w:fill="E5F1F8"/>
          </w:tcPr>
          <w:p>
            <w:pPr>
              <w:jc w:val="right"/>
              <w:ind w:right="282"/>
              <w:spacing w:after="0"/>
              <w:rPr>
                <w:sz w:val="20"/>
                <w:szCs w:val="20"/>
                <w:color w:val="auto"/>
              </w:rPr>
            </w:pPr>
            <w:r>
              <w:rPr>
                <w:rFonts w:ascii="Arial" w:cs="Arial" w:eastAsia="Arial" w:hAnsi="Arial"/>
                <w:sz w:val="16"/>
                <w:szCs w:val="16"/>
                <w:color w:val="auto"/>
              </w:rPr>
              <w:t>2,828,200</w:t>
            </w:r>
          </w:p>
        </w:tc>
        <w:tc>
          <w:tcPr>
            <w:tcW w:w="1840" w:type="dxa"/>
            <w:vAlign w:val="bottom"/>
            <w:tcBorders>
              <w:bottom w:val="single" w:sz="8" w:color="007CBA"/>
            </w:tcBorders>
            <w:shd w:val="clear" w:color="auto" w:fill="E5F1F8"/>
          </w:tcPr>
          <w:p>
            <w:pPr>
              <w:spacing w:after="0"/>
              <w:rPr>
                <w:sz w:val="19"/>
                <w:szCs w:val="19"/>
                <w:color w:val="auto"/>
              </w:rPr>
            </w:pPr>
          </w:p>
        </w:tc>
      </w:tr>
    </w:tbl>
    <w:p>
      <w:pPr>
        <w:spacing w:after="0" w:line="54" w:lineRule="exact"/>
        <w:rPr>
          <w:sz w:val="20"/>
          <w:szCs w:val="20"/>
          <w:color w:val="auto"/>
        </w:rPr>
      </w:pPr>
    </w:p>
    <w:p>
      <w:pPr>
        <w:jc w:val="both"/>
        <w:ind w:left="320" w:right="20" w:hanging="116"/>
        <w:spacing w:after="0"/>
        <w:tabs>
          <w:tab w:leader="none" w:pos="320" w:val="left"/>
        </w:tabs>
        <w:numPr>
          <w:ilvl w:val="0"/>
          <w:numId w:val="116"/>
        </w:numPr>
        <w:rPr>
          <w:rFonts w:ascii="Arial" w:cs="Arial" w:eastAsia="Arial" w:hAnsi="Arial"/>
          <w:sz w:val="24"/>
          <w:szCs w:val="24"/>
          <w:color w:val="auto"/>
          <w:vertAlign w:val="superscript"/>
        </w:rPr>
      </w:pPr>
      <w:r>
        <w:rPr>
          <w:rFonts w:ascii="Arial" w:cs="Arial" w:eastAsia="Arial" w:hAnsi="Arial"/>
          <w:sz w:val="14"/>
          <w:szCs w:val="14"/>
          <w:color w:val="auto"/>
        </w:rPr>
        <w:t>Amounts in column (d) reflect the valuation method and use the assumptions that are included in Notes A and J to Martin Marietta’s audited financial statements for the fiscal year ended December 31, 2017, included in Martin Marietta’s Annual Report on Form 10-K filed with the Securities and Exchange Commission on February 23, 2018.</w:t>
      </w:r>
    </w:p>
    <w:p>
      <w:pPr>
        <w:sectPr>
          <w:pgSz w:w="11900" w:h="16838" w:orient="portrait"/>
          <w:cols w:equalWidth="0" w:num="1">
            <w:col w:w="11240"/>
          </w:cols>
          <w:pgMar w:left="240" w:top="455" w:right="419" w:bottom="1440" w:gutter="0" w:footer="0" w:header="0"/>
        </w:sectPr>
      </w:pPr>
    </w:p>
    <w:p>
      <w:pPr>
        <w:spacing w:after="0" w:line="314" w:lineRule="exact"/>
        <w:rPr>
          <w:sz w:val="20"/>
          <w:szCs w:val="20"/>
          <w:color w:val="auto"/>
        </w:rPr>
      </w:pPr>
    </w:p>
    <w:p>
      <w:pPr>
        <w:jc w:val="both"/>
        <w:ind w:left="220"/>
        <w:spacing w:after="0" w:line="248" w:lineRule="auto"/>
        <w:rPr>
          <w:sz w:val="20"/>
          <w:szCs w:val="20"/>
          <w:color w:val="auto"/>
        </w:rPr>
      </w:pPr>
      <w:r>
        <w:rPr>
          <w:rFonts w:ascii="Arial" w:cs="Arial" w:eastAsia="Arial" w:hAnsi="Arial"/>
          <w:sz w:val="16"/>
          <w:szCs w:val="16"/>
          <w:color w:val="auto"/>
        </w:rPr>
        <w:t>The Pension Plan is a defined benefit plan sponsored by Martin Marietta and covers all of Martin Marietta’s executive officers, including the named executive officers, and substantially all of the salaried employees of Martin Marietta on a non-contributing basis. Compensation covered by the Pension Plan generally includes, but is not limited to, base salary, executive incentive compensation awards, lump sum payments in lieu of a salary increase, and overtime. The normal retirement age under the Pension Plan is 65, but unreduced early retirement benefits are available at age 62 and reduced benefits are available as early as age 55. The calculation of benefits under the Pension Plan is generally based on an annual accrual rate, average compensation for the highest consecutive five years of the ten years preceding retirement, and the participant’s number of years of credited service (1.165% of average compensation up to social security covered compensation for service up to 35 years and 1.50% of average compensation over social security covered compensation for service up to 35 years and 1.50% of average compensation for service over 35 years.) Benefits payable under the Pension Plan are subject to current Internal Revenue Code limitations, including a limitation on the amount of annual compensation for purposes of calculating eligible remuneration for a participant under a qualified retirement plan ($270,000 in 2017). Martin Marietta’s SERP is a restoration plan that generally provides for the payment of benefits in excess of the Internal Revenue Code limits, which benefits vest in the</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jc w:val="both"/>
        <w:ind w:right="20"/>
        <w:spacing w:after="0" w:line="248" w:lineRule="auto"/>
        <w:rPr>
          <w:sz w:val="20"/>
          <w:szCs w:val="20"/>
          <w:color w:val="auto"/>
        </w:rPr>
      </w:pPr>
      <w:r>
        <w:rPr>
          <w:rFonts w:ascii="Arial" w:cs="Arial" w:eastAsia="Arial" w:hAnsi="Arial"/>
          <w:sz w:val="16"/>
          <w:szCs w:val="16"/>
          <w:color w:val="auto"/>
        </w:rPr>
        <w:t>same manner that benefits vest under the Pension Plan. The SERP provides for a lump sum payment of the vested benefits provided by the SERP subject to the provisions of Section 409A of the Internal Revenue Code. Of the named executive officers, Mr. Nye, Ms. Bar and Mr. McCunniff are each eligible for early retirement, which allows for payment to employees who are age 55 with at least five years of service at a reduced benefit based on the number of years of service and the number of years prior to age 62 at which the benefits began. Mr. Nickolas and Mr. Grant are not yet eligible for early retirement, but would still be eligible for payments at age 55 (age 64.417 for Mr. Grant) at a reduced benefit based on the number of years of service and the number of years prior to age 65 at which the benefits began. The present value of the Pension Plan and SERP benefit, respectively, for Mr. Nye, Mr. Nickolas, Ms. Bar, Mr. McCunniff, and Mr. Grant, if they had terminated on December 31, 2017 and began collecting benefits at age 55 (age 64.417 for Mr. Grant) or current age if older would be as follows: Mr. Nye, $492,626 and $4,412,214, respectively; Mr. Nickolas, $0 and $0, respectively, since he is not vested in the plans; Ms. Bar, $1,307,255 and $3,158,442, respectively; Mr. McCunniff, $335,161 and $559,816 respectively; and Mr. Grant, $0 and $0, respectively, since he is not vested in the plans. The amounts listed in the foregoing table are not subject to any deduction for Social Security benefits or other offset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417830</wp:posOffset>
            </wp:positionV>
            <wp:extent cx="411480" cy="2489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580" w:lineRule="exact"/>
        <w:rPr>
          <w:sz w:val="20"/>
          <w:szCs w:val="20"/>
          <w:color w:val="auto"/>
        </w:rPr>
      </w:pPr>
    </w:p>
    <w:p>
      <w:pPr>
        <w:sectPr>
          <w:pgSz w:w="11900" w:h="16838" w:orient="portrait"/>
          <w:cols w:equalWidth="0" w:num="2">
            <w:col w:w="5500" w:space="320"/>
            <w:col w:w="5420"/>
          </w:cols>
          <w:pgMar w:left="240" w:top="455" w:right="419" w:bottom="1440" w:gutter="0" w:footer="0" w:header="0"/>
          <w:type w:val="continuous"/>
        </w:sectPr>
      </w:pPr>
    </w:p>
    <w:p>
      <w:pPr>
        <w:spacing w:after="0" w:line="96" w:lineRule="exact"/>
        <w:rPr>
          <w:sz w:val="20"/>
          <w:szCs w:val="20"/>
          <w:color w:val="auto"/>
        </w:rPr>
      </w:pPr>
    </w:p>
    <w:p>
      <w:pPr>
        <w:ind w:left="640" w:hanging="436"/>
        <w:spacing w:after="0"/>
        <w:tabs>
          <w:tab w:leader="none" w:pos="640" w:val="left"/>
        </w:tabs>
        <w:numPr>
          <w:ilvl w:val="0"/>
          <w:numId w:val="117"/>
        </w:numPr>
        <w:rPr>
          <w:rFonts w:ascii="Arial" w:cs="Arial" w:eastAsia="Arial" w:hAnsi="Arial"/>
          <w:sz w:val="12"/>
          <w:szCs w:val="12"/>
          <w:b w:val="1"/>
          <w:bCs w:val="1"/>
          <w:color w:val="auto"/>
        </w:rPr>
      </w:pPr>
      <w:r>
        <w:rPr>
          <w:rFonts w:ascii="Arial" w:cs="Arial" w:eastAsia="Arial" w:hAnsi="Arial"/>
          <w:sz w:val="12"/>
          <w:szCs w:val="12"/>
          <w:color w:val="007CBA"/>
        </w:rPr>
        <w:t>2018 PROXY STATEMENT</w:t>
      </w:r>
    </w:p>
    <w:p>
      <w:pPr>
        <w:sectPr>
          <w:pgSz w:w="11900" w:h="16838" w:orient="portrait"/>
          <w:cols w:equalWidth="0" w:num="1">
            <w:col w:w="11240"/>
          </w:cols>
          <w:pgMar w:left="240" w:top="455" w:right="419" w:bottom="1440" w:gutter="0" w:footer="0" w:header="0"/>
          <w:type w:val="continuous"/>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64" w:lineRule="exact"/>
        <w:rPr>
          <w:sz w:val="20"/>
          <w:szCs w:val="20"/>
          <w:color w:val="auto"/>
        </w:rPr>
      </w:pPr>
    </w:p>
    <w:p>
      <w:pPr>
        <w:ind w:left="5820"/>
        <w:spacing w:after="0" w:line="276" w:lineRule="exact"/>
        <w:rPr>
          <w:sz w:val="20"/>
          <w:szCs w:val="20"/>
          <w:color w:val="auto"/>
        </w:rPr>
      </w:pPr>
      <w:r>
        <w:rPr>
          <w:rFonts w:ascii="Arial" w:cs="Arial" w:eastAsia="Arial" w:hAnsi="Arial"/>
          <w:sz w:val="13"/>
          <w:szCs w:val="13"/>
          <w:color w:val="auto"/>
        </w:rPr>
        <w:t xml:space="preserve">Potential Payments Upon Termination or Change of Control </w:t>
      </w:r>
      <w:r>
        <w:rPr>
          <w:rFonts w:ascii="MS PGothic" w:cs="MS PGothic" w:eastAsia="MS PGothic" w:hAnsi="MS PGothic"/>
          <w:sz w:val="24"/>
          <w:szCs w:val="24"/>
          <w:color w:val="007CBA"/>
        </w:rPr>
        <w:t>◆</w:t>
      </w:r>
      <w:r>
        <w:rPr>
          <w:rFonts w:ascii="Arial" w:cs="Arial" w:eastAsia="Arial" w:hAnsi="Arial"/>
          <w:sz w:val="13"/>
          <w:szCs w:val="13"/>
          <w:color w:val="auto"/>
        </w:rPr>
        <w:t xml:space="preserve"> </w:t>
      </w:r>
      <w:r>
        <w:rPr>
          <w:rFonts w:ascii="Arial" w:cs="Arial" w:eastAsia="Arial" w:hAnsi="Arial"/>
          <w:sz w:val="13"/>
          <w:szCs w:val="13"/>
          <w:color w:val="007CBA"/>
        </w:rPr>
        <w:t>Executive Compensation</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007CBA"/>
        </w:rPr>
        <w:t>Potential Payments Upon Termination or Change of Control</w:t>
      </w:r>
    </w:p>
    <w:p>
      <w:pPr>
        <w:sectPr>
          <w:pgSz w:w="11900" w:h="16838" w:orient="portrait"/>
          <w:cols w:equalWidth="0" w:num="1">
            <w:col w:w="11220"/>
          </w:cols>
          <w:pgMar w:left="240" w:top="455" w:right="439" w:bottom="1440" w:gutter="0" w:footer="0" w:header="0"/>
        </w:sectPr>
      </w:pPr>
    </w:p>
    <w:p>
      <w:pPr>
        <w:spacing w:after="0" w:line="202" w:lineRule="exact"/>
        <w:rPr>
          <w:sz w:val="20"/>
          <w:szCs w:val="20"/>
          <w:color w:val="auto"/>
        </w:rPr>
      </w:pPr>
    </w:p>
    <w:p>
      <w:pPr>
        <w:jc w:val="both"/>
        <w:ind w:left="220"/>
        <w:spacing w:after="0" w:line="250" w:lineRule="auto"/>
        <w:rPr>
          <w:sz w:val="20"/>
          <w:szCs w:val="20"/>
          <w:color w:val="auto"/>
        </w:rPr>
      </w:pPr>
      <w:r>
        <w:rPr>
          <w:rFonts w:ascii="Arial" w:cs="Arial" w:eastAsia="Arial" w:hAnsi="Arial"/>
          <w:sz w:val="16"/>
          <w:szCs w:val="16"/>
          <w:color w:val="auto"/>
        </w:rPr>
        <w:t>The discussion and tables below reflect the amount of potential payments and benefits to each of the named executive officers (other than Ms. Lloyd) at, following, or in connection with any termination of such executive’s employment, including voluntary termination, involuntary not-for-cause termination, for-cause termination, normal retirement, early retirement, in the event of disability or death of the executive, and termination following a change of control. The amounts assume that such termination was effective as of December 31, 2017 and thus includes amounts earned through such time and are estimates of the amounts that would have been paid out to the executives upon their termination at such time. The actual amounts to be paid out can only be determined at the time of such executive’s actual separation from Martin Marietta. Ms. Lloyd’s entitlements upon her resignation are described on pages 60 and 62 of this proxy statement.</w:t>
      </w:r>
    </w:p>
    <w:p>
      <w:pPr>
        <w:spacing w:after="0" w:line="110" w:lineRule="exact"/>
        <w:rPr>
          <w:sz w:val="20"/>
          <w:szCs w:val="20"/>
          <w:color w:val="auto"/>
        </w:rPr>
      </w:pPr>
    </w:p>
    <w:p>
      <w:pPr>
        <w:jc w:val="both"/>
        <w:ind w:left="220"/>
        <w:spacing w:after="0" w:line="253" w:lineRule="auto"/>
        <w:rPr>
          <w:sz w:val="20"/>
          <w:szCs w:val="20"/>
          <w:color w:val="auto"/>
        </w:rPr>
      </w:pPr>
      <w:r>
        <w:rPr>
          <w:rFonts w:ascii="Arial" w:cs="Arial" w:eastAsia="Arial" w:hAnsi="Arial"/>
          <w:sz w:val="16"/>
          <w:szCs w:val="16"/>
          <w:b w:val="1"/>
          <w:bCs w:val="1"/>
          <w:color w:val="auto"/>
        </w:rPr>
        <w:t xml:space="preserve">Payments Upon Any Termination. </w:t>
      </w:r>
      <w:r>
        <w:rPr>
          <w:rFonts w:ascii="Arial" w:cs="Arial" w:eastAsia="Arial" w:hAnsi="Arial"/>
          <w:sz w:val="16"/>
          <w:szCs w:val="16"/>
          <w:color w:val="auto"/>
        </w:rPr>
        <w:t>Regardless of the manner in which</w:t>
      </w:r>
      <w:r>
        <w:rPr>
          <w:rFonts w:ascii="Arial" w:cs="Arial" w:eastAsia="Arial" w:hAnsi="Arial"/>
          <w:sz w:val="16"/>
          <w:szCs w:val="16"/>
          <w:b w:val="1"/>
          <w:bCs w:val="1"/>
          <w:color w:val="auto"/>
        </w:rPr>
        <w:t xml:space="preserve"> </w:t>
      </w:r>
      <w:r>
        <w:rPr>
          <w:rFonts w:ascii="Arial" w:cs="Arial" w:eastAsia="Arial" w:hAnsi="Arial"/>
          <w:sz w:val="16"/>
          <w:szCs w:val="16"/>
          <w:color w:val="auto"/>
        </w:rPr>
        <w:t>the employment of a named executive officer terminates, he or she is entitled to receive the amounts earned during the term of employment, including cash compensation earned during the fiscal year, amounts contributed by the employee and Martin Marietta’s matching contributions to the Savings and Investment Plan, unused earned vacation pay and amounts accrued and vested through Martin Marietta’s Pension Plan and SERP.</w:t>
      </w:r>
    </w:p>
    <w:p>
      <w:pPr>
        <w:spacing w:after="0" w:line="110" w:lineRule="exact"/>
        <w:rPr>
          <w:sz w:val="20"/>
          <w:szCs w:val="20"/>
          <w:color w:val="auto"/>
        </w:rPr>
      </w:pPr>
    </w:p>
    <w:p>
      <w:pPr>
        <w:jc w:val="both"/>
        <w:ind w:left="220"/>
        <w:spacing w:after="0" w:line="254" w:lineRule="auto"/>
        <w:rPr>
          <w:sz w:val="20"/>
          <w:szCs w:val="20"/>
          <w:color w:val="auto"/>
        </w:rPr>
      </w:pPr>
      <w:r>
        <w:rPr>
          <w:rFonts w:ascii="Arial" w:cs="Arial" w:eastAsia="Arial" w:hAnsi="Arial"/>
          <w:sz w:val="16"/>
          <w:szCs w:val="16"/>
          <w:b w:val="1"/>
          <w:bCs w:val="1"/>
          <w:color w:val="auto"/>
        </w:rPr>
        <w:t xml:space="preserve">Payments Upon Voluntary Termination. </w:t>
      </w:r>
      <w:r>
        <w:rPr>
          <w:rFonts w:ascii="Arial" w:cs="Arial" w:eastAsia="Arial" w:hAnsi="Arial"/>
          <w:sz w:val="16"/>
          <w:szCs w:val="16"/>
          <w:color w:val="auto"/>
        </w:rPr>
        <w:t>In addition to the amounts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described under the heading </w:t>
      </w:r>
      <w:r>
        <w:rPr>
          <w:rFonts w:ascii="Arial" w:cs="Arial" w:eastAsia="Arial" w:hAnsi="Arial"/>
          <w:sz w:val="16"/>
          <w:szCs w:val="16"/>
          <w:i w:val="1"/>
          <w:iCs w:val="1"/>
          <w:color w:val="auto"/>
        </w:rPr>
        <w:t>Payments Upon Any Termination</w:t>
      </w:r>
      <w:r>
        <w:rPr>
          <w:rFonts w:ascii="Arial" w:cs="Arial" w:eastAsia="Arial" w:hAnsi="Arial"/>
          <w:sz w:val="16"/>
          <w:szCs w:val="16"/>
          <w:color w:val="auto"/>
        </w:rPr>
        <w:t>, upon a voluntary termination of employment, the named executive officer would be entitled to receive the lower of the amount of cash contributed to the Incentive Stock Plan or the current market value of the common stock units credited to the employee measured by the NYSE closing price of Martin Marietta’s common stock on the date of termination.</w:t>
      </w:r>
    </w:p>
    <w:p>
      <w:pPr>
        <w:spacing w:after="0" w:line="96" w:lineRule="exact"/>
        <w:rPr>
          <w:sz w:val="20"/>
          <w:szCs w:val="20"/>
          <w:color w:val="auto"/>
        </w:rPr>
      </w:pPr>
    </w:p>
    <w:p>
      <w:pPr>
        <w:jc w:val="both"/>
        <w:ind w:left="220"/>
        <w:spacing w:after="0" w:line="254" w:lineRule="auto"/>
        <w:rPr>
          <w:sz w:val="20"/>
          <w:szCs w:val="20"/>
          <w:color w:val="auto"/>
        </w:rPr>
      </w:pPr>
      <w:r>
        <w:rPr>
          <w:rFonts w:ascii="Arial" w:cs="Arial" w:eastAsia="Arial" w:hAnsi="Arial"/>
          <w:sz w:val="16"/>
          <w:szCs w:val="16"/>
          <w:b w:val="1"/>
          <w:bCs w:val="1"/>
          <w:color w:val="auto"/>
        </w:rPr>
        <w:t xml:space="preserve">Payments Upon Involuntary Not-For-Cause Termination. </w:t>
      </w:r>
      <w:r>
        <w:rPr>
          <w:rFonts w:ascii="Arial" w:cs="Arial" w:eastAsia="Arial" w:hAnsi="Arial"/>
          <w:sz w:val="16"/>
          <w:szCs w:val="16"/>
          <w:color w:val="auto"/>
        </w:rPr>
        <w:t>In addition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the amounts described under the heading </w:t>
      </w:r>
      <w:r>
        <w:rPr>
          <w:rFonts w:ascii="Arial" w:cs="Arial" w:eastAsia="Arial" w:hAnsi="Arial"/>
          <w:sz w:val="16"/>
          <w:szCs w:val="16"/>
          <w:i w:val="1"/>
          <w:iCs w:val="1"/>
          <w:color w:val="auto"/>
        </w:rPr>
        <w:t>Payments Upon Any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Termination </w:t>
      </w:r>
      <w:r>
        <w:rPr>
          <w:rFonts w:ascii="Arial" w:cs="Arial" w:eastAsia="Arial" w:hAnsi="Arial"/>
          <w:sz w:val="16"/>
          <w:szCs w:val="16"/>
          <w:color w:val="auto"/>
        </w:rPr>
        <w:t>, upon an involuntary termination of employment not for</w:t>
      </w:r>
      <w:r>
        <w:rPr>
          <w:rFonts w:ascii="Arial" w:cs="Arial" w:eastAsia="Arial" w:hAnsi="Arial"/>
          <w:sz w:val="16"/>
          <w:szCs w:val="16"/>
          <w:i w:val="1"/>
          <w:iCs w:val="1"/>
          <w:color w:val="auto"/>
        </w:rPr>
        <w:t xml:space="preserve"> </w:t>
      </w:r>
      <w:r>
        <w:rPr>
          <w:rFonts w:ascii="Arial" w:cs="Arial" w:eastAsia="Arial" w:hAnsi="Arial"/>
          <w:sz w:val="16"/>
          <w:szCs w:val="16"/>
          <w:color w:val="auto"/>
        </w:rPr>
        <w:t>cause, the named executive officer would be entitled to receive a prorated share of the common stock units credited to him or her under the Incentive Stock Plan paid out as shares of common stock and the remaining cash contribution invested by the employee in the plan.</w:t>
      </w:r>
    </w:p>
    <w:p>
      <w:pPr>
        <w:spacing w:after="0" w:line="109" w:lineRule="exact"/>
        <w:rPr>
          <w:sz w:val="20"/>
          <w:szCs w:val="20"/>
          <w:color w:val="auto"/>
        </w:rPr>
      </w:pPr>
    </w:p>
    <w:p>
      <w:pPr>
        <w:jc w:val="both"/>
        <w:ind w:left="220" w:right="20"/>
        <w:spacing w:after="0" w:line="258" w:lineRule="auto"/>
        <w:rPr>
          <w:sz w:val="20"/>
          <w:szCs w:val="20"/>
          <w:color w:val="auto"/>
        </w:rPr>
      </w:pPr>
      <w:r>
        <w:rPr>
          <w:rFonts w:ascii="Arial" w:cs="Arial" w:eastAsia="Arial" w:hAnsi="Arial"/>
          <w:sz w:val="16"/>
          <w:szCs w:val="16"/>
          <w:b w:val="1"/>
          <w:bCs w:val="1"/>
          <w:color w:val="auto"/>
        </w:rPr>
        <w:t xml:space="preserve">Payments Upon Involuntary For-Cause Termination. </w:t>
      </w:r>
      <w:r>
        <w:rPr>
          <w:rFonts w:ascii="Arial" w:cs="Arial" w:eastAsia="Arial" w:hAnsi="Arial"/>
          <w:sz w:val="16"/>
          <w:szCs w:val="16"/>
          <w:color w:val="auto"/>
        </w:rPr>
        <w:t>In the event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involuntary termination for cause, which is defined in the Employment Protection Agreement and the Stock Plan, the named executive officer would be entitled to receive the payments and benefits described under the heading </w:t>
      </w:r>
      <w:r>
        <w:rPr>
          <w:rFonts w:ascii="Arial" w:cs="Arial" w:eastAsia="Arial" w:hAnsi="Arial"/>
          <w:sz w:val="16"/>
          <w:szCs w:val="16"/>
          <w:i w:val="1"/>
          <w:iCs w:val="1"/>
          <w:color w:val="auto"/>
        </w:rPr>
        <w:t>Payments Upon Voluntary Termination</w:t>
      </w:r>
      <w:r>
        <w:rPr>
          <w:rFonts w:ascii="Arial" w:cs="Arial" w:eastAsia="Arial" w:hAnsi="Arial"/>
          <w:sz w:val="16"/>
          <w:szCs w:val="16"/>
          <w:color w:val="auto"/>
        </w:rPr>
        <w:t>.</w:t>
      </w:r>
    </w:p>
    <w:p>
      <w:pPr>
        <w:spacing w:after="0" w:line="105" w:lineRule="exact"/>
        <w:rPr>
          <w:sz w:val="20"/>
          <w:szCs w:val="20"/>
          <w:color w:val="auto"/>
        </w:rPr>
      </w:pPr>
    </w:p>
    <w:p>
      <w:pPr>
        <w:jc w:val="both"/>
        <w:ind w:left="220" w:right="20"/>
        <w:spacing w:after="0" w:line="262" w:lineRule="auto"/>
        <w:rPr>
          <w:sz w:val="20"/>
          <w:szCs w:val="20"/>
          <w:color w:val="auto"/>
        </w:rPr>
      </w:pPr>
      <w:r>
        <w:rPr>
          <w:rFonts w:ascii="Arial" w:cs="Arial" w:eastAsia="Arial" w:hAnsi="Arial"/>
          <w:sz w:val="16"/>
          <w:szCs w:val="16"/>
          <w:b w:val="1"/>
          <w:bCs w:val="1"/>
          <w:color w:val="auto"/>
        </w:rPr>
        <w:t xml:space="preserve">Payments Upon Retirement. </w:t>
      </w:r>
      <w:r>
        <w:rPr>
          <w:rFonts w:ascii="Arial" w:cs="Arial" w:eastAsia="Arial" w:hAnsi="Arial"/>
          <w:sz w:val="16"/>
          <w:szCs w:val="16"/>
          <w:color w:val="auto"/>
        </w:rPr>
        <w:t>In the event of the retirement at age 62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above of a named executive officer, in addition to the items described under the heading </w:t>
      </w:r>
      <w:r>
        <w:rPr>
          <w:rFonts w:ascii="Arial" w:cs="Arial" w:eastAsia="Arial" w:hAnsi="Arial"/>
          <w:sz w:val="16"/>
          <w:szCs w:val="16"/>
          <w:i w:val="1"/>
          <w:iCs w:val="1"/>
          <w:color w:val="auto"/>
        </w:rPr>
        <w:t>Payments Upon Any Termination</w:t>
      </w:r>
      <w:r>
        <w:rPr>
          <w:rFonts w:ascii="Arial" w:cs="Arial" w:eastAsia="Arial" w:hAnsi="Arial"/>
          <w:sz w:val="16"/>
          <w:szCs w:val="16"/>
          <w:color w:val="auto"/>
        </w:rPr>
        <w:t>, the executive will receive a portion of the cash</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incentive bonus based upon performance and payable under the Executive Cash Incentive Plan that correlates to the percentage of the year in which the employee worked for the Company; will continue to hold all outstanding options unaffected by the retirement and retain such options for the remainder of the outstanding term; will continue to hold all awards of RSUs and PSUs for the remainder of the outstanding term unaffected by the retirement; will vest in all outstanding awards of common stock units under the Incentive Stock Plan; will be eligible to receive health and welfare benefits as described under the heading </w:t>
      </w:r>
      <w:r>
        <w:rPr>
          <w:rFonts w:ascii="Arial" w:cs="Arial" w:eastAsia="Arial" w:hAnsi="Arial"/>
          <w:sz w:val="16"/>
          <w:szCs w:val="16"/>
          <w:i w:val="1"/>
          <w:iCs w:val="1"/>
          <w:color w:val="auto"/>
        </w:rPr>
        <w:t>Retiree Medical</w:t>
      </w:r>
      <w:r>
        <w:rPr>
          <w:rFonts w:ascii="Arial" w:cs="Arial" w:eastAsia="Arial" w:hAnsi="Arial"/>
          <w:sz w:val="16"/>
          <w:szCs w:val="16"/>
          <w:color w:val="auto"/>
        </w:rPr>
        <w:t xml:space="preserve"> on page 57 (except Mr. Nye, Mr. Nickolas, Mr. McCunniff and Mr. Grant, who are not eligible for Retiree Medical); and will continue to receive life insurance coverage until his or her death.</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6"/>
          <w:szCs w:val="16"/>
          <w:b w:val="1"/>
          <w:bCs w:val="1"/>
          <w:color w:val="auto"/>
        </w:rPr>
        <w:t xml:space="preserve">Payments Made Upon Early Retirement. </w:t>
      </w:r>
      <w:r>
        <w:rPr>
          <w:rFonts w:ascii="Arial" w:cs="Arial" w:eastAsia="Arial" w:hAnsi="Arial"/>
          <w:sz w:val="16"/>
          <w:szCs w:val="16"/>
          <w:color w:val="auto"/>
        </w:rPr>
        <w:t>In the event of retirement prior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reaching age 62 but on or after reaching age 55, the named executive officer will receive benefits as described under the heading </w:t>
      </w:r>
      <w:r>
        <w:rPr>
          <w:rFonts w:ascii="Arial" w:cs="Arial" w:eastAsia="Arial" w:hAnsi="Arial"/>
          <w:sz w:val="16"/>
          <w:szCs w:val="16"/>
          <w:i w:val="1"/>
          <w:iCs w:val="1"/>
          <w:color w:val="auto"/>
        </w:rPr>
        <w:t>Payments</w:t>
      </w:r>
      <w:r>
        <w:rPr>
          <w:rFonts w:ascii="Arial" w:cs="Arial" w:eastAsia="Arial" w:hAnsi="Arial"/>
          <w:sz w:val="16"/>
          <w:szCs w:val="16"/>
          <w:color w:val="auto"/>
        </w:rPr>
        <w:t xml:space="preserve"> </w:t>
      </w:r>
      <w:r>
        <w:rPr>
          <w:rFonts w:ascii="Arial" w:cs="Arial" w:eastAsia="Arial" w:hAnsi="Arial"/>
          <w:sz w:val="16"/>
          <w:szCs w:val="16"/>
          <w:i w:val="1"/>
          <w:iCs w:val="1"/>
          <w:color w:val="auto"/>
        </w:rPr>
        <w:t>Upon Voluntary Termination</w:t>
      </w:r>
      <w:r>
        <w:rPr>
          <w:rFonts w:ascii="Arial" w:cs="Arial" w:eastAsia="Arial" w:hAnsi="Arial"/>
          <w:sz w:val="16"/>
          <w:szCs w:val="16"/>
          <w:color w:val="auto"/>
        </w:rPr>
        <w:t>. In addition, the named executive officer will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receive reduced benefits of the type described under </w:t>
      </w:r>
      <w:r>
        <w:rPr>
          <w:rFonts w:ascii="Arial" w:cs="Arial" w:eastAsia="Arial" w:hAnsi="Arial"/>
          <w:sz w:val="16"/>
          <w:szCs w:val="16"/>
          <w:i w:val="1"/>
          <w:iCs w:val="1"/>
          <w:color w:val="auto"/>
        </w:rPr>
        <w:t>Pension Benefits</w:t>
      </w:r>
      <w:r>
        <w:rPr>
          <w:rFonts w:ascii="Arial" w:cs="Arial" w:eastAsia="Arial" w:hAnsi="Arial"/>
          <w:sz w:val="16"/>
          <w:szCs w:val="16"/>
          <w:color w:val="auto"/>
        </w:rPr>
        <w:t xml:space="preserve"> on page 58 and may be eligible for benefits described under the heading </w:t>
      </w:r>
      <w:r>
        <w:rPr>
          <w:rFonts w:ascii="Arial" w:cs="Arial" w:eastAsia="Arial" w:hAnsi="Arial"/>
          <w:sz w:val="16"/>
          <w:szCs w:val="16"/>
          <w:i w:val="1"/>
          <w:iCs w:val="1"/>
          <w:color w:val="auto"/>
        </w:rPr>
        <w:t xml:space="preserve">Retiree Medical </w:t>
      </w:r>
      <w:r>
        <w:rPr>
          <w:rFonts w:ascii="Arial" w:cs="Arial" w:eastAsia="Arial" w:hAnsi="Arial"/>
          <w:sz w:val="16"/>
          <w:szCs w:val="16"/>
          <w:color w:val="auto"/>
        </w:rPr>
        <w:t>beginning on page 57 at a higher cost.</w:t>
      </w:r>
    </w:p>
    <w:p>
      <w:pPr>
        <w:spacing w:after="0" w:line="10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b w:val="1"/>
          <w:bCs w:val="1"/>
          <w:color w:val="auto"/>
        </w:rPr>
        <w:t xml:space="preserve">Payments Upon Death or Disability. </w:t>
      </w:r>
      <w:r>
        <w:rPr>
          <w:rFonts w:ascii="Arial" w:cs="Arial" w:eastAsia="Arial" w:hAnsi="Arial"/>
          <w:sz w:val="16"/>
          <w:szCs w:val="16"/>
          <w:color w:val="auto"/>
        </w:rPr>
        <w:t>In the event of the death or disability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a named executive officer, in addition to the payments and benefits under the headings </w:t>
      </w:r>
      <w:r>
        <w:rPr>
          <w:rFonts w:ascii="Arial" w:cs="Arial" w:eastAsia="Arial" w:hAnsi="Arial"/>
          <w:sz w:val="16"/>
          <w:szCs w:val="16"/>
          <w:i w:val="1"/>
          <w:iCs w:val="1"/>
          <w:color w:val="auto"/>
        </w:rPr>
        <w:t>Payments Upon Any Termination</w:t>
      </w:r>
      <w:r>
        <w:rPr>
          <w:rFonts w:ascii="Arial" w:cs="Arial" w:eastAsia="Arial" w:hAnsi="Arial"/>
          <w:sz w:val="16"/>
          <w:szCs w:val="16"/>
          <w:color w:val="auto"/>
        </w:rPr>
        <w:t>, the named executive officer or his or her estate will receive benefits under Martin Marietta’s long-term disability plan or life insurance plan, as appropriate, and a death benefit payment equal to the then-current base salary of such employee paid under the Pension Plan plus one month base salary. In addition, in the event of death, all options will vest and the executor of their estate will have one year to exercise the options. In the event of disability, the executive will receive a portion of the cash incentive compensation based upon performance and payable under the Executive Cash Incentive Plan that correlates to the percentage of the year in which the employee worked for the Company; continue to hold all outstanding options unaffected by the disability and retain such options for the remainder of the outstanding term; will continue to hold all awards of PSUs and RSUs for the remainder of the outstanding term unaffected by the disability; and will vest in all outstanding awards of common stock units under the Incentive Stock Plan.</w:t>
      </w:r>
    </w:p>
    <w:p>
      <w:pPr>
        <w:spacing w:after="0" w:line="104" w:lineRule="exact"/>
        <w:rPr>
          <w:sz w:val="20"/>
          <w:szCs w:val="20"/>
          <w:color w:val="auto"/>
        </w:rPr>
      </w:pPr>
    </w:p>
    <w:p>
      <w:pPr>
        <w:jc w:val="both"/>
        <w:spacing w:after="0" w:line="252" w:lineRule="auto"/>
        <w:rPr>
          <w:sz w:val="20"/>
          <w:szCs w:val="20"/>
          <w:color w:val="auto"/>
        </w:rPr>
      </w:pPr>
      <w:r>
        <w:rPr>
          <w:rFonts w:ascii="Arial" w:cs="Arial" w:eastAsia="Arial" w:hAnsi="Arial"/>
          <w:sz w:val="16"/>
          <w:szCs w:val="16"/>
          <w:b w:val="1"/>
          <w:bCs w:val="1"/>
          <w:color w:val="auto"/>
        </w:rPr>
        <w:t>Payments Upon or in Connection With a Change of Control</w:t>
      </w:r>
      <w:r>
        <w:rPr>
          <w:rFonts w:ascii="Arial" w:cs="Arial" w:eastAsia="Arial" w:hAnsi="Arial"/>
          <w:sz w:val="16"/>
          <w:szCs w:val="16"/>
          <w:color w:val="auto"/>
        </w:rPr>
        <w:t>. Martin</w:t>
      </w:r>
      <w:r>
        <w:rPr>
          <w:rFonts w:ascii="Arial" w:cs="Arial" w:eastAsia="Arial" w:hAnsi="Arial"/>
          <w:sz w:val="16"/>
          <w:szCs w:val="16"/>
          <w:b w:val="1"/>
          <w:bCs w:val="1"/>
          <w:color w:val="auto"/>
        </w:rPr>
        <w:t xml:space="preserve"> </w:t>
      </w:r>
      <w:r>
        <w:rPr>
          <w:rFonts w:ascii="Arial" w:cs="Arial" w:eastAsia="Arial" w:hAnsi="Arial"/>
          <w:sz w:val="16"/>
          <w:szCs w:val="16"/>
          <w:color w:val="auto"/>
        </w:rPr>
        <w:t>Marietta has entered into Employment Protection Agreements, as amended from time to time, with each of the named executive officers. The purpose of these agreements is to provide Martin Marietta’s key executives with payments and benefits upon certain types of terminations within two years and 30 days following a “Change of Control.” For purposes of the agreements, a Change of Control is generally defined as (i) the acquisition by any person, or related group of persons, of 40% or more of either the outstanding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-259715</wp:posOffset>
            </wp:positionH>
            <wp:positionV relativeFrom="paragraph">
              <wp:posOffset>358140</wp:posOffset>
            </wp:positionV>
            <wp:extent cx="411480" cy="2489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507" w:lineRule="exact"/>
        <w:rPr>
          <w:sz w:val="20"/>
          <w:szCs w:val="20"/>
          <w:color w:val="auto"/>
        </w:rPr>
      </w:pPr>
    </w:p>
    <w:p>
      <w:pPr>
        <w:sectPr>
          <w:pgSz w:w="11900" w:h="16838" w:orient="portrait"/>
          <w:cols w:equalWidth="0" w:num="2">
            <w:col w:w="5500" w:space="320"/>
            <w:col w:w="5400"/>
          </w:cols>
          <w:pgMar w:left="240" w:top="455" w:right="439" w:bottom="1440" w:gutter="0" w:footer="0" w:header="0"/>
          <w:type w:val="continuous"/>
        </w:sectPr>
      </w:pPr>
    </w:p>
    <w:p>
      <w:pPr>
        <w:spacing w:after="0" w:line="73" w:lineRule="exact"/>
        <w:rPr>
          <w:sz w:val="20"/>
          <w:szCs w:val="20"/>
          <w:color w:val="auto"/>
        </w:rPr>
      </w:pPr>
    </w:p>
    <w:tbl>
      <w:tblPr>
        <w:tblLayout w:type="fixed"/>
        <w:tblInd w:w="9260" w:type="dxa"/>
        <w:tblCellMar>
          <w:top w:w="0" w:type="dxa"/>
          <w:left w:w="0" w:type="dxa"/>
          <w:bottom w:w="0" w:type="dxa"/>
          <w:right w:w="0" w:type="dxa"/>
        </w:tblCellMar>
      </w:tblPr>
      <w:tr>
        <w:trPr>
          <w:trHeight w:val="178"/>
        </w:trPr>
        <w:tc>
          <w:tcPr>
            <w:tcW w:w="1680" w:type="dxa"/>
            <w:vAlign w:val="bottom"/>
          </w:tcPr>
          <w:p>
            <w:pPr>
              <w:spacing w:after="0"/>
              <w:rPr>
                <w:sz w:val="20"/>
                <w:szCs w:val="20"/>
                <w:color w:val="auto"/>
              </w:rPr>
            </w:pPr>
            <w:r>
              <w:rPr>
                <w:rFonts w:ascii="Arial" w:cs="Arial" w:eastAsia="Arial" w:hAnsi="Arial"/>
                <w:sz w:val="13"/>
                <w:szCs w:val="13"/>
                <w:color w:val="007CBA"/>
              </w:rPr>
              <w:t>2018 PROXY STATEMENT</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rPr>
              <w:t>59</w:t>
            </w:r>
          </w:p>
        </w:tc>
      </w:tr>
    </w:tbl>
    <w:p>
      <w:pPr>
        <w:sectPr>
          <w:pgSz w:w="11900" w:h="16838" w:orient="portrait"/>
          <w:cols w:equalWidth="0" w:num="1">
            <w:col w:w="11220"/>
          </w:cols>
          <w:pgMar w:left="240" w:top="455" w:right="439" w:bottom="1440" w:gutter="0" w:footer="0" w:header="0"/>
          <w:type w:val="continuous"/>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64" w:lineRule="exact"/>
        <w:rPr>
          <w:sz w:val="20"/>
          <w:szCs w:val="20"/>
          <w:color w:val="auto"/>
        </w:rPr>
      </w:pPr>
    </w:p>
    <w:p>
      <w:pPr>
        <w:ind w:left="200"/>
        <w:spacing w:after="0" w:line="276" w:lineRule="exact"/>
        <w:rPr>
          <w:sz w:val="20"/>
          <w:szCs w:val="20"/>
          <w:color w:val="auto"/>
        </w:rPr>
      </w:pPr>
      <w:r>
        <w:rPr>
          <w:rFonts w:ascii="Arial" w:cs="Arial" w:eastAsia="Arial" w:hAnsi="Arial"/>
          <w:sz w:val="13"/>
          <w:szCs w:val="13"/>
          <w:color w:val="007CBA"/>
        </w:rPr>
        <w:t xml:space="preserve">Executive Compensation </w:t>
      </w:r>
      <w:r>
        <w:rPr>
          <w:rFonts w:ascii="MS PGothic" w:cs="MS PGothic" w:eastAsia="MS PGothic" w:hAnsi="MS PGothic"/>
          <w:sz w:val="24"/>
          <w:szCs w:val="24"/>
          <w:color w:val="007CBA"/>
        </w:rPr>
        <w:t>◆</w:t>
      </w:r>
      <w:r>
        <w:rPr>
          <w:rFonts w:ascii="Arial" w:cs="Arial" w:eastAsia="Arial" w:hAnsi="Arial"/>
          <w:sz w:val="13"/>
          <w:szCs w:val="13"/>
          <w:color w:val="007CBA"/>
        </w:rPr>
        <w:t xml:space="preserve"> </w:t>
      </w:r>
      <w:r>
        <w:rPr>
          <w:rFonts w:ascii="Arial" w:cs="Arial" w:eastAsia="Arial" w:hAnsi="Arial"/>
          <w:sz w:val="13"/>
          <w:szCs w:val="13"/>
          <w:color w:val="000000"/>
        </w:rPr>
        <w:t>Potential Payments Upon Termination or Change of Control</w:t>
      </w:r>
    </w:p>
    <w:p>
      <w:pPr>
        <w:spacing w:after="0" w:line="270" w:lineRule="exact"/>
        <w:rPr>
          <w:sz w:val="20"/>
          <w:szCs w:val="20"/>
          <w:color w:val="auto"/>
        </w:rPr>
      </w:pPr>
    </w:p>
    <w:p>
      <w:pPr>
        <w:jc w:val="both"/>
        <w:ind w:left="220" w:right="100"/>
        <w:spacing w:after="0" w:line="254" w:lineRule="auto"/>
        <w:rPr>
          <w:sz w:val="20"/>
          <w:szCs w:val="20"/>
          <w:color w:val="auto"/>
        </w:rPr>
      </w:pPr>
      <w:r>
        <w:rPr>
          <w:rFonts w:ascii="Arial" w:cs="Arial" w:eastAsia="Arial" w:hAnsi="Arial"/>
          <w:sz w:val="16"/>
          <w:szCs w:val="16"/>
          <w:color w:val="auto"/>
        </w:rPr>
        <w:t>stock of Martin Marietta or the combined voting power of Martin Marietta’s outstanding securities, (ii) consummation of a reorganization, merger or consolidation or sale or other disposition of all or substantially all of Martin Marietta’s assets following which Martin Marietta’s shareholders before such event fail to own more than 50% of the resulting entity, (iii) a change in the majority membership of the Board, or (iv) a liquidation or dissolution of Martin Marietta.</w:t>
      </w:r>
    </w:p>
    <w:p>
      <w:pPr>
        <w:spacing w:after="0" w:line="150" w:lineRule="exact"/>
        <w:rPr>
          <w:sz w:val="20"/>
          <w:szCs w:val="20"/>
          <w:color w:val="auto"/>
        </w:rPr>
      </w:pPr>
    </w:p>
    <w:p>
      <w:pPr>
        <w:jc w:val="both"/>
        <w:ind w:left="220" w:right="100"/>
        <w:spacing w:after="0" w:line="247" w:lineRule="auto"/>
        <w:rPr>
          <w:sz w:val="20"/>
          <w:szCs w:val="20"/>
          <w:color w:val="auto"/>
        </w:rPr>
      </w:pPr>
      <w:r>
        <w:rPr>
          <w:rFonts w:ascii="Arial" w:cs="Arial" w:eastAsia="Arial" w:hAnsi="Arial"/>
          <w:sz w:val="16"/>
          <w:szCs w:val="16"/>
          <w:color w:val="auto"/>
        </w:rPr>
        <w:t>The agreements provide that if, within the two-year period following a Change of Control, an executive is terminated without “Cause” (as defined in the agreements) or terminates his or her employment with “Good Reason” (as defined in the agreements), or if the executive voluntarily terminates his or her employment for any reason during the thirty-day period following the second anniversary of the Change of Control (except as described below), Martin Marietta is obligated to pay the executive, in a lump sum, an amount equal to three times the sum of the executive’s base salary, annual bonus, perquisites and Martin Marietta’s match to the defined contribution plan; the payment of a pro-rata annual target bonus in the year of termination as determined under the Executive Cash Incentive Plan (for Mr. Nye such target bonus is 110% for purposes of the Employment Protection Agreement) and to provide continuation of health, medical and other insurance benefits for a period of three years following termination. The rationale for selecting these triggers is to encourage the named executive officers to remain focused on Martin Marietta, its performance and matters that are in the best interests of its shareholders rather than be distracted by the personal impact to their employment that the Change of Control may have. The rationale for selecting the latter trigger is to provide an incentive for the executive to remain with Martin Marietta for at least two years following a Change of Control and provide a limited period during which the executive could terminate his or her employment for no reason and obtain payment under his or her Employment Protection Agreement. For purposes of the agreements, “base salary” means the highest annual rate of base salary that the executive received within the twelve-month period ending on the date of the Change of Control, and “annual bonus” means the executive’s highest annual bonus paid during the period beginning five years prior to the Change of Control and ending on the date of the executive’s termination of employment. In addition, for three years following termination of employment, Martin Marietta must provide the executive with welfare benefits that are generally as favorable as those the executive enjoyed prior to the Change of Control. Executives also are credited with an additional three years of service under the Pension Plan and are eligible to retire after age 55 without reduction in benefits and with a lump sum payment based on a 0% discount rate. Martin Marietta must also continue to provide the executive all benefits provided under Martin Marietta’s defined benefit and defined contribution retirement plans and provide the executive with the same retiree medical benefits that were in effect for retirees immediately prior to the Change of Control. Furthermore, the agreements provide for “gross up” payments to compensate the executives for any golden</w:t>
      </w:r>
    </w:p>
    <w:p>
      <w:pPr>
        <w:spacing w:after="0" w:line="309" w:lineRule="exact"/>
        <w:rPr>
          <w:sz w:val="20"/>
          <w:szCs w:val="20"/>
          <w:color w:val="auto"/>
        </w:rPr>
      </w:pPr>
    </w:p>
    <w:p>
      <w:pPr>
        <w:ind w:left="640" w:hanging="436"/>
        <w:spacing w:after="0"/>
        <w:tabs>
          <w:tab w:leader="none" w:pos="640" w:val="left"/>
        </w:tabs>
        <w:numPr>
          <w:ilvl w:val="0"/>
          <w:numId w:val="118"/>
        </w:numPr>
        <w:rPr>
          <w:rFonts w:ascii="Arial" w:cs="Arial" w:eastAsia="Arial" w:hAnsi="Arial"/>
          <w:sz w:val="13"/>
          <w:szCs w:val="13"/>
          <w:b w:val="1"/>
          <w:bCs w:val="1"/>
          <w:color w:val="auto"/>
        </w:rPr>
      </w:pPr>
      <w:r>
        <w:rPr>
          <w:rFonts w:ascii="Arial" w:cs="Arial" w:eastAsia="Arial" w:hAnsi="Arial"/>
          <w:sz w:val="13"/>
          <w:szCs w:val="13"/>
          <w:color w:val="007CBA"/>
        </w:rPr>
        <w:t>2018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parachute excise taxes imposed under the Internal Revenue Code on account of the severance amounts. Gross-up payments are provided to ensure that executives retain the full value of these awards in these termination scenarios. The agreements also have confidentiality requirements to ensure that the executives do not disclose any confidential information relating to Martin Marietta.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-1590040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term of the agreements is one year following their effective dates. On each anniversary date of the effective date, the agreements are renewed for one additional year, unless either party gives notice of its intent to cancel the automatic extension. If, prior to termination, a Change of Control occurs or the Board becomes aware of circumstances which in the ordinary course could result in a Change of Control, then under no circumstances will the agreements terminate prior to 31 days after the second anniversary of the Change of Control.</w:t>
      </w:r>
    </w:p>
    <w:p>
      <w:pPr>
        <w:spacing w:after="0" w:line="11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addition, the Stock Plan, pursuant to which equity-based awards are made to the executive officers, provides that upon the occurrence of a Change of Control of Martin Marietta as provided in the Employment Protection Agreements, all time periods for purposes of vesting in, or realizing gain from, any outstanding award under the plan will automatically accelerate. For purposes of such vesting, any performance criteria will be deemed achieved at the greater of target performance and actual performance, as measured through the date of the Change of Control.</w:t>
      </w:r>
    </w:p>
    <w:p>
      <w:pPr>
        <w:spacing w:after="0" w:line="9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Ms. Lloyd resigned as CFO on August 21, 2017. Following a period in which she remained employed to ensure a smooth transition, her employment ended effective December 31, 2017. Prior to Ms. Lloyd’s resignation, she participated in our executive compensation program on generally the same basis as our other NEOs who were employed for the entire year, including with respect to our annual cash incentive plan and annual LTI grants. In connection with Ms. Lloyd’s resignation, Martin Marietta entered into certain agreements with her that provide, among other things, the following benefits: severance pay equal to $46,717 per month for a period of 36 months, paid in equal semi-monthly installments; continued health and certain other benefit coverage for a period of 36 months; vesting of all of her then outstanding unvested common stock units deferred under the Incentive Stock Plan; continued vesting of all of her outstanding unvested RSUs, PSUs (subject to the achievement of the applicable performance criteria), and options as if she had remained employed; continued eligibility for an annual incentive award for 2017 (at her target of 80% of her base salary) payable in accordance with the terms of the Executive Cash Incentive Plan; and a cash payment in the amount of $671,000 (less applicable withholding tax), payable on January 1, 2021, which is equal to the present value of the additional benefit she would have accrued under the Pension Plan and the SERP over 36 months. All such payments are subject to (1) Ms. Lloyd’s continued compliance with certain post-employment restrictive covenants, including non-compete and confidentiality provisions and (2) clawback provisions in the event of violation of these covenants and in certain other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260985</wp:posOffset>
            </wp:positionV>
            <wp:extent cx="411480" cy="2489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ectPr>
          <w:pgSz w:w="11900" w:h="16838" w:orient="portrait"/>
          <w:cols w:equalWidth="0" w:num="2">
            <w:col w:w="5600" w:space="220"/>
            <w:col w:w="5400"/>
          </w:cols>
          <w:pgMar w:left="240" w:top="455" w:right="43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64" w:lineRule="exact"/>
        <w:rPr>
          <w:sz w:val="20"/>
          <w:szCs w:val="20"/>
          <w:color w:val="auto"/>
        </w:rPr>
      </w:pPr>
    </w:p>
    <w:p>
      <w:pPr>
        <w:ind w:left="5820"/>
        <w:spacing w:after="0" w:line="276" w:lineRule="exact"/>
        <w:rPr>
          <w:sz w:val="20"/>
          <w:szCs w:val="20"/>
          <w:color w:val="auto"/>
        </w:rPr>
      </w:pPr>
      <w:r>
        <w:rPr>
          <w:rFonts w:ascii="Arial" w:cs="Arial" w:eastAsia="Arial" w:hAnsi="Arial"/>
          <w:sz w:val="13"/>
          <w:szCs w:val="13"/>
          <w:color w:val="auto"/>
        </w:rPr>
        <w:t xml:space="preserve">Potential Payments Upon Termination or Change of Control </w:t>
      </w:r>
      <w:r>
        <w:rPr>
          <w:rFonts w:ascii="MS PGothic" w:cs="MS PGothic" w:eastAsia="MS PGothic" w:hAnsi="MS PGothic"/>
          <w:sz w:val="24"/>
          <w:szCs w:val="24"/>
          <w:color w:val="007CBA"/>
        </w:rPr>
        <w:t>◆</w:t>
      </w:r>
      <w:r>
        <w:rPr>
          <w:rFonts w:ascii="Arial" w:cs="Arial" w:eastAsia="Arial" w:hAnsi="Arial"/>
          <w:sz w:val="13"/>
          <w:szCs w:val="13"/>
          <w:color w:val="auto"/>
        </w:rPr>
        <w:t xml:space="preserve"> </w:t>
      </w:r>
      <w:r>
        <w:rPr>
          <w:rFonts w:ascii="Arial" w:cs="Arial" w:eastAsia="Arial" w:hAnsi="Arial"/>
          <w:sz w:val="13"/>
          <w:szCs w:val="13"/>
          <w:color w:val="007CBA"/>
        </w:rPr>
        <w:t>Executive Compensation</w:t>
      </w:r>
    </w:p>
    <w:p>
      <w:pPr>
        <w:spacing w:after="0" w:line="214" w:lineRule="exact"/>
        <w:rPr>
          <w:sz w:val="20"/>
          <w:szCs w:val="20"/>
          <w:color w:val="auto"/>
        </w:rPr>
      </w:pPr>
    </w:p>
    <w:p>
      <w:pPr>
        <w:jc w:val="both"/>
        <w:ind w:left="200" w:right="20"/>
        <w:spacing w:after="0" w:line="270" w:lineRule="auto"/>
        <w:rPr>
          <w:sz w:val="20"/>
          <w:szCs w:val="20"/>
          <w:color w:val="auto"/>
        </w:rPr>
      </w:pPr>
      <w:r>
        <w:rPr>
          <w:rFonts w:ascii="Arial" w:cs="Arial" w:eastAsia="Arial" w:hAnsi="Arial"/>
          <w:sz w:val="16"/>
          <w:szCs w:val="16"/>
          <w:b w:val="1"/>
          <w:bCs w:val="1"/>
          <w:color w:val="auto"/>
        </w:rPr>
        <w:t>Value of Payments Upon Termination</w:t>
      </w:r>
      <w:r>
        <w:rPr>
          <w:rFonts w:ascii="Arial" w:cs="Arial" w:eastAsia="Arial" w:hAnsi="Arial"/>
          <w:sz w:val="16"/>
          <w:szCs w:val="16"/>
          <w:color w:val="auto"/>
        </w:rPr>
        <w:t>. The following table shows the potential incremental value of payments to each of our named executive officers</w:t>
      </w:r>
      <w:r>
        <w:rPr>
          <w:rFonts w:ascii="Arial" w:cs="Arial" w:eastAsia="Arial" w:hAnsi="Arial"/>
          <w:sz w:val="16"/>
          <w:szCs w:val="16"/>
          <w:b w:val="1"/>
          <w:bCs w:val="1"/>
          <w:color w:val="auto"/>
        </w:rPr>
        <w:t xml:space="preserve"> </w:t>
      </w:r>
      <w:r>
        <w:rPr>
          <w:rFonts w:ascii="Arial" w:cs="Arial" w:eastAsia="Arial" w:hAnsi="Arial"/>
          <w:sz w:val="16"/>
          <w:szCs w:val="16"/>
          <w:color w:val="auto"/>
        </w:rPr>
        <w:t>upon termination, including in the event of a Change of Control of Martin Marietta, assuming a December 31, 2017 termination date and, where applicable, using the NYSE closing price of our common stock of $221.04 on December 29, 2017 (the last trading day of 2017).</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POTENTIAL INCREMENTAL VALUE OF PAYMENTS UPON TERMINATION</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OR CHANGE OF CONTROL AT DECEMBER 31, 2017</w:t>
      </w:r>
      <w:r>
        <w:rPr>
          <w:rFonts w:ascii="Arial" w:cs="Arial" w:eastAsia="Arial" w:hAnsi="Arial"/>
          <w:sz w:val="14"/>
          <w:szCs w:val="14"/>
          <w:b w:val="1"/>
          <w:bCs w:val="1"/>
          <w:color w:val="auto"/>
        </w:rPr>
        <w:t>1</w:t>
      </w:r>
    </w:p>
    <w:p>
      <w:pPr>
        <w:spacing w:after="0" w:line="215" w:lineRule="exact"/>
        <w:rPr>
          <w:sz w:val="20"/>
          <w:szCs w:val="20"/>
          <w:color w:val="auto"/>
        </w:rPr>
      </w:pPr>
    </w:p>
    <w:tbl>
      <w:tblPr>
        <w:tblLayout w:type="fixed"/>
        <w:tblInd w:w="230" w:type="dxa"/>
        <w:tblCellMar>
          <w:top w:w="0" w:type="dxa"/>
          <w:left w:w="0" w:type="dxa"/>
          <w:bottom w:w="0" w:type="dxa"/>
          <w:right w:w="0" w:type="dxa"/>
        </w:tblCellMar>
      </w:tblPr>
      <w:tr>
        <w:trPr>
          <w:trHeight w:val="161"/>
        </w:trPr>
        <w:tc>
          <w:tcPr>
            <w:tcW w:w="2080" w:type="dxa"/>
            <w:vAlign w:val="bottom"/>
            <w:tcBorders>
              <w:left w:val="single" w:sz="8" w:color="007CBA"/>
              <w:right w:val="single" w:sz="8" w:color="007CBA"/>
            </w:tcBorders>
            <w:shd w:val="clear" w:color="auto" w:fill="007CBA"/>
          </w:tcPr>
          <w:p>
            <w:pPr>
              <w:spacing w:after="0"/>
              <w:rPr>
                <w:sz w:val="14"/>
                <w:szCs w:val="14"/>
                <w:color w:val="auto"/>
              </w:rPr>
            </w:pPr>
          </w:p>
        </w:tc>
        <w:tc>
          <w:tcPr>
            <w:tcW w:w="80" w:type="dxa"/>
            <w:vAlign w:val="bottom"/>
            <w:shd w:val="clear" w:color="auto" w:fill="007CBA"/>
          </w:tcPr>
          <w:p>
            <w:pPr>
              <w:spacing w:after="0"/>
              <w:rPr>
                <w:sz w:val="14"/>
                <w:szCs w:val="14"/>
                <w:color w:val="auto"/>
              </w:rPr>
            </w:pPr>
          </w:p>
        </w:tc>
        <w:tc>
          <w:tcPr>
            <w:tcW w:w="3900" w:type="dxa"/>
            <w:vAlign w:val="bottom"/>
            <w:tcBorders>
              <w:right w:val="single" w:sz="8" w:color="007CBA"/>
            </w:tcBorders>
            <w:shd w:val="clear" w:color="auto" w:fill="007CBA"/>
          </w:tcPr>
          <w:p>
            <w:pPr>
              <w:spacing w:after="0"/>
              <w:rPr>
                <w:sz w:val="14"/>
                <w:szCs w:val="14"/>
                <w:color w:val="auto"/>
              </w:rPr>
            </w:pPr>
          </w:p>
        </w:tc>
        <w:tc>
          <w:tcPr>
            <w:tcW w:w="840" w:type="dxa"/>
            <w:vAlign w:val="bottom"/>
            <w:shd w:val="clear" w:color="auto" w:fill="007CBA"/>
          </w:tcPr>
          <w:p>
            <w:pPr>
              <w:spacing w:after="0"/>
              <w:rPr>
                <w:sz w:val="14"/>
                <w:szCs w:val="14"/>
                <w:color w:val="auto"/>
              </w:rPr>
            </w:pPr>
          </w:p>
        </w:tc>
        <w:tc>
          <w:tcPr>
            <w:tcW w:w="140" w:type="dxa"/>
            <w:vAlign w:val="bottom"/>
            <w:tcBorders>
              <w:right w:val="single" w:sz="8" w:color="007CBA"/>
            </w:tcBorders>
            <w:shd w:val="clear" w:color="auto" w:fill="007CBA"/>
          </w:tcPr>
          <w:p>
            <w:pPr>
              <w:spacing w:after="0"/>
              <w:rPr>
                <w:sz w:val="14"/>
                <w:szCs w:val="14"/>
                <w:color w:val="auto"/>
              </w:rPr>
            </w:pPr>
          </w:p>
        </w:tc>
        <w:tc>
          <w:tcPr>
            <w:tcW w:w="10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Involuntary</w:t>
            </w:r>
          </w:p>
        </w:tc>
        <w:tc>
          <w:tcPr>
            <w:tcW w:w="980" w:type="dxa"/>
            <w:vAlign w:val="bottom"/>
            <w:tcBorders>
              <w:right w:val="single" w:sz="8" w:color="007CBA"/>
            </w:tcBorders>
            <w:shd w:val="clear" w:color="auto" w:fill="007CBA"/>
          </w:tcPr>
          <w:p>
            <w:pPr>
              <w:spacing w:after="0"/>
              <w:rPr>
                <w:sz w:val="14"/>
                <w:szCs w:val="14"/>
                <w:color w:val="auto"/>
              </w:rPr>
            </w:pPr>
          </w:p>
        </w:tc>
        <w:tc>
          <w:tcPr>
            <w:tcW w:w="980" w:type="dxa"/>
            <w:vAlign w:val="bottom"/>
            <w:tcBorders>
              <w:right w:val="single" w:sz="8" w:color="007CBA"/>
            </w:tcBorders>
            <w:shd w:val="clear" w:color="auto" w:fill="007CBA"/>
          </w:tcPr>
          <w:p>
            <w:pPr>
              <w:spacing w:after="0"/>
              <w:rPr>
                <w:sz w:val="14"/>
                <w:szCs w:val="14"/>
                <w:color w:val="auto"/>
              </w:rPr>
            </w:pPr>
          </w:p>
        </w:tc>
        <w:tc>
          <w:tcPr>
            <w:tcW w:w="760" w:type="dxa"/>
            <w:vAlign w:val="bottom"/>
            <w:vMerge w:val="restart"/>
            <w:shd w:val="clear" w:color="auto" w:fill="007CBA"/>
          </w:tcPr>
          <w:p>
            <w:pPr>
              <w:jc w:val="center"/>
              <w:ind w:left="108"/>
              <w:spacing w:after="0"/>
              <w:rPr>
                <w:sz w:val="20"/>
                <w:szCs w:val="20"/>
                <w:color w:val="auto"/>
              </w:rPr>
            </w:pPr>
            <w:r>
              <w:rPr>
                <w:rFonts w:ascii="Arial" w:cs="Arial" w:eastAsia="Arial" w:hAnsi="Arial"/>
                <w:sz w:val="14"/>
                <w:szCs w:val="14"/>
                <w:b w:val="1"/>
                <w:bCs w:val="1"/>
                <w:color w:val="FFFFFF"/>
              </w:rPr>
              <w:t>Change-</w:t>
            </w:r>
          </w:p>
        </w:tc>
        <w:tc>
          <w:tcPr>
            <w:tcW w:w="240" w:type="dxa"/>
            <w:vAlign w:val="bottom"/>
            <w:tcBorders>
              <w:right w:val="single" w:sz="8" w:color="007CBA"/>
            </w:tcBorders>
            <w:shd w:val="clear" w:color="auto" w:fill="007CBA"/>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080" w:type="dxa"/>
            <w:vAlign w:val="bottom"/>
            <w:tcBorders>
              <w:left w:val="single" w:sz="8" w:color="007CBA"/>
              <w:right w:val="single" w:sz="8" w:color="007CBA"/>
            </w:tcBorders>
            <w:shd w:val="clear" w:color="auto" w:fill="007CBA"/>
          </w:tcPr>
          <w:p>
            <w:pPr>
              <w:spacing w:after="0"/>
              <w:rPr>
                <w:sz w:val="13"/>
                <w:szCs w:val="13"/>
                <w:color w:val="auto"/>
              </w:rPr>
            </w:pPr>
          </w:p>
        </w:tc>
        <w:tc>
          <w:tcPr>
            <w:tcW w:w="80" w:type="dxa"/>
            <w:vAlign w:val="bottom"/>
            <w:shd w:val="clear" w:color="auto" w:fill="007CBA"/>
          </w:tcPr>
          <w:p>
            <w:pPr>
              <w:spacing w:after="0"/>
              <w:rPr>
                <w:sz w:val="13"/>
                <w:szCs w:val="13"/>
                <w:color w:val="auto"/>
              </w:rPr>
            </w:pPr>
          </w:p>
        </w:tc>
        <w:tc>
          <w:tcPr>
            <w:tcW w:w="3900" w:type="dxa"/>
            <w:vAlign w:val="bottom"/>
            <w:tcBorders>
              <w:right w:val="single" w:sz="8" w:color="007CBA"/>
            </w:tcBorders>
            <w:shd w:val="clear" w:color="auto" w:fill="007CBA"/>
          </w:tcPr>
          <w:p>
            <w:pPr>
              <w:spacing w:after="0"/>
              <w:rPr>
                <w:sz w:val="13"/>
                <w:szCs w:val="13"/>
                <w:color w:val="auto"/>
              </w:rPr>
            </w:pPr>
          </w:p>
        </w:tc>
        <w:tc>
          <w:tcPr>
            <w:tcW w:w="840" w:type="dxa"/>
            <w:vAlign w:val="bottom"/>
            <w:shd w:val="clear" w:color="auto" w:fill="007CBA"/>
          </w:tcPr>
          <w:p>
            <w:pPr>
              <w:spacing w:after="0"/>
              <w:rPr>
                <w:sz w:val="13"/>
                <w:szCs w:val="13"/>
                <w:color w:val="auto"/>
              </w:rPr>
            </w:pPr>
          </w:p>
        </w:tc>
        <w:tc>
          <w:tcPr>
            <w:tcW w:w="140" w:type="dxa"/>
            <w:vAlign w:val="bottom"/>
            <w:tcBorders>
              <w:right w:val="single" w:sz="8" w:color="007CBA"/>
            </w:tcBorders>
            <w:shd w:val="clear" w:color="auto" w:fill="007CBA"/>
          </w:tcPr>
          <w:p>
            <w:pPr>
              <w:spacing w:after="0"/>
              <w:rPr>
                <w:sz w:val="13"/>
                <w:szCs w:val="13"/>
                <w:color w:val="auto"/>
              </w:rPr>
            </w:pPr>
          </w:p>
        </w:tc>
        <w:tc>
          <w:tcPr>
            <w:tcW w:w="1040" w:type="dxa"/>
            <w:vAlign w:val="bottom"/>
            <w:tcBorders>
              <w:right w:val="single" w:sz="8" w:color="007CBA"/>
            </w:tcBorders>
            <w:shd w:val="clear" w:color="auto" w:fill="007CBA"/>
          </w:tcPr>
          <w:p>
            <w:pPr>
              <w:jc w:val="center"/>
              <w:spacing w:after="0" w:line="151" w:lineRule="exact"/>
              <w:rPr>
                <w:sz w:val="20"/>
                <w:szCs w:val="20"/>
                <w:color w:val="auto"/>
              </w:rPr>
            </w:pPr>
            <w:r>
              <w:rPr>
                <w:rFonts w:ascii="Arial" w:cs="Arial" w:eastAsia="Arial" w:hAnsi="Arial"/>
                <w:sz w:val="14"/>
                <w:szCs w:val="14"/>
                <w:b w:val="1"/>
                <w:bCs w:val="1"/>
                <w:color w:val="FFFFFF"/>
              </w:rPr>
              <w:t>Not-for-</w:t>
            </w:r>
          </w:p>
        </w:tc>
        <w:tc>
          <w:tcPr>
            <w:tcW w:w="980" w:type="dxa"/>
            <w:vAlign w:val="bottom"/>
            <w:tcBorders>
              <w:right w:val="single" w:sz="8" w:color="007CBA"/>
            </w:tcBorders>
            <w:shd w:val="clear" w:color="auto" w:fill="007CBA"/>
          </w:tcPr>
          <w:p>
            <w:pPr>
              <w:spacing w:after="0"/>
              <w:rPr>
                <w:sz w:val="13"/>
                <w:szCs w:val="13"/>
                <w:color w:val="auto"/>
              </w:rPr>
            </w:pPr>
          </w:p>
        </w:tc>
        <w:tc>
          <w:tcPr>
            <w:tcW w:w="980" w:type="dxa"/>
            <w:vAlign w:val="bottom"/>
            <w:tcBorders>
              <w:right w:val="single" w:sz="8" w:color="007CBA"/>
            </w:tcBorders>
            <w:shd w:val="clear" w:color="auto" w:fill="007CBA"/>
          </w:tcPr>
          <w:p>
            <w:pPr>
              <w:spacing w:after="0"/>
              <w:rPr>
                <w:sz w:val="13"/>
                <w:szCs w:val="13"/>
                <w:color w:val="auto"/>
              </w:rPr>
            </w:pPr>
          </w:p>
        </w:tc>
        <w:tc>
          <w:tcPr>
            <w:tcW w:w="760" w:type="dxa"/>
            <w:vAlign w:val="bottom"/>
            <w:vMerge w:val="continue"/>
            <w:shd w:val="clear" w:color="auto" w:fill="007CBA"/>
          </w:tcPr>
          <w:p>
            <w:pPr>
              <w:spacing w:after="0"/>
              <w:rPr>
                <w:sz w:val="13"/>
                <w:szCs w:val="13"/>
                <w:color w:val="auto"/>
              </w:rPr>
            </w:pPr>
          </w:p>
        </w:tc>
        <w:tc>
          <w:tcPr>
            <w:tcW w:w="240" w:type="dxa"/>
            <w:vAlign w:val="bottom"/>
            <w:tcBorders>
              <w:right w:val="single" w:sz="8" w:color="007CBA"/>
            </w:tcBorders>
            <w:shd w:val="clear" w:color="auto" w:fill="007CBA"/>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80" w:type="dxa"/>
            <w:vAlign w:val="bottom"/>
            <w:tcBorders>
              <w:left w:val="single" w:sz="8" w:color="007CBA"/>
              <w:right w:val="single" w:sz="8" w:color="007CBA"/>
            </w:tcBorders>
            <w:shd w:val="clear" w:color="auto" w:fill="007CBA"/>
          </w:tcPr>
          <w:p>
            <w:pPr>
              <w:spacing w:after="0"/>
              <w:rPr>
                <w:sz w:val="14"/>
                <w:szCs w:val="14"/>
                <w:color w:val="auto"/>
              </w:rPr>
            </w:pPr>
          </w:p>
        </w:tc>
        <w:tc>
          <w:tcPr>
            <w:tcW w:w="80" w:type="dxa"/>
            <w:vAlign w:val="bottom"/>
            <w:shd w:val="clear" w:color="auto" w:fill="007CBA"/>
          </w:tcPr>
          <w:p>
            <w:pPr>
              <w:spacing w:after="0"/>
              <w:rPr>
                <w:sz w:val="14"/>
                <w:szCs w:val="14"/>
                <w:color w:val="auto"/>
              </w:rPr>
            </w:pPr>
          </w:p>
        </w:tc>
        <w:tc>
          <w:tcPr>
            <w:tcW w:w="3900" w:type="dxa"/>
            <w:vAlign w:val="bottom"/>
            <w:tcBorders>
              <w:right w:val="single" w:sz="8" w:color="007CBA"/>
            </w:tcBorders>
            <w:shd w:val="clear" w:color="auto" w:fill="007CBA"/>
          </w:tcPr>
          <w:p>
            <w:pPr>
              <w:spacing w:after="0"/>
              <w:rPr>
                <w:sz w:val="14"/>
                <w:szCs w:val="14"/>
                <w:color w:val="auto"/>
              </w:rPr>
            </w:pPr>
          </w:p>
        </w:tc>
        <w:tc>
          <w:tcPr>
            <w:tcW w:w="840" w:type="dxa"/>
            <w:vAlign w:val="bottom"/>
            <w:shd w:val="clear" w:color="auto" w:fill="007CBA"/>
          </w:tcPr>
          <w:p>
            <w:pPr>
              <w:spacing w:after="0"/>
              <w:rPr>
                <w:sz w:val="14"/>
                <w:szCs w:val="14"/>
                <w:color w:val="auto"/>
              </w:rPr>
            </w:pPr>
          </w:p>
        </w:tc>
        <w:tc>
          <w:tcPr>
            <w:tcW w:w="140" w:type="dxa"/>
            <w:vAlign w:val="bottom"/>
            <w:tcBorders>
              <w:right w:val="single" w:sz="8" w:color="007CBA"/>
            </w:tcBorders>
            <w:shd w:val="clear" w:color="auto" w:fill="007CBA"/>
          </w:tcPr>
          <w:p>
            <w:pPr>
              <w:spacing w:after="0"/>
              <w:rPr>
                <w:sz w:val="14"/>
                <w:szCs w:val="14"/>
                <w:color w:val="auto"/>
              </w:rPr>
            </w:pPr>
          </w:p>
        </w:tc>
        <w:tc>
          <w:tcPr>
            <w:tcW w:w="10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w w:val="99"/>
              </w:rPr>
              <w:t>Cause</w:t>
            </w:r>
          </w:p>
        </w:tc>
        <w:tc>
          <w:tcPr>
            <w:tcW w:w="980" w:type="dxa"/>
            <w:vAlign w:val="bottom"/>
            <w:tcBorders>
              <w:right w:val="single" w:sz="8" w:color="007CBA"/>
            </w:tcBorders>
            <w:shd w:val="clear" w:color="auto" w:fill="007CBA"/>
          </w:tcPr>
          <w:p>
            <w:pPr>
              <w:spacing w:after="0"/>
              <w:rPr>
                <w:sz w:val="14"/>
                <w:szCs w:val="14"/>
                <w:color w:val="auto"/>
              </w:rPr>
            </w:pPr>
          </w:p>
        </w:tc>
        <w:tc>
          <w:tcPr>
            <w:tcW w:w="980" w:type="dxa"/>
            <w:vAlign w:val="bottom"/>
            <w:tcBorders>
              <w:right w:val="single" w:sz="8" w:color="007CBA"/>
            </w:tcBorders>
            <w:shd w:val="clear" w:color="auto" w:fill="007CBA"/>
          </w:tcPr>
          <w:p>
            <w:pPr>
              <w:spacing w:after="0"/>
              <w:rPr>
                <w:sz w:val="14"/>
                <w:szCs w:val="14"/>
                <w:color w:val="auto"/>
              </w:rPr>
            </w:pPr>
          </w:p>
        </w:tc>
        <w:tc>
          <w:tcPr>
            <w:tcW w:w="760" w:type="dxa"/>
            <w:vAlign w:val="bottom"/>
            <w:shd w:val="clear" w:color="auto" w:fill="007CBA"/>
          </w:tcPr>
          <w:p>
            <w:pPr>
              <w:jc w:val="center"/>
              <w:ind w:left="108"/>
              <w:spacing w:after="0"/>
              <w:rPr>
                <w:sz w:val="20"/>
                <w:szCs w:val="20"/>
                <w:color w:val="auto"/>
              </w:rPr>
            </w:pPr>
            <w:r>
              <w:rPr>
                <w:rFonts w:ascii="Arial" w:cs="Arial" w:eastAsia="Arial" w:hAnsi="Arial"/>
                <w:sz w:val="14"/>
                <w:szCs w:val="14"/>
                <w:b w:val="1"/>
                <w:bCs w:val="1"/>
                <w:color w:val="FFFFFF"/>
              </w:rPr>
              <w:t>of-</w:t>
            </w:r>
          </w:p>
        </w:tc>
        <w:tc>
          <w:tcPr>
            <w:tcW w:w="240" w:type="dxa"/>
            <w:vAlign w:val="bottom"/>
            <w:tcBorders>
              <w:right w:val="single" w:sz="8" w:color="007CBA"/>
            </w:tcBorders>
            <w:shd w:val="clear" w:color="auto" w:fill="007CB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Borders>
              <w:left w:val="single" w:sz="8" w:color="007CBA"/>
              <w:right w:val="single" w:sz="8" w:color="007CBA"/>
            </w:tcBorders>
            <w:shd w:val="clear" w:color="auto" w:fill="007CBA"/>
          </w:tcPr>
          <w:p>
            <w:pPr>
              <w:spacing w:after="0"/>
              <w:rPr>
                <w:sz w:val="14"/>
                <w:szCs w:val="14"/>
                <w:color w:val="auto"/>
              </w:rPr>
            </w:pPr>
          </w:p>
        </w:tc>
        <w:tc>
          <w:tcPr>
            <w:tcW w:w="80" w:type="dxa"/>
            <w:vAlign w:val="bottom"/>
            <w:shd w:val="clear" w:color="auto" w:fill="007CBA"/>
          </w:tcPr>
          <w:p>
            <w:pPr>
              <w:spacing w:after="0"/>
              <w:rPr>
                <w:sz w:val="14"/>
                <w:szCs w:val="14"/>
                <w:color w:val="auto"/>
              </w:rPr>
            </w:pPr>
          </w:p>
        </w:tc>
        <w:tc>
          <w:tcPr>
            <w:tcW w:w="3900" w:type="dxa"/>
            <w:vAlign w:val="bottom"/>
            <w:tcBorders>
              <w:right w:val="single" w:sz="8" w:color="007CBA"/>
            </w:tcBorders>
            <w:vMerge w:val="restart"/>
            <w:shd w:val="clear" w:color="auto" w:fill="007CBA"/>
          </w:tcPr>
          <w:p>
            <w:pPr>
              <w:ind w:left="1240"/>
              <w:spacing w:after="0"/>
              <w:rPr>
                <w:sz w:val="20"/>
                <w:szCs w:val="20"/>
                <w:color w:val="auto"/>
              </w:rPr>
            </w:pPr>
            <w:r>
              <w:rPr>
                <w:rFonts w:ascii="Arial" w:cs="Arial" w:eastAsia="Arial" w:hAnsi="Arial"/>
                <w:sz w:val="14"/>
                <w:szCs w:val="14"/>
                <w:b w:val="1"/>
                <w:bCs w:val="1"/>
                <w:color w:val="FFFFFF"/>
              </w:rPr>
              <w:t>Benefit or Payment</w:t>
            </w:r>
            <w:r>
              <w:rPr>
                <w:rFonts w:ascii="Arial" w:cs="Arial" w:eastAsia="Arial" w:hAnsi="Arial"/>
                <w:sz w:val="24"/>
                <w:szCs w:val="24"/>
                <w:b w:val="1"/>
                <w:bCs w:val="1"/>
                <w:color w:val="FFFFFF"/>
                <w:vertAlign w:val="superscript"/>
              </w:rPr>
              <w:t>2</w:t>
            </w:r>
          </w:p>
        </w:tc>
        <w:tc>
          <w:tcPr>
            <w:tcW w:w="840" w:type="dxa"/>
            <w:vAlign w:val="bottom"/>
            <w:shd w:val="clear" w:color="auto" w:fill="007CBA"/>
          </w:tcPr>
          <w:p>
            <w:pPr>
              <w:jc w:val="right"/>
              <w:spacing w:after="0"/>
              <w:rPr>
                <w:sz w:val="20"/>
                <w:szCs w:val="20"/>
                <w:color w:val="auto"/>
              </w:rPr>
            </w:pPr>
            <w:r>
              <w:rPr>
                <w:rFonts w:ascii="Arial" w:cs="Arial" w:eastAsia="Arial" w:hAnsi="Arial"/>
                <w:sz w:val="14"/>
                <w:szCs w:val="14"/>
                <w:b w:val="1"/>
                <w:bCs w:val="1"/>
                <w:color w:val="FFFFFF"/>
              </w:rPr>
              <w:t>Retirement</w:t>
            </w:r>
          </w:p>
        </w:tc>
        <w:tc>
          <w:tcPr>
            <w:tcW w:w="140" w:type="dxa"/>
            <w:vAlign w:val="bottom"/>
            <w:tcBorders>
              <w:right w:val="single" w:sz="8" w:color="007CBA"/>
            </w:tcBorders>
            <w:shd w:val="clear" w:color="auto" w:fill="007CBA"/>
          </w:tcPr>
          <w:p>
            <w:pPr>
              <w:spacing w:after="0"/>
              <w:rPr>
                <w:sz w:val="14"/>
                <w:szCs w:val="14"/>
                <w:color w:val="auto"/>
              </w:rPr>
            </w:pPr>
          </w:p>
        </w:tc>
        <w:tc>
          <w:tcPr>
            <w:tcW w:w="10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Termination</w:t>
            </w:r>
          </w:p>
        </w:tc>
        <w:tc>
          <w:tcPr>
            <w:tcW w:w="980" w:type="dxa"/>
            <w:vAlign w:val="bottom"/>
            <w:tcBorders>
              <w:right w:val="single" w:sz="8" w:color="007CBA"/>
            </w:tcBorders>
            <w:shd w:val="clear" w:color="auto" w:fill="007CBA"/>
          </w:tcPr>
          <w:p>
            <w:pPr>
              <w:jc w:val="right"/>
              <w:ind w:right="128"/>
              <w:spacing w:after="0"/>
              <w:rPr>
                <w:sz w:val="20"/>
                <w:szCs w:val="20"/>
                <w:color w:val="auto"/>
              </w:rPr>
            </w:pPr>
            <w:r>
              <w:rPr>
                <w:rFonts w:ascii="Arial" w:cs="Arial" w:eastAsia="Arial" w:hAnsi="Arial"/>
                <w:sz w:val="14"/>
                <w:szCs w:val="14"/>
                <w:b w:val="1"/>
                <w:bCs w:val="1"/>
                <w:color w:val="FFFFFF"/>
              </w:rPr>
              <w:t>Disability</w:t>
            </w:r>
          </w:p>
        </w:tc>
        <w:tc>
          <w:tcPr>
            <w:tcW w:w="980" w:type="dxa"/>
            <w:vAlign w:val="bottom"/>
            <w:tcBorders>
              <w:right w:val="single" w:sz="8" w:color="007CBA"/>
            </w:tcBorders>
            <w:shd w:val="clear" w:color="auto" w:fill="007CBA"/>
          </w:tcPr>
          <w:p>
            <w:pPr>
              <w:jc w:val="right"/>
              <w:ind w:right="248"/>
              <w:spacing w:after="0"/>
              <w:rPr>
                <w:sz w:val="20"/>
                <w:szCs w:val="20"/>
                <w:color w:val="auto"/>
              </w:rPr>
            </w:pPr>
            <w:r>
              <w:rPr>
                <w:rFonts w:ascii="Arial" w:cs="Arial" w:eastAsia="Arial" w:hAnsi="Arial"/>
                <w:sz w:val="14"/>
                <w:szCs w:val="14"/>
                <w:b w:val="1"/>
                <w:bCs w:val="1"/>
                <w:color w:val="FFFFFF"/>
              </w:rPr>
              <w:t>Death</w:t>
            </w:r>
          </w:p>
        </w:tc>
        <w:tc>
          <w:tcPr>
            <w:tcW w:w="760" w:type="dxa"/>
            <w:vAlign w:val="bottom"/>
            <w:shd w:val="clear" w:color="auto" w:fill="007CBA"/>
          </w:tcPr>
          <w:p>
            <w:pPr>
              <w:jc w:val="center"/>
              <w:ind w:left="108"/>
              <w:spacing w:after="0"/>
              <w:rPr>
                <w:sz w:val="20"/>
                <w:szCs w:val="20"/>
                <w:color w:val="auto"/>
              </w:rPr>
            </w:pPr>
            <w:r>
              <w:rPr>
                <w:rFonts w:ascii="Arial" w:cs="Arial" w:eastAsia="Arial" w:hAnsi="Arial"/>
                <w:sz w:val="14"/>
                <w:szCs w:val="14"/>
                <w:b w:val="1"/>
                <w:bCs w:val="1"/>
                <w:color w:val="FFFFFF"/>
              </w:rPr>
              <w:t>Control</w:t>
            </w:r>
          </w:p>
        </w:tc>
        <w:tc>
          <w:tcPr>
            <w:tcW w:w="240" w:type="dxa"/>
            <w:vAlign w:val="bottom"/>
            <w:tcBorders>
              <w:right w:val="single" w:sz="8" w:color="007CBA"/>
            </w:tcBorders>
            <w:shd w:val="clear" w:color="auto" w:fill="007CBA"/>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80" w:type="dxa"/>
            <w:vAlign w:val="bottom"/>
            <w:tcBorders>
              <w:left w:val="single" w:sz="8" w:color="007CBA"/>
              <w:right w:val="single" w:sz="8" w:color="007CBA"/>
            </w:tcBorders>
            <w:shd w:val="clear" w:color="auto" w:fill="007CBA"/>
          </w:tcPr>
          <w:p>
            <w:pPr>
              <w:ind w:left="220"/>
              <w:spacing w:after="0"/>
              <w:rPr>
                <w:sz w:val="20"/>
                <w:szCs w:val="20"/>
                <w:color w:val="auto"/>
              </w:rPr>
            </w:pPr>
            <w:r>
              <w:rPr>
                <w:rFonts w:ascii="Arial" w:cs="Arial" w:eastAsia="Arial" w:hAnsi="Arial"/>
                <w:sz w:val="14"/>
                <w:szCs w:val="14"/>
                <w:b w:val="1"/>
                <w:bCs w:val="1"/>
                <w:color w:val="FFFFFF"/>
              </w:rPr>
              <w:t>Name</w:t>
            </w:r>
          </w:p>
        </w:tc>
        <w:tc>
          <w:tcPr>
            <w:tcW w:w="80" w:type="dxa"/>
            <w:vAlign w:val="bottom"/>
            <w:shd w:val="clear" w:color="auto" w:fill="007CBA"/>
          </w:tcPr>
          <w:p>
            <w:pPr>
              <w:spacing w:after="0"/>
              <w:rPr>
                <w:sz w:val="16"/>
                <w:szCs w:val="16"/>
                <w:color w:val="auto"/>
              </w:rPr>
            </w:pPr>
          </w:p>
        </w:tc>
        <w:tc>
          <w:tcPr>
            <w:tcW w:w="3900" w:type="dxa"/>
            <w:vAlign w:val="bottom"/>
            <w:tcBorders>
              <w:right w:val="single" w:sz="8" w:color="007CBA"/>
            </w:tcBorders>
            <w:vMerge w:val="continue"/>
            <w:shd w:val="clear" w:color="auto" w:fill="007CBA"/>
          </w:tcPr>
          <w:p>
            <w:pPr>
              <w:spacing w:after="0"/>
              <w:rPr>
                <w:sz w:val="16"/>
                <w:szCs w:val="16"/>
                <w:color w:val="auto"/>
              </w:rPr>
            </w:pPr>
          </w:p>
        </w:tc>
        <w:tc>
          <w:tcPr>
            <w:tcW w:w="840" w:type="dxa"/>
            <w:vAlign w:val="bottom"/>
            <w:shd w:val="clear" w:color="auto" w:fill="007CBA"/>
          </w:tcPr>
          <w:p>
            <w:pPr>
              <w:jc w:val="right"/>
              <w:ind w:right="228"/>
              <w:spacing w:after="0"/>
              <w:rPr>
                <w:sz w:val="20"/>
                <w:szCs w:val="20"/>
                <w:color w:val="auto"/>
              </w:rPr>
            </w:pPr>
            <w:r>
              <w:rPr>
                <w:rFonts w:ascii="Arial" w:cs="Arial" w:eastAsia="Arial" w:hAnsi="Arial"/>
                <w:sz w:val="14"/>
                <w:szCs w:val="14"/>
                <w:b w:val="1"/>
                <w:bCs w:val="1"/>
                <w:color w:val="FFFFFF"/>
              </w:rPr>
              <w:t>($)</w:t>
            </w:r>
          </w:p>
        </w:tc>
        <w:tc>
          <w:tcPr>
            <w:tcW w:w="1180" w:type="dxa"/>
            <w:vAlign w:val="bottom"/>
            <w:tcBorders>
              <w:right w:val="single" w:sz="8" w:color="007CBA"/>
            </w:tcBorders>
            <w:gridSpan w:val="2"/>
            <w:shd w:val="clear" w:color="auto" w:fill="007CBA"/>
          </w:tcPr>
          <w:p>
            <w:pPr>
              <w:jc w:val="center"/>
              <w:ind w:left="8"/>
              <w:spacing w:after="0"/>
              <w:rPr>
                <w:sz w:val="20"/>
                <w:szCs w:val="20"/>
                <w:color w:val="auto"/>
              </w:rPr>
            </w:pPr>
            <w:r>
              <w:rPr>
                <w:rFonts w:ascii="Arial" w:cs="Arial" w:eastAsia="Arial" w:hAnsi="Arial"/>
                <w:sz w:val="14"/>
                <w:szCs w:val="14"/>
                <w:b w:val="1"/>
                <w:bCs w:val="1"/>
                <w:color w:val="FFFFFF"/>
              </w:rPr>
              <w:t>($)</w:t>
            </w:r>
          </w:p>
        </w:tc>
        <w:tc>
          <w:tcPr>
            <w:tcW w:w="980" w:type="dxa"/>
            <w:vAlign w:val="bottom"/>
            <w:tcBorders>
              <w:right w:val="single" w:sz="8" w:color="007CBA"/>
            </w:tcBorders>
            <w:shd w:val="clear" w:color="auto" w:fill="007CBA"/>
          </w:tcPr>
          <w:p>
            <w:pPr>
              <w:jc w:val="right"/>
              <w:ind w:right="368"/>
              <w:spacing w:after="0"/>
              <w:rPr>
                <w:sz w:val="20"/>
                <w:szCs w:val="20"/>
                <w:color w:val="auto"/>
              </w:rPr>
            </w:pPr>
            <w:r>
              <w:rPr>
                <w:rFonts w:ascii="Arial" w:cs="Arial" w:eastAsia="Arial" w:hAnsi="Arial"/>
                <w:sz w:val="14"/>
                <w:szCs w:val="14"/>
                <w:b w:val="1"/>
                <w:bCs w:val="1"/>
                <w:color w:val="FFFFFF"/>
              </w:rPr>
              <w:t>($)</w:t>
            </w:r>
          </w:p>
        </w:tc>
        <w:tc>
          <w:tcPr>
            <w:tcW w:w="980" w:type="dxa"/>
            <w:vAlign w:val="bottom"/>
            <w:tcBorders>
              <w:right w:val="single" w:sz="8" w:color="007CBA"/>
            </w:tcBorders>
            <w:shd w:val="clear" w:color="auto" w:fill="007CBA"/>
          </w:tcPr>
          <w:p>
            <w:pPr>
              <w:jc w:val="right"/>
              <w:ind w:right="348"/>
              <w:spacing w:after="0"/>
              <w:rPr>
                <w:sz w:val="20"/>
                <w:szCs w:val="20"/>
                <w:color w:val="auto"/>
              </w:rPr>
            </w:pPr>
            <w:r>
              <w:rPr>
                <w:rFonts w:ascii="Arial" w:cs="Arial" w:eastAsia="Arial" w:hAnsi="Arial"/>
                <w:sz w:val="14"/>
                <w:szCs w:val="14"/>
                <w:b w:val="1"/>
                <w:bCs w:val="1"/>
                <w:color w:val="FFFFFF"/>
              </w:rPr>
              <w:t>($)</w:t>
            </w:r>
          </w:p>
        </w:tc>
        <w:tc>
          <w:tcPr>
            <w:tcW w:w="760" w:type="dxa"/>
            <w:vAlign w:val="bottom"/>
            <w:shd w:val="clear" w:color="auto" w:fill="007CBA"/>
          </w:tcPr>
          <w:p>
            <w:pPr>
              <w:jc w:val="center"/>
              <w:ind w:left="108"/>
              <w:spacing w:after="0"/>
              <w:rPr>
                <w:sz w:val="20"/>
                <w:szCs w:val="20"/>
                <w:color w:val="auto"/>
              </w:rPr>
            </w:pPr>
            <w:r>
              <w:rPr>
                <w:rFonts w:ascii="Arial" w:cs="Arial" w:eastAsia="Arial" w:hAnsi="Arial"/>
                <w:sz w:val="14"/>
                <w:szCs w:val="14"/>
                <w:b w:val="1"/>
                <w:bCs w:val="1"/>
                <w:color w:val="FFFFFF"/>
              </w:rPr>
              <w:t>($)</w:t>
            </w:r>
          </w:p>
        </w:tc>
        <w:tc>
          <w:tcPr>
            <w:tcW w:w="240" w:type="dxa"/>
            <w:vAlign w:val="bottom"/>
            <w:tcBorders>
              <w:right w:val="single" w:sz="8" w:color="007CBA"/>
            </w:tcBorders>
            <w:shd w:val="clear" w:color="auto" w:fill="007CBA"/>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80" w:type="dxa"/>
            <w:vAlign w:val="bottom"/>
            <w:tcBorders>
              <w:left w:val="single" w:sz="8" w:color="007CBA"/>
              <w:right w:val="single" w:sz="8" w:color="007CBA"/>
            </w:tcBorders>
          </w:tcPr>
          <w:p>
            <w:pPr>
              <w:spacing w:after="0"/>
              <w:rPr>
                <w:sz w:val="12"/>
                <w:szCs w:val="12"/>
                <w:color w:val="auto"/>
              </w:rPr>
            </w:pPr>
          </w:p>
        </w:tc>
        <w:tc>
          <w:tcPr>
            <w:tcW w:w="3980" w:type="dxa"/>
            <w:vAlign w:val="bottom"/>
            <w:tcBorders>
              <w:right w:val="single" w:sz="8" w:color="007CBA"/>
            </w:tcBorders>
            <w:gridSpan w:val="2"/>
          </w:tcPr>
          <w:p>
            <w:pPr>
              <w:ind w:left="80"/>
              <w:spacing w:after="0" w:line="144" w:lineRule="exact"/>
              <w:rPr>
                <w:sz w:val="20"/>
                <w:szCs w:val="20"/>
                <w:color w:val="auto"/>
              </w:rPr>
            </w:pPr>
            <w:r>
              <w:rPr>
                <w:rFonts w:ascii="Arial" w:cs="Arial" w:eastAsia="Arial" w:hAnsi="Arial"/>
                <w:sz w:val="10"/>
                <w:szCs w:val="10"/>
                <w:color w:val="auto"/>
              </w:rPr>
              <w:t>Cash Severance</w:t>
            </w:r>
            <w:r>
              <w:rPr>
                <w:rFonts w:ascii="Arial" w:cs="Arial" w:eastAsia="Arial" w:hAnsi="Arial"/>
                <w:sz w:val="16"/>
                <w:szCs w:val="16"/>
                <w:color w:val="auto"/>
                <w:vertAlign w:val="superscript"/>
              </w:rPr>
              <w:t>3</w:t>
            </w:r>
          </w:p>
        </w:tc>
        <w:tc>
          <w:tcPr>
            <w:tcW w:w="840" w:type="dxa"/>
            <w:vAlign w:val="bottom"/>
          </w:tcPr>
          <w:p>
            <w:pPr>
              <w:spacing w:after="0"/>
              <w:rPr>
                <w:sz w:val="12"/>
                <w:szCs w:val="12"/>
                <w:color w:val="auto"/>
              </w:rPr>
            </w:pPr>
          </w:p>
        </w:tc>
        <w:tc>
          <w:tcPr>
            <w:tcW w:w="140" w:type="dxa"/>
            <w:vAlign w:val="bottom"/>
            <w:tcBorders>
              <w:right w:val="single" w:sz="8" w:color="007CBA"/>
            </w:tcBorders>
          </w:tcPr>
          <w:p>
            <w:pPr>
              <w:spacing w:after="0"/>
              <w:rPr>
                <w:sz w:val="12"/>
                <w:szCs w:val="12"/>
                <w:color w:val="auto"/>
              </w:rPr>
            </w:pPr>
          </w:p>
        </w:tc>
        <w:tc>
          <w:tcPr>
            <w:tcW w:w="1040" w:type="dxa"/>
            <w:vAlign w:val="bottom"/>
            <w:tcBorders>
              <w:right w:val="single" w:sz="8" w:color="007CBA"/>
            </w:tcBorders>
          </w:tcPr>
          <w:p>
            <w:pPr>
              <w:spacing w:after="0"/>
              <w:rPr>
                <w:sz w:val="12"/>
                <w:szCs w:val="12"/>
                <w:color w:val="auto"/>
              </w:rPr>
            </w:pPr>
          </w:p>
        </w:tc>
        <w:tc>
          <w:tcPr>
            <w:tcW w:w="980" w:type="dxa"/>
            <w:vAlign w:val="bottom"/>
            <w:tcBorders>
              <w:right w:val="single" w:sz="8" w:color="007CBA"/>
            </w:tcBorders>
          </w:tcPr>
          <w:p>
            <w:pPr>
              <w:spacing w:after="0"/>
              <w:rPr>
                <w:sz w:val="12"/>
                <w:szCs w:val="12"/>
                <w:color w:val="auto"/>
              </w:rPr>
            </w:pPr>
          </w:p>
        </w:tc>
        <w:tc>
          <w:tcPr>
            <w:tcW w:w="980" w:type="dxa"/>
            <w:vAlign w:val="bottom"/>
            <w:tcBorders>
              <w:right w:val="single" w:sz="8" w:color="007CBA"/>
            </w:tcBorders>
          </w:tcPr>
          <w:p>
            <w:pPr>
              <w:spacing w:after="0"/>
              <w:rPr>
                <w:sz w:val="12"/>
                <w:szCs w:val="12"/>
                <w:color w:val="auto"/>
              </w:rPr>
            </w:pPr>
          </w:p>
        </w:tc>
        <w:tc>
          <w:tcPr>
            <w:tcW w:w="1000" w:type="dxa"/>
            <w:vAlign w:val="bottom"/>
            <w:tcBorders>
              <w:right w:val="single" w:sz="8" w:color="007CBA"/>
            </w:tcBorders>
            <w:gridSpan w:val="2"/>
          </w:tcPr>
          <w:p>
            <w:pPr>
              <w:jc w:val="right"/>
              <w:ind w:right="69"/>
              <w:spacing w:after="0" w:line="143" w:lineRule="exact"/>
              <w:rPr>
                <w:sz w:val="20"/>
                <w:szCs w:val="20"/>
                <w:color w:val="auto"/>
              </w:rPr>
            </w:pPr>
            <w:r>
              <w:rPr>
                <w:rFonts w:ascii="Arial" w:cs="Arial" w:eastAsia="Arial" w:hAnsi="Arial"/>
                <w:sz w:val="14"/>
                <w:szCs w:val="14"/>
                <w:color w:val="auto"/>
              </w:rPr>
              <w:t>9,146,391</w:t>
            </w:r>
          </w:p>
        </w:tc>
        <w:tc>
          <w:tcPr>
            <w:tcW w:w="0" w:type="dxa"/>
            <w:vAlign w:val="bottom"/>
          </w:tcPr>
          <w:p>
            <w:pPr>
              <w:spacing w:after="0"/>
              <w:rPr>
                <w:sz w:val="1"/>
                <w:szCs w:val="1"/>
                <w:color w:val="auto"/>
              </w:rPr>
            </w:pPr>
          </w:p>
        </w:tc>
      </w:tr>
      <w:tr>
        <w:trPr>
          <w:trHeight w:val="162"/>
        </w:trPr>
        <w:tc>
          <w:tcPr>
            <w:tcW w:w="2080" w:type="dxa"/>
            <w:vAlign w:val="bottom"/>
            <w:tcBorders>
              <w:left w:val="single" w:sz="8" w:color="007CBA"/>
              <w:right w:val="single" w:sz="8" w:color="007CBA"/>
            </w:tcBorders>
          </w:tcPr>
          <w:p>
            <w:pPr>
              <w:spacing w:after="0"/>
              <w:rPr>
                <w:sz w:val="14"/>
                <w:szCs w:val="14"/>
                <w:color w:val="auto"/>
              </w:rPr>
            </w:pPr>
          </w:p>
        </w:tc>
        <w:tc>
          <w:tcPr>
            <w:tcW w:w="3980" w:type="dxa"/>
            <w:vAlign w:val="bottom"/>
            <w:tcBorders>
              <w:right w:val="single" w:sz="8" w:color="007CBA"/>
            </w:tcBorders>
            <w:gridSpan w:val="2"/>
          </w:tcPr>
          <w:p>
            <w:pPr>
              <w:ind w:left="80"/>
              <w:spacing w:after="0" w:line="162" w:lineRule="exact"/>
              <w:rPr>
                <w:sz w:val="20"/>
                <w:szCs w:val="20"/>
                <w:color w:val="auto"/>
              </w:rPr>
            </w:pPr>
            <w:r>
              <w:rPr>
                <w:rFonts w:ascii="Arial" w:cs="Arial" w:eastAsia="Arial" w:hAnsi="Arial"/>
                <w:sz w:val="11"/>
                <w:szCs w:val="11"/>
                <w:color w:val="auto"/>
              </w:rPr>
              <w:t>Unvested Restricted Stock Units</w:t>
            </w:r>
            <w:r>
              <w:rPr>
                <w:rFonts w:ascii="Arial" w:cs="Arial" w:eastAsia="Arial" w:hAnsi="Arial"/>
                <w:sz w:val="18"/>
                <w:szCs w:val="18"/>
                <w:color w:val="auto"/>
                <w:vertAlign w:val="superscript"/>
              </w:rPr>
              <w:t>4</w:t>
            </w:r>
          </w:p>
        </w:tc>
        <w:tc>
          <w:tcPr>
            <w:tcW w:w="840" w:type="dxa"/>
            <w:vAlign w:val="bottom"/>
          </w:tcPr>
          <w:p>
            <w:pPr>
              <w:jc w:val="right"/>
              <w:spacing w:after="0"/>
              <w:rPr>
                <w:sz w:val="20"/>
                <w:szCs w:val="20"/>
                <w:color w:val="auto"/>
              </w:rPr>
            </w:pPr>
            <w:r>
              <w:rPr>
                <w:rFonts w:ascii="Arial" w:cs="Arial" w:eastAsia="Arial" w:hAnsi="Arial"/>
                <w:sz w:val="14"/>
                <w:szCs w:val="14"/>
                <w:color w:val="auto"/>
              </w:rPr>
              <w:t>5,129,675</w:t>
            </w:r>
          </w:p>
        </w:tc>
        <w:tc>
          <w:tcPr>
            <w:tcW w:w="140" w:type="dxa"/>
            <w:vAlign w:val="bottom"/>
            <w:tcBorders>
              <w:right w:val="single" w:sz="8" w:color="007CBA"/>
            </w:tcBorders>
          </w:tcPr>
          <w:p>
            <w:pPr>
              <w:spacing w:after="0"/>
              <w:rPr>
                <w:sz w:val="14"/>
                <w:szCs w:val="14"/>
                <w:color w:val="auto"/>
              </w:rPr>
            </w:pPr>
          </w:p>
        </w:tc>
        <w:tc>
          <w:tcPr>
            <w:tcW w:w="1040" w:type="dxa"/>
            <w:vAlign w:val="bottom"/>
            <w:tcBorders>
              <w:right w:val="single" w:sz="8" w:color="007CBA"/>
            </w:tcBorders>
          </w:tcPr>
          <w:p>
            <w:pPr>
              <w:jc w:val="right"/>
              <w:ind w:right="68"/>
              <w:spacing w:after="0"/>
              <w:rPr>
                <w:sz w:val="20"/>
                <w:szCs w:val="20"/>
                <w:color w:val="auto"/>
              </w:rPr>
            </w:pPr>
            <w:r>
              <w:rPr>
                <w:rFonts w:ascii="Arial" w:cs="Arial" w:eastAsia="Arial" w:hAnsi="Arial"/>
                <w:sz w:val="14"/>
                <w:szCs w:val="14"/>
                <w:color w:val="auto"/>
              </w:rPr>
              <w:t>4,878,353</w:t>
            </w:r>
          </w:p>
        </w:tc>
        <w:tc>
          <w:tcPr>
            <w:tcW w:w="980" w:type="dxa"/>
            <w:vAlign w:val="bottom"/>
            <w:tcBorders>
              <w:right w:val="single" w:sz="8" w:color="007CBA"/>
            </w:tcBorders>
          </w:tcPr>
          <w:p>
            <w:pPr>
              <w:jc w:val="right"/>
              <w:ind w:right="68"/>
              <w:spacing w:after="0"/>
              <w:rPr>
                <w:sz w:val="20"/>
                <w:szCs w:val="20"/>
                <w:color w:val="auto"/>
              </w:rPr>
            </w:pPr>
            <w:r>
              <w:rPr>
                <w:rFonts w:ascii="Arial" w:cs="Arial" w:eastAsia="Arial" w:hAnsi="Arial"/>
                <w:sz w:val="14"/>
                <w:szCs w:val="14"/>
                <w:color w:val="auto"/>
              </w:rPr>
              <w:t>10,008,028</w:t>
            </w:r>
          </w:p>
        </w:tc>
        <w:tc>
          <w:tcPr>
            <w:tcW w:w="980" w:type="dxa"/>
            <w:vAlign w:val="bottom"/>
            <w:tcBorders>
              <w:right w:val="single" w:sz="8" w:color="007CBA"/>
            </w:tcBorders>
          </w:tcPr>
          <w:p>
            <w:pPr>
              <w:jc w:val="right"/>
              <w:ind w:right="48"/>
              <w:spacing w:after="0"/>
              <w:rPr>
                <w:sz w:val="20"/>
                <w:szCs w:val="20"/>
                <w:color w:val="auto"/>
              </w:rPr>
            </w:pPr>
            <w:r>
              <w:rPr>
                <w:rFonts w:ascii="Arial" w:cs="Arial" w:eastAsia="Arial" w:hAnsi="Arial"/>
                <w:sz w:val="14"/>
                <w:szCs w:val="14"/>
                <w:color w:val="auto"/>
              </w:rPr>
              <w:t>10,008,028</w:t>
            </w:r>
          </w:p>
        </w:tc>
        <w:tc>
          <w:tcPr>
            <w:tcW w:w="1000" w:type="dxa"/>
            <w:vAlign w:val="bottom"/>
            <w:tcBorders>
              <w:right w:val="single" w:sz="8" w:color="007CBA"/>
            </w:tcBorders>
            <w:gridSpan w:val="2"/>
          </w:tcPr>
          <w:p>
            <w:pPr>
              <w:jc w:val="right"/>
              <w:ind w:right="69"/>
              <w:spacing w:after="0"/>
              <w:rPr>
                <w:sz w:val="20"/>
                <w:szCs w:val="20"/>
                <w:color w:val="auto"/>
              </w:rPr>
            </w:pPr>
            <w:r>
              <w:rPr>
                <w:rFonts w:ascii="Arial" w:cs="Arial" w:eastAsia="Arial" w:hAnsi="Arial"/>
                <w:sz w:val="14"/>
                <w:szCs w:val="14"/>
                <w:color w:val="auto"/>
              </w:rPr>
              <w:t>10,008,028</w:t>
            </w:r>
          </w:p>
        </w:tc>
        <w:tc>
          <w:tcPr>
            <w:tcW w:w="0" w:type="dxa"/>
            <w:vAlign w:val="bottom"/>
          </w:tcPr>
          <w:p>
            <w:pPr>
              <w:spacing w:after="0"/>
              <w:rPr>
                <w:sz w:val="1"/>
                <w:szCs w:val="1"/>
                <w:color w:val="auto"/>
              </w:rPr>
            </w:pPr>
          </w:p>
        </w:tc>
      </w:tr>
      <w:tr>
        <w:trPr>
          <w:trHeight w:val="162"/>
        </w:trPr>
        <w:tc>
          <w:tcPr>
            <w:tcW w:w="2080" w:type="dxa"/>
            <w:vAlign w:val="bottom"/>
            <w:tcBorders>
              <w:left w:val="single" w:sz="8" w:color="007CBA"/>
              <w:right w:val="single" w:sz="8" w:color="007CBA"/>
            </w:tcBorders>
          </w:tcPr>
          <w:p>
            <w:pPr>
              <w:spacing w:after="0"/>
              <w:rPr>
                <w:sz w:val="14"/>
                <w:szCs w:val="14"/>
                <w:color w:val="auto"/>
              </w:rPr>
            </w:pPr>
          </w:p>
        </w:tc>
        <w:tc>
          <w:tcPr>
            <w:tcW w:w="3980" w:type="dxa"/>
            <w:vAlign w:val="bottom"/>
            <w:tcBorders>
              <w:right w:val="single" w:sz="8" w:color="007CBA"/>
            </w:tcBorders>
            <w:gridSpan w:val="2"/>
          </w:tcPr>
          <w:p>
            <w:pPr>
              <w:ind w:left="80"/>
              <w:spacing w:after="0" w:line="162" w:lineRule="exact"/>
              <w:rPr>
                <w:sz w:val="20"/>
                <w:szCs w:val="20"/>
                <w:color w:val="auto"/>
              </w:rPr>
            </w:pPr>
            <w:r>
              <w:rPr>
                <w:rFonts w:ascii="Arial" w:cs="Arial" w:eastAsia="Arial" w:hAnsi="Arial"/>
                <w:sz w:val="11"/>
                <w:szCs w:val="11"/>
                <w:color w:val="auto"/>
              </w:rPr>
              <w:t>Unexercisable Options</w:t>
            </w:r>
            <w:r>
              <w:rPr>
                <w:rFonts w:ascii="Arial" w:cs="Arial" w:eastAsia="Arial" w:hAnsi="Arial"/>
                <w:sz w:val="18"/>
                <w:szCs w:val="18"/>
                <w:color w:val="auto"/>
                <w:vertAlign w:val="superscript"/>
              </w:rPr>
              <w:t>5</w:t>
            </w:r>
          </w:p>
        </w:tc>
        <w:tc>
          <w:tcPr>
            <w:tcW w:w="840" w:type="dxa"/>
            <w:vAlign w:val="bottom"/>
          </w:tcPr>
          <w:p>
            <w:pPr>
              <w:jc w:val="right"/>
              <w:spacing w:after="0"/>
              <w:rPr>
                <w:sz w:val="20"/>
                <w:szCs w:val="20"/>
                <w:color w:val="auto"/>
              </w:rPr>
            </w:pPr>
            <w:r>
              <w:rPr>
                <w:rFonts w:ascii="Arial" w:cs="Arial" w:eastAsia="Arial" w:hAnsi="Arial"/>
                <w:sz w:val="14"/>
                <w:szCs w:val="14"/>
                <w:color w:val="auto"/>
              </w:rPr>
              <w:t>762,225</w:t>
            </w:r>
          </w:p>
        </w:tc>
        <w:tc>
          <w:tcPr>
            <w:tcW w:w="140" w:type="dxa"/>
            <w:vAlign w:val="bottom"/>
            <w:tcBorders>
              <w:right w:val="single" w:sz="8" w:color="007CBA"/>
            </w:tcBorders>
          </w:tcPr>
          <w:p>
            <w:pPr>
              <w:spacing w:after="0"/>
              <w:rPr>
                <w:sz w:val="14"/>
                <w:szCs w:val="14"/>
                <w:color w:val="auto"/>
              </w:rPr>
            </w:pPr>
          </w:p>
        </w:tc>
        <w:tc>
          <w:tcPr>
            <w:tcW w:w="1040" w:type="dxa"/>
            <w:vAlign w:val="bottom"/>
            <w:tcBorders>
              <w:right w:val="single" w:sz="8" w:color="007CBA"/>
            </w:tcBorders>
          </w:tcPr>
          <w:p>
            <w:pPr>
              <w:spacing w:after="0"/>
              <w:rPr>
                <w:sz w:val="14"/>
                <w:szCs w:val="14"/>
                <w:color w:val="auto"/>
              </w:rPr>
            </w:pPr>
          </w:p>
        </w:tc>
        <w:tc>
          <w:tcPr>
            <w:tcW w:w="980" w:type="dxa"/>
            <w:vAlign w:val="bottom"/>
            <w:tcBorders>
              <w:right w:val="single" w:sz="8" w:color="007CBA"/>
            </w:tcBorders>
          </w:tcPr>
          <w:p>
            <w:pPr>
              <w:jc w:val="right"/>
              <w:ind w:right="68"/>
              <w:spacing w:after="0"/>
              <w:rPr>
                <w:sz w:val="20"/>
                <w:szCs w:val="20"/>
                <w:color w:val="auto"/>
              </w:rPr>
            </w:pPr>
            <w:r>
              <w:rPr>
                <w:rFonts w:ascii="Arial" w:cs="Arial" w:eastAsia="Arial" w:hAnsi="Arial"/>
                <w:sz w:val="14"/>
                <w:szCs w:val="14"/>
                <w:color w:val="auto"/>
              </w:rPr>
              <w:t>762,225</w:t>
            </w:r>
          </w:p>
        </w:tc>
        <w:tc>
          <w:tcPr>
            <w:tcW w:w="980" w:type="dxa"/>
            <w:vAlign w:val="bottom"/>
            <w:tcBorders>
              <w:right w:val="single" w:sz="8" w:color="007CBA"/>
            </w:tcBorders>
          </w:tcPr>
          <w:p>
            <w:pPr>
              <w:jc w:val="right"/>
              <w:ind w:right="48"/>
              <w:spacing w:after="0"/>
              <w:rPr>
                <w:sz w:val="20"/>
                <w:szCs w:val="20"/>
                <w:color w:val="auto"/>
              </w:rPr>
            </w:pPr>
            <w:r>
              <w:rPr>
                <w:rFonts w:ascii="Arial" w:cs="Arial" w:eastAsia="Arial" w:hAnsi="Arial"/>
                <w:sz w:val="14"/>
                <w:szCs w:val="14"/>
                <w:color w:val="auto"/>
              </w:rPr>
              <w:t>762,225</w:t>
            </w:r>
          </w:p>
        </w:tc>
        <w:tc>
          <w:tcPr>
            <w:tcW w:w="1000" w:type="dxa"/>
            <w:vAlign w:val="bottom"/>
            <w:tcBorders>
              <w:right w:val="single" w:sz="8" w:color="007CBA"/>
            </w:tcBorders>
            <w:gridSpan w:val="2"/>
          </w:tcPr>
          <w:p>
            <w:pPr>
              <w:jc w:val="right"/>
              <w:ind w:right="69"/>
              <w:spacing w:after="0"/>
              <w:rPr>
                <w:sz w:val="20"/>
                <w:szCs w:val="20"/>
                <w:color w:val="auto"/>
              </w:rPr>
            </w:pPr>
            <w:r>
              <w:rPr>
                <w:rFonts w:ascii="Arial" w:cs="Arial" w:eastAsia="Arial" w:hAnsi="Arial"/>
                <w:sz w:val="14"/>
                <w:szCs w:val="14"/>
                <w:color w:val="auto"/>
              </w:rPr>
              <w:t>762,225</w:t>
            </w:r>
          </w:p>
        </w:tc>
        <w:tc>
          <w:tcPr>
            <w:tcW w:w="0" w:type="dxa"/>
            <w:vAlign w:val="bottom"/>
          </w:tcPr>
          <w:p>
            <w:pPr>
              <w:spacing w:after="0"/>
              <w:rPr>
                <w:sz w:val="1"/>
                <w:szCs w:val="1"/>
                <w:color w:val="auto"/>
              </w:rPr>
            </w:pPr>
          </w:p>
        </w:tc>
      </w:tr>
      <w:tr>
        <w:trPr>
          <w:trHeight w:val="162"/>
        </w:trPr>
        <w:tc>
          <w:tcPr>
            <w:tcW w:w="2080" w:type="dxa"/>
            <w:vAlign w:val="bottom"/>
            <w:tcBorders>
              <w:left w:val="single" w:sz="8" w:color="007CBA"/>
              <w:right w:val="single" w:sz="8" w:color="007CBA"/>
            </w:tcBorders>
          </w:tcPr>
          <w:p>
            <w:pPr>
              <w:spacing w:after="0"/>
              <w:rPr>
                <w:sz w:val="14"/>
                <w:szCs w:val="14"/>
                <w:color w:val="auto"/>
              </w:rPr>
            </w:pPr>
          </w:p>
        </w:tc>
        <w:tc>
          <w:tcPr>
            <w:tcW w:w="3980" w:type="dxa"/>
            <w:vAlign w:val="bottom"/>
            <w:tcBorders>
              <w:right w:val="single" w:sz="8" w:color="007CBA"/>
            </w:tcBorders>
            <w:gridSpan w:val="2"/>
          </w:tcPr>
          <w:p>
            <w:pPr>
              <w:ind w:left="80"/>
              <w:spacing w:after="0" w:line="162" w:lineRule="exact"/>
              <w:rPr>
                <w:sz w:val="20"/>
                <w:szCs w:val="20"/>
                <w:color w:val="auto"/>
              </w:rPr>
            </w:pPr>
            <w:r>
              <w:rPr>
                <w:rFonts w:ascii="Arial" w:cs="Arial" w:eastAsia="Arial" w:hAnsi="Arial"/>
                <w:sz w:val="11"/>
                <w:szCs w:val="11"/>
                <w:color w:val="auto"/>
              </w:rPr>
              <w:t>Unvested Incentive Stock Plan Units</w:t>
            </w:r>
            <w:r>
              <w:rPr>
                <w:rFonts w:ascii="Arial" w:cs="Arial" w:eastAsia="Arial" w:hAnsi="Arial"/>
                <w:sz w:val="18"/>
                <w:szCs w:val="18"/>
                <w:color w:val="auto"/>
                <w:vertAlign w:val="superscript"/>
              </w:rPr>
              <w:t>6</w:t>
            </w:r>
          </w:p>
        </w:tc>
        <w:tc>
          <w:tcPr>
            <w:tcW w:w="840" w:type="dxa"/>
            <w:vAlign w:val="bottom"/>
          </w:tcPr>
          <w:p>
            <w:pPr>
              <w:jc w:val="right"/>
              <w:spacing w:after="0"/>
              <w:rPr>
                <w:sz w:val="20"/>
                <w:szCs w:val="20"/>
                <w:color w:val="auto"/>
              </w:rPr>
            </w:pPr>
            <w:r>
              <w:rPr>
                <w:rFonts w:ascii="Arial" w:cs="Arial" w:eastAsia="Arial" w:hAnsi="Arial"/>
                <w:sz w:val="14"/>
                <w:szCs w:val="14"/>
                <w:color w:val="auto"/>
              </w:rPr>
              <w:t>891,311</w:t>
            </w:r>
          </w:p>
        </w:tc>
        <w:tc>
          <w:tcPr>
            <w:tcW w:w="140" w:type="dxa"/>
            <w:vAlign w:val="bottom"/>
            <w:tcBorders>
              <w:right w:val="single" w:sz="8" w:color="007CBA"/>
            </w:tcBorders>
          </w:tcPr>
          <w:p>
            <w:pPr>
              <w:spacing w:after="0"/>
              <w:rPr>
                <w:sz w:val="14"/>
                <w:szCs w:val="14"/>
                <w:color w:val="auto"/>
              </w:rPr>
            </w:pPr>
          </w:p>
        </w:tc>
        <w:tc>
          <w:tcPr>
            <w:tcW w:w="1040" w:type="dxa"/>
            <w:vAlign w:val="bottom"/>
            <w:tcBorders>
              <w:right w:val="single" w:sz="8" w:color="007CBA"/>
            </w:tcBorders>
          </w:tcPr>
          <w:p>
            <w:pPr>
              <w:jc w:val="right"/>
              <w:ind w:right="68"/>
              <w:spacing w:after="0"/>
              <w:rPr>
                <w:sz w:val="20"/>
                <w:szCs w:val="20"/>
                <w:color w:val="auto"/>
              </w:rPr>
            </w:pPr>
            <w:r>
              <w:rPr>
                <w:rFonts w:ascii="Arial" w:cs="Arial" w:eastAsia="Arial" w:hAnsi="Arial"/>
                <w:sz w:val="14"/>
                <w:szCs w:val="14"/>
                <w:color w:val="auto"/>
              </w:rPr>
              <w:t>462,289</w:t>
            </w:r>
          </w:p>
        </w:tc>
        <w:tc>
          <w:tcPr>
            <w:tcW w:w="980" w:type="dxa"/>
            <w:vAlign w:val="bottom"/>
            <w:tcBorders>
              <w:right w:val="single" w:sz="8" w:color="007CBA"/>
            </w:tcBorders>
          </w:tcPr>
          <w:p>
            <w:pPr>
              <w:jc w:val="right"/>
              <w:ind w:right="68"/>
              <w:spacing w:after="0"/>
              <w:rPr>
                <w:sz w:val="20"/>
                <w:szCs w:val="20"/>
                <w:color w:val="auto"/>
              </w:rPr>
            </w:pPr>
            <w:r>
              <w:rPr>
                <w:rFonts w:ascii="Arial" w:cs="Arial" w:eastAsia="Arial" w:hAnsi="Arial"/>
                <w:sz w:val="14"/>
                <w:szCs w:val="14"/>
                <w:color w:val="auto"/>
              </w:rPr>
              <w:t>891,311</w:t>
            </w:r>
          </w:p>
        </w:tc>
        <w:tc>
          <w:tcPr>
            <w:tcW w:w="980" w:type="dxa"/>
            <w:vAlign w:val="bottom"/>
            <w:tcBorders>
              <w:right w:val="single" w:sz="8" w:color="007CBA"/>
            </w:tcBorders>
          </w:tcPr>
          <w:p>
            <w:pPr>
              <w:jc w:val="right"/>
              <w:ind w:right="48"/>
              <w:spacing w:after="0"/>
              <w:rPr>
                <w:sz w:val="20"/>
                <w:szCs w:val="20"/>
                <w:color w:val="auto"/>
              </w:rPr>
            </w:pPr>
            <w:r>
              <w:rPr>
                <w:rFonts w:ascii="Arial" w:cs="Arial" w:eastAsia="Arial" w:hAnsi="Arial"/>
                <w:sz w:val="14"/>
                <w:szCs w:val="14"/>
                <w:color w:val="auto"/>
              </w:rPr>
              <w:t>891,311</w:t>
            </w:r>
          </w:p>
        </w:tc>
        <w:tc>
          <w:tcPr>
            <w:tcW w:w="1000" w:type="dxa"/>
            <w:vAlign w:val="bottom"/>
            <w:tcBorders>
              <w:right w:val="single" w:sz="8" w:color="007CBA"/>
            </w:tcBorders>
            <w:gridSpan w:val="2"/>
          </w:tcPr>
          <w:p>
            <w:pPr>
              <w:jc w:val="right"/>
              <w:ind w:right="69"/>
              <w:spacing w:after="0"/>
              <w:rPr>
                <w:sz w:val="20"/>
                <w:szCs w:val="20"/>
                <w:color w:val="auto"/>
              </w:rPr>
            </w:pPr>
            <w:r>
              <w:rPr>
                <w:rFonts w:ascii="Arial" w:cs="Arial" w:eastAsia="Arial" w:hAnsi="Arial"/>
                <w:sz w:val="14"/>
                <w:szCs w:val="14"/>
                <w:color w:val="auto"/>
              </w:rPr>
              <w:t>891,311</w:t>
            </w:r>
          </w:p>
        </w:tc>
        <w:tc>
          <w:tcPr>
            <w:tcW w:w="0" w:type="dxa"/>
            <w:vAlign w:val="bottom"/>
          </w:tcPr>
          <w:p>
            <w:pPr>
              <w:spacing w:after="0"/>
              <w:rPr>
                <w:sz w:val="1"/>
                <w:szCs w:val="1"/>
                <w:color w:val="auto"/>
              </w:rPr>
            </w:pPr>
          </w:p>
        </w:tc>
      </w:tr>
      <w:tr>
        <w:trPr>
          <w:trHeight w:val="162"/>
        </w:trPr>
        <w:tc>
          <w:tcPr>
            <w:tcW w:w="2080" w:type="dxa"/>
            <w:vAlign w:val="bottom"/>
            <w:tcBorders>
              <w:left w:val="single" w:sz="8" w:color="007CBA"/>
              <w:right w:val="single" w:sz="8" w:color="007CBA"/>
            </w:tcBorders>
          </w:tcPr>
          <w:p>
            <w:pPr>
              <w:ind w:left="220"/>
              <w:spacing w:after="0"/>
              <w:rPr>
                <w:sz w:val="20"/>
                <w:szCs w:val="20"/>
                <w:color w:val="auto"/>
              </w:rPr>
            </w:pPr>
            <w:r>
              <w:rPr>
                <w:rFonts w:ascii="Arial" w:cs="Arial" w:eastAsia="Arial" w:hAnsi="Arial"/>
                <w:sz w:val="14"/>
                <w:szCs w:val="14"/>
                <w:b w:val="1"/>
                <w:bCs w:val="1"/>
                <w:color w:val="auto"/>
              </w:rPr>
              <w:t>C. Howard Nye</w:t>
            </w:r>
          </w:p>
        </w:tc>
        <w:tc>
          <w:tcPr>
            <w:tcW w:w="3980" w:type="dxa"/>
            <w:vAlign w:val="bottom"/>
            <w:tcBorders>
              <w:right w:val="single" w:sz="8" w:color="007CBA"/>
            </w:tcBorders>
            <w:gridSpan w:val="2"/>
          </w:tcPr>
          <w:p>
            <w:pPr>
              <w:ind w:left="80"/>
              <w:spacing w:after="0" w:line="162" w:lineRule="exact"/>
              <w:rPr>
                <w:sz w:val="20"/>
                <w:szCs w:val="20"/>
                <w:color w:val="auto"/>
              </w:rPr>
            </w:pPr>
            <w:r>
              <w:rPr>
                <w:rFonts w:ascii="Arial" w:cs="Arial" w:eastAsia="Arial" w:hAnsi="Arial"/>
                <w:sz w:val="11"/>
                <w:szCs w:val="11"/>
                <w:color w:val="auto"/>
              </w:rPr>
              <w:t>Performance Shares</w:t>
            </w:r>
            <w:r>
              <w:rPr>
                <w:rFonts w:ascii="Arial" w:cs="Arial" w:eastAsia="Arial" w:hAnsi="Arial"/>
                <w:sz w:val="18"/>
                <w:szCs w:val="18"/>
                <w:color w:val="auto"/>
                <w:vertAlign w:val="superscript"/>
              </w:rPr>
              <w:t>7</w:t>
            </w:r>
          </w:p>
        </w:tc>
        <w:tc>
          <w:tcPr>
            <w:tcW w:w="840" w:type="dxa"/>
            <w:vAlign w:val="bottom"/>
          </w:tcPr>
          <w:p>
            <w:pPr>
              <w:jc w:val="right"/>
              <w:spacing w:after="0"/>
              <w:rPr>
                <w:sz w:val="20"/>
                <w:szCs w:val="20"/>
                <w:color w:val="auto"/>
              </w:rPr>
            </w:pPr>
            <w:r>
              <w:rPr>
                <w:rFonts w:ascii="Arial" w:cs="Arial" w:eastAsia="Arial" w:hAnsi="Arial"/>
                <w:sz w:val="14"/>
                <w:szCs w:val="14"/>
                <w:color w:val="auto"/>
              </w:rPr>
              <w:t>7,226,682</w:t>
            </w:r>
          </w:p>
        </w:tc>
        <w:tc>
          <w:tcPr>
            <w:tcW w:w="140" w:type="dxa"/>
            <w:vAlign w:val="bottom"/>
            <w:tcBorders>
              <w:right w:val="single" w:sz="8" w:color="007CBA"/>
            </w:tcBorders>
          </w:tcPr>
          <w:p>
            <w:pPr>
              <w:spacing w:after="0"/>
              <w:rPr>
                <w:sz w:val="14"/>
                <w:szCs w:val="14"/>
                <w:color w:val="auto"/>
              </w:rPr>
            </w:pPr>
          </w:p>
        </w:tc>
        <w:tc>
          <w:tcPr>
            <w:tcW w:w="1040" w:type="dxa"/>
            <w:vAlign w:val="bottom"/>
            <w:tcBorders>
              <w:right w:val="single" w:sz="8" w:color="007CBA"/>
            </w:tcBorders>
          </w:tcPr>
          <w:p>
            <w:pPr>
              <w:spacing w:after="0"/>
              <w:rPr>
                <w:sz w:val="14"/>
                <w:szCs w:val="14"/>
                <w:color w:val="auto"/>
              </w:rPr>
            </w:pPr>
          </w:p>
        </w:tc>
        <w:tc>
          <w:tcPr>
            <w:tcW w:w="980" w:type="dxa"/>
            <w:vAlign w:val="bottom"/>
            <w:tcBorders>
              <w:right w:val="single" w:sz="8" w:color="007CBA"/>
            </w:tcBorders>
          </w:tcPr>
          <w:p>
            <w:pPr>
              <w:jc w:val="right"/>
              <w:ind w:right="68"/>
              <w:spacing w:after="0"/>
              <w:rPr>
                <w:sz w:val="20"/>
                <w:szCs w:val="20"/>
                <w:color w:val="auto"/>
              </w:rPr>
            </w:pPr>
            <w:r>
              <w:rPr>
                <w:rFonts w:ascii="Arial" w:cs="Arial" w:eastAsia="Arial" w:hAnsi="Arial"/>
                <w:sz w:val="14"/>
                <w:szCs w:val="14"/>
                <w:color w:val="auto"/>
              </w:rPr>
              <w:t>7,226,682</w:t>
            </w:r>
          </w:p>
        </w:tc>
        <w:tc>
          <w:tcPr>
            <w:tcW w:w="980" w:type="dxa"/>
            <w:vAlign w:val="bottom"/>
            <w:tcBorders>
              <w:right w:val="single" w:sz="8" w:color="007CBA"/>
            </w:tcBorders>
          </w:tcPr>
          <w:p>
            <w:pPr>
              <w:jc w:val="right"/>
              <w:ind w:right="48"/>
              <w:spacing w:after="0"/>
              <w:rPr>
                <w:sz w:val="20"/>
                <w:szCs w:val="20"/>
                <w:color w:val="auto"/>
              </w:rPr>
            </w:pPr>
            <w:r>
              <w:rPr>
                <w:rFonts w:ascii="Arial" w:cs="Arial" w:eastAsia="Arial" w:hAnsi="Arial"/>
                <w:sz w:val="14"/>
                <w:szCs w:val="14"/>
                <w:color w:val="auto"/>
              </w:rPr>
              <w:t>7,226,682</w:t>
            </w:r>
          </w:p>
        </w:tc>
        <w:tc>
          <w:tcPr>
            <w:tcW w:w="1000" w:type="dxa"/>
            <w:vAlign w:val="bottom"/>
            <w:tcBorders>
              <w:right w:val="single" w:sz="8" w:color="007CBA"/>
            </w:tcBorders>
            <w:gridSpan w:val="2"/>
          </w:tcPr>
          <w:p>
            <w:pPr>
              <w:jc w:val="right"/>
              <w:ind w:right="69"/>
              <w:spacing w:after="0"/>
              <w:rPr>
                <w:sz w:val="20"/>
                <w:szCs w:val="20"/>
                <w:color w:val="auto"/>
              </w:rPr>
            </w:pPr>
            <w:r>
              <w:rPr>
                <w:rFonts w:ascii="Arial" w:cs="Arial" w:eastAsia="Arial" w:hAnsi="Arial"/>
                <w:sz w:val="14"/>
                <w:szCs w:val="14"/>
                <w:color w:val="auto"/>
              </w:rPr>
              <w:t>7,226,682</w:t>
            </w:r>
          </w:p>
        </w:tc>
        <w:tc>
          <w:tcPr>
            <w:tcW w:w="0" w:type="dxa"/>
            <w:vAlign w:val="bottom"/>
          </w:tcPr>
          <w:p>
            <w:pPr>
              <w:spacing w:after="0"/>
              <w:rPr>
                <w:sz w:val="1"/>
                <w:szCs w:val="1"/>
                <w:color w:val="auto"/>
              </w:rPr>
            </w:pPr>
          </w:p>
        </w:tc>
      </w:tr>
      <w:tr>
        <w:trPr>
          <w:trHeight w:val="162"/>
        </w:trPr>
        <w:tc>
          <w:tcPr>
            <w:tcW w:w="2080" w:type="dxa"/>
            <w:vAlign w:val="bottom"/>
            <w:tcBorders>
              <w:left w:val="single" w:sz="8" w:color="007CBA"/>
              <w:right w:val="single" w:sz="8" w:color="007CBA"/>
            </w:tcBorders>
          </w:tcPr>
          <w:p>
            <w:pPr>
              <w:spacing w:after="0"/>
              <w:rPr>
                <w:sz w:val="14"/>
                <w:szCs w:val="14"/>
                <w:color w:val="auto"/>
              </w:rPr>
            </w:pPr>
          </w:p>
        </w:tc>
        <w:tc>
          <w:tcPr>
            <w:tcW w:w="3980" w:type="dxa"/>
            <w:vAlign w:val="bottom"/>
            <w:tcBorders>
              <w:right w:val="single" w:sz="8" w:color="007CBA"/>
            </w:tcBorders>
            <w:gridSpan w:val="2"/>
          </w:tcPr>
          <w:p>
            <w:pPr>
              <w:ind w:left="80"/>
              <w:spacing w:after="0" w:line="162" w:lineRule="exact"/>
              <w:rPr>
                <w:sz w:val="20"/>
                <w:szCs w:val="20"/>
                <w:color w:val="auto"/>
              </w:rPr>
            </w:pPr>
            <w:r>
              <w:rPr>
                <w:rFonts w:ascii="Arial" w:cs="Arial" w:eastAsia="Arial" w:hAnsi="Arial"/>
                <w:sz w:val="11"/>
                <w:szCs w:val="11"/>
                <w:color w:val="auto"/>
              </w:rPr>
              <w:t>Retirement Plans</w:t>
            </w:r>
            <w:r>
              <w:rPr>
                <w:rFonts w:ascii="Arial" w:cs="Arial" w:eastAsia="Arial" w:hAnsi="Arial"/>
                <w:sz w:val="18"/>
                <w:szCs w:val="18"/>
                <w:color w:val="auto"/>
                <w:vertAlign w:val="superscript"/>
              </w:rPr>
              <w:t>8</w:t>
            </w:r>
          </w:p>
        </w:tc>
        <w:tc>
          <w:tcPr>
            <w:tcW w:w="840" w:type="dxa"/>
            <w:vAlign w:val="bottom"/>
          </w:tcPr>
          <w:p>
            <w:pPr>
              <w:spacing w:after="0"/>
              <w:rPr>
                <w:sz w:val="14"/>
                <w:szCs w:val="14"/>
                <w:color w:val="auto"/>
              </w:rPr>
            </w:pPr>
          </w:p>
        </w:tc>
        <w:tc>
          <w:tcPr>
            <w:tcW w:w="140" w:type="dxa"/>
            <w:vAlign w:val="bottom"/>
            <w:tcBorders>
              <w:right w:val="single" w:sz="8" w:color="007CBA"/>
            </w:tcBorders>
          </w:tcPr>
          <w:p>
            <w:pPr>
              <w:spacing w:after="0"/>
              <w:rPr>
                <w:sz w:val="14"/>
                <w:szCs w:val="14"/>
                <w:color w:val="auto"/>
              </w:rPr>
            </w:pPr>
          </w:p>
        </w:tc>
        <w:tc>
          <w:tcPr>
            <w:tcW w:w="1040" w:type="dxa"/>
            <w:vAlign w:val="bottom"/>
            <w:tcBorders>
              <w:right w:val="single" w:sz="8" w:color="007CBA"/>
            </w:tcBorders>
          </w:tcPr>
          <w:p>
            <w:pPr>
              <w:spacing w:after="0"/>
              <w:rPr>
                <w:sz w:val="14"/>
                <w:szCs w:val="14"/>
                <w:color w:val="auto"/>
              </w:rPr>
            </w:pPr>
          </w:p>
        </w:tc>
        <w:tc>
          <w:tcPr>
            <w:tcW w:w="980" w:type="dxa"/>
            <w:vAlign w:val="bottom"/>
            <w:tcBorders>
              <w:right w:val="single" w:sz="8" w:color="007CBA"/>
            </w:tcBorders>
          </w:tcPr>
          <w:p>
            <w:pPr>
              <w:jc w:val="right"/>
              <w:ind w:right="68"/>
              <w:spacing w:after="0"/>
              <w:rPr>
                <w:sz w:val="20"/>
                <w:szCs w:val="20"/>
                <w:color w:val="auto"/>
              </w:rPr>
            </w:pPr>
            <w:r>
              <w:rPr>
                <w:rFonts w:ascii="Arial" w:cs="Arial" w:eastAsia="Arial" w:hAnsi="Arial"/>
                <w:sz w:val="14"/>
                <w:szCs w:val="14"/>
                <w:color w:val="auto"/>
              </w:rPr>
              <w:t>1,823,680</w:t>
            </w:r>
          </w:p>
        </w:tc>
        <w:tc>
          <w:tcPr>
            <w:tcW w:w="980" w:type="dxa"/>
            <w:vAlign w:val="bottom"/>
            <w:tcBorders>
              <w:right w:val="single" w:sz="8" w:color="007CBA"/>
            </w:tcBorders>
          </w:tcPr>
          <w:p>
            <w:pPr>
              <w:jc w:val="right"/>
              <w:ind w:right="48"/>
              <w:spacing w:after="0"/>
              <w:rPr>
                <w:sz w:val="20"/>
                <w:szCs w:val="20"/>
                <w:color w:val="auto"/>
              </w:rPr>
            </w:pPr>
            <w:r>
              <w:rPr>
                <w:rFonts w:ascii="Arial" w:cs="Arial" w:eastAsia="Arial" w:hAnsi="Arial"/>
                <w:sz w:val="14"/>
                <w:szCs w:val="14"/>
                <w:color w:val="auto"/>
              </w:rPr>
              <w:t>0</w:t>
            </w:r>
          </w:p>
        </w:tc>
        <w:tc>
          <w:tcPr>
            <w:tcW w:w="1000" w:type="dxa"/>
            <w:vAlign w:val="bottom"/>
            <w:tcBorders>
              <w:right w:val="single" w:sz="8" w:color="007CBA"/>
            </w:tcBorders>
            <w:gridSpan w:val="2"/>
          </w:tcPr>
          <w:p>
            <w:pPr>
              <w:jc w:val="right"/>
              <w:ind w:right="69"/>
              <w:spacing w:after="0"/>
              <w:rPr>
                <w:sz w:val="20"/>
                <w:szCs w:val="20"/>
                <w:color w:val="auto"/>
              </w:rPr>
            </w:pPr>
            <w:r>
              <w:rPr>
                <w:rFonts w:ascii="Arial" w:cs="Arial" w:eastAsia="Arial" w:hAnsi="Arial"/>
                <w:sz w:val="14"/>
                <w:szCs w:val="14"/>
                <w:color w:val="auto"/>
              </w:rPr>
              <w:t>11,998,395</w:t>
            </w:r>
          </w:p>
        </w:tc>
        <w:tc>
          <w:tcPr>
            <w:tcW w:w="0" w:type="dxa"/>
            <w:vAlign w:val="bottom"/>
          </w:tcPr>
          <w:p>
            <w:pPr>
              <w:spacing w:after="0"/>
              <w:rPr>
                <w:sz w:val="1"/>
                <w:szCs w:val="1"/>
                <w:color w:val="auto"/>
              </w:rPr>
            </w:pPr>
          </w:p>
        </w:tc>
      </w:tr>
      <w:tr>
        <w:trPr>
          <w:trHeight w:val="162"/>
        </w:trPr>
        <w:tc>
          <w:tcPr>
            <w:tcW w:w="2080" w:type="dxa"/>
            <w:vAlign w:val="bottom"/>
            <w:tcBorders>
              <w:left w:val="single" w:sz="8" w:color="007CBA"/>
              <w:right w:val="single" w:sz="8" w:color="007CBA"/>
            </w:tcBorders>
          </w:tcPr>
          <w:p>
            <w:pPr>
              <w:spacing w:after="0"/>
              <w:rPr>
                <w:sz w:val="14"/>
                <w:szCs w:val="14"/>
                <w:color w:val="auto"/>
              </w:rPr>
            </w:pPr>
          </w:p>
        </w:tc>
        <w:tc>
          <w:tcPr>
            <w:tcW w:w="3980" w:type="dxa"/>
            <w:vAlign w:val="bottom"/>
            <w:tcBorders>
              <w:right w:val="single" w:sz="8" w:color="007CBA"/>
            </w:tcBorders>
            <w:gridSpan w:val="2"/>
          </w:tcPr>
          <w:p>
            <w:pPr>
              <w:ind w:left="80"/>
              <w:spacing w:after="0" w:line="162" w:lineRule="exact"/>
              <w:rPr>
                <w:sz w:val="20"/>
                <w:szCs w:val="20"/>
                <w:color w:val="auto"/>
              </w:rPr>
            </w:pPr>
            <w:r>
              <w:rPr>
                <w:rFonts w:ascii="Arial" w:cs="Arial" w:eastAsia="Arial" w:hAnsi="Arial"/>
                <w:sz w:val="11"/>
                <w:szCs w:val="11"/>
                <w:color w:val="auto"/>
              </w:rPr>
              <w:t>Health and Welfare Benefits</w:t>
            </w:r>
            <w:r>
              <w:rPr>
                <w:rFonts w:ascii="Arial" w:cs="Arial" w:eastAsia="Arial" w:hAnsi="Arial"/>
                <w:sz w:val="18"/>
                <w:szCs w:val="18"/>
                <w:color w:val="auto"/>
                <w:vertAlign w:val="superscript"/>
              </w:rPr>
              <w:t>9</w:t>
            </w:r>
          </w:p>
        </w:tc>
        <w:tc>
          <w:tcPr>
            <w:tcW w:w="840" w:type="dxa"/>
            <w:vAlign w:val="bottom"/>
          </w:tcPr>
          <w:p>
            <w:pPr>
              <w:spacing w:after="0"/>
              <w:rPr>
                <w:sz w:val="14"/>
                <w:szCs w:val="14"/>
                <w:color w:val="auto"/>
              </w:rPr>
            </w:pPr>
          </w:p>
        </w:tc>
        <w:tc>
          <w:tcPr>
            <w:tcW w:w="140" w:type="dxa"/>
            <w:vAlign w:val="bottom"/>
            <w:tcBorders>
              <w:right w:val="single" w:sz="8" w:color="007CBA"/>
            </w:tcBorders>
          </w:tcPr>
          <w:p>
            <w:pPr>
              <w:spacing w:after="0"/>
              <w:rPr>
                <w:sz w:val="14"/>
                <w:szCs w:val="14"/>
                <w:color w:val="auto"/>
              </w:rPr>
            </w:pPr>
          </w:p>
        </w:tc>
        <w:tc>
          <w:tcPr>
            <w:tcW w:w="1040" w:type="dxa"/>
            <w:vAlign w:val="bottom"/>
            <w:tcBorders>
              <w:right w:val="single" w:sz="8" w:color="007CBA"/>
            </w:tcBorders>
          </w:tcPr>
          <w:p>
            <w:pPr>
              <w:spacing w:after="0"/>
              <w:rPr>
                <w:sz w:val="14"/>
                <w:szCs w:val="14"/>
                <w:color w:val="auto"/>
              </w:rPr>
            </w:pPr>
          </w:p>
        </w:tc>
        <w:tc>
          <w:tcPr>
            <w:tcW w:w="980" w:type="dxa"/>
            <w:vAlign w:val="bottom"/>
            <w:tcBorders>
              <w:right w:val="single" w:sz="8" w:color="007CBA"/>
            </w:tcBorders>
          </w:tcPr>
          <w:p>
            <w:pPr>
              <w:spacing w:after="0"/>
              <w:rPr>
                <w:sz w:val="14"/>
                <w:szCs w:val="14"/>
                <w:color w:val="auto"/>
              </w:rPr>
            </w:pPr>
          </w:p>
        </w:tc>
        <w:tc>
          <w:tcPr>
            <w:tcW w:w="980" w:type="dxa"/>
            <w:vAlign w:val="bottom"/>
            <w:tcBorders>
              <w:right w:val="single" w:sz="8" w:color="007CBA"/>
            </w:tcBorders>
          </w:tcPr>
          <w:p>
            <w:pPr>
              <w:spacing w:after="0"/>
              <w:rPr>
                <w:sz w:val="14"/>
                <w:szCs w:val="14"/>
                <w:color w:val="auto"/>
              </w:rPr>
            </w:pPr>
          </w:p>
        </w:tc>
        <w:tc>
          <w:tcPr>
            <w:tcW w:w="1000" w:type="dxa"/>
            <w:vAlign w:val="bottom"/>
            <w:tcBorders>
              <w:right w:val="single" w:sz="8" w:color="007CBA"/>
            </w:tcBorders>
            <w:gridSpan w:val="2"/>
          </w:tcPr>
          <w:p>
            <w:pPr>
              <w:jc w:val="right"/>
              <w:ind w:right="69"/>
              <w:spacing w:after="0"/>
              <w:rPr>
                <w:sz w:val="20"/>
                <w:szCs w:val="20"/>
                <w:color w:val="auto"/>
              </w:rPr>
            </w:pPr>
            <w:r>
              <w:rPr>
                <w:rFonts w:ascii="Arial" w:cs="Arial" w:eastAsia="Arial" w:hAnsi="Arial"/>
                <w:sz w:val="14"/>
                <w:szCs w:val="14"/>
                <w:color w:val="auto"/>
              </w:rPr>
              <w:t>80,027</w:t>
            </w:r>
          </w:p>
        </w:tc>
        <w:tc>
          <w:tcPr>
            <w:tcW w:w="0" w:type="dxa"/>
            <w:vAlign w:val="bottom"/>
          </w:tcPr>
          <w:p>
            <w:pPr>
              <w:spacing w:after="0"/>
              <w:rPr>
                <w:sz w:val="1"/>
                <w:szCs w:val="1"/>
                <w:color w:val="auto"/>
              </w:rPr>
            </w:pPr>
          </w:p>
        </w:tc>
      </w:tr>
      <w:tr>
        <w:trPr>
          <w:trHeight w:val="168"/>
        </w:trPr>
        <w:tc>
          <w:tcPr>
            <w:tcW w:w="2080" w:type="dxa"/>
            <w:vAlign w:val="bottom"/>
            <w:tcBorders>
              <w:left w:val="single" w:sz="8" w:color="007CBA"/>
              <w:right w:val="single" w:sz="8" w:color="007CBA"/>
            </w:tcBorders>
          </w:tcPr>
          <w:p>
            <w:pPr>
              <w:spacing w:after="0"/>
              <w:rPr>
                <w:sz w:val="14"/>
                <w:szCs w:val="14"/>
                <w:color w:val="auto"/>
              </w:rPr>
            </w:pPr>
          </w:p>
        </w:tc>
        <w:tc>
          <w:tcPr>
            <w:tcW w:w="3980" w:type="dxa"/>
            <w:vAlign w:val="bottom"/>
            <w:tcBorders>
              <w:right w:val="single" w:sz="8" w:color="007CBA"/>
            </w:tcBorders>
            <w:gridSpan w:val="2"/>
          </w:tcPr>
          <w:p>
            <w:pPr>
              <w:ind w:left="80"/>
              <w:spacing w:after="0" w:line="168" w:lineRule="exact"/>
              <w:rPr>
                <w:sz w:val="20"/>
                <w:szCs w:val="20"/>
                <w:color w:val="auto"/>
              </w:rPr>
            </w:pPr>
            <w:r>
              <w:rPr>
                <w:rFonts w:ascii="Arial" w:cs="Arial" w:eastAsia="Arial" w:hAnsi="Arial"/>
                <w:sz w:val="12"/>
                <w:szCs w:val="12"/>
                <w:color w:val="auto"/>
              </w:rPr>
              <w:t>Retiree Medical Benefits</w:t>
            </w:r>
            <w:r>
              <w:rPr>
                <w:rFonts w:ascii="Arial" w:cs="Arial" w:eastAsia="Arial" w:hAnsi="Arial"/>
                <w:sz w:val="19"/>
                <w:szCs w:val="19"/>
                <w:color w:val="auto"/>
                <w:vertAlign w:val="superscript"/>
              </w:rPr>
              <w:t>10</w:t>
            </w:r>
          </w:p>
        </w:tc>
        <w:tc>
          <w:tcPr>
            <w:tcW w:w="840" w:type="dxa"/>
            <w:vAlign w:val="bottom"/>
          </w:tcPr>
          <w:p>
            <w:pPr>
              <w:spacing w:after="0"/>
              <w:rPr>
                <w:sz w:val="14"/>
                <w:szCs w:val="14"/>
                <w:color w:val="auto"/>
              </w:rPr>
            </w:pPr>
          </w:p>
        </w:tc>
        <w:tc>
          <w:tcPr>
            <w:tcW w:w="140" w:type="dxa"/>
            <w:vAlign w:val="bottom"/>
            <w:tcBorders>
              <w:right w:val="single" w:sz="8" w:color="007CBA"/>
            </w:tcBorders>
          </w:tcPr>
          <w:p>
            <w:pPr>
              <w:spacing w:after="0"/>
              <w:rPr>
                <w:sz w:val="14"/>
                <w:szCs w:val="14"/>
                <w:color w:val="auto"/>
              </w:rPr>
            </w:pPr>
          </w:p>
        </w:tc>
        <w:tc>
          <w:tcPr>
            <w:tcW w:w="1040" w:type="dxa"/>
            <w:vAlign w:val="bottom"/>
            <w:tcBorders>
              <w:right w:val="single" w:sz="8" w:color="007CBA"/>
            </w:tcBorders>
          </w:tcPr>
          <w:p>
            <w:pPr>
              <w:spacing w:after="0"/>
              <w:rPr>
                <w:sz w:val="14"/>
                <w:szCs w:val="14"/>
                <w:color w:val="auto"/>
              </w:rPr>
            </w:pPr>
          </w:p>
        </w:tc>
        <w:tc>
          <w:tcPr>
            <w:tcW w:w="980" w:type="dxa"/>
            <w:vAlign w:val="bottom"/>
            <w:tcBorders>
              <w:right w:val="single" w:sz="8" w:color="007CBA"/>
            </w:tcBorders>
          </w:tcPr>
          <w:p>
            <w:pPr>
              <w:spacing w:after="0"/>
              <w:rPr>
                <w:sz w:val="14"/>
                <w:szCs w:val="14"/>
                <w:color w:val="auto"/>
              </w:rPr>
            </w:pPr>
          </w:p>
        </w:tc>
        <w:tc>
          <w:tcPr>
            <w:tcW w:w="980" w:type="dxa"/>
            <w:vAlign w:val="bottom"/>
            <w:tcBorders>
              <w:right w:val="single" w:sz="8" w:color="007CBA"/>
            </w:tcBorders>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Borders>
              <w:right w:val="single" w:sz="8" w:color="007CBA"/>
            </w:tcBorders>
          </w:tcPr>
          <w:p>
            <w:pPr>
              <w:jc w:val="right"/>
              <w:ind w:right="69"/>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75"/>
        </w:trPr>
        <w:tc>
          <w:tcPr>
            <w:tcW w:w="2080" w:type="dxa"/>
            <w:vAlign w:val="bottom"/>
            <w:tcBorders>
              <w:left w:val="single" w:sz="8" w:color="007CBA"/>
              <w:right w:val="single" w:sz="8" w:color="007CBA"/>
            </w:tcBorders>
          </w:tcPr>
          <w:p>
            <w:pPr>
              <w:spacing w:after="0"/>
              <w:rPr>
                <w:sz w:val="15"/>
                <w:szCs w:val="15"/>
                <w:color w:val="auto"/>
              </w:rPr>
            </w:pPr>
          </w:p>
        </w:tc>
        <w:tc>
          <w:tcPr>
            <w:tcW w:w="3980" w:type="dxa"/>
            <w:vAlign w:val="bottom"/>
            <w:tcBorders>
              <w:right w:val="single" w:sz="8" w:color="007CBA"/>
            </w:tcBorders>
            <w:gridSpan w:val="2"/>
          </w:tcPr>
          <w:p>
            <w:pPr>
              <w:ind w:left="80"/>
              <w:spacing w:after="0"/>
              <w:rPr>
                <w:sz w:val="20"/>
                <w:szCs w:val="20"/>
                <w:color w:val="auto"/>
              </w:rPr>
            </w:pPr>
            <w:r>
              <w:rPr>
                <w:rFonts w:ascii="Arial" w:cs="Arial" w:eastAsia="Arial" w:hAnsi="Arial"/>
                <w:sz w:val="14"/>
                <w:szCs w:val="14"/>
                <w:color w:val="auto"/>
              </w:rPr>
              <w:t>Excise Tax &amp; Gross-up</w:t>
            </w:r>
          </w:p>
        </w:tc>
        <w:tc>
          <w:tcPr>
            <w:tcW w:w="840" w:type="dxa"/>
            <w:vAlign w:val="bottom"/>
          </w:tcPr>
          <w:p>
            <w:pPr>
              <w:spacing w:after="0"/>
              <w:rPr>
                <w:sz w:val="15"/>
                <w:szCs w:val="15"/>
                <w:color w:val="auto"/>
              </w:rPr>
            </w:pPr>
          </w:p>
        </w:tc>
        <w:tc>
          <w:tcPr>
            <w:tcW w:w="140" w:type="dxa"/>
            <w:vAlign w:val="bottom"/>
            <w:tcBorders>
              <w:right w:val="single" w:sz="8" w:color="007CBA"/>
            </w:tcBorders>
          </w:tcPr>
          <w:p>
            <w:pPr>
              <w:spacing w:after="0"/>
              <w:rPr>
                <w:sz w:val="15"/>
                <w:szCs w:val="15"/>
                <w:color w:val="auto"/>
              </w:rPr>
            </w:pPr>
          </w:p>
        </w:tc>
        <w:tc>
          <w:tcPr>
            <w:tcW w:w="1040" w:type="dxa"/>
            <w:vAlign w:val="bottom"/>
            <w:tcBorders>
              <w:right w:val="single" w:sz="8" w:color="007CBA"/>
            </w:tcBorders>
          </w:tcPr>
          <w:p>
            <w:pPr>
              <w:spacing w:after="0"/>
              <w:rPr>
                <w:sz w:val="15"/>
                <w:szCs w:val="15"/>
                <w:color w:val="auto"/>
              </w:rPr>
            </w:pPr>
          </w:p>
        </w:tc>
        <w:tc>
          <w:tcPr>
            <w:tcW w:w="980" w:type="dxa"/>
            <w:vAlign w:val="bottom"/>
            <w:tcBorders>
              <w:right w:val="single" w:sz="8" w:color="007CBA"/>
            </w:tcBorders>
          </w:tcPr>
          <w:p>
            <w:pPr>
              <w:spacing w:after="0"/>
              <w:rPr>
                <w:sz w:val="15"/>
                <w:szCs w:val="15"/>
                <w:color w:val="auto"/>
              </w:rPr>
            </w:pPr>
          </w:p>
        </w:tc>
        <w:tc>
          <w:tcPr>
            <w:tcW w:w="980" w:type="dxa"/>
            <w:vAlign w:val="bottom"/>
            <w:tcBorders>
              <w:right w:val="single" w:sz="8" w:color="007CBA"/>
            </w:tcBorders>
          </w:tcPr>
          <w:p>
            <w:pPr>
              <w:spacing w:after="0"/>
              <w:rPr>
                <w:sz w:val="15"/>
                <w:szCs w:val="15"/>
                <w:color w:val="auto"/>
              </w:rPr>
            </w:pPr>
          </w:p>
        </w:tc>
        <w:tc>
          <w:tcPr>
            <w:tcW w:w="1000" w:type="dxa"/>
            <w:vAlign w:val="bottom"/>
            <w:tcBorders>
              <w:right w:val="single" w:sz="8" w:color="007CBA"/>
            </w:tcBorders>
            <w:gridSpan w:val="2"/>
          </w:tcPr>
          <w:p>
            <w:pPr>
              <w:jc w:val="right"/>
              <w:ind w:right="69"/>
              <w:spacing w:after="0"/>
              <w:rPr>
                <w:sz w:val="20"/>
                <w:szCs w:val="20"/>
                <w:color w:val="auto"/>
              </w:rPr>
            </w:pPr>
            <w:r>
              <w:rPr>
                <w:rFonts w:ascii="Arial" w:cs="Arial" w:eastAsia="Arial" w:hAnsi="Arial"/>
                <w:sz w:val="14"/>
                <w:szCs w:val="14"/>
                <w:color w:val="auto"/>
              </w:rPr>
              <w:t>15,583,834</w:t>
            </w:r>
          </w:p>
        </w:tc>
        <w:tc>
          <w:tcPr>
            <w:tcW w:w="0" w:type="dxa"/>
            <w:vAlign w:val="bottom"/>
          </w:tcPr>
          <w:p>
            <w:pPr>
              <w:spacing w:after="0"/>
              <w:rPr>
                <w:sz w:val="1"/>
                <w:szCs w:val="1"/>
                <w:color w:val="auto"/>
              </w:rPr>
            </w:pPr>
          </w:p>
        </w:tc>
      </w:tr>
      <w:tr>
        <w:trPr>
          <w:trHeight w:val="143"/>
        </w:trPr>
        <w:tc>
          <w:tcPr>
            <w:tcW w:w="2080" w:type="dxa"/>
            <w:vAlign w:val="bottom"/>
            <w:tcBorders>
              <w:left w:val="single" w:sz="8" w:color="007CBA"/>
              <w:right w:val="single" w:sz="8" w:color="007CBA"/>
            </w:tcBorders>
            <w:shd w:val="clear" w:color="auto" w:fill="E5F1F8"/>
          </w:tcPr>
          <w:p>
            <w:pPr>
              <w:spacing w:after="0"/>
              <w:rPr>
                <w:sz w:val="12"/>
                <w:szCs w:val="12"/>
                <w:color w:val="auto"/>
              </w:rPr>
            </w:pPr>
          </w:p>
        </w:tc>
        <w:tc>
          <w:tcPr>
            <w:tcW w:w="3980" w:type="dxa"/>
            <w:vAlign w:val="bottom"/>
            <w:tcBorders>
              <w:right w:val="single" w:sz="8" w:color="007CBA"/>
            </w:tcBorders>
            <w:gridSpan w:val="2"/>
            <w:shd w:val="clear" w:color="auto" w:fill="E5F1F8"/>
          </w:tcPr>
          <w:p>
            <w:pPr>
              <w:ind w:left="80"/>
              <w:spacing w:after="0" w:line="144" w:lineRule="exact"/>
              <w:rPr>
                <w:sz w:val="20"/>
                <w:szCs w:val="20"/>
                <w:color w:val="auto"/>
              </w:rPr>
            </w:pPr>
            <w:r>
              <w:rPr>
                <w:rFonts w:ascii="Arial" w:cs="Arial" w:eastAsia="Arial" w:hAnsi="Arial"/>
                <w:sz w:val="10"/>
                <w:szCs w:val="10"/>
                <w:color w:val="auto"/>
              </w:rPr>
              <w:t>Cash Severance</w:t>
            </w:r>
            <w:r>
              <w:rPr>
                <w:rFonts w:ascii="Arial" w:cs="Arial" w:eastAsia="Arial" w:hAnsi="Arial"/>
                <w:sz w:val="16"/>
                <w:szCs w:val="16"/>
                <w:color w:val="auto"/>
                <w:vertAlign w:val="superscript"/>
              </w:rPr>
              <w:t>3</w:t>
            </w:r>
          </w:p>
        </w:tc>
        <w:tc>
          <w:tcPr>
            <w:tcW w:w="840" w:type="dxa"/>
            <w:vAlign w:val="bottom"/>
            <w:shd w:val="clear" w:color="auto" w:fill="E5F1F8"/>
          </w:tcPr>
          <w:p>
            <w:pPr>
              <w:spacing w:after="0"/>
              <w:rPr>
                <w:sz w:val="12"/>
                <w:szCs w:val="12"/>
                <w:color w:val="auto"/>
              </w:rPr>
            </w:pPr>
          </w:p>
        </w:tc>
        <w:tc>
          <w:tcPr>
            <w:tcW w:w="140" w:type="dxa"/>
            <w:vAlign w:val="bottom"/>
            <w:tcBorders>
              <w:right w:val="single" w:sz="8" w:color="007CBA"/>
            </w:tcBorders>
            <w:shd w:val="clear" w:color="auto" w:fill="E5F1F8"/>
          </w:tcPr>
          <w:p>
            <w:pPr>
              <w:spacing w:after="0"/>
              <w:rPr>
                <w:sz w:val="12"/>
                <w:szCs w:val="12"/>
                <w:color w:val="auto"/>
              </w:rPr>
            </w:pPr>
          </w:p>
        </w:tc>
        <w:tc>
          <w:tcPr>
            <w:tcW w:w="1040" w:type="dxa"/>
            <w:vAlign w:val="bottom"/>
            <w:tcBorders>
              <w:right w:val="single" w:sz="8" w:color="007CBA"/>
            </w:tcBorders>
            <w:shd w:val="clear" w:color="auto" w:fill="E5F1F8"/>
          </w:tcPr>
          <w:p>
            <w:pPr>
              <w:spacing w:after="0"/>
              <w:rPr>
                <w:sz w:val="12"/>
                <w:szCs w:val="12"/>
                <w:color w:val="auto"/>
              </w:rPr>
            </w:pPr>
          </w:p>
        </w:tc>
        <w:tc>
          <w:tcPr>
            <w:tcW w:w="980" w:type="dxa"/>
            <w:vAlign w:val="bottom"/>
            <w:tcBorders>
              <w:right w:val="single" w:sz="8" w:color="007CBA"/>
            </w:tcBorders>
            <w:shd w:val="clear" w:color="auto" w:fill="E5F1F8"/>
          </w:tcPr>
          <w:p>
            <w:pPr>
              <w:spacing w:after="0"/>
              <w:rPr>
                <w:sz w:val="12"/>
                <w:szCs w:val="12"/>
                <w:color w:val="auto"/>
              </w:rPr>
            </w:pPr>
          </w:p>
        </w:tc>
        <w:tc>
          <w:tcPr>
            <w:tcW w:w="980" w:type="dxa"/>
            <w:vAlign w:val="bottom"/>
            <w:tcBorders>
              <w:right w:val="single" w:sz="8" w:color="007CBA"/>
            </w:tcBorders>
            <w:shd w:val="clear" w:color="auto" w:fill="E5F1F8"/>
          </w:tcPr>
          <w:p>
            <w:pPr>
              <w:spacing w:after="0"/>
              <w:rPr>
                <w:sz w:val="12"/>
                <w:szCs w:val="12"/>
                <w:color w:val="auto"/>
              </w:rPr>
            </w:pPr>
          </w:p>
        </w:tc>
        <w:tc>
          <w:tcPr>
            <w:tcW w:w="1000" w:type="dxa"/>
            <w:vAlign w:val="bottom"/>
            <w:tcBorders>
              <w:right w:val="single" w:sz="8" w:color="007CBA"/>
            </w:tcBorders>
            <w:gridSpan w:val="2"/>
            <w:shd w:val="clear" w:color="auto" w:fill="E5F1F8"/>
          </w:tcPr>
          <w:p>
            <w:pPr>
              <w:jc w:val="right"/>
              <w:ind w:right="69"/>
              <w:spacing w:after="0" w:line="143" w:lineRule="exact"/>
              <w:rPr>
                <w:sz w:val="20"/>
                <w:szCs w:val="20"/>
                <w:color w:val="auto"/>
              </w:rPr>
            </w:pPr>
            <w:r>
              <w:rPr>
                <w:rFonts w:ascii="Arial" w:cs="Arial" w:eastAsia="Arial" w:hAnsi="Arial"/>
                <w:sz w:val="14"/>
                <w:szCs w:val="14"/>
                <w:color w:val="auto"/>
              </w:rPr>
              <w:t>1,413,531</w:t>
            </w:r>
          </w:p>
        </w:tc>
        <w:tc>
          <w:tcPr>
            <w:tcW w:w="0" w:type="dxa"/>
            <w:vAlign w:val="bottom"/>
          </w:tcPr>
          <w:p>
            <w:pPr>
              <w:spacing w:after="0"/>
              <w:rPr>
                <w:sz w:val="1"/>
                <w:szCs w:val="1"/>
                <w:color w:val="auto"/>
              </w:rPr>
            </w:pPr>
          </w:p>
        </w:tc>
      </w:tr>
      <w:tr>
        <w:trPr>
          <w:trHeight w:val="162"/>
        </w:trPr>
        <w:tc>
          <w:tcPr>
            <w:tcW w:w="2080" w:type="dxa"/>
            <w:vAlign w:val="bottom"/>
            <w:tcBorders>
              <w:left w:val="single" w:sz="8" w:color="007CBA"/>
              <w:right w:val="single" w:sz="8" w:color="007CBA"/>
            </w:tcBorders>
            <w:shd w:val="clear" w:color="auto" w:fill="E5F1F8"/>
          </w:tcPr>
          <w:p>
            <w:pPr>
              <w:spacing w:after="0"/>
              <w:rPr>
                <w:sz w:val="14"/>
                <w:szCs w:val="14"/>
                <w:color w:val="auto"/>
              </w:rPr>
            </w:pPr>
          </w:p>
        </w:tc>
        <w:tc>
          <w:tcPr>
            <w:tcW w:w="80" w:type="dxa"/>
            <w:vAlign w:val="bottom"/>
            <w:shd w:val="clear" w:color="auto" w:fill="E5F1F8"/>
          </w:tcPr>
          <w:p>
            <w:pPr>
              <w:spacing w:after="0"/>
              <w:rPr>
                <w:sz w:val="14"/>
                <w:szCs w:val="14"/>
                <w:color w:val="auto"/>
              </w:rPr>
            </w:pPr>
          </w:p>
        </w:tc>
        <w:tc>
          <w:tcPr>
            <w:tcW w:w="3900" w:type="dxa"/>
            <w:vAlign w:val="bottom"/>
            <w:tcBorders>
              <w:right w:val="single" w:sz="8" w:color="007CBA"/>
            </w:tcBorders>
            <w:shd w:val="clear" w:color="auto" w:fill="E5F1F8"/>
          </w:tcPr>
          <w:p>
            <w:pPr>
              <w:spacing w:after="0" w:line="162" w:lineRule="exact"/>
              <w:rPr>
                <w:sz w:val="20"/>
                <w:szCs w:val="20"/>
                <w:color w:val="auto"/>
              </w:rPr>
            </w:pPr>
            <w:r>
              <w:rPr>
                <w:rFonts w:ascii="Arial" w:cs="Arial" w:eastAsia="Arial" w:hAnsi="Arial"/>
                <w:sz w:val="11"/>
                <w:szCs w:val="11"/>
                <w:color w:val="auto"/>
              </w:rPr>
              <w:t>Unvested Restricted Stock Units</w:t>
            </w:r>
            <w:r>
              <w:rPr>
                <w:rFonts w:ascii="Arial" w:cs="Arial" w:eastAsia="Arial" w:hAnsi="Arial"/>
                <w:sz w:val="18"/>
                <w:szCs w:val="18"/>
                <w:color w:val="auto"/>
                <w:vertAlign w:val="superscript"/>
              </w:rPr>
              <w:t>4</w:t>
            </w:r>
          </w:p>
        </w:tc>
        <w:tc>
          <w:tcPr>
            <w:tcW w:w="840" w:type="dxa"/>
            <w:vAlign w:val="bottom"/>
            <w:shd w:val="clear" w:color="auto" w:fill="E5F1F8"/>
          </w:tcPr>
          <w:p>
            <w:pPr>
              <w:jc w:val="right"/>
              <w:spacing w:after="0"/>
              <w:rPr>
                <w:sz w:val="20"/>
                <w:szCs w:val="20"/>
                <w:color w:val="auto"/>
              </w:rPr>
            </w:pPr>
            <w:r>
              <w:rPr>
                <w:rFonts w:ascii="Arial" w:cs="Arial" w:eastAsia="Arial" w:hAnsi="Arial"/>
                <w:sz w:val="14"/>
                <w:szCs w:val="14"/>
                <w:color w:val="auto"/>
              </w:rPr>
              <w:t>0</w:t>
            </w:r>
          </w:p>
        </w:tc>
        <w:tc>
          <w:tcPr>
            <w:tcW w:w="140" w:type="dxa"/>
            <w:vAlign w:val="bottom"/>
            <w:tcBorders>
              <w:right w:val="single" w:sz="8" w:color="007CBA"/>
            </w:tcBorders>
            <w:shd w:val="clear" w:color="auto" w:fill="E5F1F8"/>
          </w:tcPr>
          <w:p>
            <w:pPr>
              <w:spacing w:after="0"/>
              <w:rPr>
                <w:sz w:val="14"/>
                <w:szCs w:val="14"/>
                <w:color w:val="auto"/>
              </w:rPr>
            </w:pPr>
          </w:p>
        </w:tc>
        <w:tc>
          <w:tcPr>
            <w:tcW w:w="1040" w:type="dxa"/>
            <w:vAlign w:val="bottom"/>
            <w:tcBorders>
              <w:right w:val="single" w:sz="8" w:color="007CBA"/>
            </w:tcBorders>
            <w:shd w:val="clear" w:color="auto" w:fill="E5F1F8"/>
          </w:tcPr>
          <w:p>
            <w:pPr>
              <w:jc w:val="right"/>
              <w:ind w:right="68"/>
              <w:spacing w:after="0"/>
              <w:rPr>
                <w:sz w:val="20"/>
                <w:szCs w:val="20"/>
                <w:color w:val="auto"/>
              </w:rPr>
            </w:pPr>
            <w:r>
              <w:rPr>
                <w:rFonts w:ascii="Arial" w:cs="Arial" w:eastAsia="Arial" w:hAnsi="Arial"/>
                <w:sz w:val="14"/>
                <w:szCs w:val="14"/>
                <w:color w:val="auto"/>
              </w:rPr>
              <w:t>1,466,821</w:t>
            </w:r>
          </w:p>
        </w:tc>
        <w:tc>
          <w:tcPr>
            <w:tcW w:w="980" w:type="dxa"/>
            <w:vAlign w:val="bottom"/>
            <w:tcBorders>
              <w:right w:val="single" w:sz="8" w:color="007CBA"/>
            </w:tcBorders>
            <w:shd w:val="clear" w:color="auto" w:fill="E5F1F8"/>
          </w:tcPr>
          <w:p>
            <w:pPr>
              <w:jc w:val="right"/>
              <w:ind w:right="68"/>
              <w:spacing w:after="0"/>
              <w:rPr>
                <w:sz w:val="20"/>
                <w:szCs w:val="20"/>
                <w:color w:val="auto"/>
              </w:rPr>
            </w:pPr>
            <w:r>
              <w:rPr>
                <w:rFonts w:ascii="Arial" w:cs="Arial" w:eastAsia="Arial" w:hAnsi="Arial"/>
                <w:sz w:val="14"/>
                <w:szCs w:val="14"/>
                <w:color w:val="auto"/>
              </w:rPr>
              <w:t>1,466,821</w:t>
            </w:r>
          </w:p>
        </w:tc>
        <w:tc>
          <w:tcPr>
            <w:tcW w:w="980" w:type="dxa"/>
            <w:vAlign w:val="bottom"/>
            <w:tcBorders>
              <w:right w:val="single" w:sz="8" w:color="007CBA"/>
            </w:tcBorders>
            <w:shd w:val="clear" w:color="auto" w:fill="E5F1F8"/>
          </w:tcPr>
          <w:p>
            <w:pPr>
              <w:jc w:val="right"/>
              <w:ind w:right="48"/>
              <w:spacing w:after="0"/>
              <w:rPr>
                <w:sz w:val="20"/>
                <w:szCs w:val="20"/>
                <w:color w:val="auto"/>
              </w:rPr>
            </w:pPr>
            <w:r>
              <w:rPr>
                <w:rFonts w:ascii="Arial" w:cs="Arial" w:eastAsia="Arial" w:hAnsi="Arial"/>
                <w:sz w:val="14"/>
                <w:szCs w:val="14"/>
                <w:color w:val="auto"/>
              </w:rPr>
              <w:t>1,466,821</w:t>
            </w:r>
          </w:p>
        </w:tc>
        <w:tc>
          <w:tcPr>
            <w:tcW w:w="1000" w:type="dxa"/>
            <w:vAlign w:val="bottom"/>
            <w:tcBorders>
              <w:right w:val="single" w:sz="8" w:color="007CBA"/>
            </w:tcBorders>
            <w:gridSpan w:val="2"/>
            <w:shd w:val="clear" w:color="auto" w:fill="E5F1F8"/>
          </w:tcPr>
          <w:p>
            <w:pPr>
              <w:jc w:val="right"/>
              <w:ind w:right="69"/>
              <w:spacing w:after="0"/>
              <w:rPr>
                <w:sz w:val="20"/>
                <w:szCs w:val="20"/>
                <w:color w:val="auto"/>
              </w:rPr>
            </w:pPr>
            <w:r>
              <w:rPr>
                <w:rFonts w:ascii="Arial" w:cs="Arial" w:eastAsia="Arial" w:hAnsi="Arial"/>
                <w:sz w:val="14"/>
                <w:szCs w:val="14"/>
                <w:color w:val="auto"/>
              </w:rPr>
              <w:t>1,466,821</w:t>
            </w:r>
          </w:p>
        </w:tc>
        <w:tc>
          <w:tcPr>
            <w:tcW w:w="0" w:type="dxa"/>
            <w:vAlign w:val="bottom"/>
          </w:tcPr>
          <w:p>
            <w:pPr>
              <w:spacing w:after="0"/>
              <w:rPr>
                <w:sz w:val="1"/>
                <w:szCs w:val="1"/>
                <w:color w:val="auto"/>
              </w:rPr>
            </w:pPr>
          </w:p>
        </w:tc>
      </w:tr>
      <w:tr>
        <w:trPr>
          <w:trHeight w:val="162"/>
        </w:trPr>
        <w:tc>
          <w:tcPr>
            <w:tcW w:w="2080" w:type="dxa"/>
            <w:vAlign w:val="bottom"/>
            <w:tcBorders>
              <w:left w:val="single" w:sz="8" w:color="007CBA"/>
              <w:right w:val="single" w:sz="8" w:color="007CBA"/>
            </w:tcBorders>
            <w:shd w:val="clear" w:color="auto" w:fill="E5F1F8"/>
          </w:tcPr>
          <w:p>
            <w:pPr>
              <w:spacing w:after="0"/>
              <w:rPr>
                <w:sz w:val="14"/>
                <w:szCs w:val="14"/>
                <w:color w:val="auto"/>
              </w:rPr>
            </w:pPr>
          </w:p>
        </w:tc>
        <w:tc>
          <w:tcPr>
            <w:tcW w:w="80" w:type="dxa"/>
            <w:vAlign w:val="bottom"/>
            <w:shd w:val="clear" w:color="auto" w:fill="E5F1F8"/>
          </w:tcPr>
          <w:p>
            <w:pPr>
              <w:spacing w:after="0"/>
              <w:rPr>
                <w:sz w:val="14"/>
                <w:szCs w:val="14"/>
                <w:color w:val="auto"/>
              </w:rPr>
            </w:pPr>
          </w:p>
        </w:tc>
        <w:tc>
          <w:tcPr>
            <w:tcW w:w="3900" w:type="dxa"/>
            <w:vAlign w:val="bottom"/>
            <w:tcBorders>
              <w:right w:val="single" w:sz="8" w:color="007CBA"/>
            </w:tcBorders>
            <w:shd w:val="clear" w:color="auto" w:fill="E5F1F8"/>
          </w:tcPr>
          <w:p>
            <w:pPr>
              <w:spacing w:after="0" w:line="162" w:lineRule="exact"/>
              <w:rPr>
                <w:sz w:val="20"/>
                <w:szCs w:val="20"/>
                <w:color w:val="auto"/>
              </w:rPr>
            </w:pPr>
            <w:r>
              <w:rPr>
                <w:rFonts w:ascii="Arial" w:cs="Arial" w:eastAsia="Arial" w:hAnsi="Arial"/>
                <w:sz w:val="11"/>
                <w:szCs w:val="11"/>
                <w:color w:val="auto"/>
              </w:rPr>
              <w:t>Unexercisable Options</w:t>
            </w:r>
            <w:r>
              <w:rPr>
                <w:rFonts w:ascii="Arial" w:cs="Arial" w:eastAsia="Arial" w:hAnsi="Arial"/>
                <w:sz w:val="18"/>
                <w:szCs w:val="18"/>
                <w:color w:val="auto"/>
                <w:vertAlign w:val="superscript"/>
              </w:rPr>
              <w:t>5</w:t>
            </w:r>
          </w:p>
        </w:tc>
        <w:tc>
          <w:tcPr>
            <w:tcW w:w="840" w:type="dxa"/>
            <w:vAlign w:val="bottom"/>
            <w:shd w:val="clear" w:color="auto" w:fill="E5F1F8"/>
          </w:tcPr>
          <w:p>
            <w:pPr>
              <w:spacing w:after="0"/>
              <w:rPr>
                <w:sz w:val="14"/>
                <w:szCs w:val="14"/>
                <w:color w:val="auto"/>
              </w:rPr>
            </w:pPr>
          </w:p>
        </w:tc>
        <w:tc>
          <w:tcPr>
            <w:tcW w:w="140" w:type="dxa"/>
            <w:vAlign w:val="bottom"/>
            <w:tcBorders>
              <w:right w:val="single" w:sz="8" w:color="007CBA"/>
            </w:tcBorders>
            <w:shd w:val="clear" w:color="auto" w:fill="E5F1F8"/>
          </w:tcPr>
          <w:p>
            <w:pPr>
              <w:spacing w:after="0"/>
              <w:rPr>
                <w:sz w:val="14"/>
                <w:szCs w:val="14"/>
                <w:color w:val="auto"/>
              </w:rPr>
            </w:pPr>
          </w:p>
        </w:tc>
        <w:tc>
          <w:tcPr>
            <w:tcW w:w="1040" w:type="dxa"/>
            <w:vAlign w:val="bottom"/>
            <w:tcBorders>
              <w:right w:val="single" w:sz="8" w:color="007CBA"/>
            </w:tcBorders>
            <w:shd w:val="clear" w:color="auto" w:fill="E5F1F8"/>
          </w:tcPr>
          <w:p>
            <w:pPr>
              <w:spacing w:after="0"/>
              <w:rPr>
                <w:sz w:val="14"/>
                <w:szCs w:val="14"/>
                <w:color w:val="auto"/>
              </w:rPr>
            </w:pPr>
          </w:p>
        </w:tc>
        <w:tc>
          <w:tcPr>
            <w:tcW w:w="980" w:type="dxa"/>
            <w:vAlign w:val="bottom"/>
            <w:tcBorders>
              <w:right w:val="single" w:sz="8" w:color="007CBA"/>
            </w:tcBorders>
            <w:shd w:val="clear" w:color="auto" w:fill="E5F1F8"/>
          </w:tcPr>
          <w:p>
            <w:pPr>
              <w:spacing w:after="0"/>
              <w:rPr>
                <w:sz w:val="14"/>
                <w:szCs w:val="14"/>
                <w:color w:val="auto"/>
              </w:rPr>
            </w:pPr>
          </w:p>
        </w:tc>
        <w:tc>
          <w:tcPr>
            <w:tcW w:w="980" w:type="dxa"/>
            <w:vAlign w:val="bottom"/>
            <w:tcBorders>
              <w:right w:val="single" w:sz="8" w:color="007CBA"/>
            </w:tcBorders>
            <w:shd w:val="clear" w:color="auto" w:fill="E5F1F8"/>
          </w:tcPr>
          <w:p>
            <w:pPr>
              <w:spacing w:after="0"/>
              <w:rPr>
                <w:sz w:val="14"/>
                <w:szCs w:val="14"/>
                <w:color w:val="auto"/>
              </w:rPr>
            </w:pPr>
          </w:p>
        </w:tc>
        <w:tc>
          <w:tcPr>
            <w:tcW w:w="760" w:type="dxa"/>
            <w:vAlign w:val="bottom"/>
            <w:shd w:val="clear" w:color="auto" w:fill="E5F1F8"/>
          </w:tcPr>
          <w:p>
            <w:pPr>
              <w:spacing w:after="0"/>
              <w:rPr>
                <w:sz w:val="14"/>
                <w:szCs w:val="14"/>
                <w:color w:val="auto"/>
              </w:rPr>
            </w:pPr>
          </w:p>
        </w:tc>
        <w:tc>
          <w:tcPr>
            <w:tcW w:w="240" w:type="dxa"/>
            <w:vAlign w:val="bottom"/>
            <w:tcBorders>
              <w:right w:val="single" w:sz="8" w:color="007CBA"/>
            </w:tcBorders>
            <w:shd w:val="clear" w:color="auto" w:fill="E5F1F8"/>
          </w:tcPr>
          <w:p>
            <w:pPr>
              <w:jc w:val="right"/>
              <w:ind w:right="69"/>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62"/>
        </w:trPr>
        <w:tc>
          <w:tcPr>
            <w:tcW w:w="2080" w:type="dxa"/>
            <w:vAlign w:val="bottom"/>
            <w:tcBorders>
              <w:left w:val="single" w:sz="8" w:color="007CBA"/>
              <w:right w:val="single" w:sz="8" w:color="007CBA"/>
            </w:tcBorders>
            <w:shd w:val="clear" w:color="auto" w:fill="E5F1F8"/>
          </w:tcPr>
          <w:p>
            <w:pPr>
              <w:spacing w:after="0"/>
              <w:rPr>
                <w:sz w:val="14"/>
                <w:szCs w:val="14"/>
                <w:color w:val="auto"/>
              </w:rPr>
            </w:pPr>
          </w:p>
        </w:tc>
        <w:tc>
          <w:tcPr>
            <w:tcW w:w="80" w:type="dxa"/>
            <w:vAlign w:val="bottom"/>
            <w:shd w:val="clear" w:color="auto" w:fill="E5F1F8"/>
          </w:tcPr>
          <w:p>
            <w:pPr>
              <w:spacing w:after="0"/>
              <w:rPr>
                <w:sz w:val="14"/>
                <w:szCs w:val="14"/>
                <w:color w:val="auto"/>
              </w:rPr>
            </w:pPr>
          </w:p>
        </w:tc>
        <w:tc>
          <w:tcPr>
            <w:tcW w:w="3900" w:type="dxa"/>
            <w:vAlign w:val="bottom"/>
            <w:tcBorders>
              <w:right w:val="single" w:sz="8" w:color="007CBA"/>
            </w:tcBorders>
            <w:shd w:val="clear" w:color="auto" w:fill="E5F1F8"/>
          </w:tcPr>
          <w:p>
            <w:pPr>
              <w:spacing w:after="0" w:line="162" w:lineRule="exact"/>
              <w:rPr>
                <w:sz w:val="20"/>
                <w:szCs w:val="20"/>
                <w:color w:val="auto"/>
              </w:rPr>
            </w:pPr>
            <w:r>
              <w:rPr>
                <w:rFonts w:ascii="Arial" w:cs="Arial" w:eastAsia="Arial" w:hAnsi="Arial"/>
                <w:sz w:val="11"/>
                <w:szCs w:val="11"/>
                <w:color w:val="auto"/>
              </w:rPr>
              <w:t>Unvested Incentive Stock Plan Units</w:t>
            </w:r>
            <w:r>
              <w:rPr>
                <w:rFonts w:ascii="Arial" w:cs="Arial" w:eastAsia="Arial" w:hAnsi="Arial"/>
                <w:sz w:val="18"/>
                <w:szCs w:val="18"/>
                <w:color w:val="auto"/>
                <w:vertAlign w:val="superscript"/>
              </w:rPr>
              <w:t>6</w:t>
            </w:r>
          </w:p>
        </w:tc>
        <w:tc>
          <w:tcPr>
            <w:tcW w:w="840" w:type="dxa"/>
            <w:vAlign w:val="bottom"/>
            <w:shd w:val="clear" w:color="auto" w:fill="E5F1F8"/>
          </w:tcPr>
          <w:p>
            <w:pPr>
              <w:spacing w:after="0"/>
              <w:rPr>
                <w:sz w:val="14"/>
                <w:szCs w:val="14"/>
                <w:color w:val="auto"/>
              </w:rPr>
            </w:pPr>
          </w:p>
        </w:tc>
        <w:tc>
          <w:tcPr>
            <w:tcW w:w="140" w:type="dxa"/>
            <w:vAlign w:val="bottom"/>
            <w:tcBorders>
              <w:right w:val="single" w:sz="8" w:color="007CBA"/>
            </w:tcBorders>
            <w:shd w:val="clear" w:color="auto" w:fill="E5F1F8"/>
          </w:tcPr>
          <w:p>
            <w:pPr>
              <w:spacing w:after="0"/>
              <w:rPr>
                <w:sz w:val="14"/>
                <w:szCs w:val="14"/>
                <w:color w:val="auto"/>
              </w:rPr>
            </w:pPr>
          </w:p>
        </w:tc>
        <w:tc>
          <w:tcPr>
            <w:tcW w:w="1040" w:type="dxa"/>
            <w:vAlign w:val="bottom"/>
            <w:tcBorders>
              <w:right w:val="single" w:sz="8" w:color="007CBA"/>
            </w:tcBorders>
            <w:shd w:val="clear" w:color="auto" w:fill="E5F1F8"/>
          </w:tcPr>
          <w:p>
            <w:pPr>
              <w:spacing w:after="0"/>
              <w:rPr>
                <w:sz w:val="14"/>
                <w:szCs w:val="14"/>
                <w:color w:val="auto"/>
              </w:rPr>
            </w:pPr>
          </w:p>
        </w:tc>
        <w:tc>
          <w:tcPr>
            <w:tcW w:w="980" w:type="dxa"/>
            <w:vAlign w:val="bottom"/>
            <w:tcBorders>
              <w:right w:val="single" w:sz="8" w:color="007CBA"/>
            </w:tcBorders>
            <w:shd w:val="clear" w:color="auto" w:fill="E5F1F8"/>
          </w:tcPr>
          <w:p>
            <w:pPr>
              <w:spacing w:after="0"/>
              <w:rPr>
                <w:sz w:val="14"/>
                <w:szCs w:val="14"/>
                <w:color w:val="auto"/>
              </w:rPr>
            </w:pPr>
          </w:p>
        </w:tc>
        <w:tc>
          <w:tcPr>
            <w:tcW w:w="980" w:type="dxa"/>
            <w:vAlign w:val="bottom"/>
            <w:tcBorders>
              <w:right w:val="single" w:sz="8" w:color="007CBA"/>
            </w:tcBorders>
            <w:shd w:val="clear" w:color="auto" w:fill="E5F1F8"/>
          </w:tcPr>
          <w:p>
            <w:pPr>
              <w:spacing w:after="0"/>
              <w:rPr>
                <w:sz w:val="14"/>
                <w:szCs w:val="14"/>
                <w:color w:val="auto"/>
              </w:rPr>
            </w:pPr>
          </w:p>
        </w:tc>
        <w:tc>
          <w:tcPr>
            <w:tcW w:w="760" w:type="dxa"/>
            <w:vAlign w:val="bottom"/>
            <w:shd w:val="clear" w:color="auto" w:fill="E5F1F8"/>
          </w:tcPr>
          <w:p>
            <w:pPr>
              <w:spacing w:after="0"/>
              <w:rPr>
                <w:sz w:val="14"/>
                <w:szCs w:val="14"/>
                <w:color w:val="auto"/>
              </w:rPr>
            </w:pPr>
          </w:p>
        </w:tc>
        <w:tc>
          <w:tcPr>
            <w:tcW w:w="240" w:type="dxa"/>
            <w:vAlign w:val="bottom"/>
            <w:tcBorders>
              <w:right w:val="single" w:sz="8" w:color="007CBA"/>
            </w:tcBorders>
            <w:shd w:val="clear" w:color="auto" w:fill="E5F1F8"/>
          </w:tcPr>
          <w:p>
            <w:pPr>
              <w:jc w:val="right"/>
              <w:ind w:right="69"/>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62"/>
        </w:trPr>
        <w:tc>
          <w:tcPr>
            <w:tcW w:w="2080" w:type="dxa"/>
            <w:vAlign w:val="bottom"/>
            <w:tcBorders>
              <w:left w:val="single" w:sz="8" w:color="007CBA"/>
              <w:right w:val="single" w:sz="8" w:color="007CBA"/>
            </w:tcBorders>
            <w:shd w:val="clear" w:color="auto" w:fill="E5F1F8"/>
          </w:tcPr>
          <w:p>
            <w:pPr>
              <w:ind w:left="220"/>
              <w:spacing w:after="0"/>
              <w:rPr>
                <w:sz w:val="20"/>
                <w:szCs w:val="20"/>
                <w:color w:val="auto"/>
              </w:rPr>
            </w:pPr>
            <w:r>
              <w:rPr>
                <w:rFonts w:ascii="Arial" w:cs="Arial" w:eastAsia="Arial" w:hAnsi="Arial"/>
                <w:sz w:val="14"/>
                <w:szCs w:val="14"/>
                <w:b w:val="1"/>
                <w:bCs w:val="1"/>
                <w:color w:val="auto"/>
              </w:rPr>
              <w:t>James A. J. Nickolas</w:t>
            </w:r>
          </w:p>
        </w:tc>
        <w:tc>
          <w:tcPr>
            <w:tcW w:w="80" w:type="dxa"/>
            <w:vAlign w:val="bottom"/>
            <w:shd w:val="clear" w:color="auto" w:fill="E5F1F8"/>
          </w:tcPr>
          <w:p>
            <w:pPr>
              <w:spacing w:after="0"/>
              <w:rPr>
                <w:sz w:val="14"/>
                <w:szCs w:val="14"/>
                <w:color w:val="auto"/>
              </w:rPr>
            </w:pPr>
          </w:p>
        </w:tc>
        <w:tc>
          <w:tcPr>
            <w:tcW w:w="3900" w:type="dxa"/>
            <w:vAlign w:val="bottom"/>
            <w:tcBorders>
              <w:right w:val="single" w:sz="8" w:color="007CBA"/>
            </w:tcBorders>
            <w:shd w:val="clear" w:color="auto" w:fill="E5F1F8"/>
          </w:tcPr>
          <w:p>
            <w:pPr>
              <w:spacing w:after="0" w:line="162" w:lineRule="exact"/>
              <w:rPr>
                <w:sz w:val="20"/>
                <w:szCs w:val="20"/>
                <w:color w:val="auto"/>
              </w:rPr>
            </w:pPr>
            <w:r>
              <w:rPr>
                <w:rFonts w:ascii="Arial" w:cs="Arial" w:eastAsia="Arial" w:hAnsi="Arial"/>
                <w:sz w:val="11"/>
                <w:szCs w:val="11"/>
                <w:color w:val="auto"/>
              </w:rPr>
              <w:t>Performance Shares</w:t>
            </w:r>
            <w:r>
              <w:rPr>
                <w:rFonts w:ascii="Arial" w:cs="Arial" w:eastAsia="Arial" w:hAnsi="Arial"/>
                <w:sz w:val="18"/>
                <w:szCs w:val="18"/>
                <w:color w:val="auto"/>
                <w:vertAlign w:val="superscript"/>
              </w:rPr>
              <w:t>7</w:t>
            </w:r>
          </w:p>
        </w:tc>
        <w:tc>
          <w:tcPr>
            <w:tcW w:w="840" w:type="dxa"/>
            <w:vAlign w:val="bottom"/>
            <w:shd w:val="clear" w:color="auto" w:fill="E5F1F8"/>
          </w:tcPr>
          <w:p>
            <w:pPr>
              <w:spacing w:after="0"/>
              <w:rPr>
                <w:sz w:val="14"/>
                <w:szCs w:val="14"/>
                <w:color w:val="auto"/>
              </w:rPr>
            </w:pPr>
          </w:p>
        </w:tc>
        <w:tc>
          <w:tcPr>
            <w:tcW w:w="140" w:type="dxa"/>
            <w:vAlign w:val="bottom"/>
            <w:tcBorders>
              <w:right w:val="single" w:sz="8" w:color="007CBA"/>
            </w:tcBorders>
            <w:shd w:val="clear" w:color="auto" w:fill="E5F1F8"/>
          </w:tcPr>
          <w:p>
            <w:pPr>
              <w:spacing w:after="0"/>
              <w:rPr>
                <w:sz w:val="14"/>
                <w:szCs w:val="14"/>
                <w:color w:val="auto"/>
              </w:rPr>
            </w:pPr>
          </w:p>
        </w:tc>
        <w:tc>
          <w:tcPr>
            <w:tcW w:w="1040" w:type="dxa"/>
            <w:vAlign w:val="bottom"/>
            <w:tcBorders>
              <w:right w:val="single" w:sz="8" w:color="007CBA"/>
            </w:tcBorders>
            <w:shd w:val="clear" w:color="auto" w:fill="E5F1F8"/>
          </w:tcPr>
          <w:p>
            <w:pPr>
              <w:spacing w:after="0"/>
              <w:rPr>
                <w:sz w:val="14"/>
                <w:szCs w:val="14"/>
                <w:color w:val="auto"/>
              </w:rPr>
            </w:pPr>
          </w:p>
        </w:tc>
        <w:tc>
          <w:tcPr>
            <w:tcW w:w="980" w:type="dxa"/>
            <w:vAlign w:val="bottom"/>
            <w:tcBorders>
              <w:right w:val="single" w:sz="8" w:color="007CBA"/>
            </w:tcBorders>
            <w:shd w:val="clear" w:color="auto" w:fill="E5F1F8"/>
          </w:tcPr>
          <w:p>
            <w:pPr>
              <w:spacing w:after="0"/>
              <w:rPr>
                <w:sz w:val="14"/>
                <w:szCs w:val="14"/>
                <w:color w:val="auto"/>
              </w:rPr>
            </w:pPr>
          </w:p>
        </w:tc>
        <w:tc>
          <w:tcPr>
            <w:tcW w:w="980" w:type="dxa"/>
            <w:vAlign w:val="bottom"/>
            <w:tcBorders>
              <w:right w:val="single" w:sz="8" w:color="007CBA"/>
            </w:tcBorders>
            <w:shd w:val="clear" w:color="auto" w:fill="E5F1F8"/>
          </w:tcPr>
          <w:p>
            <w:pPr>
              <w:spacing w:after="0"/>
              <w:rPr>
                <w:sz w:val="14"/>
                <w:szCs w:val="14"/>
                <w:color w:val="auto"/>
              </w:rPr>
            </w:pPr>
          </w:p>
        </w:tc>
        <w:tc>
          <w:tcPr>
            <w:tcW w:w="760" w:type="dxa"/>
            <w:vAlign w:val="bottom"/>
            <w:shd w:val="clear" w:color="auto" w:fill="E5F1F8"/>
          </w:tcPr>
          <w:p>
            <w:pPr>
              <w:spacing w:after="0"/>
              <w:rPr>
                <w:sz w:val="14"/>
                <w:szCs w:val="14"/>
                <w:color w:val="auto"/>
              </w:rPr>
            </w:pPr>
          </w:p>
        </w:tc>
        <w:tc>
          <w:tcPr>
            <w:tcW w:w="240" w:type="dxa"/>
            <w:vAlign w:val="bottom"/>
            <w:tcBorders>
              <w:right w:val="single" w:sz="8" w:color="007CBA"/>
            </w:tcBorders>
            <w:shd w:val="clear" w:color="auto" w:fill="E5F1F8"/>
          </w:tcPr>
          <w:p>
            <w:pPr>
              <w:jc w:val="right"/>
              <w:ind w:right="69"/>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62"/>
        </w:trPr>
        <w:tc>
          <w:tcPr>
            <w:tcW w:w="2080" w:type="dxa"/>
            <w:vAlign w:val="bottom"/>
            <w:tcBorders>
              <w:left w:val="single" w:sz="8" w:color="007CBA"/>
              <w:right w:val="single" w:sz="8" w:color="007CBA"/>
            </w:tcBorders>
            <w:shd w:val="clear" w:color="auto" w:fill="E5F1F8"/>
          </w:tcPr>
          <w:p>
            <w:pPr>
              <w:spacing w:after="0"/>
              <w:rPr>
                <w:sz w:val="14"/>
                <w:szCs w:val="14"/>
                <w:color w:val="auto"/>
              </w:rPr>
            </w:pPr>
          </w:p>
        </w:tc>
        <w:tc>
          <w:tcPr>
            <w:tcW w:w="80" w:type="dxa"/>
            <w:vAlign w:val="bottom"/>
            <w:shd w:val="clear" w:color="auto" w:fill="E5F1F8"/>
          </w:tcPr>
          <w:p>
            <w:pPr>
              <w:spacing w:after="0"/>
              <w:rPr>
                <w:sz w:val="14"/>
                <w:szCs w:val="14"/>
                <w:color w:val="auto"/>
              </w:rPr>
            </w:pPr>
          </w:p>
        </w:tc>
        <w:tc>
          <w:tcPr>
            <w:tcW w:w="3900" w:type="dxa"/>
            <w:vAlign w:val="bottom"/>
            <w:tcBorders>
              <w:right w:val="single" w:sz="8" w:color="007CBA"/>
            </w:tcBorders>
            <w:shd w:val="clear" w:color="auto" w:fill="E5F1F8"/>
          </w:tcPr>
          <w:p>
            <w:pPr>
              <w:spacing w:after="0" w:line="162" w:lineRule="exact"/>
              <w:rPr>
                <w:sz w:val="20"/>
                <w:szCs w:val="20"/>
                <w:color w:val="auto"/>
              </w:rPr>
            </w:pPr>
            <w:r>
              <w:rPr>
                <w:rFonts w:ascii="Arial" w:cs="Arial" w:eastAsia="Arial" w:hAnsi="Arial"/>
                <w:sz w:val="11"/>
                <w:szCs w:val="11"/>
                <w:color w:val="auto"/>
              </w:rPr>
              <w:t>Retirement Plans</w:t>
            </w:r>
            <w:r>
              <w:rPr>
                <w:rFonts w:ascii="Arial" w:cs="Arial" w:eastAsia="Arial" w:hAnsi="Arial"/>
                <w:sz w:val="18"/>
                <w:szCs w:val="18"/>
                <w:color w:val="auto"/>
                <w:vertAlign w:val="superscript"/>
              </w:rPr>
              <w:t>8</w:t>
            </w:r>
          </w:p>
        </w:tc>
        <w:tc>
          <w:tcPr>
            <w:tcW w:w="840" w:type="dxa"/>
            <w:vAlign w:val="bottom"/>
            <w:shd w:val="clear" w:color="auto" w:fill="E5F1F8"/>
          </w:tcPr>
          <w:p>
            <w:pPr>
              <w:spacing w:after="0"/>
              <w:rPr>
                <w:sz w:val="14"/>
                <w:szCs w:val="14"/>
                <w:color w:val="auto"/>
              </w:rPr>
            </w:pPr>
          </w:p>
        </w:tc>
        <w:tc>
          <w:tcPr>
            <w:tcW w:w="140" w:type="dxa"/>
            <w:vAlign w:val="bottom"/>
            <w:tcBorders>
              <w:right w:val="single" w:sz="8" w:color="007CBA"/>
            </w:tcBorders>
            <w:shd w:val="clear" w:color="auto" w:fill="E5F1F8"/>
          </w:tcPr>
          <w:p>
            <w:pPr>
              <w:spacing w:after="0"/>
              <w:rPr>
                <w:sz w:val="14"/>
                <w:szCs w:val="14"/>
                <w:color w:val="auto"/>
              </w:rPr>
            </w:pPr>
          </w:p>
        </w:tc>
        <w:tc>
          <w:tcPr>
            <w:tcW w:w="1040" w:type="dxa"/>
            <w:vAlign w:val="bottom"/>
            <w:tcBorders>
              <w:right w:val="single" w:sz="8" w:color="007CBA"/>
            </w:tcBorders>
            <w:shd w:val="clear" w:color="auto" w:fill="E5F1F8"/>
          </w:tcPr>
          <w:p>
            <w:pPr>
              <w:spacing w:after="0"/>
              <w:rPr>
                <w:sz w:val="14"/>
                <w:szCs w:val="14"/>
                <w:color w:val="auto"/>
              </w:rPr>
            </w:pPr>
          </w:p>
        </w:tc>
        <w:tc>
          <w:tcPr>
            <w:tcW w:w="980" w:type="dxa"/>
            <w:vAlign w:val="bottom"/>
            <w:tcBorders>
              <w:right w:val="single" w:sz="8" w:color="007CBA"/>
            </w:tcBorders>
            <w:shd w:val="clear" w:color="auto" w:fill="E5F1F8"/>
          </w:tcPr>
          <w:p>
            <w:pPr>
              <w:jc w:val="right"/>
              <w:ind w:right="68"/>
              <w:spacing w:after="0"/>
              <w:rPr>
                <w:sz w:val="20"/>
                <w:szCs w:val="20"/>
                <w:color w:val="auto"/>
              </w:rPr>
            </w:pPr>
            <w:r>
              <w:rPr>
                <w:rFonts w:ascii="Arial" w:cs="Arial" w:eastAsia="Arial" w:hAnsi="Arial"/>
                <w:sz w:val="14"/>
                <w:szCs w:val="14"/>
                <w:color w:val="auto"/>
              </w:rPr>
              <w:t>452,374</w:t>
            </w:r>
          </w:p>
        </w:tc>
        <w:tc>
          <w:tcPr>
            <w:tcW w:w="980" w:type="dxa"/>
            <w:vAlign w:val="bottom"/>
            <w:tcBorders>
              <w:right w:val="single" w:sz="8" w:color="007CBA"/>
            </w:tcBorders>
            <w:shd w:val="clear" w:color="auto" w:fill="E5F1F8"/>
          </w:tcPr>
          <w:p>
            <w:pPr>
              <w:jc w:val="right"/>
              <w:ind w:right="48"/>
              <w:spacing w:after="0"/>
              <w:rPr>
                <w:sz w:val="20"/>
                <w:szCs w:val="20"/>
                <w:color w:val="auto"/>
              </w:rPr>
            </w:pPr>
            <w:r>
              <w:rPr>
                <w:rFonts w:ascii="Arial" w:cs="Arial" w:eastAsia="Arial" w:hAnsi="Arial"/>
                <w:sz w:val="14"/>
                <w:szCs w:val="14"/>
                <w:color w:val="auto"/>
              </w:rPr>
              <w:t>0</w:t>
            </w:r>
          </w:p>
        </w:tc>
        <w:tc>
          <w:tcPr>
            <w:tcW w:w="1000" w:type="dxa"/>
            <w:vAlign w:val="bottom"/>
            <w:tcBorders>
              <w:right w:val="single" w:sz="8" w:color="007CBA"/>
            </w:tcBorders>
            <w:gridSpan w:val="2"/>
            <w:shd w:val="clear" w:color="auto" w:fill="E5F1F8"/>
          </w:tcPr>
          <w:p>
            <w:pPr>
              <w:jc w:val="right"/>
              <w:ind w:right="69"/>
              <w:spacing w:after="0"/>
              <w:rPr>
                <w:sz w:val="20"/>
                <w:szCs w:val="20"/>
                <w:color w:val="auto"/>
              </w:rPr>
            </w:pPr>
            <w:r>
              <w:rPr>
                <w:rFonts w:ascii="Arial" w:cs="Arial" w:eastAsia="Arial" w:hAnsi="Arial"/>
                <w:sz w:val="14"/>
                <w:szCs w:val="14"/>
                <w:color w:val="auto"/>
              </w:rPr>
              <w:t>492,058</w:t>
            </w:r>
          </w:p>
        </w:tc>
        <w:tc>
          <w:tcPr>
            <w:tcW w:w="0" w:type="dxa"/>
            <w:vAlign w:val="bottom"/>
          </w:tcPr>
          <w:p>
            <w:pPr>
              <w:spacing w:after="0"/>
              <w:rPr>
                <w:sz w:val="1"/>
                <w:szCs w:val="1"/>
                <w:color w:val="auto"/>
              </w:rPr>
            </w:pPr>
          </w:p>
        </w:tc>
      </w:tr>
      <w:tr>
        <w:trPr>
          <w:trHeight w:val="162"/>
        </w:trPr>
        <w:tc>
          <w:tcPr>
            <w:tcW w:w="2080" w:type="dxa"/>
            <w:vAlign w:val="bottom"/>
            <w:tcBorders>
              <w:left w:val="single" w:sz="8" w:color="007CBA"/>
              <w:right w:val="single" w:sz="8" w:color="007CBA"/>
            </w:tcBorders>
            <w:shd w:val="clear" w:color="auto" w:fill="E5F1F8"/>
          </w:tcPr>
          <w:p>
            <w:pPr>
              <w:spacing w:after="0"/>
              <w:rPr>
                <w:sz w:val="14"/>
                <w:szCs w:val="14"/>
                <w:color w:val="auto"/>
              </w:rPr>
            </w:pPr>
          </w:p>
        </w:tc>
        <w:tc>
          <w:tcPr>
            <w:tcW w:w="80" w:type="dxa"/>
            <w:vAlign w:val="bottom"/>
            <w:shd w:val="clear" w:color="auto" w:fill="E5F1F8"/>
          </w:tcPr>
          <w:p>
            <w:pPr>
              <w:spacing w:after="0"/>
              <w:rPr>
                <w:sz w:val="14"/>
                <w:szCs w:val="14"/>
                <w:color w:val="auto"/>
              </w:rPr>
            </w:pPr>
          </w:p>
        </w:tc>
        <w:tc>
          <w:tcPr>
            <w:tcW w:w="3900" w:type="dxa"/>
            <w:vAlign w:val="bottom"/>
            <w:tcBorders>
              <w:right w:val="single" w:sz="8" w:color="007CBA"/>
            </w:tcBorders>
            <w:shd w:val="clear" w:color="auto" w:fill="E5F1F8"/>
          </w:tcPr>
          <w:p>
            <w:pPr>
              <w:spacing w:after="0" w:line="162" w:lineRule="exact"/>
              <w:rPr>
                <w:sz w:val="20"/>
                <w:szCs w:val="20"/>
                <w:color w:val="auto"/>
              </w:rPr>
            </w:pPr>
            <w:r>
              <w:rPr>
                <w:rFonts w:ascii="Arial" w:cs="Arial" w:eastAsia="Arial" w:hAnsi="Arial"/>
                <w:sz w:val="11"/>
                <w:szCs w:val="11"/>
                <w:color w:val="auto"/>
              </w:rPr>
              <w:t>Health and Welfare Benefits</w:t>
            </w:r>
            <w:r>
              <w:rPr>
                <w:rFonts w:ascii="Arial" w:cs="Arial" w:eastAsia="Arial" w:hAnsi="Arial"/>
                <w:sz w:val="18"/>
                <w:szCs w:val="18"/>
                <w:color w:val="auto"/>
                <w:vertAlign w:val="superscript"/>
              </w:rPr>
              <w:t>9</w:t>
            </w:r>
          </w:p>
        </w:tc>
        <w:tc>
          <w:tcPr>
            <w:tcW w:w="840" w:type="dxa"/>
            <w:vAlign w:val="bottom"/>
            <w:shd w:val="clear" w:color="auto" w:fill="E5F1F8"/>
          </w:tcPr>
          <w:p>
            <w:pPr>
              <w:spacing w:after="0"/>
              <w:rPr>
                <w:sz w:val="14"/>
                <w:szCs w:val="14"/>
                <w:color w:val="auto"/>
              </w:rPr>
            </w:pPr>
          </w:p>
        </w:tc>
        <w:tc>
          <w:tcPr>
            <w:tcW w:w="140" w:type="dxa"/>
            <w:vAlign w:val="bottom"/>
            <w:tcBorders>
              <w:right w:val="single" w:sz="8" w:color="007CBA"/>
            </w:tcBorders>
            <w:shd w:val="clear" w:color="auto" w:fill="E5F1F8"/>
          </w:tcPr>
          <w:p>
            <w:pPr>
              <w:spacing w:after="0"/>
              <w:rPr>
                <w:sz w:val="14"/>
                <w:szCs w:val="14"/>
                <w:color w:val="auto"/>
              </w:rPr>
            </w:pPr>
          </w:p>
        </w:tc>
        <w:tc>
          <w:tcPr>
            <w:tcW w:w="1040" w:type="dxa"/>
            <w:vAlign w:val="bottom"/>
            <w:tcBorders>
              <w:right w:val="single" w:sz="8" w:color="007CBA"/>
            </w:tcBorders>
            <w:shd w:val="clear" w:color="auto" w:fill="E5F1F8"/>
          </w:tcPr>
          <w:p>
            <w:pPr>
              <w:spacing w:after="0"/>
              <w:rPr>
                <w:sz w:val="14"/>
                <w:szCs w:val="14"/>
                <w:color w:val="auto"/>
              </w:rPr>
            </w:pPr>
          </w:p>
        </w:tc>
        <w:tc>
          <w:tcPr>
            <w:tcW w:w="980" w:type="dxa"/>
            <w:vAlign w:val="bottom"/>
            <w:tcBorders>
              <w:right w:val="single" w:sz="8" w:color="007CBA"/>
            </w:tcBorders>
            <w:shd w:val="clear" w:color="auto" w:fill="E5F1F8"/>
          </w:tcPr>
          <w:p>
            <w:pPr>
              <w:spacing w:after="0"/>
              <w:rPr>
                <w:sz w:val="14"/>
                <w:szCs w:val="14"/>
                <w:color w:val="auto"/>
              </w:rPr>
            </w:pPr>
          </w:p>
        </w:tc>
        <w:tc>
          <w:tcPr>
            <w:tcW w:w="980" w:type="dxa"/>
            <w:vAlign w:val="bottom"/>
            <w:tcBorders>
              <w:right w:val="single" w:sz="8" w:color="007CBA"/>
            </w:tcBorders>
            <w:shd w:val="clear" w:color="auto" w:fill="E5F1F8"/>
          </w:tcPr>
          <w:p>
            <w:pPr>
              <w:spacing w:after="0"/>
              <w:rPr>
                <w:sz w:val="14"/>
                <w:szCs w:val="14"/>
                <w:color w:val="auto"/>
              </w:rPr>
            </w:pPr>
          </w:p>
        </w:tc>
        <w:tc>
          <w:tcPr>
            <w:tcW w:w="1000" w:type="dxa"/>
            <w:vAlign w:val="bottom"/>
            <w:tcBorders>
              <w:right w:val="single" w:sz="8" w:color="007CBA"/>
            </w:tcBorders>
            <w:gridSpan w:val="2"/>
            <w:shd w:val="clear" w:color="auto" w:fill="E5F1F8"/>
          </w:tcPr>
          <w:p>
            <w:pPr>
              <w:jc w:val="right"/>
              <w:ind w:right="69"/>
              <w:spacing w:after="0"/>
              <w:rPr>
                <w:sz w:val="20"/>
                <w:szCs w:val="20"/>
                <w:color w:val="auto"/>
              </w:rPr>
            </w:pPr>
            <w:r>
              <w:rPr>
                <w:rFonts w:ascii="Arial" w:cs="Arial" w:eastAsia="Arial" w:hAnsi="Arial"/>
                <w:sz w:val="14"/>
                <w:szCs w:val="14"/>
                <w:color w:val="auto"/>
              </w:rPr>
              <w:t>75,983</w:t>
            </w:r>
          </w:p>
        </w:tc>
        <w:tc>
          <w:tcPr>
            <w:tcW w:w="0" w:type="dxa"/>
            <w:vAlign w:val="bottom"/>
          </w:tcPr>
          <w:p>
            <w:pPr>
              <w:spacing w:after="0"/>
              <w:rPr>
                <w:sz w:val="1"/>
                <w:szCs w:val="1"/>
                <w:color w:val="auto"/>
              </w:rPr>
            </w:pPr>
          </w:p>
        </w:tc>
      </w:tr>
      <w:tr>
        <w:trPr>
          <w:trHeight w:val="181"/>
        </w:trPr>
        <w:tc>
          <w:tcPr>
            <w:tcW w:w="2080" w:type="dxa"/>
            <w:vAlign w:val="bottom"/>
            <w:tcBorders>
              <w:left w:val="single" w:sz="8" w:color="007CBA"/>
              <w:right w:val="single" w:sz="8" w:color="007CBA"/>
            </w:tcBorders>
            <w:shd w:val="clear" w:color="auto" w:fill="E5F1F8"/>
          </w:tcPr>
          <w:p>
            <w:pPr>
              <w:spacing w:after="0"/>
              <w:rPr>
                <w:sz w:val="15"/>
                <w:szCs w:val="15"/>
                <w:color w:val="auto"/>
              </w:rPr>
            </w:pPr>
          </w:p>
        </w:tc>
        <w:tc>
          <w:tcPr>
            <w:tcW w:w="80" w:type="dxa"/>
            <w:vAlign w:val="bottom"/>
            <w:shd w:val="clear" w:color="auto" w:fill="E5F1F8"/>
          </w:tcPr>
          <w:p>
            <w:pPr>
              <w:spacing w:after="0"/>
              <w:rPr>
                <w:sz w:val="15"/>
                <w:szCs w:val="15"/>
                <w:color w:val="auto"/>
              </w:rPr>
            </w:pPr>
          </w:p>
        </w:tc>
        <w:tc>
          <w:tcPr>
            <w:tcW w:w="3900" w:type="dxa"/>
            <w:vAlign w:val="bottom"/>
            <w:tcBorders>
              <w:right w:val="single" w:sz="8" w:color="007CBA"/>
            </w:tcBorders>
            <w:shd w:val="clear" w:color="auto" w:fill="E5F1F8"/>
          </w:tcPr>
          <w:p>
            <w:pPr>
              <w:spacing w:after="0" w:line="181" w:lineRule="exact"/>
              <w:rPr>
                <w:sz w:val="20"/>
                <w:szCs w:val="20"/>
                <w:color w:val="auto"/>
              </w:rPr>
            </w:pPr>
            <w:r>
              <w:rPr>
                <w:rFonts w:ascii="Arial" w:cs="Arial" w:eastAsia="Arial" w:hAnsi="Arial"/>
                <w:sz w:val="12"/>
                <w:szCs w:val="12"/>
                <w:color w:val="auto"/>
              </w:rPr>
              <w:t>Retiree Medical Benefits</w:t>
            </w:r>
            <w:r>
              <w:rPr>
                <w:rFonts w:ascii="Arial" w:cs="Arial" w:eastAsia="Arial" w:hAnsi="Arial"/>
                <w:sz w:val="20"/>
                <w:szCs w:val="20"/>
                <w:color w:val="auto"/>
                <w:vertAlign w:val="superscript"/>
              </w:rPr>
              <w:t>10</w:t>
            </w:r>
          </w:p>
        </w:tc>
        <w:tc>
          <w:tcPr>
            <w:tcW w:w="840" w:type="dxa"/>
            <w:vAlign w:val="bottom"/>
            <w:shd w:val="clear" w:color="auto" w:fill="E5F1F8"/>
          </w:tcPr>
          <w:p>
            <w:pPr>
              <w:spacing w:after="0"/>
              <w:rPr>
                <w:sz w:val="15"/>
                <w:szCs w:val="15"/>
                <w:color w:val="auto"/>
              </w:rPr>
            </w:pPr>
          </w:p>
        </w:tc>
        <w:tc>
          <w:tcPr>
            <w:tcW w:w="140" w:type="dxa"/>
            <w:vAlign w:val="bottom"/>
            <w:tcBorders>
              <w:right w:val="single" w:sz="8" w:color="007CBA"/>
            </w:tcBorders>
            <w:shd w:val="clear" w:color="auto" w:fill="E5F1F8"/>
          </w:tcPr>
          <w:p>
            <w:pPr>
              <w:spacing w:after="0"/>
              <w:rPr>
                <w:sz w:val="15"/>
                <w:szCs w:val="15"/>
                <w:color w:val="auto"/>
              </w:rPr>
            </w:pPr>
          </w:p>
        </w:tc>
        <w:tc>
          <w:tcPr>
            <w:tcW w:w="1040" w:type="dxa"/>
            <w:vAlign w:val="bottom"/>
            <w:tcBorders>
              <w:right w:val="single" w:sz="8" w:color="007CBA"/>
            </w:tcBorders>
            <w:shd w:val="clear" w:color="auto" w:fill="E5F1F8"/>
          </w:tcPr>
          <w:p>
            <w:pPr>
              <w:spacing w:after="0"/>
              <w:rPr>
                <w:sz w:val="15"/>
                <w:szCs w:val="15"/>
                <w:color w:val="auto"/>
              </w:rPr>
            </w:pPr>
          </w:p>
        </w:tc>
        <w:tc>
          <w:tcPr>
            <w:tcW w:w="980" w:type="dxa"/>
            <w:vAlign w:val="bottom"/>
            <w:tcBorders>
              <w:right w:val="single" w:sz="8" w:color="007CBA"/>
            </w:tcBorders>
            <w:shd w:val="clear" w:color="auto" w:fill="E5F1F8"/>
          </w:tcPr>
          <w:p>
            <w:pPr>
              <w:spacing w:after="0"/>
              <w:rPr>
                <w:sz w:val="15"/>
                <w:szCs w:val="15"/>
                <w:color w:val="auto"/>
              </w:rPr>
            </w:pPr>
          </w:p>
        </w:tc>
        <w:tc>
          <w:tcPr>
            <w:tcW w:w="980" w:type="dxa"/>
            <w:vAlign w:val="bottom"/>
            <w:tcBorders>
              <w:right w:val="single" w:sz="8" w:color="007CBA"/>
            </w:tcBorders>
            <w:shd w:val="clear" w:color="auto" w:fill="E5F1F8"/>
          </w:tcPr>
          <w:p>
            <w:pPr>
              <w:spacing w:after="0"/>
              <w:rPr>
                <w:sz w:val="15"/>
                <w:szCs w:val="15"/>
                <w:color w:val="auto"/>
              </w:rPr>
            </w:pPr>
          </w:p>
        </w:tc>
        <w:tc>
          <w:tcPr>
            <w:tcW w:w="760" w:type="dxa"/>
            <w:vAlign w:val="bottom"/>
            <w:shd w:val="clear" w:color="auto" w:fill="E5F1F8"/>
          </w:tcPr>
          <w:p>
            <w:pPr>
              <w:spacing w:after="0"/>
              <w:rPr>
                <w:sz w:val="15"/>
                <w:szCs w:val="15"/>
                <w:color w:val="auto"/>
              </w:rPr>
            </w:pPr>
          </w:p>
        </w:tc>
        <w:tc>
          <w:tcPr>
            <w:tcW w:w="240" w:type="dxa"/>
            <w:vAlign w:val="bottom"/>
            <w:tcBorders>
              <w:right w:val="single" w:sz="8" w:color="007CBA"/>
            </w:tcBorders>
            <w:shd w:val="clear" w:color="auto" w:fill="E5F1F8"/>
          </w:tcPr>
          <w:p>
            <w:pPr>
              <w:jc w:val="right"/>
              <w:ind w:right="69"/>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62"/>
        </w:trPr>
        <w:tc>
          <w:tcPr>
            <w:tcW w:w="2080" w:type="dxa"/>
            <w:vAlign w:val="bottom"/>
            <w:tcBorders>
              <w:left w:val="single" w:sz="8" w:color="007CBA"/>
              <w:right w:val="single" w:sz="8" w:color="007CBA"/>
            </w:tcBorders>
            <w:shd w:val="clear" w:color="auto" w:fill="E5F1F8"/>
          </w:tcPr>
          <w:p>
            <w:pPr>
              <w:spacing w:after="0"/>
              <w:rPr>
                <w:sz w:val="14"/>
                <w:szCs w:val="14"/>
                <w:color w:val="auto"/>
              </w:rPr>
            </w:pPr>
          </w:p>
        </w:tc>
        <w:tc>
          <w:tcPr>
            <w:tcW w:w="80" w:type="dxa"/>
            <w:vAlign w:val="bottom"/>
            <w:shd w:val="clear" w:color="auto" w:fill="E5F1F8"/>
          </w:tcPr>
          <w:p>
            <w:pPr>
              <w:spacing w:after="0"/>
              <w:rPr>
                <w:sz w:val="14"/>
                <w:szCs w:val="14"/>
                <w:color w:val="auto"/>
              </w:rPr>
            </w:pPr>
          </w:p>
        </w:tc>
        <w:tc>
          <w:tcPr>
            <w:tcW w:w="3900" w:type="dxa"/>
            <w:vAlign w:val="bottom"/>
            <w:tcBorders>
              <w:right w:val="single" w:sz="8" w:color="007CBA"/>
            </w:tcBorders>
            <w:shd w:val="clear" w:color="auto" w:fill="E5F1F8"/>
          </w:tcPr>
          <w:p>
            <w:pPr>
              <w:spacing w:after="0"/>
              <w:rPr>
                <w:sz w:val="20"/>
                <w:szCs w:val="20"/>
                <w:color w:val="auto"/>
              </w:rPr>
            </w:pPr>
            <w:r>
              <w:rPr>
                <w:rFonts w:ascii="Arial" w:cs="Arial" w:eastAsia="Arial" w:hAnsi="Arial"/>
                <w:sz w:val="14"/>
                <w:szCs w:val="14"/>
                <w:color w:val="auto"/>
              </w:rPr>
              <w:t>Excise Tax &amp; Gross-up</w:t>
            </w:r>
          </w:p>
        </w:tc>
        <w:tc>
          <w:tcPr>
            <w:tcW w:w="840" w:type="dxa"/>
            <w:vAlign w:val="bottom"/>
            <w:shd w:val="clear" w:color="auto" w:fill="E5F1F8"/>
          </w:tcPr>
          <w:p>
            <w:pPr>
              <w:spacing w:after="0"/>
              <w:rPr>
                <w:sz w:val="14"/>
                <w:szCs w:val="14"/>
                <w:color w:val="auto"/>
              </w:rPr>
            </w:pPr>
          </w:p>
        </w:tc>
        <w:tc>
          <w:tcPr>
            <w:tcW w:w="140" w:type="dxa"/>
            <w:vAlign w:val="bottom"/>
            <w:tcBorders>
              <w:right w:val="single" w:sz="8" w:color="007CBA"/>
            </w:tcBorders>
            <w:shd w:val="clear" w:color="auto" w:fill="E5F1F8"/>
          </w:tcPr>
          <w:p>
            <w:pPr>
              <w:spacing w:after="0"/>
              <w:rPr>
                <w:sz w:val="14"/>
                <w:szCs w:val="14"/>
                <w:color w:val="auto"/>
              </w:rPr>
            </w:pPr>
          </w:p>
        </w:tc>
        <w:tc>
          <w:tcPr>
            <w:tcW w:w="1040" w:type="dxa"/>
            <w:vAlign w:val="bottom"/>
            <w:tcBorders>
              <w:right w:val="single" w:sz="8" w:color="007CBA"/>
            </w:tcBorders>
            <w:shd w:val="clear" w:color="auto" w:fill="E5F1F8"/>
          </w:tcPr>
          <w:p>
            <w:pPr>
              <w:spacing w:after="0"/>
              <w:rPr>
                <w:sz w:val="14"/>
                <w:szCs w:val="14"/>
                <w:color w:val="auto"/>
              </w:rPr>
            </w:pPr>
          </w:p>
        </w:tc>
        <w:tc>
          <w:tcPr>
            <w:tcW w:w="980" w:type="dxa"/>
            <w:vAlign w:val="bottom"/>
            <w:tcBorders>
              <w:right w:val="single" w:sz="8" w:color="007CBA"/>
            </w:tcBorders>
            <w:shd w:val="clear" w:color="auto" w:fill="E5F1F8"/>
          </w:tcPr>
          <w:p>
            <w:pPr>
              <w:spacing w:after="0"/>
              <w:rPr>
                <w:sz w:val="14"/>
                <w:szCs w:val="14"/>
                <w:color w:val="auto"/>
              </w:rPr>
            </w:pPr>
          </w:p>
        </w:tc>
        <w:tc>
          <w:tcPr>
            <w:tcW w:w="980" w:type="dxa"/>
            <w:vAlign w:val="bottom"/>
            <w:tcBorders>
              <w:right w:val="single" w:sz="8" w:color="007CBA"/>
            </w:tcBorders>
            <w:shd w:val="clear" w:color="auto" w:fill="E5F1F8"/>
          </w:tcPr>
          <w:p>
            <w:pPr>
              <w:spacing w:after="0"/>
              <w:rPr>
                <w:sz w:val="14"/>
                <w:szCs w:val="14"/>
                <w:color w:val="auto"/>
              </w:rPr>
            </w:pPr>
          </w:p>
        </w:tc>
        <w:tc>
          <w:tcPr>
            <w:tcW w:w="1000" w:type="dxa"/>
            <w:vAlign w:val="bottom"/>
            <w:tcBorders>
              <w:right w:val="single" w:sz="8" w:color="007CBA"/>
            </w:tcBorders>
            <w:gridSpan w:val="2"/>
            <w:shd w:val="clear" w:color="auto" w:fill="E5F1F8"/>
          </w:tcPr>
          <w:p>
            <w:pPr>
              <w:jc w:val="right"/>
              <w:ind w:right="69"/>
              <w:spacing w:after="0"/>
              <w:rPr>
                <w:sz w:val="20"/>
                <w:szCs w:val="20"/>
                <w:color w:val="auto"/>
              </w:rPr>
            </w:pPr>
            <w:r>
              <w:rPr>
                <w:rFonts w:ascii="Arial" w:cs="Arial" w:eastAsia="Arial" w:hAnsi="Arial"/>
                <w:sz w:val="14"/>
                <w:szCs w:val="14"/>
                <w:color w:val="auto"/>
              </w:rPr>
              <w:t>1,269,472</w:t>
            </w:r>
          </w:p>
        </w:tc>
        <w:tc>
          <w:tcPr>
            <w:tcW w:w="0" w:type="dxa"/>
            <w:vAlign w:val="bottom"/>
          </w:tcPr>
          <w:p>
            <w:pPr>
              <w:spacing w:after="0"/>
              <w:rPr>
                <w:sz w:val="1"/>
                <w:szCs w:val="1"/>
                <w:color w:val="auto"/>
              </w:rPr>
            </w:pPr>
          </w:p>
        </w:tc>
      </w:tr>
      <w:tr>
        <w:trPr>
          <w:trHeight w:val="143"/>
        </w:trPr>
        <w:tc>
          <w:tcPr>
            <w:tcW w:w="2080" w:type="dxa"/>
            <w:vAlign w:val="bottom"/>
            <w:tcBorders>
              <w:left w:val="single" w:sz="8" w:color="007CBA"/>
              <w:right w:val="single" w:sz="8" w:color="007CBA"/>
            </w:tcBorders>
          </w:tcPr>
          <w:p>
            <w:pPr>
              <w:spacing w:after="0"/>
              <w:rPr>
                <w:sz w:val="12"/>
                <w:szCs w:val="12"/>
                <w:color w:val="auto"/>
              </w:rPr>
            </w:pPr>
          </w:p>
        </w:tc>
        <w:tc>
          <w:tcPr>
            <w:tcW w:w="80" w:type="dxa"/>
            <w:vAlign w:val="bottom"/>
          </w:tcPr>
          <w:p>
            <w:pPr>
              <w:spacing w:after="0"/>
              <w:rPr>
                <w:sz w:val="12"/>
                <w:szCs w:val="12"/>
                <w:color w:val="auto"/>
              </w:rPr>
            </w:pPr>
          </w:p>
        </w:tc>
        <w:tc>
          <w:tcPr>
            <w:tcW w:w="3900" w:type="dxa"/>
            <w:vAlign w:val="bottom"/>
            <w:tcBorders>
              <w:right w:val="single" w:sz="8" w:color="007CBA"/>
            </w:tcBorders>
          </w:tcPr>
          <w:p>
            <w:pPr>
              <w:spacing w:after="0" w:line="144" w:lineRule="exact"/>
              <w:rPr>
                <w:sz w:val="20"/>
                <w:szCs w:val="20"/>
                <w:color w:val="auto"/>
              </w:rPr>
            </w:pPr>
            <w:r>
              <w:rPr>
                <w:rFonts w:ascii="Arial" w:cs="Arial" w:eastAsia="Arial" w:hAnsi="Arial"/>
                <w:sz w:val="10"/>
                <w:szCs w:val="10"/>
                <w:color w:val="auto"/>
              </w:rPr>
              <w:t>Cash Severance</w:t>
            </w:r>
            <w:r>
              <w:rPr>
                <w:rFonts w:ascii="Arial" w:cs="Arial" w:eastAsia="Arial" w:hAnsi="Arial"/>
                <w:sz w:val="16"/>
                <w:szCs w:val="16"/>
                <w:color w:val="auto"/>
                <w:vertAlign w:val="superscript"/>
              </w:rPr>
              <w:t>3</w:t>
            </w:r>
          </w:p>
        </w:tc>
        <w:tc>
          <w:tcPr>
            <w:tcW w:w="840" w:type="dxa"/>
            <w:vAlign w:val="bottom"/>
          </w:tcPr>
          <w:p>
            <w:pPr>
              <w:spacing w:after="0"/>
              <w:rPr>
                <w:sz w:val="12"/>
                <w:szCs w:val="12"/>
                <w:color w:val="auto"/>
              </w:rPr>
            </w:pPr>
          </w:p>
        </w:tc>
        <w:tc>
          <w:tcPr>
            <w:tcW w:w="140" w:type="dxa"/>
            <w:vAlign w:val="bottom"/>
            <w:tcBorders>
              <w:right w:val="single" w:sz="8" w:color="007CBA"/>
            </w:tcBorders>
          </w:tcPr>
          <w:p>
            <w:pPr>
              <w:spacing w:after="0"/>
              <w:rPr>
                <w:sz w:val="12"/>
                <w:szCs w:val="12"/>
                <w:color w:val="auto"/>
              </w:rPr>
            </w:pPr>
          </w:p>
        </w:tc>
        <w:tc>
          <w:tcPr>
            <w:tcW w:w="1040" w:type="dxa"/>
            <w:vAlign w:val="bottom"/>
            <w:tcBorders>
              <w:right w:val="single" w:sz="8" w:color="007CBA"/>
            </w:tcBorders>
          </w:tcPr>
          <w:p>
            <w:pPr>
              <w:spacing w:after="0"/>
              <w:rPr>
                <w:sz w:val="12"/>
                <w:szCs w:val="12"/>
                <w:color w:val="auto"/>
              </w:rPr>
            </w:pPr>
          </w:p>
        </w:tc>
        <w:tc>
          <w:tcPr>
            <w:tcW w:w="980" w:type="dxa"/>
            <w:vAlign w:val="bottom"/>
            <w:tcBorders>
              <w:right w:val="single" w:sz="8" w:color="007CBA"/>
            </w:tcBorders>
          </w:tcPr>
          <w:p>
            <w:pPr>
              <w:spacing w:after="0"/>
              <w:rPr>
                <w:sz w:val="12"/>
                <w:szCs w:val="12"/>
                <w:color w:val="auto"/>
              </w:rPr>
            </w:pPr>
          </w:p>
        </w:tc>
        <w:tc>
          <w:tcPr>
            <w:tcW w:w="980" w:type="dxa"/>
            <w:vAlign w:val="bottom"/>
            <w:tcBorders>
              <w:right w:val="single" w:sz="8" w:color="007CBA"/>
            </w:tcBorders>
          </w:tcPr>
          <w:p>
            <w:pPr>
              <w:spacing w:after="0"/>
              <w:rPr>
                <w:sz w:val="12"/>
                <w:szCs w:val="12"/>
                <w:color w:val="auto"/>
              </w:rPr>
            </w:pPr>
          </w:p>
        </w:tc>
        <w:tc>
          <w:tcPr>
            <w:tcW w:w="1000" w:type="dxa"/>
            <w:vAlign w:val="bottom"/>
            <w:tcBorders>
              <w:right w:val="single" w:sz="8" w:color="007CBA"/>
            </w:tcBorders>
            <w:gridSpan w:val="2"/>
          </w:tcPr>
          <w:p>
            <w:pPr>
              <w:jc w:val="right"/>
              <w:ind w:right="69"/>
              <w:spacing w:after="0" w:line="143" w:lineRule="exact"/>
              <w:rPr>
                <w:sz w:val="20"/>
                <w:szCs w:val="20"/>
                <w:color w:val="auto"/>
              </w:rPr>
            </w:pPr>
            <w:r>
              <w:rPr>
                <w:rFonts w:ascii="Arial" w:cs="Arial" w:eastAsia="Arial" w:hAnsi="Arial"/>
                <w:sz w:val="14"/>
                <w:szCs w:val="14"/>
                <w:color w:val="auto"/>
              </w:rPr>
              <w:t>3,442,713</w:t>
            </w:r>
          </w:p>
        </w:tc>
        <w:tc>
          <w:tcPr>
            <w:tcW w:w="0" w:type="dxa"/>
            <w:vAlign w:val="bottom"/>
          </w:tcPr>
          <w:p>
            <w:pPr>
              <w:spacing w:after="0"/>
              <w:rPr>
                <w:sz w:val="1"/>
                <w:szCs w:val="1"/>
                <w:color w:val="auto"/>
              </w:rPr>
            </w:pPr>
          </w:p>
        </w:tc>
      </w:tr>
      <w:tr>
        <w:trPr>
          <w:trHeight w:val="162"/>
        </w:trPr>
        <w:tc>
          <w:tcPr>
            <w:tcW w:w="2080" w:type="dxa"/>
            <w:vAlign w:val="bottom"/>
            <w:tcBorders>
              <w:left w:val="single" w:sz="8" w:color="007CBA"/>
              <w:right w:val="single" w:sz="8" w:color="007CBA"/>
            </w:tcBorders>
          </w:tcPr>
          <w:p>
            <w:pPr>
              <w:spacing w:after="0"/>
              <w:rPr>
                <w:sz w:val="14"/>
                <w:szCs w:val="14"/>
                <w:color w:val="auto"/>
              </w:rPr>
            </w:pPr>
          </w:p>
        </w:tc>
        <w:tc>
          <w:tcPr>
            <w:tcW w:w="3980" w:type="dxa"/>
            <w:vAlign w:val="bottom"/>
            <w:tcBorders>
              <w:right w:val="single" w:sz="8" w:color="007CBA"/>
            </w:tcBorders>
            <w:gridSpan w:val="2"/>
          </w:tcPr>
          <w:p>
            <w:pPr>
              <w:ind w:left="80"/>
              <w:spacing w:after="0" w:line="162" w:lineRule="exact"/>
              <w:rPr>
                <w:sz w:val="20"/>
                <w:szCs w:val="20"/>
                <w:color w:val="auto"/>
              </w:rPr>
            </w:pPr>
            <w:r>
              <w:rPr>
                <w:rFonts w:ascii="Arial" w:cs="Arial" w:eastAsia="Arial" w:hAnsi="Arial"/>
                <w:sz w:val="11"/>
                <w:szCs w:val="11"/>
                <w:color w:val="auto"/>
              </w:rPr>
              <w:t>Unvested Restricted Stock Units</w:t>
            </w:r>
            <w:r>
              <w:rPr>
                <w:rFonts w:ascii="Arial" w:cs="Arial" w:eastAsia="Arial" w:hAnsi="Arial"/>
                <w:sz w:val="18"/>
                <w:szCs w:val="18"/>
                <w:color w:val="auto"/>
                <w:vertAlign w:val="superscript"/>
              </w:rPr>
              <w:t>4</w:t>
            </w:r>
          </w:p>
        </w:tc>
        <w:tc>
          <w:tcPr>
            <w:tcW w:w="840" w:type="dxa"/>
            <w:vAlign w:val="bottom"/>
          </w:tcPr>
          <w:p>
            <w:pPr>
              <w:jc w:val="right"/>
              <w:spacing w:after="0"/>
              <w:rPr>
                <w:sz w:val="20"/>
                <w:szCs w:val="20"/>
                <w:color w:val="auto"/>
              </w:rPr>
            </w:pPr>
            <w:r>
              <w:rPr>
                <w:rFonts w:ascii="Arial" w:cs="Arial" w:eastAsia="Arial" w:hAnsi="Arial"/>
                <w:sz w:val="14"/>
                <w:szCs w:val="14"/>
                <w:color w:val="auto"/>
              </w:rPr>
              <w:t>1,331,987</w:t>
            </w:r>
          </w:p>
        </w:tc>
        <w:tc>
          <w:tcPr>
            <w:tcW w:w="140" w:type="dxa"/>
            <w:vAlign w:val="bottom"/>
            <w:tcBorders>
              <w:right w:val="single" w:sz="8" w:color="007CBA"/>
            </w:tcBorders>
          </w:tcPr>
          <w:p>
            <w:pPr>
              <w:spacing w:after="0"/>
              <w:rPr>
                <w:sz w:val="14"/>
                <w:szCs w:val="14"/>
                <w:color w:val="auto"/>
              </w:rPr>
            </w:pPr>
          </w:p>
        </w:tc>
        <w:tc>
          <w:tcPr>
            <w:tcW w:w="1040" w:type="dxa"/>
            <w:vAlign w:val="bottom"/>
            <w:tcBorders>
              <w:right w:val="single" w:sz="8" w:color="007CBA"/>
            </w:tcBorders>
          </w:tcPr>
          <w:p>
            <w:pPr>
              <w:jc w:val="right"/>
              <w:ind w:right="68"/>
              <w:spacing w:after="0"/>
              <w:rPr>
                <w:sz w:val="20"/>
                <w:szCs w:val="20"/>
                <w:color w:val="auto"/>
              </w:rPr>
            </w:pPr>
            <w:r>
              <w:rPr>
                <w:rFonts w:ascii="Arial" w:cs="Arial" w:eastAsia="Arial" w:hAnsi="Arial"/>
                <w:sz w:val="14"/>
                <w:szCs w:val="14"/>
                <w:color w:val="auto"/>
              </w:rPr>
              <w:t>2,191,170</w:t>
            </w:r>
          </w:p>
        </w:tc>
        <w:tc>
          <w:tcPr>
            <w:tcW w:w="980" w:type="dxa"/>
            <w:vAlign w:val="bottom"/>
            <w:tcBorders>
              <w:right w:val="single" w:sz="8" w:color="007CBA"/>
            </w:tcBorders>
          </w:tcPr>
          <w:p>
            <w:pPr>
              <w:jc w:val="right"/>
              <w:ind w:right="68"/>
              <w:spacing w:after="0"/>
              <w:rPr>
                <w:sz w:val="20"/>
                <w:szCs w:val="20"/>
                <w:color w:val="auto"/>
              </w:rPr>
            </w:pPr>
            <w:r>
              <w:rPr>
                <w:rFonts w:ascii="Arial" w:cs="Arial" w:eastAsia="Arial" w:hAnsi="Arial"/>
                <w:sz w:val="14"/>
                <w:szCs w:val="14"/>
                <w:color w:val="auto"/>
              </w:rPr>
              <w:t>3,523,157</w:t>
            </w:r>
          </w:p>
        </w:tc>
        <w:tc>
          <w:tcPr>
            <w:tcW w:w="980" w:type="dxa"/>
            <w:vAlign w:val="bottom"/>
            <w:tcBorders>
              <w:right w:val="single" w:sz="8" w:color="007CBA"/>
            </w:tcBorders>
          </w:tcPr>
          <w:p>
            <w:pPr>
              <w:jc w:val="right"/>
              <w:ind w:right="48"/>
              <w:spacing w:after="0"/>
              <w:rPr>
                <w:sz w:val="20"/>
                <w:szCs w:val="20"/>
                <w:color w:val="auto"/>
              </w:rPr>
            </w:pPr>
            <w:r>
              <w:rPr>
                <w:rFonts w:ascii="Arial" w:cs="Arial" w:eastAsia="Arial" w:hAnsi="Arial"/>
                <w:sz w:val="14"/>
                <w:szCs w:val="14"/>
                <w:color w:val="auto"/>
              </w:rPr>
              <w:t>3,523,157</w:t>
            </w:r>
          </w:p>
        </w:tc>
        <w:tc>
          <w:tcPr>
            <w:tcW w:w="1000" w:type="dxa"/>
            <w:vAlign w:val="bottom"/>
            <w:tcBorders>
              <w:right w:val="single" w:sz="8" w:color="007CBA"/>
            </w:tcBorders>
            <w:gridSpan w:val="2"/>
          </w:tcPr>
          <w:p>
            <w:pPr>
              <w:jc w:val="right"/>
              <w:ind w:right="69"/>
              <w:spacing w:after="0"/>
              <w:rPr>
                <w:sz w:val="20"/>
                <w:szCs w:val="20"/>
                <w:color w:val="auto"/>
              </w:rPr>
            </w:pPr>
            <w:r>
              <w:rPr>
                <w:rFonts w:ascii="Arial" w:cs="Arial" w:eastAsia="Arial" w:hAnsi="Arial"/>
                <w:sz w:val="14"/>
                <w:szCs w:val="14"/>
                <w:color w:val="auto"/>
              </w:rPr>
              <w:t>3,523,157</w:t>
            </w:r>
          </w:p>
        </w:tc>
        <w:tc>
          <w:tcPr>
            <w:tcW w:w="0" w:type="dxa"/>
            <w:vAlign w:val="bottom"/>
          </w:tcPr>
          <w:p>
            <w:pPr>
              <w:spacing w:after="0"/>
              <w:rPr>
                <w:sz w:val="1"/>
                <w:szCs w:val="1"/>
                <w:color w:val="auto"/>
              </w:rPr>
            </w:pPr>
          </w:p>
        </w:tc>
      </w:tr>
      <w:tr>
        <w:trPr>
          <w:trHeight w:val="162"/>
        </w:trPr>
        <w:tc>
          <w:tcPr>
            <w:tcW w:w="2080" w:type="dxa"/>
            <w:vAlign w:val="bottom"/>
            <w:tcBorders>
              <w:left w:val="single" w:sz="8" w:color="007CBA"/>
              <w:right w:val="single" w:sz="8" w:color="007CBA"/>
            </w:tcBorders>
          </w:tcPr>
          <w:p>
            <w:pPr>
              <w:spacing w:after="0"/>
              <w:rPr>
                <w:sz w:val="14"/>
                <w:szCs w:val="14"/>
                <w:color w:val="auto"/>
              </w:rPr>
            </w:pPr>
          </w:p>
        </w:tc>
        <w:tc>
          <w:tcPr>
            <w:tcW w:w="3980" w:type="dxa"/>
            <w:vAlign w:val="bottom"/>
            <w:tcBorders>
              <w:right w:val="single" w:sz="8" w:color="007CBA"/>
            </w:tcBorders>
            <w:gridSpan w:val="2"/>
          </w:tcPr>
          <w:p>
            <w:pPr>
              <w:ind w:left="80"/>
              <w:spacing w:after="0" w:line="162" w:lineRule="exact"/>
              <w:rPr>
                <w:sz w:val="20"/>
                <w:szCs w:val="20"/>
                <w:color w:val="auto"/>
              </w:rPr>
            </w:pPr>
            <w:r>
              <w:rPr>
                <w:rFonts w:ascii="Arial" w:cs="Arial" w:eastAsia="Arial" w:hAnsi="Arial"/>
                <w:sz w:val="11"/>
                <w:szCs w:val="11"/>
                <w:color w:val="auto"/>
              </w:rPr>
              <w:t>Unexercisable Options</w:t>
            </w:r>
            <w:r>
              <w:rPr>
                <w:rFonts w:ascii="Arial" w:cs="Arial" w:eastAsia="Arial" w:hAnsi="Arial"/>
                <w:sz w:val="18"/>
                <w:szCs w:val="18"/>
                <w:color w:val="auto"/>
                <w:vertAlign w:val="superscript"/>
              </w:rPr>
              <w:t>5</w:t>
            </w:r>
          </w:p>
        </w:tc>
        <w:tc>
          <w:tcPr>
            <w:tcW w:w="840" w:type="dxa"/>
            <w:vAlign w:val="bottom"/>
          </w:tcPr>
          <w:p>
            <w:pPr>
              <w:jc w:val="right"/>
              <w:spacing w:after="0"/>
              <w:rPr>
                <w:sz w:val="20"/>
                <w:szCs w:val="20"/>
                <w:color w:val="auto"/>
              </w:rPr>
            </w:pPr>
            <w:r>
              <w:rPr>
                <w:rFonts w:ascii="Arial" w:cs="Arial" w:eastAsia="Arial" w:hAnsi="Arial"/>
                <w:sz w:val="14"/>
                <w:szCs w:val="14"/>
                <w:color w:val="auto"/>
              </w:rPr>
              <w:t>204,102</w:t>
            </w:r>
          </w:p>
        </w:tc>
        <w:tc>
          <w:tcPr>
            <w:tcW w:w="140" w:type="dxa"/>
            <w:vAlign w:val="bottom"/>
            <w:tcBorders>
              <w:right w:val="single" w:sz="8" w:color="007CBA"/>
            </w:tcBorders>
          </w:tcPr>
          <w:p>
            <w:pPr>
              <w:spacing w:after="0"/>
              <w:rPr>
                <w:sz w:val="14"/>
                <w:szCs w:val="14"/>
                <w:color w:val="auto"/>
              </w:rPr>
            </w:pPr>
          </w:p>
        </w:tc>
        <w:tc>
          <w:tcPr>
            <w:tcW w:w="1040" w:type="dxa"/>
            <w:vAlign w:val="bottom"/>
            <w:tcBorders>
              <w:right w:val="single" w:sz="8" w:color="007CBA"/>
            </w:tcBorders>
          </w:tcPr>
          <w:p>
            <w:pPr>
              <w:spacing w:after="0"/>
              <w:rPr>
                <w:sz w:val="14"/>
                <w:szCs w:val="14"/>
                <w:color w:val="auto"/>
              </w:rPr>
            </w:pPr>
          </w:p>
        </w:tc>
        <w:tc>
          <w:tcPr>
            <w:tcW w:w="980" w:type="dxa"/>
            <w:vAlign w:val="bottom"/>
            <w:tcBorders>
              <w:right w:val="single" w:sz="8" w:color="007CBA"/>
            </w:tcBorders>
          </w:tcPr>
          <w:p>
            <w:pPr>
              <w:jc w:val="right"/>
              <w:ind w:right="68"/>
              <w:spacing w:after="0"/>
              <w:rPr>
                <w:sz w:val="20"/>
                <w:szCs w:val="20"/>
                <w:color w:val="auto"/>
              </w:rPr>
            </w:pPr>
            <w:r>
              <w:rPr>
                <w:rFonts w:ascii="Arial" w:cs="Arial" w:eastAsia="Arial" w:hAnsi="Arial"/>
                <w:sz w:val="14"/>
                <w:szCs w:val="14"/>
                <w:color w:val="auto"/>
              </w:rPr>
              <w:t>204,102</w:t>
            </w:r>
          </w:p>
        </w:tc>
        <w:tc>
          <w:tcPr>
            <w:tcW w:w="980" w:type="dxa"/>
            <w:vAlign w:val="bottom"/>
            <w:tcBorders>
              <w:right w:val="single" w:sz="8" w:color="007CBA"/>
            </w:tcBorders>
          </w:tcPr>
          <w:p>
            <w:pPr>
              <w:jc w:val="right"/>
              <w:ind w:right="48"/>
              <w:spacing w:after="0"/>
              <w:rPr>
                <w:sz w:val="20"/>
                <w:szCs w:val="20"/>
                <w:color w:val="auto"/>
              </w:rPr>
            </w:pPr>
            <w:r>
              <w:rPr>
                <w:rFonts w:ascii="Arial" w:cs="Arial" w:eastAsia="Arial" w:hAnsi="Arial"/>
                <w:sz w:val="14"/>
                <w:szCs w:val="14"/>
                <w:color w:val="auto"/>
              </w:rPr>
              <w:t>204,102</w:t>
            </w:r>
          </w:p>
        </w:tc>
        <w:tc>
          <w:tcPr>
            <w:tcW w:w="1000" w:type="dxa"/>
            <w:vAlign w:val="bottom"/>
            <w:tcBorders>
              <w:right w:val="single" w:sz="8" w:color="007CBA"/>
            </w:tcBorders>
            <w:gridSpan w:val="2"/>
          </w:tcPr>
          <w:p>
            <w:pPr>
              <w:jc w:val="right"/>
              <w:ind w:right="69"/>
              <w:spacing w:after="0"/>
              <w:rPr>
                <w:sz w:val="20"/>
                <w:szCs w:val="20"/>
                <w:color w:val="auto"/>
              </w:rPr>
            </w:pPr>
            <w:r>
              <w:rPr>
                <w:rFonts w:ascii="Arial" w:cs="Arial" w:eastAsia="Arial" w:hAnsi="Arial"/>
                <w:sz w:val="14"/>
                <w:szCs w:val="14"/>
                <w:color w:val="auto"/>
              </w:rPr>
              <w:t>204,102</w:t>
            </w:r>
          </w:p>
        </w:tc>
        <w:tc>
          <w:tcPr>
            <w:tcW w:w="0" w:type="dxa"/>
            <w:vAlign w:val="bottom"/>
          </w:tcPr>
          <w:p>
            <w:pPr>
              <w:spacing w:after="0"/>
              <w:rPr>
                <w:sz w:val="1"/>
                <w:szCs w:val="1"/>
                <w:color w:val="auto"/>
              </w:rPr>
            </w:pPr>
          </w:p>
        </w:tc>
      </w:tr>
      <w:tr>
        <w:trPr>
          <w:trHeight w:val="162"/>
        </w:trPr>
        <w:tc>
          <w:tcPr>
            <w:tcW w:w="2080" w:type="dxa"/>
            <w:vAlign w:val="bottom"/>
            <w:tcBorders>
              <w:left w:val="single" w:sz="8" w:color="007CBA"/>
              <w:right w:val="single" w:sz="8" w:color="007CBA"/>
            </w:tcBorders>
          </w:tcPr>
          <w:p>
            <w:pPr>
              <w:spacing w:after="0"/>
              <w:rPr>
                <w:sz w:val="14"/>
                <w:szCs w:val="14"/>
                <w:color w:val="auto"/>
              </w:rPr>
            </w:pPr>
          </w:p>
        </w:tc>
        <w:tc>
          <w:tcPr>
            <w:tcW w:w="3980" w:type="dxa"/>
            <w:vAlign w:val="bottom"/>
            <w:tcBorders>
              <w:right w:val="single" w:sz="8" w:color="007CBA"/>
            </w:tcBorders>
            <w:gridSpan w:val="2"/>
          </w:tcPr>
          <w:p>
            <w:pPr>
              <w:ind w:left="80"/>
              <w:spacing w:after="0" w:line="162" w:lineRule="exact"/>
              <w:rPr>
                <w:sz w:val="20"/>
                <w:szCs w:val="20"/>
                <w:color w:val="auto"/>
              </w:rPr>
            </w:pPr>
            <w:r>
              <w:rPr>
                <w:rFonts w:ascii="Arial" w:cs="Arial" w:eastAsia="Arial" w:hAnsi="Arial"/>
                <w:sz w:val="11"/>
                <w:szCs w:val="11"/>
                <w:color w:val="auto"/>
              </w:rPr>
              <w:t>Unvested Incentive Stock Plan Units</w:t>
            </w:r>
            <w:r>
              <w:rPr>
                <w:rFonts w:ascii="Arial" w:cs="Arial" w:eastAsia="Arial" w:hAnsi="Arial"/>
                <w:sz w:val="18"/>
                <w:szCs w:val="18"/>
                <w:color w:val="auto"/>
                <w:vertAlign w:val="superscript"/>
              </w:rPr>
              <w:t>6</w:t>
            </w:r>
          </w:p>
        </w:tc>
        <w:tc>
          <w:tcPr>
            <w:tcW w:w="840" w:type="dxa"/>
            <w:vAlign w:val="bottom"/>
          </w:tcPr>
          <w:p>
            <w:pPr>
              <w:jc w:val="right"/>
              <w:spacing w:after="0"/>
              <w:rPr>
                <w:sz w:val="20"/>
                <w:szCs w:val="20"/>
                <w:color w:val="auto"/>
              </w:rPr>
            </w:pPr>
            <w:r>
              <w:rPr>
                <w:rFonts w:ascii="Arial" w:cs="Arial" w:eastAsia="Arial" w:hAnsi="Arial"/>
                <w:sz w:val="14"/>
                <w:szCs w:val="14"/>
                <w:color w:val="auto"/>
              </w:rPr>
              <w:t>152,677</w:t>
            </w:r>
          </w:p>
        </w:tc>
        <w:tc>
          <w:tcPr>
            <w:tcW w:w="140" w:type="dxa"/>
            <w:vAlign w:val="bottom"/>
            <w:tcBorders>
              <w:right w:val="single" w:sz="8" w:color="007CBA"/>
            </w:tcBorders>
          </w:tcPr>
          <w:p>
            <w:pPr>
              <w:spacing w:after="0"/>
              <w:rPr>
                <w:sz w:val="14"/>
                <w:szCs w:val="14"/>
                <w:color w:val="auto"/>
              </w:rPr>
            </w:pPr>
          </w:p>
        </w:tc>
        <w:tc>
          <w:tcPr>
            <w:tcW w:w="1040" w:type="dxa"/>
            <w:vAlign w:val="bottom"/>
            <w:tcBorders>
              <w:right w:val="single" w:sz="8" w:color="007CBA"/>
            </w:tcBorders>
          </w:tcPr>
          <w:p>
            <w:pPr>
              <w:jc w:val="right"/>
              <w:ind w:right="68"/>
              <w:spacing w:after="0"/>
              <w:rPr>
                <w:sz w:val="20"/>
                <w:szCs w:val="20"/>
                <w:color w:val="auto"/>
              </w:rPr>
            </w:pPr>
            <w:r>
              <w:rPr>
                <w:rFonts w:ascii="Arial" w:cs="Arial" w:eastAsia="Arial" w:hAnsi="Arial"/>
                <w:sz w:val="14"/>
                <w:szCs w:val="14"/>
                <w:color w:val="auto"/>
              </w:rPr>
              <w:t>77,377</w:t>
            </w:r>
          </w:p>
        </w:tc>
        <w:tc>
          <w:tcPr>
            <w:tcW w:w="980" w:type="dxa"/>
            <w:vAlign w:val="bottom"/>
            <w:tcBorders>
              <w:right w:val="single" w:sz="8" w:color="007CBA"/>
            </w:tcBorders>
          </w:tcPr>
          <w:p>
            <w:pPr>
              <w:jc w:val="right"/>
              <w:ind w:right="68"/>
              <w:spacing w:after="0"/>
              <w:rPr>
                <w:sz w:val="20"/>
                <w:szCs w:val="20"/>
                <w:color w:val="auto"/>
              </w:rPr>
            </w:pPr>
            <w:r>
              <w:rPr>
                <w:rFonts w:ascii="Arial" w:cs="Arial" w:eastAsia="Arial" w:hAnsi="Arial"/>
                <w:sz w:val="14"/>
                <w:szCs w:val="14"/>
                <w:color w:val="auto"/>
              </w:rPr>
              <w:t>152,677</w:t>
            </w:r>
          </w:p>
        </w:tc>
        <w:tc>
          <w:tcPr>
            <w:tcW w:w="980" w:type="dxa"/>
            <w:vAlign w:val="bottom"/>
            <w:tcBorders>
              <w:right w:val="single" w:sz="8" w:color="007CBA"/>
            </w:tcBorders>
          </w:tcPr>
          <w:p>
            <w:pPr>
              <w:jc w:val="right"/>
              <w:ind w:right="48"/>
              <w:spacing w:after="0"/>
              <w:rPr>
                <w:sz w:val="20"/>
                <w:szCs w:val="20"/>
                <w:color w:val="auto"/>
              </w:rPr>
            </w:pPr>
            <w:r>
              <w:rPr>
                <w:rFonts w:ascii="Arial" w:cs="Arial" w:eastAsia="Arial" w:hAnsi="Arial"/>
                <w:sz w:val="14"/>
                <w:szCs w:val="14"/>
                <w:color w:val="auto"/>
              </w:rPr>
              <w:t>152,677</w:t>
            </w:r>
          </w:p>
        </w:tc>
        <w:tc>
          <w:tcPr>
            <w:tcW w:w="1000" w:type="dxa"/>
            <w:vAlign w:val="bottom"/>
            <w:tcBorders>
              <w:right w:val="single" w:sz="8" w:color="007CBA"/>
            </w:tcBorders>
            <w:gridSpan w:val="2"/>
          </w:tcPr>
          <w:p>
            <w:pPr>
              <w:jc w:val="right"/>
              <w:ind w:right="69"/>
              <w:spacing w:after="0"/>
              <w:rPr>
                <w:sz w:val="20"/>
                <w:szCs w:val="20"/>
                <w:color w:val="auto"/>
              </w:rPr>
            </w:pPr>
            <w:r>
              <w:rPr>
                <w:rFonts w:ascii="Arial" w:cs="Arial" w:eastAsia="Arial" w:hAnsi="Arial"/>
                <w:sz w:val="14"/>
                <w:szCs w:val="14"/>
                <w:color w:val="auto"/>
              </w:rPr>
              <w:t>152,677</w:t>
            </w:r>
          </w:p>
        </w:tc>
        <w:tc>
          <w:tcPr>
            <w:tcW w:w="0" w:type="dxa"/>
            <w:vAlign w:val="bottom"/>
          </w:tcPr>
          <w:p>
            <w:pPr>
              <w:spacing w:after="0"/>
              <w:rPr>
                <w:sz w:val="1"/>
                <w:szCs w:val="1"/>
                <w:color w:val="auto"/>
              </w:rPr>
            </w:pPr>
          </w:p>
        </w:tc>
      </w:tr>
      <w:tr>
        <w:trPr>
          <w:trHeight w:val="162"/>
        </w:trPr>
        <w:tc>
          <w:tcPr>
            <w:tcW w:w="2080" w:type="dxa"/>
            <w:vAlign w:val="bottom"/>
            <w:tcBorders>
              <w:left w:val="single" w:sz="8" w:color="007CBA"/>
              <w:right w:val="single" w:sz="8" w:color="007CBA"/>
            </w:tcBorders>
          </w:tcPr>
          <w:p>
            <w:pPr>
              <w:ind w:left="220"/>
              <w:spacing w:after="0"/>
              <w:rPr>
                <w:sz w:val="20"/>
                <w:szCs w:val="20"/>
                <w:color w:val="auto"/>
              </w:rPr>
            </w:pPr>
            <w:r>
              <w:rPr>
                <w:rFonts w:ascii="Arial" w:cs="Arial" w:eastAsia="Arial" w:hAnsi="Arial"/>
                <w:sz w:val="14"/>
                <w:szCs w:val="14"/>
                <w:b w:val="1"/>
                <w:bCs w:val="1"/>
                <w:color w:val="auto"/>
              </w:rPr>
              <w:t>Roselyn R. Bar</w:t>
            </w:r>
          </w:p>
        </w:tc>
        <w:tc>
          <w:tcPr>
            <w:tcW w:w="3980" w:type="dxa"/>
            <w:vAlign w:val="bottom"/>
            <w:tcBorders>
              <w:right w:val="single" w:sz="8" w:color="007CBA"/>
            </w:tcBorders>
            <w:gridSpan w:val="2"/>
          </w:tcPr>
          <w:p>
            <w:pPr>
              <w:ind w:left="80"/>
              <w:spacing w:after="0" w:line="162" w:lineRule="exact"/>
              <w:rPr>
                <w:sz w:val="20"/>
                <w:szCs w:val="20"/>
                <w:color w:val="auto"/>
              </w:rPr>
            </w:pPr>
            <w:r>
              <w:rPr>
                <w:rFonts w:ascii="Arial" w:cs="Arial" w:eastAsia="Arial" w:hAnsi="Arial"/>
                <w:sz w:val="11"/>
                <w:szCs w:val="11"/>
                <w:color w:val="auto"/>
              </w:rPr>
              <w:t>Performance Shares</w:t>
            </w:r>
            <w:r>
              <w:rPr>
                <w:rFonts w:ascii="Arial" w:cs="Arial" w:eastAsia="Arial" w:hAnsi="Arial"/>
                <w:sz w:val="18"/>
                <w:szCs w:val="18"/>
                <w:color w:val="auto"/>
                <w:vertAlign w:val="superscript"/>
              </w:rPr>
              <w:t>7</w:t>
            </w:r>
          </w:p>
        </w:tc>
        <w:tc>
          <w:tcPr>
            <w:tcW w:w="840" w:type="dxa"/>
            <w:vAlign w:val="bottom"/>
          </w:tcPr>
          <w:p>
            <w:pPr>
              <w:jc w:val="right"/>
              <w:spacing w:after="0"/>
              <w:rPr>
                <w:sz w:val="20"/>
                <w:szCs w:val="20"/>
                <w:color w:val="auto"/>
              </w:rPr>
            </w:pPr>
            <w:r>
              <w:rPr>
                <w:rFonts w:ascii="Arial" w:cs="Arial" w:eastAsia="Arial" w:hAnsi="Arial"/>
                <w:sz w:val="14"/>
                <w:szCs w:val="14"/>
                <w:color w:val="auto"/>
              </w:rPr>
              <w:t>1,760,363</w:t>
            </w:r>
          </w:p>
        </w:tc>
        <w:tc>
          <w:tcPr>
            <w:tcW w:w="140" w:type="dxa"/>
            <w:vAlign w:val="bottom"/>
            <w:tcBorders>
              <w:right w:val="single" w:sz="8" w:color="007CBA"/>
            </w:tcBorders>
          </w:tcPr>
          <w:p>
            <w:pPr>
              <w:spacing w:after="0"/>
              <w:rPr>
                <w:sz w:val="14"/>
                <w:szCs w:val="14"/>
                <w:color w:val="auto"/>
              </w:rPr>
            </w:pPr>
          </w:p>
        </w:tc>
        <w:tc>
          <w:tcPr>
            <w:tcW w:w="1040" w:type="dxa"/>
            <w:vAlign w:val="bottom"/>
            <w:tcBorders>
              <w:right w:val="single" w:sz="8" w:color="007CBA"/>
            </w:tcBorders>
          </w:tcPr>
          <w:p>
            <w:pPr>
              <w:spacing w:after="0"/>
              <w:rPr>
                <w:sz w:val="14"/>
                <w:szCs w:val="14"/>
                <w:color w:val="auto"/>
              </w:rPr>
            </w:pPr>
          </w:p>
        </w:tc>
        <w:tc>
          <w:tcPr>
            <w:tcW w:w="980" w:type="dxa"/>
            <w:vAlign w:val="bottom"/>
            <w:tcBorders>
              <w:right w:val="single" w:sz="8" w:color="007CBA"/>
            </w:tcBorders>
          </w:tcPr>
          <w:p>
            <w:pPr>
              <w:jc w:val="right"/>
              <w:ind w:right="68"/>
              <w:spacing w:after="0"/>
              <w:rPr>
                <w:sz w:val="20"/>
                <w:szCs w:val="20"/>
                <w:color w:val="auto"/>
              </w:rPr>
            </w:pPr>
            <w:r>
              <w:rPr>
                <w:rFonts w:ascii="Arial" w:cs="Arial" w:eastAsia="Arial" w:hAnsi="Arial"/>
                <w:sz w:val="14"/>
                <w:szCs w:val="14"/>
                <w:color w:val="auto"/>
              </w:rPr>
              <w:t>1,760,363</w:t>
            </w:r>
          </w:p>
        </w:tc>
        <w:tc>
          <w:tcPr>
            <w:tcW w:w="980" w:type="dxa"/>
            <w:vAlign w:val="bottom"/>
            <w:tcBorders>
              <w:right w:val="single" w:sz="8" w:color="007CBA"/>
            </w:tcBorders>
          </w:tcPr>
          <w:p>
            <w:pPr>
              <w:jc w:val="right"/>
              <w:ind w:right="48"/>
              <w:spacing w:after="0"/>
              <w:rPr>
                <w:sz w:val="20"/>
                <w:szCs w:val="20"/>
                <w:color w:val="auto"/>
              </w:rPr>
            </w:pPr>
            <w:r>
              <w:rPr>
                <w:rFonts w:ascii="Arial" w:cs="Arial" w:eastAsia="Arial" w:hAnsi="Arial"/>
                <w:sz w:val="14"/>
                <w:szCs w:val="14"/>
                <w:color w:val="auto"/>
              </w:rPr>
              <w:t>1,760,363</w:t>
            </w:r>
          </w:p>
        </w:tc>
        <w:tc>
          <w:tcPr>
            <w:tcW w:w="1000" w:type="dxa"/>
            <w:vAlign w:val="bottom"/>
            <w:tcBorders>
              <w:right w:val="single" w:sz="8" w:color="007CBA"/>
            </w:tcBorders>
            <w:gridSpan w:val="2"/>
          </w:tcPr>
          <w:p>
            <w:pPr>
              <w:jc w:val="right"/>
              <w:ind w:right="69"/>
              <w:spacing w:after="0"/>
              <w:rPr>
                <w:sz w:val="20"/>
                <w:szCs w:val="20"/>
                <w:color w:val="auto"/>
              </w:rPr>
            </w:pPr>
            <w:r>
              <w:rPr>
                <w:rFonts w:ascii="Arial" w:cs="Arial" w:eastAsia="Arial" w:hAnsi="Arial"/>
                <w:sz w:val="14"/>
                <w:szCs w:val="14"/>
                <w:color w:val="auto"/>
              </w:rPr>
              <w:t>1,760,363</w:t>
            </w:r>
          </w:p>
        </w:tc>
        <w:tc>
          <w:tcPr>
            <w:tcW w:w="0" w:type="dxa"/>
            <w:vAlign w:val="bottom"/>
          </w:tcPr>
          <w:p>
            <w:pPr>
              <w:spacing w:after="0"/>
              <w:rPr>
                <w:sz w:val="1"/>
                <w:szCs w:val="1"/>
                <w:color w:val="auto"/>
              </w:rPr>
            </w:pPr>
          </w:p>
        </w:tc>
      </w:tr>
      <w:tr>
        <w:trPr>
          <w:trHeight w:val="162"/>
        </w:trPr>
        <w:tc>
          <w:tcPr>
            <w:tcW w:w="2080" w:type="dxa"/>
            <w:vAlign w:val="bottom"/>
            <w:tcBorders>
              <w:left w:val="single" w:sz="8" w:color="007CBA"/>
              <w:right w:val="single" w:sz="8" w:color="007CBA"/>
            </w:tcBorders>
          </w:tcPr>
          <w:p>
            <w:pPr>
              <w:spacing w:after="0"/>
              <w:rPr>
                <w:sz w:val="14"/>
                <w:szCs w:val="14"/>
                <w:color w:val="auto"/>
              </w:rPr>
            </w:pPr>
          </w:p>
        </w:tc>
        <w:tc>
          <w:tcPr>
            <w:tcW w:w="3980" w:type="dxa"/>
            <w:vAlign w:val="bottom"/>
            <w:tcBorders>
              <w:right w:val="single" w:sz="8" w:color="007CBA"/>
            </w:tcBorders>
            <w:gridSpan w:val="2"/>
          </w:tcPr>
          <w:p>
            <w:pPr>
              <w:ind w:left="80"/>
              <w:spacing w:after="0" w:line="162" w:lineRule="exact"/>
              <w:rPr>
                <w:sz w:val="20"/>
                <w:szCs w:val="20"/>
                <w:color w:val="auto"/>
              </w:rPr>
            </w:pPr>
            <w:r>
              <w:rPr>
                <w:rFonts w:ascii="Arial" w:cs="Arial" w:eastAsia="Arial" w:hAnsi="Arial"/>
                <w:sz w:val="11"/>
                <w:szCs w:val="11"/>
                <w:color w:val="auto"/>
              </w:rPr>
              <w:t>Retirement Plans</w:t>
            </w:r>
            <w:r>
              <w:rPr>
                <w:rFonts w:ascii="Arial" w:cs="Arial" w:eastAsia="Arial" w:hAnsi="Arial"/>
                <w:sz w:val="18"/>
                <w:szCs w:val="18"/>
                <w:color w:val="auto"/>
                <w:vertAlign w:val="superscript"/>
              </w:rPr>
              <w:t>8</w:t>
            </w:r>
          </w:p>
        </w:tc>
        <w:tc>
          <w:tcPr>
            <w:tcW w:w="840" w:type="dxa"/>
            <w:vAlign w:val="bottom"/>
          </w:tcPr>
          <w:p>
            <w:pPr>
              <w:spacing w:after="0"/>
              <w:rPr>
                <w:sz w:val="14"/>
                <w:szCs w:val="14"/>
                <w:color w:val="auto"/>
              </w:rPr>
            </w:pPr>
          </w:p>
        </w:tc>
        <w:tc>
          <w:tcPr>
            <w:tcW w:w="140" w:type="dxa"/>
            <w:vAlign w:val="bottom"/>
            <w:tcBorders>
              <w:right w:val="single" w:sz="8" w:color="007CBA"/>
            </w:tcBorders>
          </w:tcPr>
          <w:p>
            <w:pPr>
              <w:spacing w:after="0"/>
              <w:rPr>
                <w:sz w:val="14"/>
                <w:szCs w:val="14"/>
                <w:color w:val="auto"/>
              </w:rPr>
            </w:pPr>
          </w:p>
        </w:tc>
        <w:tc>
          <w:tcPr>
            <w:tcW w:w="1040" w:type="dxa"/>
            <w:vAlign w:val="bottom"/>
            <w:tcBorders>
              <w:right w:val="single" w:sz="8" w:color="007CBA"/>
            </w:tcBorders>
          </w:tcPr>
          <w:p>
            <w:pPr>
              <w:spacing w:after="0"/>
              <w:rPr>
                <w:sz w:val="14"/>
                <w:szCs w:val="14"/>
                <w:color w:val="auto"/>
              </w:rPr>
            </w:pPr>
          </w:p>
        </w:tc>
        <w:tc>
          <w:tcPr>
            <w:tcW w:w="980" w:type="dxa"/>
            <w:vAlign w:val="bottom"/>
            <w:tcBorders>
              <w:right w:val="single" w:sz="8" w:color="007CBA"/>
            </w:tcBorders>
          </w:tcPr>
          <w:p>
            <w:pPr>
              <w:jc w:val="right"/>
              <w:ind w:right="68"/>
              <w:spacing w:after="0"/>
              <w:rPr>
                <w:sz w:val="20"/>
                <w:szCs w:val="20"/>
                <w:color w:val="auto"/>
              </w:rPr>
            </w:pPr>
            <w:r>
              <w:rPr>
                <w:rFonts w:ascii="Arial" w:cs="Arial" w:eastAsia="Arial" w:hAnsi="Arial"/>
                <w:sz w:val="14"/>
                <w:szCs w:val="14"/>
                <w:color w:val="auto"/>
              </w:rPr>
              <w:t>0</w:t>
            </w:r>
          </w:p>
        </w:tc>
        <w:tc>
          <w:tcPr>
            <w:tcW w:w="980" w:type="dxa"/>
            <w:vAlign w:val="bottom"/>
            <w:tcBorders>
              <w:right w:val="single" w:sz="8" w:color="007CBA"/>
            </w:tcBorders>
          </w:tcPr>
          <w:p>
            <w:pPr>
              <w:jc w:val="right"/>
              <w:ind w:right="48"/>
              <w:spacing w:after="0"/>
              <w:rPr>
                <w:sz w:val="20"/>
                <w:szCs w:val="20"/>
                <w:color w:val="auto"/>
              </w:rPr>
            </w:pPr>
            <w:r>
              <w:rPr>
                <w:rFonts w:ascii="Arial" w:cs="Arial" w:eastAsia="Arial" w:hAnsi="Arial"/>
                <w:sz w:val="14"/>
                <w:szCs w:val="14"/>
                <w:color w:val="auto"/>
              </w:rPr>
              <w:t>0</w:t>
            </w:r>
          </w:p>
        </w:tc>
        <w:tc>
          <w:tcPr>
            <w:tcW w:w="1000" w:type="dxa"/>
            <w:vAlign w:val="bottom"/>
            <w:tcBorders>
              <w:right w:val="single" w:sz="8" w:color="007CBA"/>
            </w:tcBorders>
            <w:gridSpan w:val="2"/>
          </w:tcPr>
          <w:p>
            <w:pPr>
              <w:jc w:val="right"/>
              <w:ind w:right="69"/>
              <w:spacing w:after="0"/>
              <w:rPr>
                <w:sz w:val="20"/>
                <w:szCs w:val="20"/>
                <w:color w:val="auto"/>
              </w:rPr>
            </w:pPr>
            <w:r>
              <w:rPr>
                <w:rFonts w:ascii="Arial" w:cs="Arial" w:eastAsia="Arial" w:hAnsi="Arial"/>
                <w:sz w:val="14"/>
                <w:szCs w:val="14"/>
                <w:color w:val="auto"/>
              </w:rPr>
              <w:t>5,131,360</w:t>
            </w:r>
          </w:p>
        </w:tc>
        <w:tc>
          <w:tcPr>
            <w:tcW w:w="0" w:type="dxa"/>
            <w:vAlign w:val="bottom"/>
          </w:tcPr>
          <w:p>
            <w:pPr>
              <w:spacing w:after="0"/>
              <w:rPr>
                <w:sz w:val="1"/>
                <w:szCs w:val="1"/>
                <w:color w:val="auto"/>
              </w:rPr>
            </w:pPr>
          </w:p>
        </w:tc>
      </w:tr>
      <w:tr>
        <w:trPr>
          <w:trHeight w:val="162"/>
        </w:trPr>
        <w:tc>
          <w:tcPr>
            <w:tcW w:w="2080" w:type="dxa"/>
            <w:vAlign w:val="bottom"/>
            <w:tcBorders>
              <w:left w:val="single" w:sz="8" w:color="007CBA"/>
              <w:right w:val="single" w:sz="8" w:color="007CBA"/>
            </w:tcBorders>
          </w:tcPr>
          <w:p>
            <w:pPr>
              <w:spacing w:after="0"/>
              <w:rPr>
                <w:sz w:val="14"/>
                <w:szCs w:val="14"/>
                <w:color w:val="auto"/>
              </w:rPr>
            </w:pPr>
          </w:p>
        </w:tc>
        <w:tc>
          <w:tcPr>
            <w:tcW w:w="3980" w:type="dxa"/>
            <w:vAlign w:val="bottom"/>
            <w:tcBorders>
              <w:right w:val="single" w:sz="8" w:color="007CBA"/>
            </w:tcBorders>
            <w:gridSpan w:val="2"/>
          </w:tcPr>
          <w:p>
            <w:pPr>
              <w:ind w:left="80"/>
              <w:spacing w:after="0" w:line="162" w:lineRule="exact"/>
              <w:rPr>
                <w:sz w:val="20"/>
                <w:szCs w:val="20"/>
                <w:color w:val="auto"/>
              </w:rPr>
            </w:pPr>
            <w:r>
              <w:rPr>
                <w:rFonts w:ascii="Arial" w:cs="Arial" w:eastAsia="Arial" w:hAnsi="Arial"/>
                <w:sz w:val="11"/>
                <w:szCs w:val="11"/>
                <w:color w:val="auto"/>
              </w:rPr>
              <w:t>Health and Welfare Benefits</w:t>
            </w:r>
            <w:r>
              <w:rPr>
                <w:rFonts w:ascii="Arial" w:cs="Arial" w:eastAsia="Arial" w:hAnsi="Arial"/>
                <w:sz w:val="18"/>
                <w:szCs w:val="18"/>
                <w:color w:val="auto"/>
                <w:vertAlign w:val="superscript"/>
              </w:rPr>
              <w:t>9</w:t>
            </w:r>
          </w:p>
        </w:tc>
        <w:tc>
          <w:tcPr>
            <w:tcW w:w="840" w:type="dxa"/>
            <w:vAlign w:val="bottom"/>
          </w:tcPr>
          <w:p>
            <w:pPr>
              <w:spacing w:after="0"/>
              <w:rPr>
                <w:sz w:val="14"/>
                <w:szCs w:val="14"/>
                <w:color w:val="auto"/>
              </w:rPr>
            </w:pPr>
          </w:p>
        </w:tc>
        <w:tc>
          <w:tcPr>
            <w:tcW w:w="140" w:type="dxa"/>
            <w:vAlign w:val="bottom"/>
            <w:tcBorders>
              <w:right w:val="single" w:sz="8" w:color="007CBA"/>
            </w:tcBorders>
          </w:tcPr>
          <w:p>
            <w:pPr>
              <w:spacing w:after="0"/>
              <w:rPr>
                <w:sz w:val="14"/>
                <w:szCs w:val="14"/>
                <w:color w:val="auto"/>
              </w:rPr>
            </w:pPr>
          </w:p>
        </w:tc>
        <w:tc>
          <w:tcPr>
            <w:tcW w:w="1040" w:type="dxa"/>
            <w:vAlign w:val="bottom"/>
            <w:tcBorders>
              <w:right w:val="single" w:sz="8" w:color="007CBA"/>
            </w:tcBorders>
          </w:tcPr>
          <w:p>
            <w:pPr>
              <w:spacing w:after="0"/>
              <w:rPr>
                <w:sz w:val="14"/>
                <w:szCs w:val="14"/>
                <w:color w:val="auto"/>
              </w:rPr>
            </w:pPr>
          </w:p>
        </w:tc>
        <w:tc>
          <w:tcPr>
            <w:tcW w:w="980" w:type="dxa"/>
            <w:vAlign w:val="bottom"/>
            <w:tcBorders>
              <w:right w:val="single" w:sz="8" w:color="007CBA"/>
            </w:tcBorders>
          </w:tcPr>
          <w:p>
            <w:pPr>
              <w:spacing w:after="0"/>
              <w:rPr>
                <w:sz w:val="14"/>
                <w:szCs w:val="14"/>
                <w:color w:val="auto"/>
              </w:rPr>
            </w:pPr>
          </w:p>
        </w:tc>
        <w:tc>
          <w:tcPr>
            <w:tcW w:w="980" w:type="dxa"/>
            <w:vAlign w:val="bottom"/>
            <w:tcBorders>
              <w:right w:val="single" w:sz="8" w:color="007CBA"/>
            </w:tcBorders>
          </w:tcPr>
          <w:p>
            <w:pPr>
              <w:spacing w:after="0"/>
              <w:rPr>
                <w:sz w:val="14"/>
                <w:szCs w:val="14"/>
                <w:color w:val="auto"/>
              </w:rPr>
            </w:pPr>
          </w:p>
        </w:tc>
        <w:tc>
          <w:tcPr>
            <w:tcW w:w="1000" w:type="dxa"/>
            <w:vAlign w:val="bottom"/>
            <w:tcBorders>
              <w:right w:val="single" w:sz="8" w:color="007CBA"/>
            </w:tcBorders>
            <w:gridSpan w:val="2"/>
          </w:tcPr>
          <w:p>
            <w:pPr>
              <w:jc w:val="right"/>
              <w:ind w:right="69"/>
              <w:spacing w:after="0"/>
              <w:rPr>
                <w:sz w:val="20"/>
                <w:szCs w:val="20"/>
                <w:color w:val="auto"/>
              </w:rPr>
            </w:pPr>
            <w:r>
              <w:rPr>
                <w:rFonts w:ascii="Arial" w:cs="Arial" w:eastAsia="Arial" w:hAnsi="Arial"/>
                <w:sz w:val="14"/>
                <w:szCs w:val="14"/>
                <w:color w:val="auto"/>
              </w:rPr>
              <w:t>47,211</w:t>
            </w:r>
          </w:p>
        </w:tc>
        <w:tc>
          <w:tcPr>
            <w:tcW w:w="0" w:type="dxa"/>
            <w:vAlign w:val="bottom"/>
          </w:tcPr>
          <w:p>
            <w:pPr>
              <w:spacing w:after="0"/>
              <w:rPr>
                <w:sz w:val="1"/>
                <w:szCs w:val="1"/>
                <w:color w:val="auto"/>
              </w:rPr>
            </w:pPr>
          </w:p>
        </w:tc>
      </w:tr>
      <w:tr>
        <w:trPr>
          <w:trHeight w:val="168"/>
        </w:trPr>
        <w:tc>
          <w:tcPr>
            <w:tcW w:w="2080" w:type="dxa"/>
            <w:vAlign w:val="bottom"/>
            <w:tcBorders>
              <w:left w:val="single" w:sz="8" w:color="007CBA"/>
              <w:right w:val="single" w:sz="8" w:color="007CBA"/>
            </w:tcBorders>
          </w:tcPr>
          <w:p>
            <w:pPr>
              <w:spacing w:after="0"/>
              <w:rPr>
                <w:sz w:val="14"/>
                <w:szCs w:val="14"/>
                <w:color w:val="auto"/>
              </w:rPr>
            </w:pPr>
          </w:p>
        </w:tc>
        <w:tc>
          <w:tcPr>
            <w:tcW w:w="3980" w:type="dxa"/>
            <w:vAlign w:val="bottom"/>
            <w:tcBorders>
              <w:right w:val="single" w:sz="8" w:color="007CBA"/>
            </w:tcBorders>
            <w:gridSpan w:val="2"/>
          </w:tcPr>
          <w:p>
            <w:pPr>
              <w:ind w:left="80"/>
              <w:spacing w:after="0" w:line="168" w:lineRule="exact"/>
              <w:rPr>
                <w:sz w:val="20"/>
                <w:szCs w:val="20"/>
                <w:color w:val="auto"/>
              </w:rPr>
            </w:pPr>
            <w:r>
              <w:rPr>
                <w:rFonts w:ascii="Arial" w:cs="Arial" w:eastAsia="Arial" w:hAnsi="Arial"/>
                <w:sz w:val="12"/>
                <w:szCs w:val="12"/>
                <w:color w:val="auto"/>
              </w:rPr>
              <w:t>Retiree Medical Benefits</w:t>
            </w:r>
            <w:r>
              <w:rPr>
                <w:rFonts w:ascii="Arial" w:cs="Arial" w:eastAsia="Arial" w:hAnsi="Arial"/>
                <w:sz w:val="19"/>
                <w:szCs w:val="19"/>
                <w:color w:val="auto"/>
                <w:vertAlign w:val="superscript"/>
              </w:rPr>
              <w:t>10</w:t>
            </w:r>
          </w:p>
        </w:tc>
        <w:tc>
          <w:tcPr>
            <w:tcW w:w="840" w:type="dxa"/>
            <w:vAlign w:val="bottom"/>
          </w:tcPr>
          <w:p>
            <w:pPr>
              <w:spacing w:after="0"/>
              <w:rPr>
                <w:sz w:val="14"/>
                <w:szCs w:val="14"/>
                <w:color w:val="auto"/>
              </w:rPr>
            </w:pPr>
          </w:p>
        </w:tc>
        <w:tc>
          <w:tcPr>
            <w:tcW w:w="140" w:type="dxa"/>
            <w:vAlign w:val="bottom"/>
            <w:tcBorders>
              <w:right w:val="single" w:sz="8" w:color="007CBA"/>
            </w:tcBorders>
          </w:tcPr>
          <w:p>
            <w:pPr>
              <w:spacing w:after="0"/>
              <w:rPr>
                <w:sz w:val="14"/>
                <w:szCs w:val="14"/>
                <w:color w:val="auto"/>
              </w:rPr>
            </w:pPr>
          </w:p>
        </w:tc>
        <w:tc>
          <w:tcPr>
            <w:tcW w:w="1040" w:type="dxa"/>
            <w:vAlign w:val="bottom"/>
            <w:tcBorders>
              <w:right w:val="single" w:sz="8" w:color="007CBA"/>
            </w:tcBorders>
          </w:tcPr>
          <w:p>
            <w:pPr>
              <w:spacing w:after="0"/>
              <w:rPr>
                <w:sz w:val="14"/>
                <w:szCs w:val="14"/>
                <w:color w:val="auto"/>
              </w:rPr>
            </w:pPr>
          </w:p>
        </w:tc>
        <w:tc>
          <w:tcPr>
            <w:tcW w:w="980" w:type="dxa"/>
            <w:vAlign w:val="bottom"/>
            <w:tcBorders>
              <w:right w:val="single" w:sz="8" w:color="007CBA"/>
            </w:tcBorders>
          </w:tcPr>
          <w:p>
            <w:pPr>
              <w:spacing w:after="0"/>
              <w:rPr>
                <w:sz w:val="14"/>
                <w:szCs w:val="14"/>
                <w:color w:val="auto"/>
              </w:rPr>
            </w:pPr>
          </w:p>
        </w:tc>
        <w:tc>
          <w:tcPr>
            <w:tcW w:w="980" w:type="dxa"/>
            <w:vAlign w:val="bottom"/>
            <w:tcBorders>
              <w:right w:val="single" w:sz="8" w:color="007CBA"/>
            </w:tcBorders>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Borders>
              <w:right w:val="single" w:sz="8" w:color="007CBA"/>
            </w:tcBorders>
          </w:tcPr>
          <w:p>
            <w:pPr>
              <w:jc w:val="right"/>
              <w:ind w:right="69"/>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75"/>
        </w:trPr>
        <w:tc>
          <w:tcPr>
            <w:tcW w:w="2080" w:type="dxa"/>
            <w:vAlign w:val="bottom"/>
            <w:tcBorders>
              <w:left w:val="single" w:sz="8" w:color="007CBA"/>
              <w:right w:val="single" w:sz="8" w:color="007CBA"/>
            </w:tcBorders>
          </w:tcPr>
          <w:p>
            <w:pPr>
              <w:spacing w:after="0"/>
              <w:rPr>
                <w:sz w:val="15"/>
                <w:szCs w:val="15"/>
                <w:color w:val="auto"/>
              </w:rPr>
            </w:pPr>
          </w:p>
        </w:tc>
        <w:tc>
          <w:tcPr>
            <w:tcW w:w="3980" w:type="dxa"/>
            <w:vAlign w:val="bottom"/>
            <w:tcBorders>
              <w:right w:val="single" w:sz="8" w:color="007CBA"/>
            </w:tcBorders>
            <w:gridSpan w:val="2"/>
          </w:tcPr>
          <w:p>
            <w:pPr>
              <w:ind w:left="80"/>
              <w:spacing w:after="0"/>
              <w:rPr>
                <w:sz w:val="20"/>
                <w:szCs w:val="20"/>
                <w:color w:val="auto"/>
              </w:rPr>
            </w:pPr>
            <w:r>
              <w:rPr>
                <w:rFonts w:ascii="Arial" w:cs="Arial" w:eastAsia="Arial" w:hAnsi="Arial"/>
                <w:sz w:val="14"/>
                <w:szCs w:val="14"/>
                <w:color w:val="auto"/>
              </w:rPr>
              <w:t>Excise Tax &amp; Gross-up</w:t>
            </w:r>
          </w:p>
        </w:tc>
        <w:tc>
          <w:tcPr>
            <w:tcW w:w="840" w:type="dxa"/>
            <w:vAlign w:val="bottom"/>
          </w:tcPr>
          <w:p>
            <w:pPr>
              <w:spacing w:after="0"/>
              <w:rPr>
                <w:sz w:val="15"/>
                <w:szCs w:val="15"/>
                <w:color w:val="auto"/>
              </w:rPr>
            </w:pPr>
          </w:p>
        </w:tc>
        <w:tc>
          <w:tcPr>
            <w:tcW w:w="140" w:type="dxa"/>
            <w:vAlign w:val="bottom"/>
            <w:tcBorders>
              <w:right w:val="single" w:sz="8" w:color="007CBA"/>
            </w:tcBorders>
          </w:tcPr>
          <w:p>
            <w:pPr>
              <w:spacing w:after="0"/>
              <w:rPr>
                <w:sz w:val="15"/>
                <w:szCs w:val="15"/>
                <w:color w:val="auto"/>
              </w:rPr>
            </w:pPr>
          </w:p>
        </w:tc>
        <w:tc>
          <w:tcPr>
            <w:tcW w:w="1040" w:type="dxa"/>
            <w:vAlign w:val="bottom"/>
            <w:tcBorders>
              <w:right w:val="single" w:sz="8" w:color="007CBA"/>
            </w:tcBorders>
          </w:tcPr>
          <w:p>
            <w:pPr>
              <w:spacing w:after="0"/>
              <w:rPr>
                <w:sz w:val="15"/>
                <w:szCs w:val="15"/>
                <w:color w:val="auto"/>
              </w:rPr>
            </w:pPr>
          </w:p>
        </w:tc>
        <w:tc>
          <w:tcPr>
            <w:tcW w:w="980" w:type="dxa"/>
            <w:vAlign w:val="bottom"/>
            <w:tcBorders>
              <w:right w:val="single" w:sz="8" w:color="007CBA"/>
            </w:tcBorders>
          </w:tcPr>
          <w:p>
            <w:pPr>
              <w:spacing w:after="0"/>
              <w:rPr>
                <w:sz w:val="15"/>
                <w:szCs w:val="15"/>
                <w:color w:val="auto"/>
              </w:rPr>
            </w:pPr>
          </w:p>
        </w:tc>
        <w:tc>
          <w:tcPr>
            <w:tcW w:w="980" w:type="dxa"/>
            <w:vAlign w:val="bottom"/>
            <w:tcBorders>
              <w:right w:val="single" w:sz="8" w:color="007CBA"/>
            </w:tcBorders>
          </w:tcPr>
          <w:p>
            <w:pPr>
              <w:spacing w:after="0"/>
              <w:rPr>
                <w:sz w:val="15"/>
                <w:szCs w:val="15"/>
                <w:color w:val="auto"/>
              </w:rPr>
            </w:pPr>
          </w:p>
        </w:tc>
        <w:tc>
          <w:tcPr>
            <w:tcW w:w="1000" w:type="dxa"/>
            <w:vAlign w:val="bottom"/>
            <w:tcBorders>
              <w:right w:val="single" w:sz="8" w:color="007CBA"/>
            </w:tcBorders>
            <w:gridSpan w:val="2"/>
          </w:tcPr>
          <w:p>
            <w:pPr>
              <w:jc w:val="right"/>
              <w:ind w:right="69"/>
              <w:spacing w:after="0"/>
              <w:rPr>
                <w:sz w:val="20"/>
                <w:szCs w:val="20"/>
                <w:color w:val="auto"/>
              </w:rPr>
            </w:pPr>
            <w:r>
              <w:rPr>
                <w:rFonts w:ascii="Arial" w:cs="Arial" w:eastAsia="Arial" w:hAnsi="Arial"/>
                <w:sz w:val="14"/>
                <w:szCs w:val="14"/>
                <w:color w:val="auto"/>
              </w:rPr>
              <w:t>5,449,717</w:t>
            </w:r>
          </w:p>
        </w:tc>
        <w:tc>
          <w:tcPr>
            <w:tcW w:w="0" w:type="dxa"/>
            <w:vAlign w:val="bottom"/>
          </w:tcPr>
          <w:p>
            <w:pPr>
              <w:spacing w:after="0"/>
              <w:rPr>
                <w:sz w:val="1"/>
                <w:szCs w:val="1"/>
                <w:color w:val="auto"/>
              </w:rPr>
            </w:pPr>
          </w:p>
        </w:tc>
      </w:tr>
      <w:tr>
        <w:trPr>
          <w:trHeight w:val="162"/>
        </w:trPr>
        <w:tc>
          <w:tcPr>
            <w:tcW w:w="2080" w:type="dxa"/>
            <w:vAlign w:val="bottom"/>
            <w:tcBorders>
              <w:left w:val="single" w:sz="8" w:color="007CBA"/>
              <w:right w:val="single" w:sz="8" w:color="007CBA"/>
            </w:tcBorders>
            <w:shd w:val="clear" w:color="auto" w:fill="E5F1F8"/>
          </w:tcPr>
          <w:p>
            <w:pPr>
              <w:spacing w:after="0"/>
              <w:rPr>
                <w:sz w:val="14"/>
                <w:szCs w:val="14"/>
                <w:color w:val="auto"/>
              </w:rPr>
            </w:pPr>
          </w:p>
        </w:tc>
        <w:tc>
          <w:tcPr>
            <w:tcW w:w="3980" w:type="dxa"/>
            <w:vAlign w:val="bottom"/>
            <w:tcBorders>
              <w:right w:val="single" w:sz="8" w:color="007CBA"/>
            </w:tcBorders>
            <w:gridSpan w:val="2"/>
            <w:shd w:val="clear" w:color="auto" w:fill="E5F1F8"/>
          </w:tcPr>
          <w:p>
            <w:pPr>
              <w:ind w:left="80"/>
              <w:spacing w:after="0" w:line="162" w:lineRule="exact"/>
              <w:rPr>
                <w:sz w:val="20"/>
                <w:szCs w:val="20"/>
                <w:color w:val="auto"/>
              </w:rPr>
            </w:pPr>
            <w:r>
              <w:rPr>
                <w:rFonts w:ascii="Arial" w:cs="Arial" w:eastAsia="Arial" w:hAnsi="Arial"/>
                <w:sz w:val="11"/>
                <w:szCs w:val="11"/>
                <w:color w:val="auto"/>
              </w:rPr>
              <w:t>Cash Severance</w:t>
            </w:r>
            <w:r>
              <w:rPr>
                <w:rFonts w:ascii="Arial" w:cs="Arial" w:eastAsia="Arial" w:hAnsi="Arial"/>
                <w:sz w:val="18"/>
                <w:szCs w:val="18"/>
                <w:color w:val="auto"/>
                <w:vertAlign w:val="superscript"/>
              </w:rPr>
              <w:t>3</w:t>
            </w:r>
          </w:p>
        </w:tc>
        <w:tc>
          <w:tcPr>
            <w:tcW w:w="840" w:type="dxa"/>
            <w:vAlign w:val="bottom"/>
            <w:shd w:val="clear" w:color="auto" w:fill="E5F1F8"/>
          </w:tcPr>
          <w:p>
            <w:pPr>
              <w:spacing w:after="0"/>
              <w:rPr>
                <w:sz w:val="14"/>
                <w:szCs w:val="14"/>
                <w:color w:val="auto"/>
              </w:rPr>
            </w:pPr>
          </w:p>
        </w:tc>
        <w:tc>
          <w:tcPr>
            <w:tcW w:w="140" w:type="dxa"/>
            <w:vAlign w:val="bottom"/>
            <w:tcBorders>
              <w:right w:val="single" w:sz="8" w:color="007CBA"/>
            </w:tcBorders>
            <w:shd w:val="clear" w:color="auto" w:fill="E5F1F8"/>
          </w:tcPr>
          <w:p>
            <w:pPr>
              <w:spacing w:after="0"/>
              <w:rPr>
                <w:sz w:val="14"/>
                <w:szCs w:val="14"/>
                <w:color w:val="auto"/>
              </w:rPr>
            </w:pPr>
          </w:p>
        </w:tc>
        <w:tc>
          <w:tcPr>
            <w:tcW w:w="1040" w:type="dxa"/>
            <w:vAlign w:val="bottom"/>
            <w:tcBorders>
              <w:right w:val="single" w:sz="8" w:color="007CBA"/>
            </w:tcBorders>
            <w:shd w:val="clear" w:color="auto" w:fill="E5F1F8"/>
          </w:tcPr>
          <w:p>
            <w:pPr>
              <w:spacing w:after="0"/>
              <w:rPr>
                <w:sz w:val="14"/>
                <w:szCs w:val="14"/>
                <w:color w:val="auto"/>
              </w:rPr>
            </w:pPr>
          </w:p>
        </w:tc>
        <w:tc>
          <w:tcPr>
            <w:tcW w:w="980" w:type="dxa"/>
            <w:vAlign w:val="bottom"/>
            <w:tcBorders>
              <w:right w:val="single" w:sz="8" w:color="007CBA"/>
            </w:tcBorders>
            <w:shd w:val="clear" w:color="auto" w:fill="E5F1F8"/>
          </w:tcPr>
          <w:p>
            <w:pPr>
              <w:spacing w:after="0"/>
              <w:rPr>
                <w:sz w:val="14"/>
                <w:szCs w:val="14"/>
                <w:color w:val="auto"/>
              </w:rPr>
            </w:pPr>
          </w:p>
        </w:tc>
        <w:tc>
          <w:tcPr>
            <w:tcW w:w="980" w:type="dxa"/>
            <w:vAlign w:val="bottom"/>
            <w:tcBorders>
              <w:right w:val="single" w:sz="8" w:color="007CBA"/>
            </w:tcBorders>
            <w:shd w:val="clear" w:color="auto" w:fill="E5F1F8"/>
          </w:tcPr>
          <w:p>
            <w:pPr>
              <w:spacing w:after="0"/>
              <w:rPr>
                <w:sz w:val="14"/>
                <w:szCs w:val="14"/>
                <w:color w:val="auto"/>
              </w:rPr>
            </w:pPr>
          </w:p>
        </w:tc>
        <w:tc>
          <w:tcPr>
            <w:tcW w:w="1000" w:type="dxa"/>
            <w:vAlign w:val="bottom"/>
            <w:tcBorders>
              <w:right w:val="single" w:sz="8" w:color="007CBA"/>
            </w:tcBorders>
            <w:gridSpan w:val="2"/>
            <w:shd w:val="clear" w:color="auto" w:fill="E5F1F8"/>
          </w:tcPr>
          <w:p>
            <w:pPr>
              <w:jc w:val="right"/>
              <w:ind w:right="69"/>
              <w:spacing w:after="0"/>
              <w:rPr>
                <w:sz w:val="20"/>
                <w:szCs w:val="20"/>
                <w:color w:val="auto"/>
              </w:rPr>
            </w:pPr>
            <w:r>
              <w:rPr>
                <w:rFonts w:ascii="Arial" w:cs="Arial" w:eastAsia="Arial" w:hAnsi="Arial"/>
                <w:sz w:val="14"/>
                <w:szCs w:val="14"/>
                <w:color w:val="auto"/>
              </w:rPr>
              <w:t>2,395,722</w:t>
            </w:r>
          </w:p>
        </w:tc>
        <w:tc>
          <w:tcPr>
            <w:tcW w:w="0" w:type="dxa"/>
            <w:vAlign w:val="bottom"/>
          </w:tcPr>
          <w:p>
            <w:pPr>
              <w:spacing w:after="0"/>
              <w:rPr>
                <w:sz w:val="1"/>
                <w:szCs w:val="1"/>
                <w:color w:val="auto"/>
              </w:rPr>
            </w:pPr>
          </w:p>
        </w:tc>
      </w:tr>
      <w:tr>
        <w:trPr>
          <w:trHeight w:val="143"/>
        </w:trPr>
        <w:tc>
          <w:tcPr>
            <w:tcW w:w="2080" w:type="dxa"/>
            <w:vAlign w:val="bottom"/>
            <w:tcBorders>
              <w:left w:val="single" w:sz="8" w:color="007CBA"/>
              <w:right w:val="single" w:sz="8" w:color="007CBA"/>
            </w:tcBorders>
            <w:shd w:val="clear" w:color="auto" w:fill="E5F1F8"/>
          </w:tcPr>
          <w:p>
            <w:pPr>
              <w:spacing w:after="0"/>
              <w:rPr>
                <w:sz w:val="12"/>
                <w:szCs w:val="12"/>
                <w:color w:val="auto"/>
              </w:rPr>
            </w:pPr>
          </w:p>
        </w:tc>
        <w:tc>
          <w:tcPr>
            <w:tcW w:w="80" w:type="dxa"/>
            <w:vAlign w:val="bottom"/>
            <w:shd w:val="clear" w:color="auto" w:fill="E5F1F8"/>
          </w:tcPr>
          <w:p>
            <w:pPr>
              <w:spacing w:after="0"/>
              <w:rPr>
                <w:sz w:val="12"/>
                <w:szCs w:val="12"/>
                <w:color w:val="auto"/>
              </w:rPr>
            </w:pPr>
          </w:p>
        </w:tc>
        <w:tc>
          <w:tcPr>
            <w:tcW w:w="3900" w:type="dxa"/>
            <w:vAlign w:val="bottom"/>
            <w:tcBorders>
              <w:right w:val="single" w:sz="8" w:color="007CBA"/>
            </w:tcBorders>
            <w:shd w:val="clear" w:color="auto" w:fill="E5F1F8"/>
          </w:tcPr>
          <w:p>
            <w:pPr>
              <w:spacing w:after="0" w:line="144" w:lineRule="exact"/>
              <w:rPr>
                <w:sz w:val="20"/>
                <w:szCs w:val="20"/>
                <w:color w:val="auto"/>
              </w:rPr>
            </w:pPr>
            <w:r>
              <w:rPr>
                <w:rFonts w:ascii="Arial" w:cs="Arial" w:eastAsia="Arial" w:hAnsi="Arial"/>
                <w:sz w:val="10"/>
                <w:szCs w:val="10"/>
                <w:color w:val="auto"/>
              </w:rPr>
              <w:t>Unvested Restricted Stock Units</w:t>
            </w:r>
            <w:r>
              <w:rPr>
                <w:rFonts w:ascii="Arial" w:cs="Arial" w:eastAsia="Arial" w:hAnsi="Arial"/>
                <w:sz w:val="16"/>
                <w:szCs w:val="16"/>
                <w:color w:val="auto"/>
                <w:vertAlign w:val="superscript"/>
              </w:rPr>
              <w:t>4</w:t>
            </w:r>
          </w:p>
        </w:tc>
        <w:tc>
          <w:tcPr>
            <w:tcW w:w="840" w:type="dxa"/>
            <w:vAlign w:val="bottom"/>
            <w:shd w:val="clear" w:color="auto" w:fill="E5F1F8"/>
          </w:tcPr>
          <w:p>
            <w:pPr>
              <w:jc w:val="right"/>
              <w:spacing w:after="0" w:line="143" w:lineRule="exact"/>
              <w:rPr>
                <w:sz w:val="20"/>
                <w:szCs w:val="20"/>
                <w:color w:val="auto"/>
              </w:rPr>
            </w:pPr>
            <w:r>
              <w:rPr>
                <w:rFonts w:ascii="Arial" w:cs="Arial" w:eastAsia="Arial" w:hAnsi="Arial"/>
                <w:sz w:val="14"/>
                <w:szCs w:val="14"/>
                <w:color w:val="auto"/>
              </w:rPr>
              <w:t>980,091</w:t>
            </w:r>
          </w:p>
        </w:tc>
        <w:tc>
          <w:tcPr>
            <w:tcW w:w="140" w:type="dxa"/>
            <w:vAlign w:val="bottom"/>
            <w:tcBorders>
              <w:right w:val="single" w:sz="8" w:color="007CBA"/>
            </w:tcBorders>
            <w:shd w:val="clear" w:color="auto" w:fill="E5F1F8"/>
          </w:tcPr>
          <w:p>
            <w:pPr>
              <w:spacing w:after="0"/>
              <w:rPr>
                <w:sz w:val="12"/>
                <w:szCs w:val="12"/>
                <w:color w:val="auto"/>
              </w:rPr>
            </w:pPr>
          </w:p>
        </w:tc>
        <w:tc>
          <w:tcPr>
            <w:tcW w:w="1040" w:type="dxa"/>
            <w:vAlign w:val="bottom"/>
            <w:tcBorders>
              <w:right w:val="single" w:sz="8" w:color="007CBA"/>
            </w:tcBorders>
            <w:shd w:val="clear" w:color="auto" w:fill="E5F1F8"/>
          </w:tcPr>
          <w:p>
            <w:pPr>
              <w:jc w:val="right"/>
              <w:ind w:right="68"/>
              <w:spacing w:after="0" w:line="143" w:lineRule="exact"/>
              <w:rPr>
                <w:sz w:val="20"/>
                <w:szCs w:val="20"/>
                <w:color w:val="auto"/>
              </w:rPr>
            </w:pPr>
            <w:r>
              <w:rPr>
                <w:rFonts w:ascii="Arial" w:cs="Arial" w:eastAsia="Arial" w:hAnsi="Arial"/>
                <w:sz w:val="14"/>
                <w:szCs w:val="14"/>
                <w:color w:val="auto"/>
              </w:rPr>
              <w:t>1,796,392</w:t>
            </w:r>
          </w:p>
        </w:tc>
        <w:tc>
          <w:tcPr>
            <w:tcW w:w="980" w:type="dxa"/>
            <w:vAlign w:val="bottom"/>
            <w:tcBorders>
              <w:right w:val="single" w:sz="8" w:color="007CBA"/>
            </w:tcBorders>
            <w:shd w:val="clear" w:color="auto" w:fill="E5F1F8"/>
          </w:tcPr>
          <w:p>
            <w:pPr>
              <w:jc w:val="right"/>
              <w:ind w:right="68"/>
              <w:spacing w:after="0" w:line="143" w:lineRule="exact"/>
              <w:rPr>
                <w:sz w:val="20"/>
                <w:szCs w:val="20"/>
                <w:color w:val="auto"/>
              </w:rPr>
            </w:pPr>
            <w:r>
              <w:rPr>
                <w:rFonts w:ascii="Arial" w:cs="Arial" w:eastAsia="Arial" w:hAnsi="Arial"/>
                <w:sz w:val="14"/>
                <w:szCs w:val="14"/>
                <w:color w:val="auto"/>
              </w:rPr>
              <w:t>2,776,483</w:t>
            </w:r>
          </w:p>
        </w:tc>
        <w:tc>
          <w:tcPr>
            <w:tcW w:w="980" w:type="dxa"/>
            <w:vAlign w:val="bottom"/>
            <w:tcBorders>
              <w:right w:val="single" w:sz="8" w:color="007CBA"/>
            </w:tcBorders>
            <w:shd w:val="clear" w:color="auto" w:fill="E5F1F8"/>
          </w:tcPr>
          <w:p>
            <w:pPr>
              <w:jc w:val="right"/>
              <w:ind w:right="48"/>
              <w:spacing w:after="0" w:line="143" w:lineRule="exact"/>
              <w:rPr>
                <w:sz w:val="20"/>
                <w:szCs w:val="20"/>
                <w:color w:val="auto"/>
              </w:rPr>
            </w:pPr>
            <w:r>
              <w:rPr>
                <w:rFonts w:ascii="Arial" w:cs="Arial" w:eastAsia="Arial" w:hAnsi="Arial"/>
                <w:sz w:val="14"/>
                <w:szCs w:val="14"/>
                <w:color w:val="auto"/>
              </w:rPr>
              <w:t>2,776,483</w:t>
            </w:r>
          </w:p>
        </w:tc>
        <w:tc>
          <w:tcPr>
            <w:tcW w:w="1000" w:type="dxa"/>
            <w:vAlign w:val="bottom"/>
            <w:tcBorders>
              <w:right w:val="single" w:sz="8" w:color="007CBA"/>
            </w:tcBorders>
            <w:gridSpan w:val="2"/>
            <w:shd w:val="clear" w:color="auto" w:fill="E5F1F8"/>
          </w:tcPr>
          <w:p>
            <w:pPr>
              <w:jc w:val="right"/>
              <w:ind w:right="69"/>
              <w:spacing w:after="0" w:line="143" w:lineRule="exact"/>
              <w:rPr>
                <w:sz w:val="20"/>
                <w:szCs w:val="20"/>
                <w:color w:val="auto"/>
              </w:rPr>
            </w:pPr>
            <w:r>
              <w:rPr>
                <w:rFonts w:ascii="Arial" w:cs="Arial" w:eastAsia="Arial" w:hAnsi="Arial"/>
                <w:sz w:val="14"/>
                <w:szCs w:val="14"/>
                <w:color w:val="auto"/>
              </w:rPr>
              <w:t>2,776,483</w:t>
            </w:r>
          </w:p>
        </w:tc>
        <w:tc>
          <w:tcPr>
            <w:tcW w:w="0" w:type="dxa"/>
            <w:vAlign w:val="bottom"/>
          </w:tcPr>
          <w:p>
            <w:pPr>
              <w:spacing w:after="0"/>
              <w:rPr>
                <w:sz w:val="1"/>
                <w:szCs w:val="1"/>
                <w:color w:val="auto"/>
              </w:rPr>
            </w:pPr>
          </w:p>
        </w:tc>
      </w:tr>
      <w:tr>
        <w:trPr>
          <w:trHeight w:val="162"/>
        </w:trPr>
        <w:tc>
          <w:tcPr>
            <w:tcW w:w="2080" w:type="dxa"/>
            <w:vAlign w:val="bottom"/>
            <w:tcBorders>
              <w:left w:val="single" w:sz="8" w:color="007CBA"/>
              <w:right w:val="single" w:sz="8" w:color="007CBA"/>
            </w:tcBorders>
            <w:shd w:val="clear" w:color="auto" w:fill="E5F1F8"/>
          </w:tcPr>
          <w:p>
            <w:pPr>
              <w:spacing w:after="0"/>
              <w:rPr>
                <w:sz w:val="14"/>
                <w:szCs w:val="14"/>
                <w:color w:val="auto"/>
              </w:rPr>
            </w:pPr>
          </w:p>
        </w:tc>
        <w:tc>
          <w:tcPr>
            <w:tcW w:w="80" w:type="dxa"/>
            <w:vAlign w:val="bottom"/>
            <w:shd w:val="clear" w:color="auto" w:fill="E5F1F8"/>
          </w:tcPr>
          <w:p>
            <w:pPr>
              <w:spacing w:after="0"/>
              <w:rPr>
                <w:sz w:val="14"/>
                <w:szCs w:val="14"/>
                <w:color w:val="auto"/>
              </w:rPr>
            </w:pPr>
          </w:p>
        </w:tc>
        <w:tc>
          <w:tcPr>
            <w:tcW w:w="3900" w:type="dxa"/>
            <w:vAlign w:val="bottom"/>
            <w:tcBorders>
              <w:right w:val="single" w:sz="8" w:color="007CBA"/>
            </w:tcBorders>
            <w:shd w:val="clear" w:color="auto" w:fill="E5F1F8"/>
          </w:tcPr>
          <w:p>
            <w:pPr>
              <w:spacing w:after="0" w:line="162" w:lineRule="exact"/>
              <w:rPr>
                <w:sz w:val="20"/>
                <w:szCs w:val="20"/>
                <w:color w:val="auto"/>
              </w:rPr>
            </w:pPr>
            <w:r>
              <w:rPr>
                <w:rFonts w:ascii="Arial" w:cs="Arial" w:eastAsia="Arial" w:hAnsi="Arial"/>
                <w:sz w:val="11"/>
                <w:szCs w:val="11"/>
                <w:color w:val="auto"/>
              </w:rPr>
              <w:t>Unexercisable Options</w:t>
            </w:r>
            <w:r>
              <w:rPr>
                <w:rFonts w:ascii="Arial" w:cs="Arial" w:eastAsia="Arial" w:hAnsi="Arial"/>
                <w:sz w:val="18"/>
                <w:szCs w:val="18"/>
                <w:color w:val="auto"/>
                <w:vertAlign w:val="superscript"/>
              </w:rPr>
              <w:t>5</w:t>
            </w:r>
          </w:p>
        </w:tc>
        <w:tc>
          <w:tcPr>
            <w:tcW w:w="840" w:type="dxa"/>
            <w:vAlign w:val="bottom"/>
            <w:shd w:val="clear" w:color="auto" w:fill="E5F1F8"/>
          </w:tcPr>
          <w:p>
            <w:pPr>
              <w:jc w:val="right"/>
              <w:spacing w:after="0"/>
              <w:rPr>
                <w:sz w:val="20"/>
                <w:szCs w:val="20"/>
                <w:color w:val="auto"/>
              </w:rPr>
            </w:pPr>
            <w:r>
              <w:rPr>
                <w:rFonts w:ascii="Arial" w:cs="Arial" w:eastAsia="Arial" w:hAnsi="Arial"/>
                <w:sz w:val="14"/>
                <w:szCs w:val="14"/>
                <w:color w:val="auto"/>
              </w:rPr>
              <w:t>164,254</w:t>
            </w:r>
          </w:p>
        </w:tc>
        <w:tc>
          <w:tcPr>
            <w:tcW w:w="140" w:type="dxa"/>
            <w:vAlign w:val="bottom"/>
            <w:tcBorders>
              <w:right w:val="single" w:sz="8" w:color="007CBA"/>
            </w:tcBorders>
            <w:shd w:val="clear" w:color="auto" w:fill="E5F1F8"/>
          </w:tcPr>
          <w:p>
            <w:pPr>
              <w:spacing w:after="0"/>
              <w:rPr>
                <w:sz w:val="14"/>
                <w:szCs w:val="14"/>
                <w:color w:val="auto"/>
              </w:rPr>
            </w:pPr>
          </w:p>
        </w:tc>
        <w:tc>
          <w:tcPr>
            <w:tcW w:w="1040" w:type="dxa"/>
            <w:vAlign w:val="bottom"/>
            <w:tcBorders>
              <w:right w:val="single" w:sz="8" w:color="007CBA"/>
            </w:tcBorders>
            <w:shd w:val="clear" w:color="auto" w:fill="E5F1F8"/>
          </w:tcPr>
          <w:p>
            <w:pPr>
              <w:spacing w:after="0"/>
              <w:rPr>
                <w:sz w:val="14"/>
                <w:szCs w:val="14"/>
                <w:color w:val="auto"/>
              </w:rPr>
            </w:pPr>
          </w:p>
        </w:tc>
        <w:tc>
          <w:tcPr>
            <w:tcW w:w="980" w:type="dxa"/>
            <w:vAlign w:val="bottom"/>
            <w:tcBorders>
              <w:right w:val="single" w:sz="8" w:color="007CBA"/>
            </w:tcBorders>
            <w:shd w:val="clear" w:color="auto" w:fill="E5F1F8"/>
          </w:tcPr>
          <w:p>
            <w:pPr>
              <w:jc w:val="right"/>
              <w:ind w:right="68"/>
              <w:spacing w:after="0"/>
              <w:rPr>
                <w:sz w:val="20"/>
                <w:szCs w:val="20"/>
                <w:color w:val="auto"/>
              </w:rPr>
            </w:pPr>
            <w:r>
              <w:rPr>
                <w:rFonts w:ascii="Arial" w:cs="Arial" w:eastAsia="Arial" w:hAnsi="Arial"/>
                <w:sz w:val="14"/>
                <w:szCs w:val="14"/>
                <w:color w:val="auto"/>
              </w:rPr>
              <w:t>164,254</w:t>
            </w:r>
          </w:p>
        </w:tc>
        <w:tc>
          <w:tcPr>
            <w:tcW w:w="980" w:type="dxa"/>
            <w:vAlign w:val="bottom"/>
            <w:tcBorders>
              <w:right w:val="single" w:sz="8" w:color="007CBA"/>
            </w:tcBorders>
            <w:shd w:val="clear" w:color="auto" w:fill="E5F1F8"/>
          </w:tcPr>
          <w:p>
            <w:pPr>
              <w:jc w:val="right"/>
              <w:ind w:right="48"/>
              <w:spacing w:after="0"/>
              <w:rPr>
                <w:sz w:val="20"/>
                <w:szCs w:val="20"/>
                <w:color w:val="auto"/>
              </w:rPr>
            </w:pPr>
            <w:r>
              <w:rPr>
                <w:rFonts w:ascii="Arial" w:cs="Arial" w:eastAsia="Arial" w:hAnsi="Arial"/>
                <w:sz w:val="14"/>
                <w:szCs w:val="14"/>
                <w:color w:val="auto"/>
              </w:rPr>
              <w:t>164,254</w:t>
            </w:r>
          </w:p>
        </w:tc>
        <w:tc>
          <w:tcPr>
            <w:tcW w:w="1000" w:type="dxa"/>
            <w:vAlign w:val="bottom"/>
            <w:tcBorders>
              <w:right w:val="single" w:sz="8" w:color="007CBA"/>
            </w:tcBorders>
            <w:gridSpan w:val="2"/>
            <w:shd w:val="clear" w:color="auto" w:fill="E5F1F8"/>
          </w:tcPr>
          <w:p>
            <w:pPr>
              <w:jc w:val="right"/>
              <w:ind w:right="69"/>
              <w:spacing w:after="0"/>
              <w:rPr>
                <w:sz w:val="20"/>
                <w:szCs w:val="20"/>
                <w:color w:val="auto"/>
              </w:rPr>
            </w:pPr>
            <w:r>
              <w:rPr>
                <w:rFonts w:ascii="Arial" w:cs="Arial" w:eastAsia="Arial" w:hAnsi="Arial"/>
                <w:sz w:val="14"/>
                <w:szCs w:val="14"/>
                <w:color w:val="auto"/>
              </w:rPr>
              <w:t>164,254</w:t>
            </w:r>
          </w:p>
        </w:tc>
        <w:tc>
          <w:tcPr>
            <w:tcW w:w="0" w:type="dxa"/>
            <w:vAlign w:val="bottom"/>
          </w:tcPr>
          <w:p>
            <w:pPr>
              <w:spacing w:after="0"/>
              <w:rPr>
                <w:sz w:val="1"/>
                <w:szCs w:val="1"/>
                <w:color w:val="auto"/>
              </w:rPr>
            </w:pPr>
          </w:p>
        </w:tc>
      </w:tr>
      <w:tr>
        <w:trPr>
          <w:trHeight w:val="162"/>
        </w:trPr>
        <w:tc>
          <w:tcPr>
            <w:tcW w:w="2080" w:type="dxa"/>
            <w:vAlign w:val="bottom"/>
            <w:tcBorders>
              <w:left w:val="single" w:sz="8" w:color="007CBA"/>
              <w:right w:val="single" w:sz="8" w:color="007CBA"/>
            </w:tcBorders>
            <w:shd w:val="clear" w:color="auto" w:fill="E5F1F8"/>
          </w:tcPr>
          <w:p>
            <w:pPr>
              <w:spacing w:after="0"/>
              <w:rPr>
                <w:sz w:val="14"/>
                <w:szCs w:val="14"/>
                <w:color w:val="auto"/>
              </w:rPr>
            </w:pPr>
          </w:p>
        </w:tc>
        <w:tc>
          <w:tcPr>
            <w:tcW w:w="80" w:type="dxa"/>
            <w:vAlign w:val="bottom"/>
            <w:shd w:val="clear" w:color="auto" w:fill="E5F1F8"/>
          </w:tcPr>
          <w:p>
            <w:pPr>
              <w:spacing w:after="0"/>
              <w:rPr>
                <w:sz w:val="14"/>
                <w:szCs w:val="14"/>
                <w:color w:val="auto"/>
              </w:rPr>
            </w:pPr>
          </w:p>
        </w:tc>
        <w:tc>
          <w:tcPr>
            <w:tcW w:w="3900" w:type="dxa"/>
            <w:vAlign w:val="bottom"/>
            <w:tcBorders>
              <w:right w:val="single" w:sz="8" w:color="007CBA"/>
            </w:tcBorders>
            <w:shd w:val="clear" w:color="auto" w:fill="E5F1F8"/>
          </w:tcPr>
          <w:p>
            <w:pPr>
              <w:spacing w:after="0" w:line="162" w:lineRule="exact"/>
              <w:rPr>
                <w:sz w:val="20"/>
                <w:szCs w:val="20"/>
                <w:color w:val="auto"/>
              </w:rPr>
            </w:pPr>
            <w:r>
              <w:rPr>
                <w:rFonts w:ascii="Arial" w:cs="Arial" w:eastAsia="Arial" w:hAnsi="Arial"/>
                <w:sz w:val="11"/>
                <w:szCs w:val="11"/>
                <w:color w:val="auto"/>
              </w:rPr>
              <w:t>Unvested Incentive Stock Plan Units</w:t>
            </w:r>
            <w:r>
              <w:rPr>
                <w:rFonts w:ascii="Arial" w:cs="Arial" w:eastAsia="Arial" w:hAnsi="Arial"/>
                <w:sz w:val="18"/>
                <w:szCs w:val="18"/>
                <w:color w:val="auto"/>
                <w:vertAlign w:val="superscript"/>
              </w:rPr>
              <w:t>6</w:t>
            </w:r>
          </w:p>
        </w:tc>
        <w:tc>
          <w:tcPr>
            <w:tcW w:w="840" w:type="dxa"/>
            <w:vAlign w:val="bottom"/>
            <w:shd w:val="clear" w:color="auto" w:fill="E5F1F8"/>
          </w:tcPr>
          <w:p>
            <w:pPr>
              <w:jc w:val="right"/>
              <w:spacing w:after="0"/>
              <w:rPr>
                <w:sz w:val="20"/>
                <w:szCs w:val="20"/>
                <w:color w:val="auto"/>
              </w:rPr>
            </w:pPr>
            <w:r>
              <w:rPr>
                <w:rFonts w:ascii="Arial" w:cs="Arial" w:eastAsia="Arial" w:hAnsi="Arial"/>
                <w:sz w:val="14"/>
                <w:szCs w:val="14"/>
                <w:color w:val="auto"/>
              </w:rPr>
              <w:t>84,902</w:t>
            </w:r>
          </w:p>
        </w:tc>
        <w:tc>
          <w:tcPr>
            <w:tcW w:w="140" w:type="dxa"/>
            <w:vAlign w:val="bottom"/>
            <w:tcBorders>
              <w:right w:val="single" w:sz="8" w:color="007CBA"/>
            </w:tcBorders>
            <w:shd w:val="clear" w:color="auto" w:fill="E5F1F8"/>
          </w:tcPr>
          <w:p>
            <w:pPr>
              <w:spacing w:after="0"/>
              <w:rPr>
                <w:sz w:val="14"/>
                <w:szCs w:val="14"/>
                <w:color w:val="auto"/>
              </w:rPr>
            </w:pPr>
          </w:p>
        </w:tc>
        <w:tc>
          <w:tcPr>
            <w:tcW w:w="1040" w:type="dxa"/>
            <w:vAlign w:val="bottom"/>
            <w:tcBorders>
              <w:right w:val="single" w:sz="8" w:color="007CBA"/>
            </w:tcBorders>
            <w:shd w:val="clear" w:color="auto" w:fill="E5F1F8"/>
          </w:tcPr>
          <w:p>
            <w:pPr>
              <w:jc w:val="right"/>
              <w:ind w:right="68"/>
              <w:spacing w:after="0"/>
              <w:rPr>
                <w:sz w:val="20"/>
                <w:szCs w:val="20"/>
                <w:color w:val="auto"/>
              </w:rPr>
            </w:pPr>
            <w:r>
              <w:rPr>
                <w:rFonts w:ascii="Arial" w:cs="Arial" w:eastAsia="Arial" w:hAnsi="Arial"/>
                <w:sz w:val="14"/>
                <w:szCs w:val="14"/>
                <w:color w:val="auto"/>
              </w:rPr>
              <w:t>45,624</w:t>
            </w:r>
          </w:p>
        </w:tc>
        <w:tc>
          <w:tcPr>
            <w:tcW w:w="980" w:type="dxa"/>
            <w:vAlign w:val="bottom"/>
            <w:tcBorders>
              <w:right w:val="single" w:sz="8" w:color="007CBA"/>
            </w:tcBorders>
            <w:shd w:val="clear" w:color="auto" w:fill="E5F1F8"/>
          </w:tcPr>
          <w:p>
            <w:pPr>
              <w:jc w:val="right"/>
              <w:ind w:right="68"/>
              <w:spacing w:after="0"/>
              <w:rPr>
                <w:sz w:val="20"/>
                <w:szCs w:val="20"/>
                <w:color w:val="auto"/>
              </w:rPr>
            </w:pPr>
            <w:r>
              <w:rPr>
                <w:rFonts w:ascii="Arial" w:cs="Arial" w:eastAsia="Arial" w:hAnsi="Arial"/>
                <w:sz w:val="14"/>
                <w:szCs w:val="14"/>
                <w:color w:val="auto"/>
              </w:rPr>
              <w:t>84,902</w:t>
            </w:r>
          </w:p>
        </w:tc>
        <w:tc>
          <w:tcPr>
            <w:tcW w:w="980" w:type="dxa"/>
            <w:vAlign w:val="bottom"/>
            <w:tcBorders>
              <w:right w:val="single" w:sz="8" w:color="007CBA"/>
            </w:tcBorders>
            <w:shd w:val="clear" w:color="auto" w:fill="E5F1F8"/>
          </w:tcPr>
          <w:p>
            <w:pPr>
              <w:jc w:val="right"/>
              <w:ind w:right="48"/>
              <w:spacing w:after="0"/>
              <w:rPr>
                <w:sz w:val="20"/>
                <w:szCs w:val="20"/>
                <w:color w:val="auto"/>
              </w:rPr>
            </w:pPr>
            <w:r>
              <w:rPr>
                <w:rFonts w:ascii="Arial" w:cs="Arial" w:eastAsia="Arial" w:hAnsi="Arial"/>
                <w:sz w:val="14"/>
                <w:szCs w:val="14"/>
                <w:color w:val="auto"/>
              </w:rPr>
              <w:t>84,902</w:t>
            </w:r>
          </w:p>
        </w:tc>
        <w:tc>
          <w:tcPr>
            <w:tcW w:w="1000" w:type="dxa"/>
            <w:vAlign w:val="bottom"/>
            <w:tcBorders>
              <w:right w:val="single" w:sz="8" w:color="007CBA"/>
            </w:tcBorders>
            <w:gridSpan w:val="2"/>
            <w:shd w:val="clear" w:color="auto" w:fill="E5F1F8"/>
          </w:tcPr>
          <w:p>
            <w:pPr>
              <w:jc w:val="right"/>
              <w:ind w:right="69"/>
              <w:spacing w:after="0"/>
              <w:rPr>
                <w:sz w:val="20"/>
                <w:szCs w:val="20"/>
                <w:color w:val="auto"/>
              </w:rPr>
            </w:pPr>
            <w:r>
              <w:rPr>
                <w:rFonts w:ascii="Arial" w:cs="Arial" w:eastAsia="Arial" w:hAnsi="Arial"/>
                <w:sz w:val="14"/>
                <w:szCs w:val="14"/>
                <w:color w:val="auto"/>
              </w:rPr>
              <w:t>84,902</w:t>
            </w:r>
          </w:p>
        </w:tc>
        <w:tc>
          <w:tcPr>
            <w:tcW w:w="0" w:type="dxa"/>
            <w:vAlign w:val="bottom"/>
          </w:tcPr>
          <w:p>
            <w:pPr>
              <w:spacing w:after="0"/>
              <w:rPr>
                <w:sz w:val="1"/>
                <w:szCs w:val="1"/>
                <w:color w:val="auto"/>
              </w:rPr>
            </w:pPr>
          </w:p>
        </w:tc>
      </w:tr>
      <w:tr>
        <w:trPr>
          <w:trHeight w:val="162"/>
        </w:trPr>
        <w:tc>
          <w:tcPr>
            <w:tcW w:w="2080" w:type="dxa"/>
            <w:vAlign w:val="bottom"/>
            <w:tcBorders>
              <w:left w:val="single" w:sz="8" w:color="007CBA"/>
              <w:right w:val="single" w:sz="8" w:color="007CBA"/>
            </w:tcBorders>
            <w:shd w:val="clear" w:color="auto" w:fill="E5F1F8"/>
          </w:tcPr>
          <w:p>
            <w:pPr>
              <w:ind w:left="220"/>
              <w:spacing w:after="0"/>
              <w:rPr>
                <w:sz w:val="20"/>
                <w:szCs w:val="20"/>
                <w:color w:val="auto"/>
              </w:rPr>
            </w:pPr>
            <w:r>
              <w:rPr>
                <w:rFonts w:ascii="Arial" w:cs="Arial" w:eastAsia="Arial" w:hAnsi="Arial"/>
                <w:sz w:val="14"/>
                <w:szCs w:val="14"/>
                <w:b w:val="1"/>
                <w:bCs w:val="1"/>
                <w:color w:val="auto"/>
              </w:rPr>
              <w:t>Donald A. McCunniff</w:t>
            </w:r>
          </w:p>
        </w:tc>
        <w:tc>
          <w:tcPr>
            <w:tcW w:w="80" w:type="dxa"/>
            <w:vAlign w:val="bottom"/>
            <w:shd w:val="clear" w:color="auto" w:fill="E5F1F8"/>
          </w:tcPr>
          <w:p>
            <w:pPr>
              <w:spacing w:after="0"/>
              <w:rPr>
                <w:sz w:val="14"/>
                <w:szCs w:val="14"/>
                <w:color w:val="auto"/>
              </w:rPr>
            </w:pPr>
          </w:p>
        </w:tc>
        <w:tc>
          <w:tcPr>
            <w:tcW w:w="3900" w:type="dxa"/>
            <w:vAlign w:val="bottom"/>
            <w:tcBorders>
              <w:right w:val="single" w:sz="8" w:color="007CBA"/>
            </w:tcBorders>
            <w:shd w:val="clear" w:color="auto" w:fill="E5F1F8"/>
          </w:tcPr>
          <w:p>
            <w:pPr>
              <w:spacing w:after="0" w:line="162" w:lineRule="exact"/>
              <w:rPr>
                <w:sz w:val="20"/>
                <w:szCs w:val="20"/>
                <w:color w:val="auto"/>
              </w:rPr>
            </w:pPr>
            <w:r>
              <w:rPr>
                <w:rFonts w:ascii="Arial" w:cs="Arial" w:eastAsia="Arial" w:hAnsi="Arial"/>
                <w:sz w:val="11"/>
                <w:szCs w:val="11"/>
                <w:color w:val="auto"/>
              </w:rPr>
              <w:t>Performance Shares</w:t>
            </w:r>
            <w:r>
              <w:rPr>
                <w:rFonts w:ascii="Arial" w:cs="Arial" w:eastAsia="Arial" w:hAnsi="Arial"/>
                <w:sz w:val="18"/>
                <w:szCs w:val="18"/>
                <w:color w:val="auto"/>
                <w:vertAlign w:val="superscript"/>
              </w:rPr>
              <w:t>7</w:t>
            </w:r>
          </w:p>
        </w:tc>
        <w:tc>
          <w:tcPr>
            <w:tcW w:w="840" w:type="dxa"/>
            <w:vAlign w:val="bottom"/>
            <w:shd w:val="clear" w:color="auto" w:fill="E5F1F8"/>
          </w:tcPr>
          <w:p>
            <w:pPr>
              <w:jc w:val="right"/>
              <w:spacing w:after="0"/>
              <w:rPr>
                <w:sz w:val="20"/>
                <w:szCs w:val="20"/>
                <w:color w:val="auto"/>
              </w:rPr>
            </w:pPr>
            <w:r>
              <w:rPr>
                <w:rFonts w:ascii="Arial" w:cs="Arial" w:eastAsia="Arial" w:hAnsi="Arial"/>
                <w:sz w:val="14"/>
                <w:szCs w:val="14"/>
                <w:color w:val="auto"/>
              </w:rPr>
              <w:t>1,196,268</w:t>
            </w:r>
          </w:p>
        </w:tc>
        <w:tc>
          <w:tcPr>
            <w:tcW w:w="140" w:type="dxa"/>
            <w:vAlign w:val="bottom"/>
            <w:tcBorders>
              <w:right w:val="single" w:sz="8" w:color="007CBA"/>
            </w:tcBorders>
            <w:shd w:val="clear" w:color="auto" w:fill="E5F1F8"/>
          </w:tcPr>
          <w:p>
            <w:pPr>
              <w:spacing w:after="0"/>
              <w:rPr>
                <w:sz w:val="14"/>
                <w:szCs w:val="14"/>
                <w:color w:val="auto"/>
              </w:rPr>
            </w:pPr>
          </w:p>
        </w:tc>
        <w:tc>
          <w:tcPr>
            <w:tcW w:w="1040" w:type="dxa"/>
            <w:vAlign w:val="bottom"/>
            <w:tcBorders>
              <w:right w:val="single" w:sz="8" w:color="007CBA"/>
            </w:tcBorders>
            <w:shd w:val="clear" w:color="auto" w:fill="E5F1F8"/>
          </w:tcPr>
          <w:p>
            <w:pPr>
              <w:spacing w:after="0"/>
              <w:rPr>
                <w:sz w:val="14"/>
                <w:szCs w:val="14"/>
                <w:color w:val="auto"/>
              </w:rPr>
            </w:pPr>
          </w:p>
        </w:tc>
        <w:tc>
          <w:tcPr>
            <w:tcW w:w="980" w:type="dxa"/>
            <w:vAlign w:val="bottom"/>
            <w:tcBorders>
              <w:right w:val="single" w:sz="8" w:color="007CBA"/>
            </w:tcBorders>
            <w:shd w:val="clear" w:color="auto" w:fill="E5F1F8"/>
          </w:tcPr>
          <w:p>
            <w:pPr>
              <w:jc w:val="right"/>
              <w:ind w:right="68"/>
              <w:spacing w:after="0"/>
              <w:rPr>
                <w:sz w:val="20"/>
                <w:szCs w:val="20"/>
                <w:color w:val="auto"/>
              </w:rPr>
            </w:pPr>
            <w:r>
              <w:rPr>
                <w:rFonts w:ascii="Arial" w:cs="Arial" w:eastAsia="Arial" w:hAnsi="Arial"/>
                <w:sz w:val="14"/>
                <w:szCs w:val="14"/>
                <w:color w:val="auto"/>
              </w:rPr>
              <w:t>1,196,268</w:t>
            </w:r>
          </w:p>
        </w:tc>
        <w:tc>
          <w:tcPr>
            <w:tcW w:w="980" w:type="dxa"/>
            <w:vAlign w:val="bottom"/>
            <w:tcBorders>
              <w:right w:val="single" w:sz="8" w:color="007CBA"/>
            </w:tcBorders>
            <w:shd w:val="clear" w:color="auto" w:fill="E5F1F8"/>
          </w:tcPr>
          <w:p>
            <w:pPr>
              <w:jc w:val="right"/>
              <w:ind w:right="48"/>
              <w:spacing w:after="0"/>
              <w:rPr>
                <w:sz w:val="20"/>
                <w:szCs w:val="20"/>
                <w:color w:val="auto"/>
              </w:rPr>
            </w:pPr>
            <w:r>
              <w:rPr>
                <w:rFonts w:ascii="Arial" w:cs="Arial" w:eastAsia="Arial" w:hAnsi="Arial"/>
                <w:sz w:val="14"/>
                <w:szCs w:val="14"/>
                <w:color w:val="auto"/>
              </w:rPr>
              <w:t>1,196,268</w:t>
            </w:r>
          </w:p>
        </w:tc>
        <w:tc>
          <w:tcPr>
            <w:tcW w:w="1000" w:type="dxa"/>
            <w:vAlign w:val="bottom"/>
            <w:tcBorders>
              <w:right w:val="single" w:sz="8" w:color="007CBA"/>
            </w:tcBorders>
            <w:gridSpan w:val="2"/>
            <w:shd w:val="clear" w:color="auto" w:fill="E5F1F8"/>
          </w:tcPr>
          <w:p>
            <w:pPr>
              <w:jc w:val="right"/>
              <w:ind w:right="69"/>
              <w:spacing w:after="0"/>
              <w:rPr>
                <w:sz w:val="20"/>
                <w:szCs w:val="20"/>
                <w:color w:val="auto"/>
              </w:rPr>
            </w:pPr>
            <w:r>
              <w:rPr>
                <w:rFonts w:ascii="Arial" w:cs="Arial" w:eastAsia="Arial" w:hAnsi="Arial"/>
                <w:sz w:val="14"/>
                <w:szCs w:val="14"/>
                <w:color w:val="auto"/>
              </w:rPr>
              <w:t>1,196,268</w:t>
            </w:r>
          </w:p>
        </w:tc>
        <w:tc>
          <w:tcPr>
            <w:tcW w:w="0" w:type="dxa"/>
            <w:vAlign w:val="bottom"/>
          </w:tcPr>
          <w:p>
            <w:pPr>
              <w:spacing w:after="0"/>
              <w:rPr>
                <w:sz w:val="1"/>
                <w:szCs w:val="1"/>
                <w:color w:val="auto"/>
              </w:rPr>
            </w:pPr>
          </w:p>
        </w:tc>
      </w:tr>
      <w:tr>
        <w:trPr>
          <w:trHeight w:val="162"/>
        </w:trPr>
        <w:tc>
          <w:tcPr>
            <w:tcW w:w="2080" w:type="dxa"/>
            <w:vAlign w:val="bottom"/>
            <w:tcBorders>
              <w:left w:val="single" w:sz="8" w:color="007CBA"/>
              <w:right w:val="single" w:sz="8" w:color="007CBA"/>
            </w:tcBorders>
            <w:shd w:val="clear" w:color="auto" w:fill="E5F1F8"/>
          </w:tcPr>
          <w:p>
            <w:pPr>
              <w:spacing w:after="0"/>
              <w:rPr>
                <w:sz w:val="14"/>
                <w:szCs w:val="14"/>
                <w:color w:val="auto"/>
              </w:rPr>
            </w:pPr>
          </w:p>
        </w:tc>
        <w:tc>
          <w:tcPr>
            <w:tcW w:w="80" w:type="dxa"/>
            <w:vAlign w:val="bottom"/>
            <w:shd w:val="clear" w:color="auto" w:fill="E5F1F8"/>
          </w:tcPr>
          <w:p>
            <w:pPr>
              <w:spacing w:after="0"/>
              <w:rPr>
                <w:sz w:val="14"/>
                <w:szCs w:val="14"/>
                <w:color w:val="auto"/>
              </w:rPr>
            </w:pPr>
          </w:p>
        </w:tc>
        <w:tc>
          <w:tcPr>
            <w:tcW w:w="3900" w:type="dxa"/>
            <w:vAlign w:val="bottom"/>
            <w:tcBorders>
              <w:right w:val="single" w:sz="8" w:color="007CBA"/>
            </w:tcBorders>
            <w:shd w:val="clear" w:color="auto" w:fill="E5F1F8"/>
          </w:tcPr>
          <w:p>
            <w:pPr>
              <w:spacing w:after="0" w:line="162" w:lineRule="exact"/>
              <w:rPr>
                <w:sz w:val="20"/>
                <w:szCs w:val="20"/>
                <w:color w:val="auto"/>
              </w:rPr>
            </w:pPr>
            <w:r>
              <w:rPr>
                <w:rFonts w:ascii="Arial" w:cs="Arial" w:eastAsia="Arial" w:hAnsi="Arial"/>
                <w:sz w:val="11"/>
                <w:szCs w:val="11"/>
                <w:color w:val="auto"/>
              </w:rPr>
              <w:t>Retirement Plans</w:t>
            </w:r>
            <w:r>
              <w:rPr>
                <w:rFonts w:ascii="Arial" w:cs="Arial" w:eastAsia="Arial" w:hAnsi="Arial"/>
                <w:sz w:val="18"/>
                <w:szCs w:val="18"/>
                <w:color w:val="auto"/>
                <w:vertAlign w:val="superscript"/>
              </w:rPr>
              <w:t>8</w:t>
            </w:r>
          </w:p>
        </w:tc>
        <w:tc>
          <w:tcPr>
            <w:tcW w:w="840" w:type="dxa"/>
            <w:vAlign w:val="bottom"/>
            <w:shd w:val="clear" w:color="auto" w:fill="E5F1F8"/>
          </w:tcPr>
          <w:p>
            <w:pPr>
              <w:spacing w:after="0"/>
              <w:rPr>
                <w:sz w:val="14"/>
                <w:szCs w:val="14"/>
                <w:color w:val="auto"/>
              </w:rPr>
            </w:pPr>
          </w:p>
        </w:tc>
        <w:tc>
          <w:tcPr>
            <w:tcW w:w="140" w:type="dxa"/>
            <w:vAlign w:val="bottom"/>
            <w:tcBorders>
              <w:right w:val="single" w:sz="8" w:color="007CBA"/>
            </w:tcBorders>
            <w:shd w:val="clear" w:color="auto" w:fill="E5F1F8"/>
          </w:tcPr>
          <w:p>
            <w:pPr>
              <w:spacing w:after="0"/>
              <w:rPr>
                <w:sz w:val="14"/>
                <w:szCs w:val="14"/>
                <w:color w:val="auto"/>
              </w:rPr>
            </w:pPr>
          </w:p>
        </w:tc>
        <w:tc>
          <w:tcPr>
            <w:tcW w:w="1040" w:type="dxa"/>
            <w:vAlign w:val="bottom"/>
            <w:tcBorders>
              <w:right w:val="single" w:sz="8" w:color="007CBA"/>
            </w:tcBorders>
            <w:shd w:val="clear" w:color="auto" w:fill="E5F1F8"/>
          </w:tcPr>
          <w:p>
            <w:pPr>
              <w:spacing w:after="0"/>
              <w:rPr>
                <w:sz w:val="14"/>
                <w:szCs w:val="14"/>
                <w:color w:val="auto"/>
              </w:rPr>
            </w:pPr>
          </w:p>
        </w:tc>
        <w:tc>
          <w:tcPr>
            <w:tcW w:w="980" w:type="dxa"/>
            <w:vAlign w:val="bottom"/>
            <w:tcBorders>
              <w:right w:val="single" w:sz="8" w:color="007CBA"/>
            </w:tcBorders>
            <w:shd w:val="clear" w:color="auto" w:fill="E5F1F8"/>
          </w:tcPr>
          <w:p>
            <w:pPr>
              <w:jc w:val="right"/>
              <w:ind w:right="68"/>
              <w:spacing w:after="0"/>
              <w:rPr>
                <w:sz w:val="20"/>
                <w:szCs w:val="20"/>
                <w:color w:val="auto"/>
              </w:rPr>
            </w:pPr>
            <w:r>
              <w:rPr>
                <w:rFonts w:ascii="Arial" w:cs="Arial" w:eastAsia="Arial" w:hAnsi="Arial"/>
                <w:sz w:val="14"/>
                <w:szCs w:val="14"/>
                <w:color w:val="auto"/>
              </w:rPr>
              <w:t>185,652</w:t>
            </w:r>
          </w:p>
        </w:tc>
        <w:tc>
          <w:tcPr>
            <w:tcW w:w="980" w:type="dxa"/>
            <w:vAlign w:val="bottom"/>
            <w:tcBorders>
              <w:right w:val="single" w:sz="8" w:color="007CBA"/>
            </w:tcBorders>
            <w:shd w:val="clear" w:color="auto" w:fill="E5F1F8"/>
          </w:tcPr>
          <w:p>
            <w:pPr>
              <w:jc w:val="right"/>
              <w:ind w:right="48"/>
              <w:spacing w:after="0"/>
              <w:rPr>
                <w:sz w:val="20"/>
                <w:szCs w:val="20"/>
                <w:color w:val="auto"/>
              </w:rPr>
            </w:pPr>
            <w:r>
              <w:rPr>
                <w:rFonts w:ascii="Arial" w:cs="Arial" w:eastAsia="Arial" w:hAnsi="Arial"/>
                <w:sz w:val="14"/>
                <w:szCs w:val="14"/>
                <w:color w:val="auto"/>
              </w:rPr>
              <w:t>0</w:t>
            </w:r>
          </w:p>
        </w:tc>
        <w:tc>
          <w:tcPr>
            <w:tcW w:w="1000" w:type="dxa"/>
            <w:vAlign w:val="bottom"/>
            <w:tcBorders>
              <w:right w:val="single" w:sz="8" w:color="007CBA"/>
            </w:tcBorders>
            <w:gridSpan w:val="2"/>
            <w:shd w:val="clear" w:color="auto" w:fill="E5F1F8"/>
          </w:tcPr>
          <w:p>
            <w:pPr>
              <w:jc w:val="right"/>
              <w:ind w:right="69"/>
              <w:spacing w:after="0"/>
              <w:rPr>
                <w:sz w:val="20"/>
                <w:szCs w:val="20"/>
                <w:color w:val="auto"/>
              </w:rPr>
            </w:pPr>
            <w:r>
              <w:rPr>
                <w:rFonts w:ascii="Arial" w:cs="Arial" w:eastAsia="Arial" w:hAnsi="Arial"/>
                <w:sz w:val="14"/>
                <w:szCs w:val="14"/>
                <w:color w:val="auto"/>
              </w:rPr>
              <w:t>1,382,454</w:t>
            </w:r>
          </w:p>
        </w:tc>
        <w:tc>
          <w:tcPr>
            <w:tcW w:w="0" w:type="dxa"/>
            <w:vAlign w:val="bottom"/>
          </w:tcPr>
          <w:p>
            <w:pPr>
              <w:spacing w:after="0"/>
              <w:rPr>
                <w:sz w:val="1"/>
                <w:szCs w:val="1"/>
                <w:color w:val="auto"/>
              </w:rPr>
            </w:pPr>
          </w:p>
        </w:tc>
      </w:tr>
      <w:tr>
        <w:trPr>
          <w:trHeight w:val="162"/>
        </w:trPr>
        <w:tc>
          <w:tcPr>
            <w:tcW w:w="2080" w:type="dxa"/>
            <w:vAlign w:val="bottom"/>
            <w:tcBorders>
              <w:left w:val="single" w:sz="8" w:color="007CBA"/>
              <w:right w:val="single" w:sz="8" w:color="007CBA"/>
            </w:tcBorders>
            <w:shd w:val="clear" w:color="auto" w:fill="E5F1F8"/>
          </w:tcPr>
          <w:p>
            <w:pPr>
              <w:spacing w:after="0"/>
              <w:rPr>
                <w:sz w:val="14"/>
                <w:szCs w:val="14"/>
                <w:color w:val="auto"/>
              </w:rPr>
            </w:pPr>
          </w:p>
        </w:tc>
        <w:tc>
          <w:tcPr>
            <w:tcW w:w="80" w:type="dxa"/>
            <w:vAlign w:val="bottom"/>
            <w:shd w:val="clear" w:color="auto" w:fill="E5F1F8"/>
          </w:tcPr>
          <w:p>
            <w:pPr>
              <w:spacing w:after="0"/>
              <w:rPr>
                <w:sz w:val="14"/>
                <w:szCs w:val="14"/>
                <w:color w:val="auto"/>
              </w:rPr>
            </w:pPr>
          </w:p>
        </w:tc>
        <w:tc>
          <w:tcPr>
            <w:tcW w:w="3900" w:type="dxa"/>
            <w:vAlign w:val="bottom"/>
            <w:tcBorders>
              <w:right w:val="single" w:sz="8" w:color="007CBA"/>
            </w:tcBorders>
            <w:shd w:val="clear" w:color="auto" w:fill="E5F1F8"/>
          </w:tcPr>
          <w:p>
            <w:pPr>
              <w:spacing w:after="0" w:line="162" w:lineRule="exact"/>
              <w:rPr>
                <w:sz w:val="20"/>
                <w:szCs w:val="20"/>
                <w:color w:val="auto"/>
              </w:rPr>
            </w:pPr>
            <w:r>
              <w:rPr>
                <w:rFonts w:ascii="Arial" w:cs="Arial" w:eastAsia="Arial" w:hAnsi="Arial"/>
                <w:sz w:val="11"/>
                <w:szCs w:val="11"/>
                <w:color w:val="auto"/>
              </w:rPr>
              <w:t>Health and Welfare Benefits</w:t>
            </w:r>
            <w:r>
              <w:rPr>
                <w:rFonts w:ascii="Arial" w:cs="Arial" w:eastAsia="Arial" w:hAnsi="Arial"/>
                <w:sz w:val="18"/>
                <w:szCs w:val="18"/>
                <w:color w:val="auto"/>
                <w:vertAlign w:val="superscript"/>
              </w:rPr>
              <w:t>9</w:t>
            </w:r>
          </w:p>
        </w:tc>
        <w:tc>
          <w:tcPr>
            <w:tcW w:w="840" w:type="dxa"/>
            <w:vAlign w:val="bottom"/>
            <w:shd w:val="clear" w:color="auto" w:fill="E5F1F8"/>
          </w:tcPr>
          <w:p>
            <w:pPr>
              <w:spacing w:after="0"/>
              <w:rPr>
                <w:sz w:val="14"/>
                <w:szCs w:val="14"/>
                <w:color w:val="auto"/>
              </w:rPr>
            </w:pPr>
          </w:p>
        </w:tc>
        <w:tc>
          <w:tcPr>
            <w:tcW w:w="140" w:type="dxa"/>
            <w:vAlign w:val="bottom"/>
            <w:tcBorders>
              <w:right w:val="single" w:sz="8" w:color="007CBA"/>
            </w:tcBorders>
            <w:shd w:val="clear" w:color="auto" w:fill="E5F1F8"/>
          </w:tcPr>
          <w:p>
            <w:pPr>
              <w:spacing w:after="0"/>
              <w:rPr>
                <w:sz w:val="14"/>
                <w:szCs w:val="14"/>
                <w:color w:val="auto"/>
              </w:rPr>
            </w:pPr>
          </w:p>
        </w:tc>
        <w:tc>
          <w:tcPr>
            <w:tcW w:w="1040" w:type="dxa"/>
            <w:vAlign w:val="bottom"/>
            <w:tcBorders>
              <w:right w:val="single" w:sz="8" w:color="007CBA"/>
            </w:tcBorders>
            <w:shd w:val="clear" w:color="auto" w:fill="E5F1F8"/>
          </w:tcPr>
          <w:p>
            <w:pPr>
              <w:spacing w:after="0"/>
              <w:rPr>
                <w:sz w:val="14"/>
                <w:szCs w:val="14"/>
                <w:color w:val="auto"/>
              </w:rPr>
            </w:pPr>
          </w:p>
        </w:tc>
        <w:tc>
          <w:tcPr>
            <w:tcW w:w="980" w:type="dxa"/>
            <w:vAlign w:val="bottom"/>
            <w:tcBorders>
              <w:right w:val="single" w:sz="8" w:color="007CBA"/>
            </w:tcBorders>
            <w:shd w:val="clear" w:color="auto" w:fill="E5F1F8"/>
          </w:tcPr>
          <w:p>
            <w:pPr>
              <w:spacing w:after="0"/>
              <w:rPr>
                <w:sz w:val="14"/>
                <w:szCs w:val="14"/>
                <w:color w:val="auto"/>
              </w:rPr>
            </w:pPr>
          </w:p>
        </w:tc>
        <w:tc>
          <w:tcPr>
            <w:tcW w:w="980" w:type="dxa"/>
            <w:vAlign w:val="bottom"/>
            <w:tcBorders>
              <w:right w:val="single" w:sz="8" w:color="007CBA"/>
            </w:tcBorders>
            <w:shd w:val="clear" w:color="auto" w:fill="E5F1F8"/>
          </w:tcPr>
          <w:p>
            <w:pPr>
              <w:spacing w:after="0"/>
              <w:rPr>
                <w:sz w:val="14"/>
                <w:szCs w:val="14"/>
                <w:color w:val="auto"/>
              </w:rPr>
            </w:pPr>
          </w:p>
        </w:tc>
        <w:tc>
          <w:tcPr>
            <w:tcW w:w="1000" w:type="dxa"/>
            <w:vAlign w:val="bottom"/>
            <w:tcBorders>
              <w:right w:val="single" w:sz="8" w:color="007CBA"/>
            </w:tcBorders>
            <w:gridSpan w:val="2"/>
            <w:shd w:val="clear" w:color="auto" w:fill="E5F1F8"/>
          </w:tcPr>
          <w:p>
            <w:pPr>
              <w:jc w:val="right"/>
              <w:ind w:right="69"/>
              <w:spacing w:after="0"/>
              <w:rPr>
                <w:sz w:val="20"/>
                <w:szCs w:val="20"/>
                <w:color w:val="auto"/>
              </w:rPr>
            </w:pPr>
            <w:r>
              <w:rPr>
                <w:rFonts w:ascii="Arial" w:cs="Arial" w:eastAsia="Arial" w:hAnsi="Arial"/>
                <w:sz w:val="14"/>
                <w:szCs w:val="14"/>
                <w:color w:val="auto"/>
              </w:rPr>
              <w:t>33,872</w:t>
            </w:r>
          </w:p>
        </w:tc>
        <w:tc>
          <w:tcPr>
            <w:tcW w:w="0" w:type="dxa"/>
            <w:vAlign w:val="bottom"/>
          </w:tcPr>
          <w:p>
            <w:pPr>
              <w:spacing w:after="0"/>
              <w:rPr>
                <w:sz w:val="1"/>
                <w:szCs w:val="1"/>
                <w:color w:val="auto"/>
              </w:rPr>
            </w:pPr>
          </w:p>
        </w:tc>
      </w:tr>
      <w:tr>
        <w:trPr>
          <w:trHeight w:val="181"/>
        </w:trPr>
        <w:tc>
          <w:tcPr>
            <w:tcW w:w="2080" w:type="dxa"/>
            <w:vAlign w:val="bottom"/>
            <w:tcBorders>
              <w:left w:val="single" w:sz="8" w:color="007CBA"/>
              <w:right w:val="single" w:sz="8" w:color="007CBA"/>
            </w:tcBorders>
            <w:shd w:val="clear" w:color="auto" w:fill="E5F1F8"/>
          </w:tcPr>
          <w:p>
            <w:pPr>
              <w:spacing w:after="0"/>
              <w:rPr>
                <w:sz w:val="15"/>
                <w:szCs w:val="15"/>
                <w:color w:val="auto"/>
              </w:rPr>
            </w:pPr>
          </w:p>
        </w:tc>
        <w:tc>
          <w:tcPr>
            <w:tcW w:w="80" w:type="dxa"/>
            <w:vAlign w:val="bottom"/>
            <w:shd w:val="clear" w:color="auto" w:fill="E5F1F8"/>
          </w:tcPr>
          <w:p>
            <w:pPr>
              <w:spacing w:after="0"/>
              <w:rPr>
                <w:sz w:val="15"/>
                <w:szCs w:val="15"/>
                <w:color w:val="auto"/>
              </w:rPr>
            </w:pPr>
          </w:p>
        </w:tc>
        <w:tc>
          <w:tcPr>
            <w:tcW w:w="3900" w:type="dxa"/>
            <w:vAlign w:val="bottom"/>
            <w:tcBorders>
              <w:right w:val="single" w:sz="8" w:color="007CBA"/>
            </w:tcBorders>
            <w:shd w:val="clear" w:color="auto" w:fill="E5F1F8"/>
          </w:tcPr>
          <w:p>
            <w:pPr>
              <w:spacing w:after="0" w:line="181" w:lineRule="exact"/>
              <w:rPr>
                <w:sz w:val="20"/>
                <w:szCs w:val="20"/>
                <w:color w:val="auto"/>
              </w:rPr>
            </w:pPr>
            <w:r>
              <w:rPr>
                <w:rFonts w:ascii="Arial" w:cs="Arial" w:eastAsia="Arial" w:hAnsi="Arial"/>
                <w:sz w:val="12"/>
                <w:szCs w:val="12"/>
                <w:color w:val="auto"/>
              </w:rPr>
              <w:t>Retiree Medical Benefits</w:t>
            </w:r>
            <w:r>
              <w:rPr>
                <w:rFonts w:ascii="Arial" w:cs="Arial" w:eastAsia="Arial" w:hAnsi="Arial"/>
                <w:sz w:val="20"/>
                <w:szCs w:val="20"/>
                <w:color w:val="auto"/>
                <w:vertAlign w:val="superscript"/>
              </w:rPr>
              <w:t>10</w:t>
            </w:r>
          </w:p>
        </w:tc>
        <w:tc>
          <w:tcPr>
            <w:tcW w:w="840" w:type="dxa"/>
            <w:vAlign w:val="bottom"/>
            <w:shd w:val="clear" w:color="auto" w:fill="E5F1F8"/>
          </w:tcPr>
          <w:p>
            <w:pPr>
              <w:spacing w:after="0"/>
              <w:rPr>
                <w:sz w:val="15"/>
                <w:szCs w:val="15"/>
                <w:color w:val="auto"/>
              </w:rPr>
            </w:pPr>
          </w:p>
        </w:tc>
        <w:tc>
          <w:tcPr>
            <w:tcW w:w="140" w:type="dxa"/>
            <w:vAlign w:val="bottom"/>
            <w:tcBorders>
              <w:right w:val="single" w:sz="8" w:color="007CBA"/>
            </w:tcBorders>
            <w:shd w:val="clear" w:color="auto" w:fill="E5F1F8"/>
          </w:tcPr>
          <w:p>
            <w:pPr>
              <w:spacing w:after="0"/>
              <w:rPr>
                <w:sz w:val="15"/>
                <w:szCs w:val="15"/>
                <w:color w:val="auto"/>
              </w:rPr>
            </w:pPr>
          </w:p>
        </w:tc>
        <w:tc>
          <w:tcPr>
            <w:tcW w:w="1040" w:type="dxa"/>
            <w:vAlign w:val="bottom"/>
            <w:tcBorders>
              <w:right w:val="single" w:sz="8" w:color="007CBA"/>
            </w:tcBorders>
            <w:shd w:val="clear" w:color="auto" w:fill="E5F1F8"/>
          </w:tcPr>
          <w:p>
            <w:pPr>
              <w:spacing w:after="0"/>
              <w:rPr>
                <w:sz w:val="15"/>
                <w:szCs w:val="15"/>
                <w:color w:val="auto"/>
              </w:rPr>
            </w:pPr>
          </w:p>
        </w:tc>
        <w:tc>
          <w:tcPr>
            <w:tcW w:w="980" w:type="dxa"/>
            <w:vAlign w:val="bottom"/>
            <w:tcBorders>
              <w:right w:val="single" w:sz="8" w:color="007CBA"/>
            </w:tcBorders>
            <w:shd w:val="clear" w:color="auto" w:fill="E5F1F8"/>
          </w:tcPr>
          <w:p>
            <w:pPr>
              <w:spacing w:after="0"/>
              <w:rPr>
                <w:sz w:val="15"/>
                <w:szCs w:val="15"/>
                <w:color w:val="auto"/>
              </w:rPr>
            </w:pPr>
          </w:p>
        </w:tc>
        <w:tc>
          <w:tcPr>
            <w:tcW w:w="980" w:type="dxa"/>
            <w:vAlign w:val="bottom"/>
            <w:tcBorders>
              <w:right w:val="single" w:sz="8" w:color="007CBA"/>
            </w:tcBorders>
            <w:shd w:val="clear" w:color="auto" w:fill="E5F1F8"/>
          </w:tcPr>
          <w:p>
            <w:pPr>
              <w:spacing w:after="0"/>
              <w:rPr>
                <w:sz w:val="15"/>
                <w:szCs w:val="15"/>
                <w:color w:val="auto"/>
              </w:rPr>
            </w:pPr>
          </w:p>
        </w:tc>
        <w:tc>
          <w:tcPr>
            <w:tcW w:w="760" w:type="dxa"/>
            <w:vAlign w:val="bottom"/>
            <w:shd w:val="clear" w:color="auto" w:fill="E5F1F8"/>
          </w:tcPr>
          <w:p>
            <w:pPr>
              <w:spacing w:after="0"/>
              <w:rPr>
                <w:sz w:val="15"/>
                <w:szCs w:val="15"/>
                <w:color w:val="auto"/>
              </w:rPr>
            </w:pPr>
          </w:p>
        </w:tc>
        <w:tc>
          <w:tcPr>
            <w:tcW w:w="240" w:type="dxa"/>
            <w:vAlign w:val="bottom"/>
            <w:tcBorders>
              <w:right w:val="single" w:sz="8" w:color="007CBA"/>
            </w:tcBorders>
            <w:shd w:val="clear" w:color="auto" w:fill="E5F1F8"/>
          </w:tcPr>
          <w:p>
            <w:pPr>
              <w:jc w:val="right"/>
              <w:ind w:right="69"/>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62"/>
        </w:trPr>
        <w:tc>
          <w:tcPr>
            <w:tcW w:w="2080" w:type="dxa"/>
            <w:vAlign w:val="bottom"/>
            <w:tcBorders>
              <w:left w:val="single" w:sz="8" w:color="007CBA"/>
              <w:right w:val="single" w:sz="8" w:color="007CBA"/>
            </w:tcBorders>
            <w:shd w:val="clear" w:color="auto" w:fill="E5F1F8"/>
          </w:tcPr>
          <w:p>
            <w:pPr>
              <w:spacing w:after="0"/>
              <w:rPr>
                <w:sz w:val="14"/>
                <w:szCs w:val="14"/>
                <w:color w:val="auto"/>
              </w:rPr>
            </w:pPr>
          </w:p>
        </w:tc>
        <w:tc>
          <w:tcPr>
            <w:tcW w:w="80" w:type="dxa"/>
            <w:vAlign w:val="bottom"/>
            <w:shd w:val="clear" w:color="auto" w:fill="E5F1F8"/>
          </w:tcPr>
          <w:p>
            <w:pPr>
              <w:spacing w:after="0"/>
              <w:rPr>
                <w:sz w:val="14"/>
                <w:szCs w:val="14"/>
                <w:color w:val="auto"/>
              </w:rPr>
            </w:pPr>
          </w:p>
        </w:tc>
        <w:tc>
          <w:tcPr>
            <w:tcW w:w="3900" w:type="dxa"/>
            <w:vAlign w:val="bottom"/>
            <w:tcBorders>
              <w:right w:val="single" w:sz="8" w:color="007CBA"/>
            </w:tcBorders>
            <w:shd w:val="clear" w:color="auto" w:fill="E5F1F8"/>
          </w:tcPr>
          <w:p>
            <w:pPr>
              <w:spacing w:after="0"/>
              <w:rPr>
                <w:sz w:val="20"/>
                <w:szCs w:val="20"/>
                <w:color w:val="auto"/>
              </w:rPr>
            </w:pPr>
            <w:r>
              <w:rPr>
                <w:rFonts w:ascii="Arial" w:cs="Arial" w:eastAsia="Arial" w:hAnsi="Arial"/>
                <w:sz w:val="14"/>
                <w:szCs w:val="14"/>
                <w:color w:val="auto"/>
              </w:rPr>
              <w:t>Excise Tax &amp; Gross-up</w:t>
            </w:r>
          </w:p>
        </w:tc>
        <w:tc>
          <w:tcPr>
            <w:tcW w:w="840" w:type="dxa"/>
            <w:vAlign w:val="bottom"/>
            <w:shd w:val="clear" w:color="auto" w:fill="E5F1F8"/>
          </w:tcPr>
          <w:p>
            <w:pPr>
              <w:spacing w:after="0"/>
              <w:rPr>
                <w:sz w:val="14"/>
                <w:szCs w:val="14"/>
                <w:color w:val="auto"/>
              </w:rPr>
            </w:pPr>
          </w:p>
        </w:tc>
        <w:tc>
          <w:tcPr>
            <w:tcW w:w="140" w:type="dxa"/>
            <w:vAlign w:val="bottom"/>
            <w:tcBorders>
              <w:right w:val="single" w:sz="8" w:color="007CBA"/>
            </w:tcBorders>
            <w:shd w:val="clear" w:color="auto" w:fill="E5F1F8"/>
          </w:tcPr>
          <w:p>
            <w:pPr>
              <w:spacing w:after="0"/>
              <w:rPr>
                <w:sz w:val="14"/>
                <w:szCs w:val="14"/>
                <w:color w:val="auto"/>
              </w:rPr>
            </w:pPr>
          </w:p>
        </w:tc>
        <w:tc>
          <w:tcPr>
            <w:tcW w:w="1040" w:type="dxa"/>
            <w:vAlign w:val="bottom"/>
            <w:tcBorders>
              <w:right w:val="single" w:sz="8" w:color="007CBA"/>
            </w:tcBorders>
            <w:shd w:val="clear" w:color="auto" w:fill="E5F1F8"/>
          </w:tcPr>
          <w:p>
            <w:pPr>
              <w:spacing w:after="0"/>
              <w:rPr>
                <w:sz w:val="14"/>
                <w:szCs w:val="14"/>
                <w:color w:val="auto"/>
              </w:rPr>
            </w:pPr>
          </w:p>
        </w:tc>
        <w:tc>
          <w:tcPr>
            <w:tcW w:w="980" w:type="dxa"/>
            <w:vAlign w:val="bottom"/>
            <w:tcBorders>
              <w:right w:val="single" w:sz="8" w:color="007CBA"/>
            </w:tcBorders>
            <w:shd w:val="clear" w:color="auto" w:fill="E5F1F8"/>
          </w:tcPr>
          <w:p>
            <w:pPr>
              <w:spacing w:after="0"/>
              <w:rPr>
                <w:sz w:val="14"/>
                <w:szCs w:val="14"/>
                <w:color w:val="auto"/>
              </w:rPr>
            </w:pPr>
          </w:p>
        </w:tc>
        <w:tc>
          <w:tcPr>
            <w:tcW w:w="980" w:type="dxa"/>
            <w:vAlign w:val="bottom"/>
            <w:tcBorders>
              <w:right w:val="single" w:sz="8" w:color="007CBA"/>
            </w:tcBorders>
            <w:shd w:val="clear" w:color="auto" w:fill="E5F1F8"/>
          </w:tcPr>
          <w:p>
            <w:pPr>
              <w:spacing w:after="0"/>
              <w:rPr>
                <w:sz w:val="14"/>
                <w:szCs w:val="14"/>
                <w:color w:val="auto"/>
              </w:rPr>
            </w:pPr>
          </w:p>
        </w:tc>
        <w:tc>
          <w:tcPr>
            <w:tcW w:w="1000" w:type="dxa"/>
            <w:vAlign w:val="bottom"/>
            <w:tcBorders>
              <w:right w:val="single" w:sz="8" w:color="007CBA"/>
            </w:tcBorders>
            <w:gridSpan w:val="2"/>
            <w:shd w:val="clear" w:color="auto" w:fill="E5F1F8"/>
          </w:tcPr>
          <w:p>
            <w:pPr>
              <w:jc w:val="right"/>
              <w:ind w:right="69"/>
              <w:spacing w:after="0"/>
              <w:rPr>
                <w:sz w:val="20"/>
                <w:szCs w:val="20"/>
                <w:color w:val="auto"/>
              </w:rPr>
            </w:pPr>
            <w:r>
              <w:rPr>
                <w:rFonts w:ascii="Arial" w:cs="Arial" w:eastAsia="Arial" w:hAnsi="Arial"/>
                <w:sz w:val="14"/>
                <w:szCs w:val="14"/>
                <w:color w:val="auto"/>
              </w:rPr>
              <w:t>2,821,040</w:t>
            </w:r>
          </w:p>
        </w:tc>
        <w:tc>
          <w:tcPr>
            <w:tcW w:w="0" w:type="dxa"/>
            <w:vAlign w:val="bottom"/>
          </w:tcPr>
          <w:p>
            <w:pPr>
              <w:spacing w:after="0"/>
              <w:rPr>
                <w:sz w:val="1"/>
                <w:szCs w:val="1"/>
                <w:color w:val="auto"/>
              </w:rPr>
            </w:pPr>
          </w:p>
        </w:tc>
      </w:tr>
      <w:tr>
        <w:trPr>
          <w:trHeight w:val="143"/>
        </w:trPr>
        <w:tc>
          <w:tcPr>
            <w:tcW w:w="2080" w:type="dxa"/>
            <w:vAlign w:val="bottom"/>
            <w:tcBorders>
              <w:left w:val="single" w:sz="8" w:color="007CBA"/>
              <w:right w:val="single" w:sz="8" w:color="007CBA"/>
            </w:tcBorders>
          </w:tcPr>
          <w:p>
            <w:pPr>
              <w:spacing w:after="0"/>
              <w:rPr>
                <w:sz w:val="12"/>
                <w:szCs w:val="12"/>
                <w:color w:val="auto"/>
              </w:rPr>
            </w:pPr>
          </w:p>
        </w:tc>
        <w:tc>
          <w:tcPr>
            <w:tcW w:w="80" w:type="dxa"/>
            <w:vAlign w:val="bottom"/>
          </w:tcPr>
          <w:p>
            <w:pPr>
              <w:spacing w:after="0"/>
              <w:rPr>
                <w:sz w:val="12"/>
                <w:szCs w:val="12"/>
                <w:color w:val="auto"/>
              </w:rPr>
            </w:pPr>
          </w:p>
        </w:tc>
        <w:tc>
          <w:tcPr>
            <w:tcW w:w="3900" w:type="dxa"/>
            <w:vAlign w:val="bottom"/>
            <w:tcBorders>
              <w:right w:val="single" w:sz="8" w:color="007CBA"/>
            </w:tcBorders>
          </w:tcPr>
          <w:p>
            <w:pPr>
              <w:spacing w:after="0" w:line="144" w:lineRule="exact"/>
              <w:rPr>
                <w:sz w:val="20"/>
                <w:szCs w:val="20"/>
                <w:color w:val="auto"/>
              </w:rPr>
            </w:pPr>
            <w:r>
              <w:rPr>
                <w:rFonts w:ascii="Arial" w:cs="Arial" w:eastAsia="Arial" w:hAnsi="Arial"/>
                <w:sz w:val="10"/>
                <w:szCs w:val="10"/>
                <w:color w:val="auto"/>
              </w:rPr>
              <w:t>Cash Severance</w:t>
            </w:r>
            <w:r>
              <w:rPr>
                <w:rFonts w:ascii="Arial" w:cs="Arial" w:eastAsia="Arial" w:hAnsi="Arial"/>
                <w:sz w:val="16"/>
                <w:szCs w:val="16"/>
                <w:color w:val="auto"/>
                <w:vertAlign w:val="superscript"/>
              </w:rPr>
              <w:t>3</w:t>
            </w:r>
          </w:p>
        </w:tc>
        <w:tc>
          <w:tcPr>
            <w:tcW w:w="840" w:type="dxa"/>
            <w:vAlign w:val="bottom"/>
          </w:tcPr>
          <w:p>
            <w:pPr>
              <w:spacing w:after="0"/>
              <w:rPr>
                <w:sz w:val="12"/>
                <w:szCs w:val="12"/>
                <w:color w:val="auto"/>
              </w:rPr>
            </w:pPr>
          </w:p>
        </w:tc>
        <w:tc>
          <w:tcPr>
            <w:tcW w:w="140" w:type="dxa"/>
            <w:vAlign w:val="bottom"/>
            <w:tcBorders>
              <w:right w:val="single" w:sz="8" w:color="007CBA"/>
            </w:tcBorders>
          </w:tcPr>
          <w:p>
            <w:pPr>
              <w:spacing w:after="0"/>
              <w:rPr>
                <w:sz w:val="12"/>
                <w:szCs w:val="12"/>
                <w:color w:val="auto"/>
              </w:rPr>
            </w:pPr>
          </w:p>
        </w:tc>
        <w:tc>
          <w:tcPr>
            <w:tcW w:w="1040" w:type="dxa"/>
            <w:vAlign w:val="bottom"/>
            <w:tcBorders>
              <w:right w:val="single" w:sz="8" w:color="007CBA"/>
            </w:tcBorders>
          </w:tcPr>
          <w:p>
            <w:pPr>
              <w:spacing w:after="0"/>
              <w:rPr>
                <w:sz w:val="12"/>
                <w:szCs w:val="12"/>
                <w:color w:val="auto"/>
              </w:rPr>
            </w:pPr>
          </w:p>
        </w:tc>
        <w:tc>
          <w:tcPr>
            <w:tcW w:w="980" w:type="dxa"/>
            <w:vAlign w:val="bottom"/>
            <w:tcBorders>
              <w:right w:val="single" w:sz="8" w:color="007CBA"/>
            </w:tcBorders>
          </w:tcPr>
          <w:p>
            <w:pPr>
              <w:spacing w:after="0"/>
              <w:rPr>
                <w:sz w:val="12"/>
                <w:szCs w:val="12"/>
                <w:color w:val="auto"/>
              </w:rPr>
            </w:pPr>
          </w:p>
        </w:tc>
        <w:tc>
          <w:tcPr>
            <w:tcW w:w="980" w:type="dxa"/>
            <w:vAlign w:val="bottom"/>
            <w:tcBorders>
              <w:right w:val="single" w:sz="8" w:color="007CBA"/>
            </w:tcBorders>
          </w:tcPr>
          <w:p>
            <w:pPr>
              <w:spacing w:after="0"/>
              <w:rPr>
                <w:sz w:val="12"/>
                <w:szCs w:val="12"/>
                <w:color w:val="auto"/>
              </w:rPr>
            </w:pPr>
          </w:p>
        </w:tc>
        <w:tc>
          <w:tcPr>
            <w:tcW w:w="1000" w:type="dxa"/>
            <w:vAlign w:val="bottom"/>
            <w:tcBorders>
              <w:right w:val="single" w:sz="8" w:color="007CBA"/>
            </w:tcBorders>
            <w:gridSpan w:val="2"/>
          </w:tcPr>
          <w:p>
            <w:pPr>
              <w:jc w:val="right"/>
              <w:ind w:right="69"/>
              <w:spacing w:after="0" w:line="143" w:lineRule="exact"/>
              <w:rPr>
                <w:sz w:val="20"/>
                <w:szCs w:val="20"/>
                <w:color w:val="auto"/>
              </w:rPr>
            </w:pPr>
            <w:r>
              <w:rPr>
                <w:rFonts w:ascii="Arial" w:cs="Arial" w:eastAsia="Arial" w:hAnsi="Arial"/>
                <w:sz w:val="14"/>
                <w:szCs w:val="14"/>
                <w:color w:val="auto"/>
              </w:rPr>
              <w:t>2,238,580</w:t>
            </w:r>
          </w:p>
        </w:tc>
        <w:tc>
          <w:tcPr>
            <w:tcW w:w="0" w:type="dxa"/>
            <w:vAlign w:val="bottom"/>
          </w:tcPr>
          <w:p>
            <w:pPr>
              <w:spacing w:after="0"/>
              <w:rPr>
                <w:sz w:val="1"/>
                <w:szCs w:val="1"/>
                <w:color w:val="auto"/>
              </w:rPr>
            </w:pPr>
          </w:p>
        </w:tc>
      </w:tr>
      <w:tr>
        <w:trPr>
          <w:trHeight w:val="162"/>
        </w:trPr>
        <w:tc>
          <w:tcPr>
            <w:tcW w:w="2080" w:type="dxa"/>
            <w:vAlign w:val="bottom"/>
            <w:tcBorders>
              <w:left w:val="single" w:sz="8" w:color="007CBA"/>
              <w:right w:val="single" w:sz="8" w:color="007CBA"/>
            </w:tcBorders>
          </w:tcPr>
          <w:p>
            <w:pPr>
              <w:spacing w:after="0"/>
              <w:rPr>
                <w:sz w:val="14"/>
                <w:szCs w:val="14"/>
                <w:color w:val="auto"/>
              </w:rPr>
            </w:pPr>
          </w:p>
        </w:tc>
        <w:tc>
          <w:tcPr>
            <w:tcW w:w="3980" w:type="dxa"/>
            <w:vAlign w:val="bottom"/>
            <w:tcBorders>
              <w:right w:val="single" w:sz="8" w:color="007CBA"/>
            </w:tcBorders>
            <w:gridSpan w:val="2"/>
          </w:tcPr>
          <w:p>
            <w:pPr>
              <w:ind w:left="80"/>
              <w:spacing w:after="0" w:line="162" w:lineRule="exact"/>
              <w:rPr>
                <w:sz w:val="20"/>
                <w:szCs w:val="20"/>
                <w:color w:val="auto"/>
              </w:rPr>
            </w:pPr>
            <w:r>
              <w:rPr>
                <w:rFonts w:ascii="Arial" w:cs="Arial" w:eastAsia="Arial" w:hAnsi="Arial"/>
                <w:sz w:val="11"/>
                <w:szCs w:val="11"/>
                <w:color w:val="auto"/>
              </w:rPr>
              <w:t>Unvested Restricted Stock Units</w:t>
            </w:r>
            <w:r>
              <w:rPr>
                <w:rFonts w:ascii="Arial" w:cs="Arial" w:eastAsia="Arial" w:hAnsi="Arial"/>
                <w:sz w:val="18"/>
                <w:szCs w:val="18"/>
                <w:color w:val="auto"/>
                <w:vertAlign w:val="superscript"/>
              </w:rPr>
              <w:t>4</w:t>
            </w:r>
          </w:p>
        </w:tc>
        <w:tc>
          <w:tcPr>
            <w:tcW w:w="840" w:type="dxa"/>
            <w:vAlign w:val="bottom"/>
          </w:tcPr>
          <w:p>
            <w:pPr>
              <w:jc w:val="right"/>
              <w:spacing w:after="0"/>
              <w:rPr>
                <w:sz w:val="20"/>
                <w:szCs w:val="20"/>
                <w:color w:val="auto"/>
              </w:rPr>
            </w:pPr>
            <w:r>
              <w:rPr>
                <w:rFonts w:ascii="Arial" w:cs="Arial" w:eastAsia="Arial" w:hAnsi="Arial"/>
                <w:sz w:val="14"/>
                <w:szCs w:val="14"/>
                <w:color w:val="auto"/>
              </w:rPr>
              <w:t>741,147</w:t>
            </w:r>
          </w:p>
        </w:tc>
        <w:tc>
          <w:tcPr>
            <w:tcW w:w="140" w:type="dxa"/>
            <w:vAlign w:val="bottom"/>
            <w:tcBorders>
              <w:right w:val="single" w:sz="8" w:color="007CBA"/>
            </w:tcBorders>
          </w:tcPr>
          <w:p>
            <w:pPr>
              <w:spacing w:after="0"/>
              <w:rPr>
                <w:sz w:val="14"/>
                <w:szCs w:val="14"/>
                <w:color w:val="auto"/>
              </w:rPr>
            </w:pPr>
          </w:p>
        </w:tc>
        <w:tc>
          <w:tcPr>
            <w:tcW w:w="1040" w:type="dxa"/>
            <w:vAlign w:val="bottom"/>
            <w:tcBorders>
              <w:right w:val="single" w:sz="8" w:color="007CBA"/>
            </w:tcBorders>
          </w:tcPr>
          <w:p>
            <w:pPr>
              <w:jc w:val="right"/>
              <w:ind w:right="68"/>
              <w:spacing w:after="0"/>
              <w:rPr>
                <w:sz w:val="20"/>
                <w:szCs w:val="20"/>
                <w:color w:val="auto"/>
              </w:rPr>
            </w:pPr>
            <w:r>
              <w:rPr>
                <w:rFonts w:ascii="Arial" w:cs="Arial" w:eastAsia="Arial" w:hAnsi="Arial"/>
                <w:sz w:val="14"/>
                <w:szCs w:val="14"/>
                <w:color w:val="auto"/>
              </w:rPr>
              <w:t>1,689,409</w:t>
            </w:r>
          </w:p>
        </w:tc>
        <w:tc>
          <w:tcPr>
            <w:tcW w:w="980" w:type="dxa"/>
            <w:vAlign w:val="bottom"/>
            <w:tcBorders>
              <w:right w:val="single" w:sz="8" w:color="007CBA"/>
            </w:tcBorders>
          </w:tcPr>
          <w:p>
            <w:pPr>
              <w:jc w:val="right"/>
              <w:ind w:right="68"/>
              <w:spacing w:after="0"/>
              <w:rPr>
                <w:sz w:val="20"/>
                <w:szCs w:val="20"/>
                <w:color w:val="auto"/>
              </w:rPr>
            </w:pPr>
            <w:r>
              <w:rPr>
                <w:rFonts w:ascii="Arial" w:cs="Arial" w:eastAsia="Arial" w:hAnsi="Arial"/>
                <w:sz w:val="14"/>
                <w:szCs w:val="14"/>
                <w:color w:val="auto"/>
              </w:rPr>
              <w:t>2,430,556</w:t>
            </w:r>
          </w:p>
        </w:tc>
        <w:tc>
          <w:tcPr>
            <w:tcW w:w="980" w:type="dxa"/>
            <w:vAlign w:val="bottom"/>
            <w:tcBorders>
              <w:right w:val="single" w:sz="8" w:color="007CBA"/>
            </w:tcBorders>
          </w:tcPr>
          <w:p>
            <w:pPr>
              <w:jc w:val="right"/>
              <w:ind w:right="48"/>
              <w:spacing w:after="0"/>
              <w:rPr>
                <w:sz w:val="20"/>
                <w:szCs w:val="20"/>
                <w:color w:val="auto"/>
              </w:rPr>
            </w:pPr>
            <w:r>
              <w:rPr>
                <w:rFonts w:ascii="Arial" w:cs="Arial" w:eastAsia="Arial" w:hAnsi="Arial"/>
                <w:sz w:val="14"/>
                <w:szCs w:val="14"/>
                <w:color w:val="auto"/>
              </w:rPr>
              <w:t>2,430,556</w:t>
            </w:r>
          </w:p>
        </w:tc>
        <w:tc>
          <w:tcPr>
            <w:tcW w:w="1000" w:type="dxa"/>
            <w:vAlign w:val="bottom"/>
            <w:tcBorders>
              <w:right w:val="single" w:sz="8" w:color="007CBA"/>
            </w:tcBorders>
            <w:gridSpan w:val="2"/>
          </w:tcPr>
          <w:p>
            <w:pPr>
              <w:jc w:val="right"/>
              <w:ind w:right="69"/>
              <w:spacing w:after="0"/>
              <w:rPr>
                <w:sz w:val="20"/>
                <w:szCs w:val="20"/>
                <w:color w:val="auto"/>
              </w:rPr>
            </w:pPr>
            <w:r>
              <w:rPr>
                <w:rFonts w:ascii="Arial" w:cs="Arial" w:eastAsia="Arial" w:hAnsi="Arial"/>
                <w:sz w:val="14"/>
                <w:szCs w:val="14"/>
                <w:color w:val="auto"/>
              </w:rPr>
              <w:t>2,430,556</w:t>
            </w:r>
          </w:p>
        </w:tc>
        <w:tc>
          <w:tcPr>
            <w:tcW w:w="0" w:type="dxa"/>
            <w:vAlign w:val="bottom"/>
          </w:tcPr>
          <w:p>
            <w:pPr>
              <w:spacing w:after="0"/>
              <w:rPr>
                <w:sz w:val="1"/>
                <w:szCs w:val="1"/>
                <w:color w:val="auto"/>
              </w:rPr>
            </w:pPr>
          </w:p>
        </w:tc>
      </w:tr>
      <w:tr>
        <w:trPr>
          <w:trHeight w:val="162"/>
        </w:trPr>
        <w:tc>
          <w:tcPr>
            <w:tcW w:w="2080" w:type="dxa"/>
            <w:vAlign w:val="bottom"/>
            <w:tcBorders>
              <w:left w:val="single" w:sz="8" w:color="007CBA"/>
              <w:right w:val="single" w:sz="8" w:color="007CBA"/>
            </w:tcBorders>
          </w:tcPr>
          <w:p>
            <w:pPr>
              <w:spacing w:after="0"/>
              <w:rPr>
                <w:sz w:val="14"/>
                <w:szCs w:val="14"/>
                <w:color w:val="auto"/>
              </w:rPr>
            </w:pPr>
          </w:p>
        </w:tc>
        <w:tc>
          <w:tcPr>
            <w:tcW w:w="3980" w:type="dxa"/>
            <w:vAlign w:val="bottom"/>
            <w:tcBorders>
              <w:right w:val="single" w:sz="8" w:color="007CBA"/>
            </w:tcBorders>
            <w:gridSpan w:val="2"/>
          </w:tcPr>
          <w:p>
            <w:pPr>
              <w:ind w:left="80"/>
              <w:spacing w:after="0" w:line="162" w:lineRule="exact"/>
              <w:rPr>
                <w:sz w:val="20"/>
                <w:szCs w:val="20"/>
                <w:color w:val="auto"/>
              </w:rPr>
            </w:pPr>
            <w:r>
              <w:rPr>
                <w:rFonts w:ascii="Arial" w:cs="Arial" w:eastAsia="Arial" w:hAnsi="Arial"/>
                <w:sz w:val="11"/>
                <w:szCs w:val="11"/>
                <w:color w:val="auto"/>
              </w:rPr>
              <w:t>Unexercisable Options</w:t>
            </w:r>
            <w:r>
              <w:rPr>
                <w:rFonts w:ascii="Arial" w:cs="Arial" w:eastAsia="Arial" w:hAnsi="Arial"/>
                <w:sz w:val="18"/>
                <w:szCs w:val="18"/>
                <w:color w:val="auto"/>
                <w:vertAlign w:val="superscript"/>
              </w:rPr>
              <w:t>5</w:t>
            </w:r>
          </w:p>
        </w:tc>
        <w:tc>
          <w:tcPr>
            <w:tcW w:w="840" w:type="dxa"/>
            <w:vAlign w:val="bottom"/>
          </w:tcPr>
          <w:p>
            <w:pPr>
              <w:jc w:val="right"/>
              <w:spacing w:after="0"/>
              <w:rPr>
                <w:sz w:val="20"/>
                <w:szCs w:val="20"/>
                <w:color w:val="auto"/>
              </w:rPr>
            </w:pPr>
            <w:r>
              <w:rPr>
                <w:rFonts w:ascii="Arial" w:cs="Arial" w:eastAsia="Arial" w:hAnsi="Arial"/>
                <w:sz w:val="14"/>
                <w:szCs w:val="14"/>
                <w:color w:val="auto"/>
              </w:rPr>
              <w:t>88,557</w:t>
            </w:r>
          </w:p>
        </w:tc>
        <w:tc>
          <w:tcPr>
            <w:tcW w:w="140" w:type="dxa"/>
            <w:vAlign w:val="bottom"/>
            <w:tcBorders>
              <w:right w:val="single" w:sz="8" w:color="007CBA"/>
            </w:tcBorders>
          </w:tcPr>
          <w:p>
            <w:pPr>
              <w:spacing w:after="0"/>
              <w:rPr>
                <w:sz w:val="14"/>
                <w:szCs w:val="14"/>
                <w:color w:val="auto"/>
              </w:rPr>
            </w:pPr>
          </w:p>
        </w:tc>
        <w:tc>
          <w:tcPr>
            <w:tcW w:w="1040" w:type="dxa"/>
            <w:vAlign w:val="bottom"/>
            <w:tcBorders>
              <w:right w:val="single" w:sz="8" w:color="007CBA"/>
            </w:tcBorders>
          </w:tcPr>
          <w:p>
            <w:pPr>
              <w:spacing w:after="0"/>
              <w:rPr>
                <w:sz w:val="14"/>
                <w:szCs w:val="14"/>
                <w:color w:val="auto"/>
              </w:rPr>
            </w:pPr>
          </w:p>
        </w:tc>
        <w:tc>
          <w:tcPr>
            <w:tcW w:w="980" w:type="dxa"/>
            <w:vAlign w:val="bottom"/>
            <w:tcBorders>
              <w:right w:val="single" w:sz="8" w:color="007CBA"/>
            </w:tcBorders>
          </w:tcPr>
          <w:p>
            <w:pPr>
              <w:jc w:val="right"/>
              <w:ind w:right="68"/>
              <w:spacing w:after="0"/>
              <w:rPr>
                <w:sz w:val="20"/>
                <w:szCs w:val="20"/>
                <w:color w:val="auto"/>
              </w:rPr>
            </w:pPr>
            <w:r>
              <w:rPr>
                <w:rFonts w:ascii="Arial" w:cs="Arial" w:eastAsia="Arial" w:hAnsi="Arial"/>
                <w:sz w:val="14"/>
                <w:szCs w:val="14"/>
                <w:color w:val="auto"/>
              </w:rPr>
              <w:t>88,557</w:t>
            </w:r>
          </w:p>
        </w:tc>
        <w:tc>
          <w:tcPr>
            <w:tcW w:w="980" w:type="dxa"/>
            <w:vAlign w:val="bottom"/>
            <w:tcBorders>
              <w:right w:val="single" w:sz="8" w:color="007CBA"/>
            </w:tcBorders>
          </w:tcPr>
          <w:p>
            <w:pPr>
              <w:jc w:val="right"/>
              <w:ind w:right="48"/>
              <w:spacing w:after="0"/>
              <w:rPr>
                <w:sz w:val="20"/>
                <w:szCs w:val="20"/>
                <w:color w:val="auto"/>
              </w:rPr>
            </w:pPr>
            <w:r>
              <w:rPr>
                <w:rFonts w:ascii="Arial" w:cs="Arial" w:eastAsia="Arial" w:hAnsi="Arial"/>
                <w:sz w:val="14"/>
                <w:szCs w:val="14"/>
                <w:color w:val="auto"/>
              </w:rPr>
              <w:t>88,557</w:t>
            </w:r>
          </w:p>
        </w:tc>
        <w:tc>
          <w:tcPr>
            <w:tcW w:w="1000" w:type="dxa"/>
            <w:vAlign w:val="bottom"/>
            <w:tcBorders>
              <w:right w:val="single" w:sz="8" w:color="007CBA"/>
            </w:tcBorders>
            <w:gridSpan w:val="2"/>
          </w:tcPr>
          <w:p>
            <w:pPr>
              <w:jc w:val="right"/>
              <w:ind w:right="69"/>
              <w:spacing w:after="0"/>
              <w:rPr>
                <w:sz w:val="20"/>
                <w:szCs w:val="20"/>
                <w:color w:val="auto"/>
              </w:rPr>
            </w:pPr>
            <w:r>
              <w:rPr>
                <w:rFonts w:ascii="Arial" w:cs="Arial" w:eastAsia="Arial" w:hAnsi="Arial"/>
                <w:sz w:val="14"/>
                <w:szCs w:val="14"/>
                <w:color w:val="auto"/>
              </w:rPr>
              <w:t>88,557</w:t>
            </w:r>
          </w:p>
        </w:tc>
        <w:tc>
          <w:tcPr>
            <w:tcW w:w="0" w:type="dxa"/>
            <w:vAlign w:val="bottom"/>
          </w:tcPr>
          <w:p>
            <w:pPr>
              <w:spacing w:after="0"/>
              <w:rPr>
                <w:sz w:val="1"/>
                <w:szCs w:val="1"/>
                <w:color w:val="auto"/>
              </w:rPr>
            </w:pPr>
          </w:p>
        </w:tc>
      </w:tr>
      <w:tr>
        <w:trPr>
          <w:trHeight w:val="162"/>
        </w:trPr>
        <w:tc>
          <w:tcPr>
            <w:tcW w:w="2080" w:type="dxa"/>
            <w:vAlign w:val="bottom"/>
            <w:tcBorders>
              <w:left w:val="single" w:sz="8" w:color="007CBA"/>
              <w:right w:val="single" w:sz="8" w:color="007CBA"/>
            </w:tcBorders>
            <w:vMerge w:val="restart"/>
          </w:tcPr>
          <w:p>
            <w:pPr>
              <w:ind w:left="220"/>
              <w:spacing w:after="0"/>
              <w:rPr>
                <w:sz w:val="20"/>
                <w:szCs w:val="20"/>
                <w:color w:val="auto"/>
              </w:rPr>
            </w:pPr>
            <w:r>
              <w:rPr>
                <w:rFonts w:ascii="Arial" w:cs="Arial" w:eastAsia="Arial" w:hAnsi="Arial"/>
                <w:sz w:val="14"/>
                <w:szCs w:val="14"/>
                <w:b w:val="1"/>
                <w:bCs w:val="1"/>
                <w:color w:val="auto"/>
              </w:rPr>
              <w:t>Daniel L. Grant</w:t>
            </w:r>
            <w:r>
              <w:rPr>
                <w:rFonts w:ascii="Arial" w:cs="Arial" w:eastAsia="Arial" w:hAnsi="Arial"/>
                <w:sz w:val="24"/>
                <w:szCs w:val="24"/>
                <w:b w:val="1"/>
                <w:bCs w:val="1"/>
                <w:color w:val="auto"/>
                <w:vertAlign w:val="superscript"/>
              </w:rPr>
              <w:t>11</w:t>
            </w:r>
          </w:p>
        </w:tc>
        <w:tc>
          <w:tcPr>
            <w:tcW w:w="3980" w:type="dxa"/>
            <w:vAlign w:val="bottom"/>
            <w:tcBorders>
              <w:right w:val="single" w:sz="8" w:color="007CBA"/>
            </w:tcBorders>
            <w:gridSpan w:val="2"/>
          </w:tcPr>
          <w:p>
            <w:pPr>
              <w:ind w:left="80"/>
              <w:spacing w:after="0" w:line="162" w:lineRule="exact"/>
              <w:rPr>
                <w:sz w:val="20"/>
                <w:szCs w:val="20"/>
                <w:color w:val="auto"/>
              </w:rPr>
            </w:pPr>
            <w:r>
              <w:rPr>
                <w:rFonts w:ascii="Arial" w:cs="Arial" w:eastAsia="Arial" w:hAnsi="Arial"/>
                <w:sz w:val="11"/>
                <w:szCs w:val="11"/>
                <w:color w:val="auto"/>
              </w:rPr>
              <w:t>Unvested Incentive Stock Plan Units</w:t>
            </w:r>
            <w:r>
              <w:rPr>
                <w:rFonts w:ascii="Arial" w:cs="Arial" w:eastAsia="Arial" w:hAnsi="Arial"/>
                <w:sz w:val="18"/>
                <w:szCs w:val="18"/>
                <w:color w:val="auto"/>
                <w:vertAlign w:val="superscript"/>
              </w:rPr>
              <w:t>6</w:t>
            </w:r>
          </w:p>
        </w:tc>
        <w:tc>
          <w:tcPr>
            <w:tcW w:w="840" w:type="dxa"/>
            <w:vAlign w:val="bottom"/>
          </w:tcPr>
          <w:p>
            <w:pPr>
              <w:jc w:val="right"/>
              <w:spacing w:after="0"/>
              <w:rPr>
                <w:sz w:val="20"/>
                <w:szCs w:val="20"/>
                <w:color w:val="auto"/>
              </w:rPr>
            </w:pPr>
            <w:r>
              <w:rPr>
                <w:rFonts w:ascii="Arial" w:cs="Arial" w:eastAsia="Arial" w:hAnsi="Arial"/>
                <w:sz w:val="14"/>
                <w:szCs w:val="14"/>
                <w:color w:val="auto"/>
              </w:rPr>
              <w:t>113,477</w:t>
            </w:r>
          </w:p>
        </w:tc>
        <w:tc>
          <w:tcPr>
            <w:tcW w:w="140" w:type="dxa"/>
            <w:vAlign w:val="bottom"/>
            <w:tcBorders>
              <w:right w:val="single" w:sz="8" w:color="007CBA"/>
            </w:tcBorders>
          </w:tcPr>
          <w:p>
            <w:pPr>
              <w:spacing w:after="0"/>
              <w:rPr>
                <w:sz w:val="14"/>
                <w:szCs w:val="14"/>
                <w:color w:val="auto"/>
              </w:rPr>
            </w:pPr>
          </w:p>
        </w:tc>
        <w:tc>
          <w:tcPr>
            <w:tcW w:w="1040" w:type="dxa"/>
            <w:vAlign w:val="bottom"/>
            <w:tcBorders>
              <w:right w:val="single" w:sz="8" w:color="007CBA"/>
            </w:tcBorders>
          </w:tcPr>
          <w:p>
            <w:pPr>
              <w:jc w:val="right"/>
              <w:ind w:right="68"/>
              <w:spacing w:after="0"/>
              <w:rPr>
                <w:sz w:val="20"/>
                <w:szCs w:val="20"/>
                <w:color w:val="auto"/>
              </w:rPr>
            </w:pPr>
            <w:r>
              <w:rPr>
                <w:rFonts w:ascii="Arial" w:cs="Arial" w:eastAsia="Arial" w:hAnsi="Arial"/>
                <w:sz w:val="14"/>
                <w:szCs w:val="14"/>
                <w:color w:val="auto"/>
              </w:rPr>
              <w:t>62,550</w:t>
            </w:r>
          </w:p>
        </w:tc>
        <w:tc>
          <w:tcPr>
            <w:tcW w:w="980" w:type="dxa"/>
            <w:vAlign w:val="bottom"/>
            <w:tcBorders>
              <w:right w:val="single" w:sz="8" w:color="007CBA"/>
            </w:tcBorders>
          </w:tcPr>
          <w:p>
            <w:pPr>
              <w:jc w:val="right"/>
              <w:ind w:right="68"/>
              <w:spacing w:after="0"/>
              <w:rPr>
                <w:sz w:val="20"/>
                <w:szCs w:val="20"/>
                <w:color w:val="auto"/>
              </w:rPr>
            </w:pPr>
            <w:r>
              <w:rPr>
                <w:rFonts w:ascii="Arial" w:cs="Arial" w:eastAsia="Arial" w:hAnsi="Arial"/>
                <w:sz w:val="14"/>
                <w:szCs w:val="14"/>
                <w:color w:val="auto"/>
              </w:rPr>
              <w:t>113,477</w:t>
            </w:r>
          </w:p>
        </w:tc>
        <w:tc>
          <w:tcPr>
            <w:tcW w:w="980" w:type="dxa"/>
            <w:vAlign w:val="bottom"/>
            <w:tcBorders>
              <w:right w:val="single" w:sz="8" w:color="007CBA"/>
            </w:tcBorders>
          </w:tcPr>
          <w:p>
            <w:pPr>
              <w:jc w:val="right"/>
              <w:ind w:right="48"/>
              <w:spacing w:after="0"/>
              <w:rPr>
                <w:sz w:val="20"/>
                <w:szCs w:val="20"/>
                <w:color w:val="auto"/>
              </w:rPr>
            </w:pPr>
            <w:r>
              <w:rPr>
                <w:rFonts w:ascii="Arial" w:cs="Arial" w:eastAsia="Arial" w:hAnsi="Arial"/>
                <w:sz w:val="14"/>
                <w:szCs w:val="14"/>
                <w:color w:val="auto"/>
              </w:rPr>
              <w:t>113,477</w:t>
            </w:r>
          </w:p>
        </w:tc>
        <w:tc>
          <w:tcPr>
            <w:tcW w:w="1000" w:type="dxa"/>
            <w:vAlign w:val="bottom"/>
            <w:tcBorders>
              <w:right w:val="single" w:sz="8" w:color="007CBA"/>
            </w:tcBorders>
            <w:gridSpan w:val="2"/>
          </w:tcPr>
          <w:p>
            <w:pPr>
              <w:jc w:val="right"/>
              <w:ind w:right="69"/>
              <w:spacing w:after="0"/>
              <w:rPr>
                <w:sz w:val="20"/>
                <w:szCs w:val="20"/>
                <w:color w:val="auto"/>
              </w:rPr>
            </w:pPr>
            <w:r>
              <w:rPr>
                <w:rFonts w:ascii="Arial" w:cs="Arial" w:eastAsia="Arial" w:hAnsi="Arial"/>
                <w:sz w:val="14"/>
                <w:szCs w:val="14"/>
                <w:color w:val="auto"/>
              </w:rPr>
              <w:t>113,477</w:t>
            </w:r>
          </w:p>
        </w:tc>
        <w:tc>
          <w:tcPr>
            <w:tcW w:w="0" w:type="dxa"/>
            <w:vAlign w:val="bottom"/>
          </w:tcPr>
          <w:p>
            <w:pPr>
              <w:spacing w:after="0"/>
              <w:rPr>
                <w:sz w:val="1"/>
                <w:szCs w:val="1"/>
                <w:color w:val="auto"/>
              </w:rPr>
            </w:pPr>
          </w:p>
        </w:tc>
      </w:tr>
      <w:tr>
        <w:trPr>
          <w:trHeight w:val="162"/>
        </w:trPr>
        <w:tc>
          <w:tcPr>
            <w:tcW w:w="2080" w:type="dxa"/>
            <w:vAlign w:val="bottom"/>
            <w:tcBorders>
              <w:left w:val="single" w:sz="8" w:color="007CBA"/>
              <w:right w:val="single" w:sz="8" w:color="007CBA"/>
            </w:tcBorders>
            <w:vMerge w:val="continue"/>
          </w:tcPr>
          <w:p>
            <w:pPr>
              <w:spacing w:after="0"/>
              <w:rPr>
                <w:sz w:val="14"/>
                <w:szCs w:val="14"/>
                <w:color w:val="auto"/>
              </w:rPr>
            </w:pPr>
          </w:p>
        </w:tc>
        <w:tc>
          <w:tcPr>
            <w:tcW w:w="3980" w:type="dxa"/>
            <w:vAlign w:val="bottom"/>
            <w:tcBorders>
              <w:right w:val="single" w:sz="8" w:color="007CBA"/>
            </w:tcBorders>
            <w:gridSpan w:val="2"/>
          </w:tcPr>
          <w:p>
            <w:pPr>
              <w:ind w:left="80"/>
              <w:spacing w:after="0" w:line="162" w:lineRule="exact"/>
              <w:rPr>
                <w:sz w:val="20"/>
                <w:szCs w:val="20"/>
                <w:color w:val="auto"/>
              </w:rPr>
            </w:pPr>
            <w:r>
              <w:rPr>
                <w:rFonts w:ascii="Arial" w:cs="Arial" w:eastAsia="Arial" w:hAnsi="Arial"/>
                <w:sz w:val="11"/>
                <w:szCs w:val="11"/>
                <w:color w:val="auto"/>
              </w:rPr>
              <w:t>Performance Shares</w:t>
            </w:r>
            <w:r>
              <w:rPr>
                <w:rFonts w:ascii="Arial" w:cs="Arial" w:eastAsia="Arial" w:hAnsi="Arial"/>
                <w:sz w:val="18"/>
                <w:szCs w:val="18"/>
                <w:color w:val="auto"/>
                <w:vertAlign w:val="superscript"/>
              </w:rPr>
              <w:t>7</w:t>
            </w:r>
          </w:p>
        </w:tc>
        <w:tc>
          <w:tcPr>
            <w:tcW w:w="840" w:type="dxa"/>
            <w:vAlign w:val="bottom"/>
          </w:tcPr>
          <w:p>
            <w:pPr>
              <w:jc w:val="right"/>
              <w:spacing w:after="0"/>
              <w:rPr>
                <w:sz w:val="20"/>
                <w:szCs w:val="20"/>
                <w:color w:val="auto"/>
              </w:rPr>
            </w:pPr>
            <w:r>
              <w:rPr>
                <w:rFonts w:ascii="Arial" w:cs="Arial" w:eastAsia="Arial" w:hAnsi="Arial"/>
                <w:sz w:val="14"/>
                <w:szCs w:val="14"/>
                <w:color w:val="auto"/>
              </w:rPr>
              <w:t>1,020,542</w:t>
            </w:r>
          </w:p>
        </w:tc>
        <w:tc>
          <w:tcPr>
            <w:tcW w:w="140" w:type="dxa"/>
            <w:vAlign w:val="bottom"/>
            <w:tcBorders>
              <w:right w:val="single" w:sz="8" w:color="007CBA"/>
            </w:tcBorders>
          </w:tcPr>
          <w:p>
            <w:pPr>
              <w:spacing w:after="0"/>
              <w:rPr>
                <w:sz w:val="14"/>
                <w:szCs w:val="14"/>
                <w:color w:val="auto"/>
              </w:rPr>
            </w:pPr>
          </w:p>
        </w:tc>
        <w:tc>
          <w:tcPr>
            <w:tcW w:w="1040" w:type="dxa"/>
            <w:vAlign w:val="bottom"/>
            <w:tcBorders>
              <w:right w:val="single" w:sz="8" w:color="007CBA"/>
            </w:tcBorders>
          </w:tcPr>
          <w:p>
            <w:pPr>
              <w:spacing w:after="0"/>
              <w:rPr>
                <w:sz w:val="14"/>
                <w:szCs w:val="14"/>
                <w:color w:val="auto"/>
              </w:rPr>
            </w:pPr>
          </w:p>
        </w:tc>
        <w:tc>
          <w:tcPr>
            <w:tcW w:w="980" w:type="dxa"/>
            <w:vAlign w:val="bottom"/>
            <w:tcBorders>
              <w:right w:val="single" w:sz="8" w:color="007CBA"/>
            </w:tcBorders>
          </w:tcPr>
          <w:p>
            <w:pPr>
              <w:jc w:val="right"/>
              <w:ind w:right="68"/>
              <w:spacing w:after="0"/>
              <w:rPr>
                <w:sz w:val="20"/>
                <w:szCs w:val="20"/>
                <w:color w:val="auto"/>
              </w:rPr>
            </w:pPr>
            <w:r>
              <w:rPr>
                <w:rFonts w:ascii="Arial" w:cs="Arial" w:eastAsia="Arial" w:hAnsi="Arial"/>
                <w:sz w:val="14"/>
                <w:szCs w:val="14"/>
                <w:color w:val="auto"/>
              </w:rPr>
              <w:t>1,020,542</w:t>
            </w:r>
          </w:p>
        </w:tc>
        <w:tc>
          <w:tcPr>
            <w:tcW w:w="980" w:type="dxa"/>
            <w:vAlign w:val="bottom"/>
            <w:tcBorders>
              <w:right w:val="single" w:sz="8" w:color="007CBA"/>
            </w:tcBorders>
          </w:tcPr>
          <w:p>
            <w:pPr>
              <w:jc w:val="right"/>
              <w:ind w:right="48"/>
              <w:spacing w:after="0"/>
              <w:rPr>
                <w:sz w:val="20"/>
                <w:szCs w:val="20"/>
                <w:color w:val="auto"/>
              </w:rPr>
            </w:pPr>
            <w:r>
              <w:rPr>
                <w:rFonts w:ascii="Arial" w:cs="Arial" w:eastAsia="Arial" w:hAnsi="Arial"/>
                <w:sz w:val="14"/>
                <w:szCs w:val="14"/>
                <w:color w:val="auto"/>
              </w:rPr>
              <w:t>1,020,542</w:t>
            </w:r>
          </w:p>
        </w:tc>
        <w:tc>
          <w:tcPr>
            <w:tcW w:w="1000" w:type="dxa"/>
            <w:vAlign w:val="bottom"/>
            <w:tcBorders>
              <w:right w:val="single" w:sz="8" w:color="007CBA"/>
            </w:tcBorders>
            <w:gridSpan w:val="2"/>
          </w:tcPr>
          <w:p>
            <w:pPr>
              <w:jc w:val="right"/>
              <w:ind w:right="69"/>
              <w:spacing w:after="0"/>
              <w:rPr>
                <w:sz w:val="20"/>
                <w:szCs w:val="20"/>
                <w:color w:val="auto"/>
              </w:rPr>
            </w:pPr>
            <w:r>
              <w:rPr>
                <w:rFonts w:ascii="Arial" w:cs="Arial" w:eastAsia="Arial" w:hAnsi="Arial"/>
                <w:sz w:val="14"/>
                <w:szCs w:val="14"/>
                <w:color w:val="auto"/>
              </w:rPr>
              <w:t>1,020,542</w:t>
            </w:r>
          </w:p>
        </w:tc>
        <w:tc>
          <w:tcPr>
            <w:tcW w:w="0" w:type="dxa"/>
            <w:vAlign w:val="bottom"/>
          </w:tcPr>
          <w:p>
            <w:pPr>
              <w:spacing w:after="0"/>
              <w:rPr>
                <w:sz w:val="1"/>
                <w:szCs w:val="1"/>
                <w:color w:val="auto"/>
              </w:rPr>
            </w:pPr>
          </w:p>
        </w:tc>
      </w:tr>
      <w:tr>
        <w:trPr>
          <w:trHeight w:val="162"/>
        </w:trPr>
        <w:tc>
          <w:tcPr>
            <w:tcW w:w="2080" w:type="dxa"/>
            <w:vAlign w:val="bottom"/>
            <w:tcBorders>
              <w:left w:val="single" w:sz="8" w:color="007CBA"/>
              <w:right w:val="single" w:sz="8" w:color="007CBA"/>
            </w:tcBorders>
          </w:tcPr>
          <w:p>
            <w:pPr>
              <w:spacing w:after="0"/>
              <w:rPr>
                <w:sz w:val="14"/>
                <w:szCs w:val="14"/>
                <w:color w:val="auto"/>
              </w:rPr>
            </w:pPr>
          </w:p>
        </w:tc>
        <w:tc>
          <w:tcPr>
            <w:tcW w:w="3980" w:type="dxa"/>
            <w:vAlign w:val="bottom"/>
            <w:tcBorders>
              <w:right w:val="single" w:sz="8" w:color="007CBA"/>
            </w:tcBorders>
            <w:gridSpan w:val="2"/>
          </w:tcPr>
          <w:p>
            <w:pPr>
              <w:ind w:left="80"/>
              <w:spacing w:after="0" w:line="162" w:lineRule="exact"/>
              <w:rPr>
                <w:sz w:val="20"/>
                <w:szCs w:val="20"/>
                <w:color w:val="auto"/>
              </w:rPr>
            </w:pPr>
            <w:r>
              <w:rPr>
                <w:rFonts w:ascii="Arial" w:cs="Arial" w:eastAsia="Arial" w:hAnsi="Arial"/>
                <w:sz w:val="11"/>
                <w:szCs w:val="11"/>
                <w:color w:val="auto"/>
              </w:rPr>
              <w:t>Retirement Plans</w:t>
            </w:r>
            <w:r>
              <w:rPr>
                <w:rFonts w:ascii="Arial" w:cs="Arial" w:eastAsia="Arial" w:hAnsi="Arial"/>
                <w:sz w:val="18"/>
                <w:szCs w:val="18"/>
                <w:color w:val="auto"/>
                <w:vertAlign w:val="superscript"/>
              </w:rPr>
              <w:t>8</w:t>
            </w:r>
          </w:p>
        </w:tc>
        <w:tc>
          <w:tcPr>
            <w:tcW w:w="840" w:type="dxa"/>
            <w:vAlign w:val="bottom"/>
          </w:tcPr>
          <w:p>
            <w:pPr>
              <w:spacing w:after="0"/>
              <w:rPr>
                <w:sz w:val="14"/>
                <w:szCs w:val="14"/>
                <w:color w:val="auto"/>
              </w:rPr>
            </w:pPr>
          </w:p>
        </w:tc>
        <w:tc>
          <w:tcPr>
            <w:tcW w:w="140" w:type="dxa"/>
            <w:vAlign w:val="bottom"/>
            <w:tcBorders>
              <w:right w:val="single" w:sz="8" w:color="007CBA"/>
            </w:tcBorders>
          </w:tcPr>
          <w:p>
            <w:pPr>
              <w:spacing w:after="0"/>
              <w:rPr>
                <w:sz w:val="14"/>
                <w:szCs w:val="14"/>
                <w:color w:val="auto"/>
              </w:rPr>
            </w:pPr>
          </w:p>
        </w:tc>
        <w:tc>
          <w:tcPr>
            <w:tcW w:w="1040" w:type="dxa"/>
            <w:vAlign w:val="bottom"/>
            <w:tcBorders>
              <w:right w:val="single" w:sz="8" w:color="007CBA"/>
            </w:tcBorders>
          </w:tcPr>
          <w:p>
            <w:pPr>
              <w:spacing w:after="0"/>
              <w:rPr>
                <w:sz w:val="14"/>
                <w:szCs w:val="14"/>
                <w:color w:val="auto"/>
              </w:rPr>
            </w:pPr>
          </w:p>
        </w:tc>
        <w:tc>
          <w:tcPr>
            <w:tcW w:w="980" w:type="dxa"/>
            <w:vAlign w:val="bottom"/>
            <w:tcBorders>
              <w:right w:val="single" w:sz="8" w:color="007CBA"/>
            </w:tcBorders>
          </w:tcPr>
          <w:p>
            <w:pPr>
              <w:jc w:val="right"/>
              <w:ind w:right="68"/>
              <w:spacing w:after="0"/>
              <w:rPr>
                <w:sz w:val="20"/>
                <w:szCs w:val="20"/>
                <w:color w:val="auto"/>
              </w:rPr>
            </w:pPr>
            <w:r>
              <w:rPr>
                <w:rFonts w:ascii="Arial" w:cs="Arial" w:eastAsia="Arial" w:hAnsi="Arial"/>
                <w:sz w:val="14"/>
                <w:szCs w:val="14"/>
                <w:color w:val="auto"/>
              </w:rPr>
              <w:t>377,648</w:t>
            </w:r>
          </w:p>
        </w:tc>
        <w:tc>
          <w:tcPr>
            <w:tcW w:w="980" w:type="dxa"/>
            <w:vAlign w:val="bottom"/>
            <w:tcBorders>
              <w:right w:val="single" w:sz="8" w:color="007CBA"/>
            </w:tcBorders>
          </w:tcPr>
          <w:p>
            <w:pPr>
              <w:jc w:val="right"/>
              <w:ind w:right="48"/>
              <w:spacing w:after="0"/>
              <w:rPr>
                <w:sz w:val="20"/>
                <w:szCs w:val="20"/>
                <w:color w:val="auto"/>
              </w:rPr>
            </w:pPr>
            <w:r>
              <w:rPr>
                <w:rFonts w:ascii="Arial" w:cs="Arial" w:eastAsia="Arial" w:hAnsi="Arial"/>
                <w:sz w:val="14"/>
                <w:szCs w:val="14"/>
                <w:color w:val="auto"/>
              </w:rPr>
              <w:t>0</w:t>
            </w:r>
          </w:p>
        </w:tc>
        <w:tc>
          <w:tcPr>
            <w:tcW w:w="1000" w:type="dxa"/>
            <w:vAlign w:val="bottom"/>
            <w:tcBorders>
              <w:right w:val="single" w:sz="8" w:color="007CBA"/>
            </w:tcBorders>
            <w:gridSpan w:val="2"/>
          </w:tcPr>
          <w:p>
            <w:pPr>
              <w:jc w:val="right"/>
              <w:ind w:right="69"/>
              <w:spacing w:after="0"/>
              <w:rPr>
                <w:sz w:val="20"/>
                <w:szCs w:val="20"/>
                <w:color w:val="auto"/>
              </w:rPr>
            </w:pPr>
            <w:r>
              <w:rPr>
                <w:rFonts w:ascii="Arial" w:cs="Arial" w:eastAsia="Arial" w:hAnsi="Arial"/>
                <w:sz w:val="14"/>
                <w:szCs w:val="14"/>
                <w:color w:val="auto"/>
              </w:rPr>
              <w:t>959,816</w:t>
            </w:r>
          </w:p>
        </w:tc>
        <w:tc>
          <w:tcPr>
            <w:tcW w:w="0" w:type="dxa"/>
            <w:vAlign w:val="bottom"/>
          </w:tcPr>
          <w:p>
            <w:pPr>
              <w:spacing w:after="0"/>
              <w:rPr>
                <w:sz w:val="1"/>
                <w:szCs w:val="1"/>
                <w:color w:val="auto"/>
              </w:rPr>
            </w:pPr>
          </w:p>
        </w:tc>
      </w:tr>
      <w:tr>
        <w:trPr>
          <w:trHeight w:val="162"/>
        </w:trPr>
        <w:tc>
          <w:tcPr>
            <w:tcW w:w="2080" w:type="dxa"/>
            <w:vAlign w:val="bottom"/>
            <w:tcBorders>
              <w:left w:val="single" w:sz="8" w:color="007CBA"/>
              <w:right w:val="single" w:sz="8" w:color="007CBA"/>
            </w:tcBorders>
          </w:tcPr>
          <w:p>
            <w:pPr>
              <w:spacing w:after="0"/>
              <w:rPr>
                <w:sz w:val="14"/>
                <w:szCs w:val="14"/>
                <w:color w:val="auto"/>
              </w:rPr>
            </w:pPr>
          </w:p>
        </w:tc>
        <w:tc>
          <w:tcPr>
            <w:tcW w:w="3980" w:type="dxa"/>
            <w:vAlign w:val="bottom"/>
            <w:tcBorders>
              <w:right w:val="single" w:sz="8" w:color="007CBA"/>
            </w:tcBorders>
            <w:gridSpan w:val="2"/>
          </w:tcPr>
          <w:p>
            <w:pPr>
              <w:ind w:left="80"/>
              <w:spacing w:after="0" w:line="162" w:lineRule="exact"/>
              <w:rPr>
                <w:sz w:val="20"/>
                <w:szCs w:val="20"/>
                <w:color w:val="auto"/>
              </w:rPr>
            </w:pPr>
            <w:r>
              <w:rPr>
                <w:rFonts w:ascii="Arial" w:cs="Arial" w:eastAsia="Arial" w:hAnsi="Arial"/>
                <w:sz w:val="11"/>
                <w:szCs w:val="11"/>
                <w:color w:val="auto"/>
              </w:rPr>
              <w:t>Health and Welfare Benefits</w:t>
            </w:r>
            <w:r>
              <w:rPr>
                <w:rFonts w:ascii="Arial" w:cs="Arial" w:eastAsia="Arial" w:hAnsi="Arial"/>
                <w:sz w:val="18"/>
                <w:szCs w:val="18"/>
                <w:color w:val="auto"/>
                <w:vertAlign w:val="superscript"/>
              </w:rPr>
              <w:t>9</w:t>
            </w:r>
          </w:p>
        </w:tc>
        <w:tc>
          <w:tcPr>
            <w:tcW w:w="840" w:type="dxa"/>
            <w:vAlign w:val="bottom"/>
          </w:tcPr>
          <w:p>
            <w:pPr>
              <w:spacing w:after="0"/>
              <w:rPr>
                <w:sz w:val="14"/>
                <w:szCs w:val="14"/>
                <w:color w:val="auto"/>
              </w:rPr>
            </w:pPr>
          </w:p>
        </w:tc>
        <w:tc>
          <w:tcPr>
            <w:tcW w:w="140" w:type="dxa"/>
            <w:vAlign w:val="bottom"/>
            <w:tcBorders>
              <w:right w:val="single" w:sz="8" w:color="007CBA"/>
            </w:tcBorders>
          </w:tcPr>
          <w:p>
            <w:pPr>
              <w:spacing w:after="0"/>
              <w:rPr>
                <w:sz w:val="14"/>
                <w:szCs w:val="14"/>
                <w:color w:val="auto"/>
              </w:rPr>
            </w:pPr>
          </w:p>
        </w:tc>
        <w:tc>
          <w:tcPr>
            <w:tcW w:w="1040" w:type="dxa"/>
            <w:vAlign w:val="bottom"/>
            <w:tcBorders>
              <w:right w:val="single" w:sz="8" w:color="007CBA"/>
            </w:tcBorders>
          </w:tcPr>
          <w:p>
            <w:pPr>
              <w:spacing w:after="0"/>
              <w:rPr>
                <w:sz w:val="14"/>
                <w:szCs w:val="14"/>
                <w:color w:val="auto"/>
              </w:rPr>
            </w:pPr>
          </w:p>
        </w:tc>
        <w:tc>
          <w:tcPr>
            <w:tcW w:w="980" w:type="dxa"/>
            <w:vAlign w:val="bottom"/>
            <w:tcBorders>
              <w:right w:val="single" w:sz="8" w:color="007CBA"/>
            </w:tcBorders>
          </w:tcPr>
          <w:p>
            <w:pPr>
              <w:spacing w:after="0"/>
              <w:rPr>
                <w:sz w:val="14"/>
                <w:szCs w:val="14"/>
                <w:color w:val="auto"/>
              </w:rPr>
            </w:pPr>
          </w:p>
        </w:tc>
        <w:tc>
          <w:tcPr>
            <w:tcW w:w="980" w:type="dxa"/>
            <w:vAlign w:val="bottom"/>
            <w:tcBorders>
              <w:right w:val="single" w:sz="8" w:color="007CBA"/>
            </w:tcBorders>
          </w:tcPr>
          <w:p>
            <w:pPr>
              <w:spacing w:after="0"/>
              <w:rPr>
                <w:sz w:val="14"/>
                <w:szCs w:val="14"/>
                <w:color w:val="auto"/>
              </w:rPr>
            </w:pPr>
          </w:p>
        </w:tc>
        <w:tc>
          <w:tcPr>
            <w:tcW w:w="1000" w:type="dxa"/>
            <w:vAlign w:val="bottom"/>
            <w:tcBorders>
              <w:right w:val="single" w:sz="8" w:color="007CBA"/>
            </w:tcBorders>
            <w:gridSpan w:val="2"/>
          </w:tcPr>
          <w:p>
            <w:pPr>
              <w:jc w:val="right"/>
              <w:ind w:right="69"/>
              <w:spacing w:after="0"/>
              <w:rPr>
                <w:sz w:val="20"/>
                <w:szCs w:val="20"/>
                <w:color w:val="auto"/>
              </w:rPr>
            </w:pPr>
            <w:r>
              <w:rPr>
                <w:rFonts w:ascii="Arial" w:cs="Arial" w:eastAsia="Arial" w:hAnsi="Arial"/>
                <w:sz w:val="14"/>
                <w:szCs w:val="14"/>
                <w:color w:val="auto"/>
              </w:rPr>
              <w:t>33,035</w:t>
            </w:r>
          </w:p>
        </w:tc>
        <w:tc>
          <w:tcPr>
            <w:tcW w:w="0" w:type="dxa"/>
            <w:vAlign w:val="bottom"/>
          </w:tcPr>
          <w:p>
            <w:pPr>
              <w:spacing w:after="0"/>
              <w:rPr>
                <w:sz w:val="1"/>
                <w:szCs w:val="1"/>
                <w:color w:val="auto"/>
              </w:rPr>
            </w:pPr>
          </w:p>
        </w:tc>
      </w:tr>
      <w:tr>
        <w:trPr>
          <w:trHeight w:val="168"/>
        </w:trPr>
        <w:tc>
          <w:tcPr>
            <w:tcW w:w="2080" w:type="dxa"/>
            <w:vAlign w:val="bottom"/>
            <w:tcBorders>
              <w:left w:val="single" w:sz="8" w:color="007CBA"/>
              <w:right w:val="single" w:sz="8" w:color="007CBA"/>
            </w:tcBorders>
          </w:tcPr>
          <w:p>
            <w:pPr>
              <w:spacing w:after="0"/>
              <w:rPr>
                <w:sz w:val="14"/>
                <w:szCs w:val="14"/>
                <w:color w:val="auto"/>
              </w:rPr>
            </w:pPr>
          </w:p>
        </w:tc>
        <w:tc>
          <w:tcPr>
            <w:tcW w:w="3980" w:type="dxa"/>
            <w:vAlign w:val="bottom"/>
            <w:tcBorders>
              <w:right w:val="single" w:sz="8" w:color="007CBA"/>
            </w:tcBorders>
            <w:gridSpan w:val="2"/>
          </w:tcPr>
          <w:p>
            <w:pPr>
              <w:ind w:left="80"/>
              <w:spacing w:after="0" w:line="168" w:lineRule="exact"/>
              <w:rPr>
                <w:sz w:val="20"/>
                <w:szCs w:val="20"/>
                <w:color w:val="auto"/>
              </w:rPr>
            </w:pPr>
            <w:r>
              <w:rPr>
                <w:rFonts w:ascii="Arial" w:cs="Arial" w:eastAsia="Arial" w:hAnsi="Arial"/>
                <w:sz w:val="12"/>
                <w:szCs w:val="12"/>
                <w:color w:val="auto"/>
              </w:rPr>
              <w:t>Retiree Medical Benefits</w:t>
            </w:r>
            <w:r>
              <w:rPr>
                <w:rFonts w:ascii="Arial" w:cs="Arial" w:eastAsia="Arial" w:hAnsi="Arial"/>
                <w:sz w:val="19"/>
                <w:szCs w:val="19"/>
                <w:color w:val="auto"/>
                <w:vertAlign w:val="superscript"/>
              </w:rPr>
              <w:t>10</w:t>
            </w:r>
          </w:p>
        </w:tc>
        <w:tc>
          <w:tcPr>
            <w:tcW w:w="840" w:type="dxa"/>
            <w:vAlign w:val="bottom"/>
          </w:tcPr>
          <w:p>
            <w:pPr>
              <w:spacing w:after="0"/>
              <w:rPr>
                <w:sz w:val="14"/>
                <w:szCs w:val="14"/>
                <w:color w:val="auto"/>
              </w:rPr>
            </w:pPr>
          </w:p>
        </w:tc>
        <w:tc>
          <w:tcPr>
            <w:tcW w:w="140" w:type="dxa"/>
            <w:vAlign w:val="bottom"/>
            <w:tcBorders>
              <w:right w:val="single" w:sz="8" w:color="007CBA"/>
            </w:tcBorders>
          </w:tcPr>
          <w:p>
            <w:pPr>
              <w:spacing w:after="0"/>
              <w:rPr>
                <w:sz w:val="14"/>
                <w:szCs w:val="14"/>
                <w:color w:val="auto"/>
              </w:rPr>
            </w:pPr>
          </w:p>
        </w:tc>
        <w:tc>
          <w:tcPr>
            <w:tcW w:w="1040" w:type="dxa"/>
            <w:vAlign w:val="bottom"/>
            <w:tcBorders>
              <w:right w:val="single" w:sz="8" w:color="007CBA"/>
            </w:tcBorders>
          </w:tcPr>
          <w:p>
            <w:pPr>
              <w:spacing w:after="0"/>
              <w:rPr>
                <w:sz w:val="14"/>
                <w:szCs w:val="14"/>
                <w:color w:val="auto"/>
              </w:rPr>
            </w:pPr>
          </w:p>
        </w:tc>
        <w:tc>
          <w:tcPr>
            <w:tcW w:w="980" w:type="dxa"/>
            <w:vAlign w:val="bottom"/>
            <w:tcBorders>
              <w:right w:val="single" w:sz="8" w:color="007CBA"/>
            </w:tcBorders>
          </w:tcPr>
          <w:p>
            <w:pPr>
              <w:spacing w:after="0"/>
              <w:rPr>
                <w:sz w:val="14"/>
                <w:szCs w:val="14"/>
                <w:color w:val="auto"/>
              </w:rPr>
            </w:pPr>
          </w:p>
        </w:tc>
        <w:tc>
          <w:tcPr>
            <w:tcW w:w="980" w:type="dxa"/>
            <w:vAlign w:val="bottom"/>
            <w:tcBorders>
              <w:right w:val="single" w:sz="8" w:color="007CBA"/>
            </w:tcBorders>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Borders>
              <w:right w:val="single" w:sz="8" w:color="007CBA"/>
            </w:tcBorders>
          </w:tcPr>
          <w:p>
            <w:pPr>
              <w:jc w:val="right"/>
              <w:ind w:right="69"/>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75"/>
        </w:trPr>
        <w:tc>
          <w:tcPr>
            <w:tcW w:w="2080" w:type="dxa"/>
            <w:vAlign w:val="bottom"/>
            <w:tcBorders>
              <w:left w:val="single" w:sz="8" w:color="007CBA"/>
              <w:bottom w:val="single" w:sz="8" w:color="007CBA"/>
              <w:right w:val="single" w:sz="8" w:color="007CBA"/>
            </w:tcBorders>
          </w:tcPr>
          <w:p>
            <w:pPr>
              <w:spacing w:after="0"/>
              <w:rPr>
                <w:sz w:val="15"/>
                <w:szCs w:val="15"/>
                <w:color w:val="auto"/>
              </w:rPr>
            </w:pPr>
          </w:p>
        </w:tc>
        <w:tc>
          <w:tcPr>
            <w:tcW w:w="3980" w:type="dxa"/>
            <w:vAlign w:val="bottom"/>
            <w:tcBorders>
              <w:bottom w:val="single" w:sz="8" w:color="007CBA"/>
              <w:right w:val="single" w:sz="8" w:color="007CBA"/>
            </w:tcBorders>
            <w:gridSpan w:val="2"/>
          </w:tcPr>
          <w:p>
            <w:pPr>
              <w:ind w:left="80"/>
              <w:spacing w:after="0"/>
              <w:rPr>
                <w:sz w:val="20"/>
                <w:szCs w:val="20"/>
                <w:color w:val="auto"/>
              </w:rPr>
            </w:pPr>
            <w:r>
              <w:rPr>
                <w:rFonts w:ascii="Arial" w:cs="Arial" w:eastAsia="Arial" w:hAnsi="Arial"/>
                <w:sz w:val="14"/>
                <w:szCs w:val="14"/>
                <w:color w:val="auto"/>
              </w:rPr>
              <w:t>Excise Tax &amp; Gross-up</w:t>
            </w:r>
          </w:p>
        </w:tc>
        <w:tc>
          <w:tcPr>
            <w:tcW w:w="840" w:type="dxa"/>
            <w:vAlign w:val="bottom"/>
            <w:tcBorders>
              <w:bottom w:val="single" w:sz="8" w:color="007CBA"/>
            </w:tcBorders>
          </w:tcPr>
          <w:p>
            <w:pPr>
              <w:spacing w:after="0"/>
              <w:rPr>
                <w:sz w:val="15"/>
                <w:szCs w:val="15"/>
                <w:color w:val="auto"/>
              </w:rPr>
            </w:pPr>
          </w:p>
        </w:tc>
        <w:tc>
          <w:tcPr>
            <w:tcW w:w="140" w:type="dxa"/>
            <w:vAlign w:val="bottom"/>
            <w:tcBorders>
              <w:bottom w:val="single" w:sz="8" w:color="007CBA"/>
              <w:right w:val="single" w:sz="8" w:color="007CBA"/>
            </w:tcBorders>
          </w:tcPr>
          <w:p>
            <w:pPr>
              <w:spacing w:after="0"/>
              <w:rPr>
                <w:sz w:val="15"/>
                <w:szCs w:val="15"/>
                <w:color w:val="auto"/>
              </w:rPr>
            </w:pPr>
          </w:p>
        </w:tc>
        <w:tc>
          <w:tcPr>
            <w:tcW w:w="1040" w:type="dxa"/>
            <w:vAlign w:val="bottom"/>
            <w:tcBorders>
              <w:bottom w:val="single" w:sz="8" w:color="007CBA"/>
              <w:right w:val="single" w:sz="8" w:color="007CBA"/>
            </w:tcBorders>
          </w:tcPr>
          <w:p>
            <w:pPr>
              <w:spacing w:after="0"/>
              <w:rPr>
                <w:sz w:val="15"/>
                <w:szCs w:val="15"/>
                <w:color w:val="auto"/>
              </w:rPr>
            </w:pPr>
          </w:p>
        </w:tc>
        <w:tc>
          <w:tcPr>
            <w:tcW w:w="980" w:type="dxa"/>
            <w:vAlign w:val="bottom"/>
            <w:tcBorders>
              <w:bottom w:val="single" w:sz="8" w:color="007CBA"/>
              <w:right w:val="single" w:sz="8" w:color="007CBA"/>
            </w:tcBorders>
          </w:tcPr>
          <w:p>
            <w:pPr>
              <w:spacing w:after="0"/>
              <w:rPr>
                <w:sz w:val="15"/>
                <w:szCs w:val="15"/>
                <w:color w:val="auto"/>
              </w:rPr>
            </w:pPr>
          </w:p>
        </w:tc>
        <w:tc>
          <w:tcPr>
            <w:tcW w:w="980" w:type="dxa"/>
            <w:vAlign w:val="bottom"/>
            <w:tcBorders>
              <w:bottom w:val="single" w:sz="8" w:color="007CBA"/>
              <w:right w:val="single" w:sz="8" w:color="007CBA"/>
            </w:tcBorders>
          </w:tcPr>
          <w:p>
            <w:pPr>
              <w:spacing w:after="0"/>
              <w:rPr>
                <w:sz w:val="15"/>
                <w:szCs w:val="15"/>
                <w:color w:val="auto"/>
              </w:rPr>
            </w:pPr>
          </w:p>
        </w:tc>
        <w:tc>
          <w:tcPr>
            <w:tcW w:w="1000" w:type="dxa"/>
            <w:vAlign w:val="bottom"/>
            <w:tcBorders>
              <w:bottom w:val="single" w:sz="8" w:color="007CBA"/>
              <w:right w:val="single" w:sz="8" w:color="007CBA"/>
            </w:tcBorders>
            <w:gridSpan w:val="2"/>
          </w:tcPr>
          <w:p>
            <w:pPr>
              <w:jc w:val="right"/>
              <w:ind w:right="69"/>
              <w:spacing w:after="0"/>
              <w:rPr>
                <w:sz w:val="20"/>
                <w:szCs w:val="20"/>
                <w:color w:val="auto"/>
              </w:rPr>
            </w:pPr>
            <w:r>
              <w:rPr>
                <w:rFonts w:ascii="Arial" w:cs="Arial" w:eastAsia="Arial" w:hAnsi="Arial"/>
                <w:sz w:val="14"/>
                <w:szCs w:val="14"/>
                <w:color w:val="auto"/>
              </w:rPr>
              <w:t>2,390,824</w:t>
            </w:r>
          </w:p>
        </w:tc>
        <w:tc>
          <w:tcPr>
            <w:tcW w:w="0" w:type="dxa"/>
            <w:vAlign w:val="bottom"/>
          </w:tcPr>
          <w:p>
            <w:pPr>
              <w:spacing w:after="0"/>
              <w:rPr>
                <w:sz w:val="1"/>
                <w:szCs w:val="1"/>
                <w:color w:val="auto"/>
              </w:rPr>
            </w:pPr>
          </w:p>
        </w:tc>
      </w:tr>
      <w:tr>
        <w:trPr>
          <w:trHeight w:val="337"/>
        </w:trPr>
        <w:tc>
          <w:tcPr>
            <w:tcW w:w="2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40" w:type="dxa"/>
            <w:vAlign w:val="bottom"/>
            <w:gridSpan w:val="2"/>
          </w:tcPr>
          <w:p>
            <w:pPr>
              <w:spacing w:after="0"/>
              <w:rPr>
                <w:sz w:val="20"/>
                <w:szCs w:val="20"/>
                <w:color w:val="auto"/>
              </w:rPr>
            </w:pPr>
            <w:r>
              <w:rPr>
                <w:rFonts w:ascii="Arial" w:cs="Arial" w:eastAsia="Arial" w:hAnsi="Arial"/>
                <w:sz w:val="13"/>
                <w:szCs w:val="13"/>
                <w:color w:val="007CBA"/>
              </w:rPr>
              <w:t>2018 PROXY STATEMENT</w:t>
            </w:r>
          </w:p>
        </w:tc>
        <w:tc>
          <w:tcPr>
            <w:tcW w:w="240" w:type="dxa"/>
            <w:vAlign w:val="bottom"/>
          </w:tcPr>
          <w:p>
            <w:pPr>
              <w:jc w:val="right"/>
              <w:spacing w:after="0"/>
              <w:rPr>
                <w:sz w:val="20"/>
                <w:szCs w:val="20"/>
                <w:color w:val="auto"/>
              </w:rPr>
            </w:pPr>
            <w:r>
              <w:rPr>
                <w:rFonts w:ascii="Arial" w:cs="Arial" w:eastAsia="Arial" w:hAnsi="Arial"/>
                <w:sz w:val="13"/>
                <w:szCs w:val="13"/>
                <w:b w:val="1"/>
                <w:bCs w:val="1"/>
                <w:color w:val="auto"/>
              </w:rPr>
              <w:t>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-123190</wp:posOffset>
            </wp:positionV>
            <wp:extent cx="411480" cy="2489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ectPr>
          <w:pgSz w:w="11900" w:h="16838" w:orient="portrait"/>
          <w:cols w:equalWidth="0" w:num="1">
            <w:col w:w="11240"/>
          </w:cols>
          <w:pgMar w:left="240" w:top="455" w:right="41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64" w:lineRule="exact"/>
        <w:rPr>
          <w:sz w:val="20"/>
          <w:szCs w:val="20"/>
          <w:color w:val="auto"/>
        </w:rPr>
      </w:pPr>
    </w:p>
    <w:p>
      <w:pPr>
        <w:ind w:left="200"/>
        <w:spacing w:after="0" w:line="288" w:lineRule="exact"/>
        <w:rPr>
          <w:sz w:val="20"/>
          <w:szCs w:val="20"/>
          <w:color w:val="auto"/>
        </w:rPr>
      </w:pPr>
      <w:r>
        <w:rPr>
          <w:rFonts w:ascii="Arial" w:cs="Arial" w:eastAsia="Arial" w:hAnsi="Arial"/>
          <w:sz w:val="14"/>
          <w:szCs w:val="14"/>
          <w:color w:val="007CBA"/>
        </w:rPr>
        <w:t xml:space="preserve">Executive Compensation </w:t>
      </w:r>
      <w:r>
        <w:rPr>
          <w:rFonts w:ascii="MS PGothic" w:cs="MS PGothic" w:eastAsia="MS PGothic" w:hAnsi="MS PGothic"/>
          <w:sz w:val="25"/>
          <w:szCs w:val="25"/>
          <w:color w:val="007CBA"/>
        </w:rPr>
        <w:t>◆</w:t>
      </w:r>
      <w:r>
        <w:rPr>
          <w:rFonts w:ascii="Arial" w:cs="Arial" w:eastAsia="Arial" w:hAnsi="Arial"/>
          <w:sz w:val="14"/>
          <w:szCs w:val="14"/>
          <w:color w:val="007CBA"/>
        </w:rPr>
        <w:t xml:space="preserve"> </w:t>
      </w:r>
      <w:r>
        <w:rPr>
          <w:rFonts w:ascii="Arial" w:cs="Arial" w:eastAsia="Arial" w:hAnsi="Arial"/>
          <w:sz w:val="14"/>
          <w:szCs w:val="14"/>
          <w:color w:val="000000"/>
        </w:rPr>
        <w:t>Potential Payments Upon Termination or Change of Control</w:t>
      </w:r>
    </w:p>
    <w:p>
      <w:pPr>
        <w:spacing w:after="0" w:line="209" w:lineRule="exact"/>
        <w:rPr>
          <w:sz w:val="20"/>
          <w:szCs w:val="20"/>
          <w:color w:val="auto"/>
        </w:rPr>
      </w:pPr>
    </w:p>
    <w:p>
      <w:pPr>
        <w:jc w:val="both"/>
        <w:ind w:left="320" w:hanging="116"/>
        <w:spacing w:after="0" w:line="215" w:lineRule="auto"/>
        <w:tabs>
          <w:tab w:leader="none" w:pos="320" w:val="left"/>
        </w:tabs>
        <w:numPr>
          <w:ilvl w:val="0"/>
          <w:numId w:val="119"/>
        </w:numPr>
        <w:rPr>
          <w:rFonts w:ascii="Arial" w:cs="Arial" w:eastAsia="Arial" w:hAnsi="Arial"/>
          <w:sz w:val="24"/>
          <w:szCs w:val="24"/>
          <w:color w:val="auto"/>
          <w:vertAlign w:val="superscript"/>
        </w:rPr>
      </w:pPr>
      <w:r>
        <w:rPr>
          <w:rFonts w:ascii="Arial" w:cs="Arial" w:eastAsia="Arial" w:hAnsi="Arial"/>
          <w:sz w:val="14"/>
          <w:szCs w:val="14"/>
          <w:color w:val="auto"/>
        </w:rPr>
        <w:t>Ms. Lloyd retired from the Company on December 31, 2017. In connection with her separation, she received the following: salary in the amount of $1,962,100; health and welfare benefits in the amount of $94,628; continued vesting of unvested RSUs with a value of $395,883; continued vesting of unexercisable options with a value of $115,447; unvested Incentive Stock Plan units with a value of $301,344; continued vesting of PSUs with a value of $1,541,406; and a severance payment of $671,000 payable on January 1, 2021. In addition, Ms. Lloyd’s Employment Protection Agreement terminated as of September 30, 2017.</w:t>
      </w:r>
    </w:p>
    <w:p>
      <w:pPr>
        <w:spacing w:after="0" w:line="49" w:lineRule="exact"/>
        <w:rPr>
          <w:sz w:val="20"/>
          <w:szCs w:val="20"/>
          <w:color w:val="auto"/>
        </w:rPr>
      </w:pPr>
    </w:p>
    <w:p>
      <w:pPr>
        <w:jc w:val="both"/>
        <w:ind w:left="320" w:hanging="116"/>
        <w:spacing w:after="0" w:line="208" w:lineRule="auto"/>
        <w:tabs>
          <w:tab w:leader="none" w:pos="320" w:val="left"/>
        </w:tabs>
        <w:numPr>
          <w:ilvl w:val="0"/>
          <w:numId w:val="120"/>
        </w:numPr>
        <w:rPr>
          <w:rFonts w:ascii="Arial" w:cs="Arial" w:eastAsia="Arial" w:hAnsi="Arial"/>
          <w:sz w:val="24"/>
          <w:szCs w:val="24"/>
          <w:color w:val="auto"/>
          <w:vertAlign w:val="superscript"/>
        </w:rPr>
      </w:pPr>
      <w:r>
        <w:rPr>
          <w:rFonts w:ascii="Arial" w:cs="Arial" w:eastAsia="Arial" w:hAnsi="Arial"/>
          <w:sz w:val="14"/>
          <w:szCs w:val="14"/>
          <w:color w:val="auto"/>
        </w:rPr>
        <w:t>The table does not include information with respect to plans or arrangements that are available generally to all salaried employees and that do not discriminate in favor of executive officers. The table reflects the incremental value over the amounts to which the named executive officer would have been entitled on a voluntary resignation on December 31, 2017.</w:t>
      </w:r>
    </w:p>
    <w:p>
      <w:pPr>
        <w:ind w:left="320" w:hanging="116"/>
        <w:spacing w:after="0" w:line="211" w:lineRule="auto"/>
        <w:tabs>
          <w:tab w:leader="none" w:pos="320" w:val="left"/>
        </w:tabs>
        <w:numPr>
          <w:ilvl w:val="0"/>
          <w:numId w:val="121"/>
        </w:numPr>
        <w:rPr>
          <w:rFonts w:ascii="Arial" w:cs="Arial" w:eastAsia="Arial" w:hAnsi="Arial"/>
          <w:sz w:val="24"/>
          <w:szCs w:val="24"/>
          <w:color w:val="auto"/>
          <w:vertAlign w:val="superscript"/>
        </w:rPr>
      </w:pPr>
      <w:r>
        <w:rPr>
          <w:rFonts w:ascii="Arial" w:cs="Arial" w:eastAsia="Arial" w:hAnsi="Arial"/>
          <w:sz w:val="14"/>
          <w:szCs w:val="14"/>
          <w:color w:val="auto"/>
        </w:rPr>
        <w:t>Assumes all earned base salary has been paid.</w:t>
      </w:r>
    </w:p>
    <w:p>
      <w:pPr>
        <w:ind w:left="320" w:hanging="116"/>
        <w:spacing w:after="0" w:line="211" w:lineRule="auto"/>
        <w:tabs>
          <w:tab w:leader="none" w:pos="320" w:val="left"/>
        </w:tabs>
        <w:numPr>
          <w:ilvl w:val="0"/>
          <w:numId w:val="122"/>
        </w:numPr>
        <w:rPr>
          <w:rFonts w:ascii="Arial" w:cs="Arial" w:eastAsia="Arial" w:hAnsi="Arial"/>
          <w:sz w:val="24"/>
          <w:szCs w:val="24"/>
          <w:color w:val="auto"/>
          <w:vertAlign w:val="superscript"/>
        </w:rPr>
      </w:pPr>
      <w:r>
        <w:rPr>
          <w:rFonts w:ascii="Arial" w:cs="Arial" w:eastAsia="Arial" w:hAnsi="Arial"/>
          <w:sz w:val="14"/>
          <w:szCs w:val="14"/>
          <w:color w:val="auto"/>
        </w:rPr>
        <w:t>Reflects the estimated lump-sum intrinsic value of all unvested RSUs.</w:t>
      </w:r>
    </w:p>
    <w:p>
      <w:pPr>
        <w:ind w:left="320" w:hanging="116"/>
        <w:spacing w:after="0" w:line="212" w:lineRule="auto"/>
        <w:tabs>
          <w:tab w:leader="none" w:pos="320" w:val="left"/>
        </w:tabs>
        <w:numPr>
          <w:ilvl w:val="0"/>
          <w:numId w:val="123"/>
        </w:numPr>
        <w:rPr>
          <w:rFonts w:ascii="Arial" w:cs="Arial" w:eastAsia="Arial" w:hAnsi="Arial"/>
          <w:sz w:val="24"/>
          <w:szCs w:val="24"/>
          <w:color w:val="auto"/>
          <w:vertAlign w:val="superscript"/>
        </w:rPr>
      </w:pPr>
      <w:r>
        <w:rPr>
          <w:rFonts w:ascii="Arial" w:cs="Arial" w:eastAsia="Arial" w:hAnsi="Arial"/>
          <w:sz w:val="14"/>
          <w:szCs w:val="14"/>
          <w:color w:val="auto"/>
        </w:rPr>
        <w:t>Reflects the estimated lump-sum intrinsic value of unvested stock options.</w:t>
      </w:r>
    </w:p>
    <w:p>
      <w:pPr>
        <w:spacing w:after="0" w:line="60" w:lineRule="exact"/>
        <w:rPr>
          <w:sz w:val="20"/>
          <w:szCs w:val="20"/>
          <w:color w:val="auto"/>
        </w:rPr>
      </w:pPr>
    </w:p>
    <w:p>
      <w:pPr>
        <w:ind w:left="320" w:hanging="116"/>
        <w:spacing w:after="0" w:line="189" w:lineRule="auto"/>
        <w:tabs>
          <w:tab w:leader="none" w:pos="320" w:val="left"/>
        </w:tabs>
        <w:numPr>
          <w:ilvl w:val="0"/>
          <w:numId w:val="124"/>
        </w:numPr>
        <w:rPr>
          <w:rFonts w:ascii="Arial" w:cs="Arial" w:eastAsia="Arial" w:hAnsi="Arial"/>
          <w:sz w:val="24"/>
          <w:szCs w:val="24"/>
          <w:color w:val="auto"/>
          <w:vertAlign w:val="superscript"/>
        </w:rPr>
      </w:pPr>
      <w:r>
        <w:rPr>
          <w:rFonts w:ascii="Arial" w:cs="Arial" w:eastAsia="Arial" w:hAnsi="Arial"/>
          <w:sz w:val="14"/>
          <w:szCs w:val="14"/>
          <w:color w:val="auto"/>
        </w:rPr>
        <w:t>Reflects the difference between the value of the unvested Incentive Stock Plan share units at year-end and the amount of cash invested by the executive officer in the share units.</w:t>
      </w:r>
    </w:p>
    <w:p>
      <w:pPr>
        <w:ind w:left="320" w:hanging="116"/>
        <w:spacing w:after="0" w:line="212" w:lineRule="auto"/>
        <w:tabs>
          <w:tab w:leader="none" w:pos="320" w:val="left"/>
        </w:tabs>
        <w:numPr>
          <w:ilvl w:val="0"/>
          <w:numId w:val="125"/>
        </w:numPr>
        <w:rPr>
          <w:rFonts w:ascii="Arial" w:cs="Arial" w:eastAsia="Arial" w:hAnsi="Arial"/>
          <w:sz w:val="24"/>
          <w:szCs w:val="24"/>
          <w:color w:val="auto"/>
          <w:vertAlign w:val="superscript"/>
        </w:rPr>
      </w:pPr>
      <w:r>
        <w:rPr>
          <w:rFonts w:ascii="Arial" w:cs="Arial" w:eastAsia="Arial" w:hAnsi="Arial"/>
          <w:sz w:val="14"/>
          <w:szCs w:val="14"/>
          <w:color w:val="auto"/>
        </w:rPr>
        <w:t>Reflects the estimated lump-sum intrinsic value of all unvested PSUs.</w:t>
      </w:r>
    </w:p>
    <w:p>
      <w:pPr>
        <w:spacing w:after="0" w:line="60" w:lineRule="exact"/>
        <w:rPr>
          <w:sz w:val="20"/>
          <w:szCs w:val="20"/>
          <w:color w:val="auto"/>
        </w:rPr>
      </w:pPr>
    </w:p>
    <w:p>
      <w:pPr>
        <w:jc w:val="both"/>
        <w:ind w:left="320" w:hanging="116"/>
        <w:spacing w:after="0" w:line="211" w:lineRule="auto"/>
        <w:tabs>
          <w:tab w:leader="none" w:pos="320" w:val="left"/>
        </w:tabs>
        <w:numPr>
          <w:ilvl w:val="0"/>
          <w:numId w:val="126"/>
        </w:numPr>
        <w:rPr>
          <w:rFonts w:ascii="Arial" w:cs="Arial" w:eastAsia="Arial" w:hAnsi="Arial"/>
          <w:sz w:val="24"/>
          <w:szCs w:val="24"/>
          <w:color w:val="auto"/>
          <w:vertAlign w:val="superscript"/>
        </w:rPr>
      </w:pPr>
      <w:r>
        <w:rPr>
          <w:rFonts w:ascii="Arial" w:cs="Arial" w:eastAsia="Arial" w:hAnsi="Arial"/>
          <w:sz w:val="14"/>
          <w:szCs w:val="14"/>
          <w:color w:val="auto"/>
        </w:rPr>
        <w:t>The table does not include information related to the form and amount of payments or benefits that are not enhanced or accelerated in connection with any termination that would be provided by Martin Marietta’s retirement plans, which is disclosed in the Pension Benefits Table and the accompanying narrative on page 58. Change of Control values include the incremental value of the benefit (including three times Martin Marietta’s match to the defined contribution plan) payable upon a qualifying termination of employment following a Change of Control.</w:t>
      </w:r>
    </w:p>
    <w:p>
      <w:pPr>
        <w:spacing w:after="0" w:line="51" w:lineRule="exact"/>
        <w:rPr>
          <w:sz w:val="20"/>
          <w:szCs w:val="20"/>
          <w:color w:val="auto"/>
        </w:rPr>
      </w:pPr>
    </w:p>
    <w:p>
      <w:pPr>
        <w:ind w:left="320" w:hanging="116"/>
        <w:spacing w:after="0" w:line="195" w:lineRule="auto"/>
        <w:tabs>
          <w:tab w:leader="none" w:pos="320" w:val="left"/>
        </w:tabs>
        <w:numPr>
          <w:ilvl w:val="0"/>
          <w:numId w:val="127"/>
        </w:numPr>
        <w:rPr>
          <w:rFonts w:ascii="Arial" w:cs="Arial" w:eastAsia="Arial" w:hAnsi="Arial"/>
          <w:sz w:val="24"/>
          <w:szCs w:val="24"/>
          <w:color w:val="auto"/>
          <w:vertAlign w:val="superscript"/>
        </w:rPr>
      </w:pPr>
      <w:r>
        <w:rPr>
          <w:rFonts w:ascii="Arial" w:cs="Arial" w:eastAsia="Arial" w:hAnsi="Arial"/>
          <w:sz w:val="14"/>
          <w:szCs w:val="14"/>
          <w:color w:val="auto"/>
        </w:rPr>
        <w:t>Reflects the estimated incremental lump-sum present value of all future premiums that would be paid on behalf of the named executive officer under Martin Marietta’s health and welfare plans, including long-term disability and life insurance.</w:t>
      </w:r>
    </w:p>
    <w:p>
      <w:pPr>
        <w:spacing w:after="0" w:line="50" w:lineRule="exact"/>
        <w:rPr>
          <w:sz w:val="20"/>
          <w:szCs w:val="20"/>
          <w:color w:val="auto"/>
        </w:rPr>
      </w:pPr>
    </w:p>
    <w:p>
      <w:pPr>
        <w:ind w:left="400" w:hanging="196"/>
        <w:spacing w:after="0" w:line="195" w:lineRule="auto"/>
        <w:tabs>
          <w:tab w:leader="none" w:pos="400" w:val="left"/>
        </w:tabs>
        <w:numPr>
          <w:ilvl w:val="0"/>
          <w:numId w:val="128"/>
        </w:numPr>
        <w:rPr>
          <w:rFonts w:ascii="Arial" w:cs="Arial" w:eastAsia="Arial" w:hAnsi="Arial"/>
          <w:sz w:val="24"/>
          <w:szCs w:val="24"/>
          <w:color w:val="auto"/>
          <w:vertAlign w:val="superscript"/>
        </w:rPr>
      </w:pPr>
      <w:r>
        <w:rPr>
          <w:rFonts w:ascii="Arial" w:cs="Arial" w:eastAsia="Arial" w:hAnsi="Arial"/>
          <w:sz w:val="14"/>
          <w:szCs w:val="14"/>
          <w:color w:val="auto"/>
        </w:rPr>
        <w:t>Reflects the estimated incremental value of the benefit to which the named executive officer would be entitled upon a qualifying termination of employment following a Change of Control. Assumes postretirement medical coverage begins after 3 years of active welfare coverage but no earlier than age 55.</w:t>
      </w:r>
    </w:p>
    <w:p>
      <w:pPr>
        <w:spacing w:after="0" w:line="1" w:lineRule="exact"/>
        <w:rPr>
          <w:rFonts w:ascii="Arial" w:cs="Arial" w:eastAsia="Arial" w:hAnsi="Arial"/>
          <w:sz w:val="24"/>
          <w:szCs w:val="24"/>
          <w:color w:val="auto"/>
          <w:vertAlign w:val="superscript"/>
        </w:rPr>
      </w:pPr>
    </w:p>
    <w:p>
      <w:pPr>
        <w:ind w:left="380" w:hanging="176"/>
        <w:spacing w:after="0" w:line="220" w:lineRule="auto"/>
        <w:tabs>
          <w:tab w:leader="none" w:pos="380" w:val="left"/>
        </w:tabs>
        <w:numPr>
          <w:ilvl w:val="0"/>
          <w:numId w:val="128"/>
        </w:numPr>
        <w:rPr>
          <w:rFonts w:ascii="Arial" w:cs="Arial" w:eastAsia="Arial" w:hAnsi="Arial"/>
          <w:sz w:val="23"/>
          <w:szCs w:val="23"/>
          <w:color w:val="auto"/>
          <w:vertAlign w:val="superscript"/>
        </w:rPr>
      </w:pPr>
      <w:r>
        <w:rPr>
          <w:rFonts w:ascii="Arial" w:cs="Arial" w:eastAsia="Arial" w:hAnsi="Arial"/>
          <w:sz w:val="14"/>
          <w:szCs w:val="14"/>
          <w:color w:val="auto"/>
        </w:rPr>
        <w:t>Mr. Grant was not eligible to retire on December 31, 2017. Reflects the value as if Mr. Grant were retirement eligible.</w:t>
      </w:r>
    </w:p>
    <w:p>
      <w:pPr>
        <w:sectPr>
          <w:pgSz w:w="11900" w:h="16838" w:orient="portrait"/>
          <w:cols w:equalWidth="0" w:num="1">
            <w:col w:w="11220"/>
          </w:cols>
          <w:pgMar w:left="240" w:top="455" w:right="439" w:bottom="1440" w:gutter="0" w:footer="0" w:header="0"/>
        </w:sectPr>
      </w:pPr>
    </w:p>
    <w:p>
      <w:pPr>
        <w:spacing w:after="0" w:line="352"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007CBA"/>
        </w:rPr>
        <w:t>CEO Pay Ratio Disclosure</w:t>
      </w:r>
    </w:p>
    <w:p>
      <w:pPr>
        <w:spacing w:after="0" w:line="202" w:lineRule="exact"/>
        <w:rPr>
          <w:sz w:val="20"/>
          <w:szCs w:val="20"/>
          <w:color w:val="auto"/>
        </w:rPr>
      </w:pPr>
    </w:p>
    <w:p>
      <w:pPr>
        <w:jc w:val="both"/>
        <w:ind w:left="220" w:right="20"/>
        <w:spacing w:after="0" w:line="257" w:lineRule="auto"/>
        <w:rPr>
          <w:sz w:val="20"/>
          <w:szCs w:val="20"/>
          <w:color w:val="auto"/>
        </w:rPr>
      </w:pPr>
      <w:r>
        <w:rPr>
          <w:rFonts w:ascii="Arial" w:cs="Arial" w:eastAsia="Arial" w:hAnsi="Arial"/>
          <w:sz w:val="16"/>
          <w:szCs w:val="16"/>
          <w:color w:val="auto"/>
        </w:rPr>
        <w:t>Beginning in 2018, the Company is required to disclose in its proxy statement the annual total compensation of the median-compensated employee of, generally, all Company employees (excluding the CEO), the annual total compensation of its CEO, and the ratio of the CEO compensation to the median employee’s compensation.</w:t>
      </w:r>
    </w:p>
    <w:p>
      <w:pPr>
        <w:spacing w:after="0" w:line="136" w:lineRule="exact"/>
        <w:rPr>
          <w:sz w:val="20"/>
          <w:szCs w:val="20"/>
          <w:color w:val="auto"/>
        </w:rPr>
      </w:pPr>
    </w:p>
    <w:p>
      <w:pPr>
        <w:jc w:val="both"/>
        <w:ind w:left="220"/>
        <w:spacing w:after="0" w:line="261" w:lineRule="auto"/>
        <w:rPr>
          <w:sz w:val="20"/>
          <w:szCs w:val="20"/>
          <w:color w:val="auto"/>
        </w:rPr>
      </w:pPr>
      <w:r>
        <w:rPr>
          <w:rFonts w:ascii="Arial" w:cs="Arial" w:eastAsia="Arial" w:hAnsi="Arial"/>
          <w:sz w:val="16"/>
          <w:szCs w:val="16"/>
          <w:color w:val="auto"/>
        </w:rPr>
        <w:t>The Company employs approximately 8,400 employees that are located primarily in the United States, but also represented in Canada and the Bahamas. In determining the median employee we included all employees as of December 31, 2017.</w:t>
      </w:r>
    </w:p>
    <w:p>
      <w:pPr>
        <w:spacing w:after="0" w:line="132" w:lineRule="exact"/>
        <w:rPr>
          <w:sz w:val="20"/>
          <w:szCs w:val="20"/>
          <w:color w:val="auto"/>
        </w:rPr>
      </w:pPr>
    </w:p>
    <w:p>
      <w:pPr>
        <w:jc w:val="both"/>
        <w:ind w:left="220"/>
        <w:spacing w:after="0" w:line="254" w:lineRule="auto"/>
        <w:rPr>
          <w:sz w:val="20"/>
          <w:szCs w:val="20"/>
          <w:color w:val="auto"/>
        </w:rPr>
      </w:pPr>
      <w:r>
        <w:rPr>
          <w:rFonts w:ascii="Arial" w:cs="Arial" w:eastAsia="Arial" w:hAnsi="Arial"/>
          <w:sz w:val="16"/>
          <w:szCs w:val="16"/>
          <w:color w:val="auto"/>
        </w:rPr>
        <w:t>The median employee compensation was identified using a consistently applied compensation measure, encompassing base salary, overtime, incentive compensation with a performance period of one year or less (such as annual incentives and sales or other bonuses), and allowances (such as personal use of company-provided vehicles). As allowed under the SEC rules, base pay was annualized for employees hired during 2017 to reflect a full year of service.</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We determined the required ratio by:</w:t>
      </w:r>
    </w:p>
    <w:p>
      <w:pPr>
        <w:spacing w:after="0" w:line="127" w:lineRule="exact"/>
        <w:rPr>
          <w:sz w:val="20"/>
          <w:szCs w:val="20"/>
          <w:color w:val="auto"/>
        </w:rPr>
      </w:pPr>
    </w:p>
    <w:p>
      <w:pPr>
        <w:jc w:val="both"/>
        <w:ind w:left="560" w:right="20" w:hanging="275"/>
        <w:spacing w:after="0" w:line="269" w:lineRule="auto"/>
        <w:tabs>
          <w:tab w:leader="none" w:pos="560" w:val="left"/>
        </w:tabs>
        <w:numPr>
          <w:ilvl w:val="0"/>
          <w:numId w:val="129"/>
        </w:numPr>
        <w:rPr>
          <w:rFonts w:ascii="Arial" w:cs="Arial" w:eastAsia="Arial" w:hAnsi="Arial"/>
          <w:sz w:val="16"/>
          <w:szCs w:val="16"/>
          <w:color w:val="007CBA"/>
        </w:rPr>
      </w:pPr>
      <w:r>
        <w:rPr>
          <w:rFonts w:ascii="Arial" w:cs="Arial" w:eastAsia="Arial" w:hAnsi="Arial"/>
          <w:sz w:val="16"/>
          <w:szCs w:val="16"/>
          <w:color w:val="auto"/>
        </w:rPr>
        <w:t>calculating the compensation based on a consistently applied measure as described above of all employees except the CEO, and then sorting those employees from highest to lowest;</w:t>
      </w:r>
    </w:p>
    <w:p>
      <w:pPr>
        <w:spacing w:after="0" w:line="70" w:lineRule="exact"/>
        <w:rPr>
          <w:rFonts w:ascii="Arial" w:cs="Arial" w:eastAsia="Arial" w:hAnsi="Arial"/>
          <w:sz w:val="16"/>
          <w:szCs w:val="16"/>
          <w:color w:val="007CBA"/>
        </w:rPr>
      </w:pPr>
    </w:p>
    <w:p>
      <w:pPr>
        <w:ind w:left="560" w:right="20" w:hanging="275"/>
        <w:spacing w:after="0" w:line="291" w:lineRule="auto"/>
        <w:tabs>
          <w:tab w:leader="none" w:pos="560" w:val="left"/>
        </w:tabs>
        <w:numPr>
          <w:ilvl w:val="0"/>
          <w:numId w:val="129"/>
        </w:numPr>
        <w:rPr>
          <w:rFonts w:ascii="Arial" w:cs="Arial" w:eastAsia="Arial" w:hAnsi="Arial"/>
          <w:sz w:val="16"/>
          <w:szCs w:val="16"/>
          <w:color w:val="007CBA"/>
        </w:rPr>
      </w:pPr>
      <w:r>
        <w:rPr>
          <w:rFonts w:ascii="Arial" w:cs="Arial" w:eastAsia="Arial" w:hAnsi="Arial"/>
          <w:sz w:val="16"/>
          <w:szCs w:val="16"/>
          <w:color w:val="auto"/>
        </w:rPr>
        <w:t>determining the median employee from that list, including evaluating employees situated slightly above and below the</w:t>
      </w:r>
    </w:p>
    <w:p>
      <w:pPr>
        <w:spacing w:after="0" w:line="252" w:lineRule="exact"/>
        <w:rPr>
          <w:sz w:val="20"/>
          <w:szCs w:val="20"/>
          <w:color w:val="auto"/>
        </w:rPr>
      </w:pPr>
    </w:p>
    <w:p>
      <w:pPr>
        <w:ind w:left="640" w:hanging="436"/>
        <w:spacing w:after="0"/>
        <w:tabs>
          <w:tab w:leader="none" w:pos="640" w:val="left"/>
        </w:tabs>
        <w:numPr>
          <w:ilvl w:val="0"/>
          <w:numId w:val="130"/>
        </w:numPr>
        <w:rPr>
          <w:rFonts w:ascii="Arial" w:cs="Arial" w:eastAsia="Arial" w:hAnsi="Arial"/>
          <w:sz w:val="13"/>
          <w:szCs w:val="13"/>
          <w:b w:val="1"/>
          <w:bCs w:val="1"/>
          <w:color w:val="auto"/>
        </w:rPr>
      </w:pPr>
      <w:r>
        <w:rPr>
          <w:rFonts w:ascii="Arial" w:cs="Arial" w:eastAsia="Arial" w:hAnsi="Arial"/>
          <w:sz w:val="13"/>
          <w:szCs w:val="13"/>
          <w:color w:val="007CBA"/>
        </w:rPr>
        <w:t>2018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60" w:right="20"/>
        <w:spacing w:after="0" w:line="291" w:lineRule="auto"/>
        <w:rPr>
          <w:sz w:val="20"/>
          <w:szCs w:val="20"/>
          <w:color w:val="auto"/>
        </w:rPr>
      </w:pPr>
      <w:r>
        <w:rPr>
          <w:rFonts w:ascii="Arial" w:cs="Arial" w:eastAsia="Arial" w:hAnsi="Arial"/>
          <w:sz w:val="16"/>
          <w:szCs w:val="16"/>
          <w:color w:val="auto"/>
        </w:rPr>
        <w:t>calculated median to ensure the selected employee reflects our population as a whole; and</w:t>
      </w:r>
    </w:p>
    <w:p>
      <w:pPr>
        <w:spacing w:after="0" w:line="54" w:lineRule="exact"/>
        <w:rPr>
          <w:sz w:val="20"/>
          <w:szCs w:val="20"/>
          <w:color w:val="auto"/>
        </w:rPr>
      </w:pPr>
    </w:p>
    <w:p>
      <w:pPr>
        <w:jc w:val="both"/>
        <w:ind w:left="360" w:right="20" w:hanging="275"/>
        <w:spacing w:after="0" w:line="269" w:lineRule="auto"/>
        <w:tabs>
          <w:tab w:leader="none" w:pos="360" w:val="left"/>
        </w:tabs>
        <w:numPr>
          <w:ilvl w:val="0"/>
          <w:numId w:val="131"/>
        </w:numPr>
        <w:rPr>
          <w:rFonts w:ascii="Arial" w:cs="Arial" w:eastAsia="Arial" w:hAnsi="Arial"/>
          <w:sz w:val="16"/>
          <w:szCs w:val="16"/>
          <w:color w:val="007CBA"/>
        </w:rPr>
      </w:pPr>
      <w:r>
        <w:rPr>
          <w:rFonts w:ascii="Arial" w:cs="Arial" w:eastAsia="Arial" w:hAnsi="Arial"/>
          <w:sz w:val="16"/>
          <w:szCs w:val="16"/>
          <w:color w:val="auto"/>
        </w:rPr>
        <w:t>calculating the total annual compensation of our CEO and of the median employee using the same methodology required for the Summary Compensation Table.</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total annual compensation for our CEO for fiscal year 2017 was $8,989,165. The total annual compensation for the median employee (other than our CEO) was $68,778. The resulting ratio of CEO pay to the pay of the Corporation’s median employee for fiscal year 2017 is 131 to one.</w:t>
      </w:r>
    </w:p>
    <w:p>
      <w:pPr>
        <w:spacing w:after="0" w:line="32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This pay ratio is a reasonable estimate calculated in a manner consistent with SEC rules based on our payroll and employment records and the methodology described above. Because the SEC rules for identifying the median-compensated employee and calculating the pay ratio based on that employee’s annual total compensation allow companies to adopt a variety of methodologies, to apply certain exclusions, and to make reasonable estimates and assumptions that reflect their compensation practices, the amount of compensation of the median-compensated employee and the pay ratio reported by other companies may not be comparable to our estimates reported above, as other companies may have different employment and compensation practices and may utilize different methodologies, exclusions, estimates and assumptions in calculating their own pay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368935</wp:posOffset>
            </wp:positionV>
            <wp:extent cx="411480" cy="2489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ectPr>
          <w:pgSz w:w="11900" w:h="16838" w:orient="portrait"/>
          <w:cols w:equalWidth="0" w:num="2">
            <w:col w:w="5500" w:space="320"/>
            <w:col w:w="5400"/>
          </w:cols>
          <w:pgMar w:left="240" w:top="455" w:right="439" w:bottom="1440" w:gutter="0" w:footer="0" w:header="0"/>
          <w:type w:val="continuous"/>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72" w:lineRule="exact"/>
        <w:rPr>
          <w:sz w:val="20"/>
          <w:szCs w:val="20"/>
          <w:color w:val="auto"/>
        </w:rPr>
      </w:pPr>
    </w:p>
    <w:p>
      <w:pPr>
        <w:ind w:left="200"/>
        <w:spacing w:after="0"/>
        <w:rPr>
          <w:sz w:val="20"/>
          <w:szCs w:val="20"/>
          <w:color w:val="auto"/>
        </w:rPr>
      </w:pPr>
      <w:r>
        <w:rPr>
          <w:rFonts w:ascii="Arial" w:cs="Arial" w:eastAsia="Arial" w:hAnsi="Arial"/>
          <w:sz w:val="43"/>
          <w:szCs w:val="43"/>
          <w:color w:val="auto"/>
        </w:rPr>
        <w:t>Proposal 3</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007CBA"/>
        </w:rPr>
        <w:t>Advisory Vote on the Compensation of Our Named Executive Officers</w:t>
      </w:r>
    </w:p>
    <w:p>
      <w:pPr>
        <w:spacing w:after="0" w:line="41" w:lineRule="exact"/>
        <w:rPr>
          <w:sz w:val="20"/>
          <w:szCs w:val="20"/>
          <w:color w:val="auto"/>
        </w:rPr>
      </w:pPr>
    </w:p>
    <w:p>
      <w:pPr>
        <w:ind w:left="200"/>
        <w:spacing w:after="0"/>
        <w:rPr>
          <w:sz w:val="20"/>
          <w:szCs w:val="20"/>
          <w:color w:val="auto"/>
        </w:rPr>
      </w:pPr>
      <w:r>
        <w:rPr>
          <w:rFonts w:ascii="Arial" w:cs="Arial" w:eastAsia="Arial" w:hAnsi="Arial"/>
          <w:sz w:val="20"/>
          <w:szCs w:val="20"/>
          <w:i w:val="1"/>
          <w:iCs w:val="1"/>
          <w:color w:val="007CBA"/>
        </w:rPr>
        <w:t>(Item 3 on Proxy Card)</w:t>
      </w:r>
    </w:p>
    <w:p>
      <w:pPr>
        <w:sectPr>
          <w:pgSz w:w="11900" w:h="16838" w:orient="portrait"/>
          <w:cols w:equalWidth="0" w:num="1">
            <w:col w:w="11220"/>
          </w:cols>
          <w:pgMar w:left="240" w:top="455" w:right="439" w:bottom="1440" w:gutter="0" w:footer="0" w:header="0"/>
        </w:sectPr>
      </w:pPr>
    </w:p>
    <w:p>
      <w:pPr>
        <w:spacing w:after="0" w:line="390" w:lineRule="exact"/>
        <w:rPr>
          <w:sz w:val="20"/>
          <w:szCs w:val="20"/>
          <w:color w:val="auto"/>
        </w:rPr>
      </w:pPr>
    </w:p>
    <w:p>
      <w:pPr>
        <w:jc w:val="both"/>
        <w:ind w:left="220"/>
        <w:spacing w:after="0" w:line="257" w:lineRule="auto"/>
        <w:rPr>
          <w:sz w:val="20"/>
          <w:szCs w:val="20"/>
          <w:color w:val="auto"/>
        </w:rPr>
      </w:pPr>
      <w:r>
        <w:rPr>
          <w:rFonts w:ascii="Arial" w:cs="Arial" w:eastAsia="Arial" w:hAnsi="Arial"/>
          <w:sz w:val="16"/>
          <w:szCs w:val="16"/>
          <w:color w:val="auto"/>
        </w:rPr>
        <w:t>Public companies are required to provide their shareholders with a periodic opportunity to endorse or not endorse our executive officer pay program and policies. The Board of Directors has elected to do so annually and intends to present the following non-binding resolution for approval by shareholders at the Annual Meeting:</w:t>
      </w:r>
    </w:p>
    <w:p>
      <w:pPr>
        <w:spacing w:after="0" w:line="136" w:lineRule="exact"/>
        <w:rPr>
          <w:sz w:val="20"/>
          <w:szCs w:val="20"/>
          <w:color w:val="auto"/>
        </w:rPr>
      </w:pPr>
    </w:p>
    <w:p>
      <w:pPr>
        <w:jc w:val="both"/>
        <w:ind w:left="520"/>
        <w:spacing w:after="0" w:line="255" w:lineRule="auto"/>
        <w:rPr>
          <w:sz w:val="20"/>
          <w:szCs w:val="20"/>
          <w:color w:val="auto"/>
        </w:rPr>
      </w:pPr>
      <w:r>
        <w:rPr>
          <w:rFonts w:ascii="Arial" w:cs="Arial" w:eastAsia="Arial" w:hAnsi="Arial"/>
          <w:sz w:val="16"/>
          <w:szCs w:val="16"/>
          <w:color w:val="auto"/>
        </w:rPr>
        <w:t>“RESOLVED, that the shareholders approve, on an advisory basis, the overall compensation paid to Martin Marietta’s named executive officers, as disclosed pursuant to Item 402 of Regulation S-K in this Proxy Statement in the Compensation Discussion and Analysis and in the narrative and tabular disclosure under the heading “Executive Compensation.”</w:t>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Shareholders are urged to read the </w:t>
      </w:r>
      <w:r>
        <w:rPr>
          <w:rFonts w:ascii="Arial" w:cs="Arial" w:eastAsia="Arial" w:hAnsi="Arial"/>
          <w:sz w:val="16"/>
          <w:szCs w:val="16"/>
          <w:i w:val="1"/>
          <w:iCs w:val="1"/>
          <w:color w:val="auto"/>
        </w:rPr>
        <w:t>Compensation Discussion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Analysis </w:t>
      </w:r>
      <w:r>
        <w:rPr>
          <w:rFonts w:ascii="Arial" w:cs="Arial" w:eastAsia="Arial" w:hAnsi="Arial"/>
          <w:sz w:val="16"/>
          <w:szCs w:val="16"/>
          <w:color w:val="auto"/>
        </w:rPr>
        <w:t>and consider the various factors regarding compensation that are</w:t>
      </w:r>
      <w:r>
        <w:rPr>
          <w:rFonts w:ascii="Arial" w:cs="Arial" w:eastAsia="Arial" w:hAnsi="Arial"/>
          <w:sz w:val="16"/>
          <w:szCs w:val="16"/>
          <w:i w:val="1"/>
          <w:iCs w:val="1"/>
          <w:color w:val="auto"/>
        </w:rPr>
        <w:t xml:space="preserve"> </w:t>
      </w:r>
      <w:r>
        <w:rPr>
          <w:rFonts w:ascii="Arial" w:cs="Arial" w:eastAsia="Arial" w:hAnsi="Arial"/>
          <w:sz w:val="16"/>
          <w:szCs w:val="16"/>
          <w:color w:val="auto"/>
        </w:rPr>
        <w:t>discussed. We believe that our executive compensation program is reasonable, competitive and strongly focused on pay-for-performance principles. Our executive compensation policies have enabled us to implement our compensation philosophy and achieve its goals. We believe that compensation awarded to our named executive officers in 2017 was appropriate and aligned with 2017 performance and positions us for growth in future years. The results of the vote on this resolution are advisory and will not be binding upon the Board of Directors. However, the Board values our shareholders’ opinions, and consistent with our record of shareholder engagement, will consider the outcome of the vote in making future executive compensation decisions. The next such vote will occur at the 2019 annual meeting of shareholders.</w:t>
      </w:r>
    </w:p>
    <w:p>
      <w:pPr>
        <w:spacing w:after="0" w:line="200" w:lineRule="exact"/>
        <w:rPr>
          <w:sz w:val="20"/>
          <w:szCs w:val="20"/>
          <w:color w:val="auto"/>
        </w:rPr>
      </w:pPr>
    </w:p>
    <w:p>
      <w:pPr>
        <w:sectPr>
          <w:pgSz w:w="11900" w:h="16838" w:orient="portrait"/>
          <w:cols w:equalWidth="0" w:num="2">
            <w:col w:w="5500" w:space="320"/>
            <w:col w:w="5400"/>
          </w:cols>
          <w:pgMar w:left="240" w:top="455" w:right="439" w:bottom="1440" w:gutter="0" w:footer="0" w:header="0"/>
          <w:type w:val="continuous"/>
        </w:sectPr>
      </w:pPr>
    </w:p>
    <w:p>
      <w:pPr>
        <w:spacing w:after="0" w:line="386" w:lineRule="exact"/>
        <w:rPr>
          <w:sz w:val="20"/>
          <w:szCs w:val="20"/>
          <w:color w:val="auto"/>
        </w:rPr>
      </w:pPr>
    </w:p>
    <w:p>
      <w:pPr>
        <w:ind w:left="4260"/>
        <w:spacing w:after="0"/>
        <w:rPr>
          <w:sz w:val="20"/>
          <w:szCs w:val="20"/>
          <w:color w:val="auto"/>
        </w:rPr>
      </w:pPr>
      <w:r>
        <w:rPr>
          <w:rFonts w:ascii="Arial" w:cs="Arial" w:eastAsia="Arial" w:hAnsi="Arial"/>
          <w:sz w:val="25"/>
          <w:szCs w:val="25"/>
          <w:color w:val="007CBA"/>
        </w:rPr>
        <w:t>The Board Unanimously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-85090</wp:posOffset>
            </wp:positionV>
            <wp:extent cx="325755" cy="3257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25755" cy="325755"/>
                    </a:xfrm>
                    <a:prstGeom prst="rect">
                      <a:avLst/>
                    </a:prstGeom>
                    <a:noFill/>
                  </pic:spPr>
                </pic:pic>
              </a:graphicData>
            </a:graphic>
          </wp:anchor>
        </w:drawing>
      </w:r>
    </w:p>
    <w:p>
      <w:pPr>
        <w:spacing w:after="0" w:line="22" w:lineRule="exact"/>
        <w:rPr>
          <w:sz w:val="20"/>
          <w:szCs w:val="20"/>
          <w:color w:val="auto"/>
        </w:rPr>
      </w:pPr>
    </w:p>
    <w:p>
      <w:pPr>
        <w:ind w:left="4260"/>
        <w:spacing w:after="0"/>
        <w:rPr>
          <w:sz w:val="20"/>
          <w:szCs w:val="20"/>
          <w:color w:val="auto"/>
        </w:rPr>
      </w:pPr>
      <w:r>
        <w:rPr>
          <w:rFonts w:ascii="Arial" w:cs="Arial" w:eastAsia="Arial" w:hAnsi="Arial"/>
          <w:sz w:val="25"/>
          <w:szCs w:val="25"/>
          <w:color w:val="007CBA"/>
        </w:rPr>
        <w:t>Recommends a Vote “</w:t>
      </w:r>
      <w:r>
        <w:rPr>
          <w:rFonts w:ascii="Arial" w:cs="Arial" w:eastAsia="Arial" w:hAnsi="Arial"/>
          <w:sz w:val="25"/>
          <w:szCs w:val="25"/>
          <w:b w:val="1"/>
          <w:bCs w:val="1"/>
          <w:color w:val="007CBA"/>
        </w:rPr>
        <w:t>FOR</w:t>
      </w:r>
      <w:r>
        <w:rPr>
          <w:rFonts w:ascii="Arial" w:cs="Arial" w:eastAsia="Arial" w:hAnsi="Arial"/>
          <w:sz w:val="25"/>
          <w:szCs w:val="25"/>
          <w:color w:val="007CBA"/>
        </w:rPr>
        <w:t>”</w:t>
      </w:r>
    </w:p>
    <w:p>
      <w:pPr>
        <w:spacing w:after="0" w:line="10" w:lineRule="exact"/>
        <w:rPr>
          <w:sz w:val="20"/>
          <w:szCs w:val="20"/>
          <w:color w:val="auto"/>
        </w:rPr>
      </w:pPr>
    </w:p>
    <w:p>
      <w:pPr>
        <w:ind w:left="4260"/>
        <w:spacing w:after="0"/>
        <w:rPr>
          <w:sz w:val="20"/>
          <w:szCs w:val="20"/>
          <w:color w:val="auto"/>
        </w:rPr>
      </w:pPr>
      <w:r>
        <w:rPr>
          <w:rFonts w:ascii="Arial" w:cs="Arial" w:eastAsia="Arial" w:hAnsi="Arial"/>
          <w:sz w:val="25"/>
          <w:szCs w:val="25"/>
          <w:color w:val="007CBA"/>
        </w:rPr>
        <w:t>This 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107950</wp:posOffset>
            </wp:positionV>
            <wp:extent cx="411480" cy="2489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167" w:lineRule="exact"/>
        <w:rPr>
          <w:sz w:val="20"/>
          <w:szCs w:val="20"/>
          <w:color w:val="auto"/>
        </w:rPr>
      </w:pPr>
    </w:p>
    <w:tbl>
      <w:tblPr>
        <w:tblLayout w:type="fixed"/>
        <w:tblInd w:w="9260" w:type="dxa"/>
        <w:tblCellMar>
          <w:top w:w="0" w:type="dxa"/>
          <w:left w:w="0" w:type="dxa"/>
          <w:bottom w:w="0" w:type="dxa"/>
          <w:right w:w="0" w:type="dxa"/>
        </w:tblCellMar>
      </w:tblPr>
      <w:tr>
        <w:trPr>
          <w:trHeight w:val="178"/>
        </w:trPr>
        <w:tc>
          <w:tcPr>
            <w:tcW w:w="1680" w:type="dxa"/>
            <w:vAlign w:val="bottom"/>
          </w:tcPr>
          <w:p>
            <w:pPr>
              <w:spacing w:after="0"/>
              <w:rPr>
                <w:sz w:val="20"/>
                <w:szCs w:val="20"/>
                <w:color w:val="auto"/>
              </w:rPr>
            </w:pPr>
            <w:r>
              <w:rPr>
                <w:rFonts w:ascii="Arial" w:cs="Arial" w:eastAsia="Arial" w:hAnsi="Arial"/>
                <w:sz w:val="13"/>
                <w:szCs w:val="13"/>
                <w:color w:val="007CBA"/>
              </w:rPr>
              <w:t>2018 PROXY STATEMENT</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rPr>
              <w:t>63</w:t>
            </w:r>
          </w:p>
        </w:tc>
      </w:tr>
    </w:tbl>
    <w:p>
      <w:pPr>
        <w:sectPr>
          <w:pgSz w:w="11900" w:h="16838" w:orient="portrait"/>
          <w:cols w:equalWidth="0" w:num="1">
            <w:col w:w="11220"/>
          </w:cols>
          <w:pgMar w:left="240" w:top="455" w:right="439" w:bottom="1440" w:gutter="0" w:footer="0" w:header="0"/>
          <w:type w:val="continuous"/>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72" w:lineRule="exact"/>
        <w:rPr>
          <w:sz w:val="20"/>
          <w:szCs w:val="20"/>
          <w:color w:val="auto"/>
        </w:rPr>
      </w:pPr>
    </w:p>
    <w:p>
      <w:pPr>
        <w:ind w:left="2440"/>
        <w:spacing w:after="0"/>
        <w:rPr>
          <w:sz w:val="20"/>
          <w:szCs w:val="20"/>
          <w:color w:val="auto"/>
        </w:rPr>
      </w:pPr>
      <w:r>
        <w:rPr>
          <w:rFonts w:ascii="Arial" w:cs="Arial" w:eastAsia="Arial" w:hAnsi="Arial"/>
          <w:sz w:val="43"/>
          <w:szCs w:val="43"/>
          <w:color w:val="auto"/>
        </w:rPr>
        <w:t>Securities Authorized for Issuance</w:t>
      </w:r>
    </w:p>
    <w:p>
      <w:pPr>
        <w:spacing w:after="0" w:line="61" w:lineRule="exact"/>
        <w:rPr>
          <w:sz w:val="20"/>
          <w:szCs w:val="20"/>
          <w:color w:val="auto"/>
        </w:rPr>
      </w:pPr>
    </w:p>
    <w:p>
      <w:pPr>
        <w:ind w:left="2420"/>
        <w:spacing w:after="0"/>
        <w:rPr>
          <w:sz w:val="20"/>
          <w:szCs w:val="20"/>
          <w:color w:val="auto"/>
        </w:rPr>
      </w:pPr>
      <w:r>
        <w:rPr>
          <w:rFonts w:ascii="Arial" w:cs="Arial" w:eastAsia="Arial" w:hAnsi="Arial"/>
          <w:sz w:val="43"/>
          <w:szCs w:val="43"/>
          <w:color w:val="auto"/>
        </w:rPr>
        <w:t>Under Equity Compensation Plans</w:t>
      </w:r>
    </w:p>
    <w:p>
      <w:pPr>
        <w:spacing w:after="0" w:line="311" w:lineRule="exact"/>
        <w:rPr>
          <w:sz w:val="20"/>
          <w:szCs w:val="20"/>
          <w:color w:val="auto"/>
        </w:rPr>
      </w:pPr>
    </w:p>
    <w:p>
      <w:pPr>
        <w:jc w:val="both"/>
        <w:ind w:left="200" w:right="20"/>
        <w:spacing w:after="0" w:line="254" w:lineRule="auto"/>
        <w:rPr>
          <w:sz w:val="20"/>
          <w:szCs w:val="20"/>
          <w:color w:val="auto"/>
        </w:rPr>
      </w:pPr>
      <w:r>
        <w:rPr>
          <w:rFonts w:ascii="Arial" w:cs="Arial" w:eastAsia="Arial" w:hAnsi="Arial"/>
          <w:sz w:val="16"/>
          <w:szCs w:val="16"/>
          <w:color w:val="auto"/>
        </w:rPr>
        <w:t>The following table shows information as of December 31, 2017 regarding Martin Marietta’s compensation plans that allow Martin Marietta to issue its equity securities. Martin Marietta’s equity compensation plans consist of the Amended and Restated Martin Marietta Materials, Inc. Common Stock Purchase Plan for Directors (the Directors’ Plan), the Martin Marietta Materials, Inc. Amended and Restated Stock-Based Award Plan (the Stock-Based Award Plan), under which the Martin Marietta Materials, Inc. Incentive Stock Plan (the Incentive Stock Plan) was adopted, the Martin Marietta Materials, Inc. Amended Omnibus Securities Award Plan (the Omnibus Securities Award Plan), and the Martin Marietta Materials, Inc. Shareholder Value Achievement Plan (the Achievement Plan). Martin Marietta’s shareholders have approved all of these plans. Martin Marietta has not entered into any individual compensation arrangements that would allow it to issue its equity securities to employees or non-employees in exchange for goods or services.</w:t>
      </w:r>
    </w:p>
    <w:p>
      <w:pPr>
        <w:spacing w:after="0" w:line="165"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EQUITY COMPENSATION PLAN INFORMATION</w:t>
      </w:r>
    </w:p>
    <w:p>
      <w:pPr>
        <w:spacing w:after="0" w:line="225"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5500" w:type="dxa"/>
            <w:vAlign w:val="bottom"/>
            <w:tcBorders>
              <w:right w:val="single" w:sz="8" w:color="007CBA"/>
            </w:tcBorders>
            <w:shd w:val="clear" w:color="auto" w:fill="007CBA"/>
          </w:tcPr>
          <w:p>
            <w:pPr>
              <w:spacing w:after="0"/>
              <w:rPr>
                <w:sz w:val="16"/>
                <w:szCs w:val="16"/>
                <w:color w:val="auto"/>
              </w:rPr>
            </w:pPr>
          </w:p>
        </w:tc>
        <w:tc>
          <w:tcPr>
            <w:tcW w:w="1920" w:type="dxa"/>
            <w:vAlign w:val="bottom"/>
            <w:tcBorders>
              <w:right w:val="single" w:sz="8" w:color="007CBA"/>
            </w:tcBorders>
            <w:shd w:val="clear" w:color="auto" w:fill="007CBA"/>
          </w:tcPr>
          <w:p>
            <w:pPr>
              <w:spacing w:after="0"/>
              <w:rPr>
                <w:sz w:val="16"/>
                <w:szCs w:val="16"/>
                <w:color w:val="auto"/>
              </w:rPr>
            </w:pPr>
          </w:p>
        </w:tc>
        <w:tc>
          <w:tcPr>
            <w:tcW w:w="580" w:type="dxa"/>
            <w:vAlign w:val="bottom"/>
            <w:shd w:val="clear" w:color="auto" w:fill="007CBA"/>
          </w:tcPr>
          <w:p>
            <w:pPr>
              <w:spacing w:after="0"/>
              <w:rPr>
                <w:sz w:val="16"/>
                <w:szCs w:val="16"/>
                <w:color w:val="auto"/>
              </w:rPr>
            </w:pPr>
          </w:p>
        </w:tc>
        <w:tc>
          <w:tcPr>
            <w:tcW w:w="1120" w:type="dxa"/>
            <w:vAlign w:val="bottom"/>
            <w:tcBorders>
              <w:right w:val="single" w:sz="8" w:color="007CBA"/>
            </w:tcBorders>
            <w:shd w:val="clear" w:color="auto" w:fill="007CBA"/>
          </w:tcPr>
          <w:p>
            <w:pPr>
              <w:spacing w:after="0"/>
              <w:rPr>
                <w:sz w:val="16"/>
                <w:szCs w:val="16"/>
                <w:color w:val="auto"/>
              </w:rPr>
            </w:pPr>
          </w:p>
        </w:tc>
        <w:tc>
          <w:tcPr>
            <w:tcW w:w="1900" w:type="dxa"/>
            <w:vAlign w:val="bottom"/>
            <w:shd w:val="clear" w:color="auto" w:fill="007CBA"/>
          </w:tcPr>
          <w:p>
            <w:pPr>
              <w:jc w:val="center"/>
              <w:spacing w:after="0"/>
              <w:rPr>
                <w:sz w:val="20"/>
                <w:szCs w:val="20"/>
                <w:color w:val="auto"/>
              </w:rPr>
            </w:pPr>
            <w:r>
              <w:rPr>
                <w:rFonts w:ascii="Arial" w:cs="Arial" w:eastAsia="Arial" w:hAnsi="Arial"/>
                <w:sz w:val="16"/>
                <w:szCs w:val="16"/>
                <w:b w:val="1"/>
                <w:bCs w:val="1"/>
                <w:color w:val="FFFFFF"/>
              </w:rPr>
              <w:t>Number of securities</w:t>
            </w:r>
          </w:p>
        </w:tc>
      </w:tr>
      <w:tr>
        <w:trPr>
          <w:trHeight w:val="189"/>
        </w:trPr>
        <w:tc>
          <w:tcPr>
            <w:tcW w:w="5500" w:type="dxa"/>
            <w:vAlign w:val="bottom"/>
            <w:tcBorders>
              <w:right w:val="single" w:sz="8" w:color="007CBA"/>
            </w:tcBorders>
            <w:shd w:val="clear" w:color="auto" w:fill="007CBA"/>
          </w:tcPr>
          <w:p>
            <w:pPr>
              <w:spacing w:after="0"/>
              <w:rPr>
                <w:sz w:val="16"/>
                <w:szCs w:val="16"/>
                <w:color w:val="auto"/>
              </w:rPr>
            </w:pPr>
          </w:p>
        </w:tc>
        <w:tc>
          <w:tcPr>
            <w:tcW w:w="1920" w:type="dxa"/>
            <w:vAlign w:val="bottom"/>
            <w:tcBorders>
              <w:right w:val="single" w:sz="8" w:color="007CBA"/>
            </w:tcBorders>
            <w:shd w:val="clear" w:color="auto" w:fill="007CBA"/>
          </w:tcPr>
          <w:p>
            <w:pPr>
              <w:spacing w:after="0"/>
              <w:rPr>
                <w:sz w:val="16"/>
                <w:szCs w:val="16"/>
                <w:color w:val="auto"/>
              </w:rPr>
            </w:pPr>
          </w:p>
        </w:tc>
        <w:tc>
          <w:tcPr>
            <w:tcW w:w="580" w:type="dxa"/>
            <w:vAlign w:val="bottom"/>
            <w:shd w:val="clear" w:color="auto" w:fill="007CBA"/>
          </w:tcPr>
          <w:p>
            <w:pPr>
              <w:spacing w:after="0"/>
              <w:rPr>
                <w:sz w:val="16"/>
                <w:szCs w:val="16"/>
                <w:color w:val="auto"/>
              </w:rPr>
            </w:pPr>
          </w:p>
        </w:tc>
        <w:tc>
          <w:tcPr>
            <w:tcW w:w="1120" w:type="dxa"/>
            <w:vAlign w:val="bottom"/>
            <w:tcBorders>
              <w:right w:val="single" w:sz="8" w:color="007CBA"/>
            </w:tcBorders>
            <w:shd w:val="clear" w:color="auto" w:fill="007CBA"/>
          </w:tcPr>
          <w:p>
            <w:pPr>
              <w:spacing w:after="0"/>
              <w:rPr>
                <w:sz w:val="16"/>
                <w:szCs w:val="16"/>
                <w:color w:val="auto"/>
              </w:rPr>
            </w:pPr>
          </w:p>
        </w:tc>
        <w:tc>
          <w:tcPr>
            <w:tcW w:w="1900" w:type="dxa"/>
            <w:vAlign w:val="bottom"/>
            <w:shd w:val="clear" w:color="auto" w:fill="007CBA"/>
          </w:tcPr>
          <w:p>
            <w:pPr>
              <w:jc w:val="center"/>
              <w:spacing w:after="0"/>
              <w:rPr>
                <w:sz w:val="20"/>
                <w:szCs w:val="20"/>
                <w:color w:val="auto"/>
              </w:rPr>
            </w:pPr>
            <w:r>
              <w:rPr>
                <w:rFonts w:ascii="Arial" w:cs="Arial" w:eastAsia="Arial" w:hAnsi="Arial"/>
                <w:sz w:val="16"/>
                <w:szCs w:val="16"/>
                <w:b w:val="1"/>
                <w:bCs w:val="1"/>
                <w:color w:val="FFFFFF"/>
              </w:rPr>
              <w:t>remaining available</w:t>
            </w:r>
          </w:p>
        </w:tc>
      </w:tr>
      <w:tr>
        <w:trPr>
          <w:trHeight w:val="189"/>
        </w:trPr>
        <w:tc>
          <w:tcPr>
            <w:tcW w:w="5500" w:type="dxa"/>
            <w:vAlign w:val="bottom"/>
            <w:tcBorders>
              <w:right w:val="single" w:sz="8" w:color="007CBA"/>
            </w:tcBorders>
            <w:shd w:val="clear" w:color="auto" w:fill="007CBA"/>
          </w:tcPr>
          <w:p>
            <w:pPr>
              <w:spacing w:after="0"/>
              <w:rPr>
                <w:sz w:val="16"/>
                <w:szCs w:val="16"/>
                <w:color w:val="auto"/>
              </w:rPr>
            </w:pPr>
          </w:p>
        </w:tc>
        <w:tc>
          <w:tcPr>
            <w:tcW w:w="19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6"/>
                <w:szCs w:val="16"/>
                <w:b w:val="1"/>
                <w:bCs w:val="1"/>
                <w:color w:val="FFFFFF"/>
              </w:rPr>
              <w:t>Number of securities</w:t>
            </w:r>
          </w:p>
        </w:tc>
        <w:tc>
          <w:tcPr>
            <w:tcW w:w="580" w:type="dxa"/>
            <w:vAlign w:val="bottom"/>
            <w:shd w:val="clear" w:color="auto" w:fill="007CBA"/>
          </w:tcPr>
          <w:p>
            <w:pPr>
              <w:spacing w:after="0"/>
              <w:rPr>
                <w:sz w:val="16"/>
                <w:szCs w:val="16"/>
                <w:color w:val="auto"/>
              </w:rPr>
            </w:pPr>
          </w:p>
        </w:tc>
        <w:tc>
          <w:tcPr>
            <w:tcW w:w="1120" w:type="dxa"/>
            <w:vAlign w:val="bottom"/>
            <w:tcBorders>
              <w:right w:val="single" w:sz="8" w:color="007CBA"/>
            </w:tcBorders>
            <w:shd w:val="clear" w:color="auto" w:fill="007CBA"/>
          </w:tcPr>
          <w:p>
            <w:pPr>
              <w:spacing w:after="0"/>
              <w:rPr>
                <w:sz w:val="16"/>
                <w:szCs w:val="16"/>
                <w:color w:val="auto"/>
              </w:rPr>
            </w:pPr>
          </w:p>
        </w:tc>
        <w:tc>
          <w:tcPr>
            <w:tcW w:w="1900" w:type="dxa"/>
            <w:vAlign w:val="bottom"/>
            <w:shd w:val="clear" w:color="auto" w:fill="007CBA"/>
          </w:tcPr>
          <w:p>
            <w:pPr>
              <w:jc w:val="center"/>
              <w:spacing w:after="0"/>
              <w:rPr>
                <w:sz w:val="20"/>
                <w:szCs w:val="20"/>
                <w:color w:val="auto"/>
              </w:rPr>
            </w:pPr>
            <w:r>
              <w:rPr>
                <w:rFonts w:ascii="Arial" w:cs="Arial" w:eastAsia="Arial" w:hAnsi="Arial"/>
                <w:sz w:val="16"/>
                <w:szCs w:val="16"/>
                <w:b w:val="1"/>
                <w:bCs w:val="1"/>
                <w:color w:val="FFFFFF"/>
              </w:rPr>
              <w:t>for future issuance</w:t>
            </w:r>
          </w:p>
        </w:tc>
      </w:tr>
      <w:tr>
        <w:trPr>
          <w:trHeight w:val="189"/>
        </w:trPr>
        <w:tc>
          <w:tcPr>
            <w:tcW w:w="5500" w:type="dxa"/>
            <w:vAlign w:val="bottom"/>
            <w:tcBorders>
              <w:right w:val="single" w:sz="8" w:color="007CBA"/>
            </w:tcBorders>
            <w:shd w:val="clear" w:color="auto" w:fill="007CBA"/>
          </w:tcPr>
          <w:p>
            <w:pPr>
              <w:spacing w:after="0"/>
              <w:rPr>
                <w:sz w:val="16"/>
                <w:szCs w:val="16"/>
                <w:color w:val="auto"/>
              </w:rPr>
            </w:pPr>
          </w:p>
        </w:tc>
        <w:tc>
          <w:tcPr>
            <w:tcW w:w="19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6"/>
                <w:szCs w:val="16"/>
                <w:b w:val="1"/>
                <w:bCs w:val="1"/>
                <w:color w:val="FFFFFF"/>
              </w:rPr>
              <w:t>to be issued upon</w:t>
            </w:r>
          </w:p>
        </w:tc>
        <w:tc>
          <w:tcPr>
            <w:tcW w:w="1700" w:type="dxa"/>
            <w:vAlign w:val="bottom"/>
            <w:tcBorders>
              <w:right w:val="single" w:sz="8" w:color="007CBA"/>
            </w:tcBorders>
            <w:gridSpan w:val="2"/>
            <w:shd w:val="clear" w:color="auto" w:fill="007CBA"/>
          </w:tcPr>
          <w:p>
            <w:pPr>
              <w:jc w:val="center"/>
              <w:spacing w:after="0"/>
              <w:rPr>
                <w:sz w:val="20"/>
                <w:szCs w:val="20"/>
                <w:color w:val="auto"/>
              </w:rPr>
            </w:pPr>
            <w:r>
              <w:rPr>
                <w:rFonts w:ascii="Arial" w:cs="Arial" w:eastAsia="Arial" w:hAnsi="Arial"/>
                <w:sz w:val="16"/>
                <w:szCs w:val="16"/>
                <w:b w:val="1"/>
                <w:bCs w:val="1"/>
                <w:color w:val="FFFFFF"/>
              </w:rPr>
              <w:t>Weighted-average</w:t>
            </w:r>
          </w:p>
        </w:tc>
        <w:tc>
          <w:tcPr>
            <w:tcW w:w="1900" w:type="dxa"/>
            <w:vAlign w:val="bottom"/>
            <w:shd w:val="clear" w:color="auto" w:fill="007CBA"/>
          </w:tcPr>
          <w:p>
            <w:pPr>
              <w:jc w:val="center"/>
              <w:spacing w:after="0"/>
              <w:rPr>
                <w:sz w:val="20"/>
                <w:szCs w:val="20"/>
                <w:color w:val="auto"/>
              </w:rPr>
            </w:pPr>
            <w:r>
              <w:rPr>
                <w:rFonts w:ascii="Arial" w:cs="Arial" w:eastAsia="Arial" w:hAnsi="Arial"/>
                <w:sz w:val="16"/>
                <w:szCs w:val="16"/>
                <w:b w:val="1"/>
                <w:bCs w:val="1"/>
                <w:color w:val="FFFFFF"/>
              </w:rPr>
              <w:t>under equity</w:t>
            </w:r>
          </w:p>
        </w:tc>
      </w:tr>
      <w:tr>
        <w:trPr>
          <w:trHeight w:val="189"/>
        </w:trPr>
        <w:tc>
          <w:tcPr>
            <w:tcW w:w="5500" w:type="dxa"/>
            <w:vAlign w:val="bottom"/>
            <w:tcBorders>
              <w:right w:val="single" w:sz="8" w:color="007CBA"/>
            </w:tcBorders>
            <w:shd w:val="clear" w:color="auto" w:fill="007CBA"/>
          </w:tcPr>
          <w:p>
            <w:pPr>
              <w:spacing w:after="0"/>
              <w:rPr>
                <w:sz w:val="16"/>
                <w:szCs w:val="16"/>
                <w:color w:val="auto"/>
              </w:rPr>
            </w:pPr>
          </w:p>
        </w:tc>
        <w:tc>
          <w:tcPr>
            <w:tcW w:w="19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6"/>
                <w:szCs w:val="16"/>
                <w:b w:val="1"/>
                <w:bCs w:val="1"/>
                <w:color w:val="FFFFFF"/>
              </w:rPr>
              <w:t>exercise of</w:t>
            </w:r>
          </w:p>
        </w:tc>
        <w:tc>
          <w:tcPr>
            <w:tcW w:w="1700" w:type="dxa"/>
            <w:vAlign w:val="bottom"/>
            <w:tcBorders>
              <w:right w:val="single" w:sz="8" w:color="007CBA"/>
            </w:tcBorders>
            <w:gridSpan w:val="2"/>
            <w:shd w:val="clear" w:color="auto" w:fill="007CBA"/>
          </w:tcPr>
          <w:p>
            <w:pPr>
              <w:jc w:val="center"/>
              <w:spacing w:after="0"/>
              <w:rPr>
                <w:sz w:val="20"/>
                <w:szCs w:val="20"/>
                <w:color w:val="auto"/>
              </w:rPr>
            </w:pPr>
            <w:r>
              <w:rPr>
                <w:rFonts w:ascii="Arial" w:cs="Arial" w:eastAsia="Arial" w:hAnsi="Arial"/>
                <w:sz w:val="16"/>
                <w:szCs w:val="16"/>
                <w:b w:val="1"/>
                <w:bCs w:val="1"/>
                <w:color w:val="FFFFFF"/>
              </w:rPr>
              <w:t>exercise price of</w:t>
            </w:r>
          </w:p>
        </w:tc>
        <w:tc>
          <w:tcPr>
            <w:tcW w:w="1900" w:type="dxa"/>
            <w:vAlign w:val="bottom"/>
            <w:shd w:val="clear" w:color="auto" w:fill="007CBA"/>
          </w:tcPr>
          <w:p>
            <w:pPr>
              <w:jc w:val="center"/>
              <w:spacing w:after="0"/>
              <w:rPr>
                <w:sz w:val="20"/>
                <w:szCs w:val="20"/>
                <w:color w:val="auto"/>
              </w:rPr>
            </w:pPr>
            <w:r>
              <w:rPr>
                <w:rFonts w:ascii="Arial" w:cs="Arial" w:eastAsia="Arial" w:hAnsi="Arial"/>
                <w:sz w:val="16"/>
                <w:szCs w:val="16"/>
                <w:b w:val="1"/>
                <w:bCs w:val="1"/>
                <w:color w:val="FFFFFF"/>
              </w:rPr>
              <w:t>compensation plans</w:t>
            </w:r>
          </w:p>
        </w:tc>
      </w:tr>
      <w:tr>
        <w:trPr>
          <w:trHeight w:val="189"/>
        </w:trPr>
        <w:tc>
          <w:tcPr>
            <w:tcW w:w="5500" w:type="dxa"/>
            <w:vAlign w:val="bottom"/>
            <w:tcBorders>
              <w:right w:val="single" w:sz="8" w:color="007CBA"/>
            </w:tcBorders>
            <w:shd w:val="clear" w:color="auto" w:fill="007CBA"/>
          </w:tcPr>
          <w:p>
            <w:pPr>
              <w:spacing w:after="0"/>
              <w:rPr>
                <w:sz w:val="16"/>
                <w:szCs w:val="16"/>
                <w:color w:val="auto"/>
              </w:rPr>
            </w:pPr>
          </w:p>
        </w:tc>
        <w:tc>
          <w:tcPr>
            <w:tcW w:w="19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6"/>
                <w:szCs w:val="16"/>
                <w:b w:val="1"/>
                <w:bCs w:val="1"/>
                <w:color w:val="FFFFFF"/>
              </w:rPr>
              <w:t>outstanding</w:t>
            </w:r>
          </w:p>
        </w:tc>
        <w:tc>
          <w:tcPr>
            <w:tcW w:w="1700" w:type="dxa"/>
            <w:vAlign w:val="bottom"/>
            <w:tcBorders>
              <w:right w:val="single" w:sz="8" w:color="007CBA"/>
            </w:tcBorders>
            <w:gridSpan w:val="2"/>
            <w:shd w:val="clear" w:color="auto" w:fill="007CBA"/>
          </w:tcPr>
          <w:p>
            <w:pPr>
              <w:jc w:val="center"/>
              <w:spacing w:after="0"/>
              <w:rPr>
                <w:sz w:val="20"/>
                <w:szCs w:val="20"/>
                <w:color w:val="auto"/>
              </w:rPr>
            </w:pPr>
            <w:r>
              <w:rPr>
                <w:rFonts w:ascii="Arial" w:cs="Arial" w:eastAsia="Arial" w:hAnsi="Arial"/>
                <w:sz w:val="16"/>
                <w:szCs w:val="16"/>
                <w:b w:val="1"/>
                <w:bCs w:val="1"/>
                <w:color w:val="FFFFFF"/>
              </w:rPr>
              <w:t>outstanding</w:t>
            </w:r>
          </w:p>
        </w:tc>
        <w:tc>
          <w:tcPr>
            <w:tcW w:w="1900" w:type="dxa"/>
            <w:vAlign w:val="bottom"/>
            <w:shd w:val="clear" w:color="auto" w:fill="007CBA"/>
          </w:tcPr>
          <w:p>
            <w:pPr>
              <w:jc w:val="center"/>
              <w:spacing w:after="0"/>
              <w:rPr>
                <w:sz w:val="20"/>
                <w:szCs w:val="20"/>
                <w:color w:val="auto"/>
              </w:rPr>
            </w:pPr>
            <w:r>
              <w:rPr>
                <w:rFonts w:ascii="Arial" w:cs="Arial" w:eastAsia="Arial" w:hAnsi="Arial"/>
                <w:sz w:val="16"/>
                <w:szCs w:val="16"/>
                <w:b w:val="1"/>
                <w:bCs w:val="1"/>
                <w:color w:val="FFFFFF"/>
              </w:rPr>
              <w:t>(excluding securities</w:t>
            </w:r>
          </w:p>
        </w:tc>
      </w:tr>
      <w:tr>
        <w:trPr>
          <w:trHeight w:val="189"/>
        </w:trPr>
        <w:tc>
          <w:tcPr>
            <w:tcW w:w="5500" w:type="dxa"/>
            <w:vAlign w:val="bottom"/>
            <w:tcBorders>
              <w:right w:val="single" w:sz="8" w:color="007CBA"/>
            </w:tcBorders>
            <w:shd w:val="clear" w:color="auto" w:fill="007CBA"/>
          </w:tcPr>
          <w:p>
            <w:pPr>
              <w:spacing w:after="0"/>
              <w:rPr>
                <w:sz w:val="16"/>
                <w:szCs w:val="16"/>
                <w:color w:val="auto"/>
              </w:rPr>
            </w:pPr>
          </w:p>
        </w:tc>
        <w:tc>
          <w:tcPr>
            <w:tcW w:w="19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6"/>
                <w:szCs w:val="16"/>
                <w:b w:val="1"/>
                <w:bCs w:val="1"/>
                <w:color w:val="FFFFFF"/>
              </w:rPr>
              <w:t>options, warrants,</w:t>
            </w:r>
          </w:p>
        </w:tc>
        <w:tc>
          <w:tcPr>
            <w:tcW w:w="1700" w:type="dxa"/>
            <w:vAlign w:val="bottom"/>
            <w:tcBorders>
              <w:right w:val="single" w:sz="8" w:color="007CBA"/>
            </w:tcBorders>
            <w:gridSpan w:val="2"/>
            <w:shd w:val="clear" w:color="auto" w:fill="007CBA"/>
          </w:tcPr>
          <w:p>
            <w:pPr>
              <w:jc w:val="center"/>
              <w:spacing w:after="0"/>
              <w:rPr>
                <w:sz w:val="20"/>
                <w:szCs w:val="20"/>
                <w:color w:val="auto"/>
              </w:rPr>
            </w:pPr>
            <w:r>
              <w:rPr>
                <w:rFonts w:ascii="Arial" w:cs="Arial" w:eastAsia="Arial" w:hAnsi="Arial"/>
                <w:sz w:val="16"/>
                <w:szCs w:val="16"/>
                <w:b w:val="1"/>
                <w:bCs w:val="1"/>
                <w:color w:val="FFFFFF"/>
              </w:rPr>
              <w:t>options, warrants,</w:t>
            </w:r>
          </w:p>
        </w:tc>
        <w:tc>
          <w:tcPr>
            <w:tcW w:w="1900" w:type="dxa"/>
            <w:vAlign w:val="bottom"/>
            <w:shd w:val="clear" w:color="auto" w:fill="007CBA"/>
          </w:tcPr>
          <w:p>
            <w:pPr>
              <w:jc w:val="center"/>
              <w:spacing w:after="0"/>
              <w:rPr>
                <w:sz w:val="20"/>
                <w:szCs w:val="20"/>
                <w:color w:val="auto"/>
              </w:rPr>
            </w:pPr>
            <w:r>
              <w:rPr>
                <w:rFonts w:ascii="Arial" w:cs="Arial" w:eastAsia="Arial" w:hAnsi="Arial"/>
                <w:sz w:val="16"/>
                <w:szCs w:val="16"/>
                <w:b w:val="1"/>
                <w:bCs w:val="1"/>
                <w:color w:val="FFFFFF"/>
              </w:rPr>
              <w:t>reflected in column</w:t>
            </w:r>
          </w:p>
        </w:tc>
      </w:tr>
      <w:tr>
        <w:trPr>
          <w:trHeight w:val="188"/>
        </w:trPr>
        <w:tc>
          <w:tcPr>
            <w:tcW w:w="5500" w:type="dxa"/>
            <w:vAlign w:val="bottom"/>
            <w:tcBorders>
              <w:right w:val="single" w:sz="8" w:color="007CBA"/>
            </w:tcBorders>
            <w:shd w:val="clear" w:color="auto" w:fill="007CBA"/>
          </w:tcPr>
          <w:p>
            <w:pPr>
              <w:spacing w:after="0"/>
              <w:rPr>
                <w:sz w:val="16"/>
                <w:szCs w:val="16"/>
                <w:color w:val="auto"/>
              </w:rPr>
            </w:pPr>
          </w:p>
        </w:tc>
        <w:tc>
          <w:tcPr>
            <w:tcW w:w="19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6"/>
                <w:szCs w:val="16"/>
                <w:b w:val="1"/>
                <w:bCs w:val="1"/>
                <w:color w:val="FFFFFF"/>
              </w:rPr>
              <w:t>and rights</w:t>
            </w:r>
          </w:p>
        </w:tc>
        <w:tc>
          <w:tcPr>
            <w:tcW w:w="1700" w:type="dxa"/>
            <w:vAlign w:val="bottom"/>
            <w:tcBorders>
              <w:right w:val="single" w:sz="8" w:color="007CBA"/>
            </w:tcBorders>
            <w:gridSpan w:val="2"/>
            <w:shd w:val="clear" w:color="auto" w:fill="007CBA"/>
          </w:tcPr>
          <w:p>
            <w:pPr>
              <w:jc w:val="center"/>
              <w:spacing w:after="0"/>
              <w:rPr>
                <w:sz w:val="20"/>
                <w:szCs w:val="20"/>
                <w:color w:val="auto"/>
              </w:rPr>
            </w:pPr>
            <w:r>
              <w:rPr>
                <w:rFonts w:ascii="Arial" w:cs="Arial" w:eastAsia="Arial" w:hAnsi="Arial"/>
                <w:sz w:val="16"/>
                <w:szCs w:val="16"/>
                <w:b w:val="1"/>
                <w:bCs w:val="1"/>
                <w:color w:val="FFFFFF"/>
              </w:rPr>
              <w:t>and rights</w:t>
            </w:r>
          </w:p>
        </w:tc>
        <w:tc>
          <w:tcPr>
            <w:tcW w:w="1900" w:type="dxa"/>
            <w:vAlign w:val="bottom"/>
            <w:shd w:val="clear" w:color="auto" w:fill="007CBA"/>
          </w:tcPr>
          <w:p>
            <w:pPr>
              <w:jc w:val="center"/>
              <w:spacing w:after="0"/>
              <w:rPr>
                <w:sz w:val="20"/>
                <w:szCs w:val="20"/>
                <w:color w:val="auto"/>
              </w:rPr>
            </w:pPr>
            <w:r>
              <w:rPr>
                <w:rFonts w:ascii="Arial" w:cs="Arial" w:eastAsia="Arial" w:hAnsi="Arial"/>
                <w:sz w:val="16"/>
                <w:szCs w:val="16"/>
                <w:b w:val="1"/>
                <w:bCs w:val="1"/>
                <w:color w:val="FFFFFF"/>
              </w:rPr>
              <w:t>(a))</w:t>
            </w:r>
          </w:p>
        </w:tc>
      </w:tr>
      <w:tr>
        <w:trPr>
          <w:trHeight w:val="264"/>
        </w:trPr>
        <w:tc>
          <w:tcPr>
            <w:tcW w:w="550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6"/>
                <w:szCs w:val="16"/>
                <w:b w:val="1"/>
                <w:bCs w:val="1"/>
                <w:color w:val="FFFFFF"/>
              </w:rPr>
              <w:t>Plan Category</w:t>
            </w:r>
          </w:p>
        </w:tc>
        <w:tc>
          <w:tcPr>
            <w:tcW w:w="19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6"/>
                <w:szCs w:val="16"/>
                <w:b w:val="1"/>
                <w:bCs w:val="1"/>
                <w:color w:val="FFFFFF"/>
              </w:rPr>
              <w:t>(a)</w:t>
            </w:r>
          </w:p>
        </w:tc>
        <w:tc>
          <w:tcPr>
            <w:tcW w:w="580" w:type="dxa"/>
            <w:vAlign w:val="bottom"/>
            <w:shd w:val="clear" w:color="auto" w:fill="007CBA"/>
          </w:tcPr>
          <w:p>
            <w:pPr>
              <w:spacing w:after="0"/>
              <w:rPr>
                <w:sz w:val="22"/>
                <w:szCs w:val="22"/>
                <w:color w:val="auto"/>
              </w:rPr>
            </w:pPr>
          </w:p>
        </w:tc>
        <w:tc>
          <w:tcPr>
            <w:tcW w:w="1120" w:type="dxa"/>
            <w:vAlign w:val="bottom"/>
            <w:tcBorders>
              <w:right w:val="single" w:sz="8" w:color="007CBA"/>
            </w:tcBorders>
            <w:shd w:val="clear" w:color="auto" w:fill="007CBA"/>
          </w:tcPr>
          <w:p>
            <w:pPr>
              <w:jc w:val="center"/>
              <w:ind w:right="559"/>
              <w:spacing w:after="0" w:line="264" w:lineRule="exact"/>
              <w:rPr>
                <w:sz w:val="20"/>
                <w:szCs w:val="20"/>
                <w:color w:val="auto"/>
              </w:rPr>
            </w:pPr>
            <w:r>
              <w:rPr>
                <w:rFonts w:ascii="Arial" w:cs="Arial" w:eastAsia="Arial" w:hAnsi="Arial"/>
                <w:sz w:val="16"/>
                <w:szCs w:val="16"/>
                <w:b w:val="1"/>
                <w:bCs w:val="1"/>
                <w:color w:val="FFFFFF"/>
                <w:w w:val="91"/>
              </w:rPr>
              <w:t>(b)</w:t>
            </w:r>
            <w:r>
              <w:rPr>
                <w:rFonts w:ascii="Arial" w:cs="Arial" w:eastAsia="Arial" w:hAnsi="Arial"/>
                <w:sz w:val="27"/>
                <w:szCs w:val="27"/>
                <w:b w:val="1"/>
                <w:bCs w:val="1"/>
                <w:color w:val="FFFFFF"/>
                <w:w w:val="91"/>
                <w:vertAlign w:val="superscript"/>
              </w:rPr>
              <w:t>3</w:t>
            </w:r>
          </w:p>
        </w:tc>
        <w:tc>
          <w:tcPr>
            <w:tcW w:w="1900" w:type="dxa"/>
            <w:vAlign w:val="bottom"/>
            <w:shd w:val="clear" w:color="auto" w:fill="007CBA"/>
          </w:tcPr>
          <w:p>
            <w:pPr>
              <w:jc w:val="center"/>
              <w:spacing w:after="0"/>
              <w:rPr>
                <w:sz w:val="20"/>
                <w:szCs w:val="20"/>
                <w:color w:val="auto"/>
              </w:rPr>
            </w:pPr>
            <w:r>
              <w:rPr>
                <w:rFonts w:ascii="Arial" w:cs="Arial" w:eastAsia="Arial" w:hAnsi="Arial"/>
                <w:sz w:val="16"/>
                <w:szCs w:val="16"/>
                <w:b w:val="1"/>
                <w:bCs w:val="1"/>
                <w:color w:val="FFFFFF"/>
              </w:rPr>
              <w:t>(c)</w:t>
            </w:r>
          </w:p>
        </w:tc>
      </w:tr>
      <w:tr>
        <w:trPr>
          <w:trHeight w:val="257"/>
        </w:trPr>
        <w:tc>
          <w:tcPr>
            <w:tcW w:w="550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6"/>
                <w:szCs w:val="16"/>
                <w:color w:val="auto"/>
              </w:rPr>
              <w:t>Equity compensation plans approved by shareholders</w:t>
            </w:r>
          </w:p>
        </w:tc>
        <w:tc>
          <w:tcPr>
            <w:tcW w:w="1920" w:type="dxa"/>
            <w:vAlign w:val="bottom"/>
            <w:tcBorders>
              <w:right w:val="single" w:sz="8" w:color="007CBA"/>
            </w:tcBorders>
            <w:shd w:val="clear" w:color="auto" w:fill="E5F1F8"/>
          </w:tcPr>
          <w:p>
            <w:pPr>
              <w:jc w:val="right"/>
              <w:ind w:right="559"/>
              <w:spacing w:after="0" w:line="257" w:lineRule="exact"/>
              <w:rPr>
                <w:sz w:val="20"/>
                <w:szCs w:val="20"/>
                <w:color w:val="auto"/>
              </w:rPr>
            </w:pPr>
            <w:r>
              <w:rPr>
                <w:rFonts w:ascii="Arial" w:cs="Arial" w:eastAsia="Arial" w:hAnsi="Arial"/>
                <w:sz w:val="16"/>
                <w:szCs w:val="16"/>
                <w:color w:val="auto"/>
              </w:rPr>
              <w:t>682,619</w:t>
            </w:r>
            <w:r>
              <w:rPr>
                <w:rFonts w:ascii="Arial" w:cs="Arial" w:eastAsia="Arial" w:hAnsi="Arial"/>
                <w:sz w:val="27"/>
                <w:szCs w:val="27"/>
                <w:color w:val="auto"/>
                <w:vertAlign w:val="superscript"/>
              </w:rPr>
              <w:t>1</w:t>
            </w:r>
          </w:p>
        </w:tc>
        <w:tc>
          <w:tcPr>
            <w:tcW w:w="580" w:type="dxa"/>
            <w:vAlign w:val="bottom"/>
            <w:shd w:val="clear" w:color="auto" w:fill="E5F1F8"/>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007CBA"/>
            </w:tcBorders>
            <w:shd w:val="clear" w:color="auto" w:fill="E5F1F8"/>
          </w:tcPr>
          <w:p>
            <w:pPr>
              <w:jc w:val="right"/>
              <w:ind w:right="559"/>
              <w:spacing w:after="0"/>
              <w:rPr>
                <w:sz w:val="20"/>
                <w:szCs w:val="20"/>
                <w:color w:val="auto"/>
              </w:rPr>
            </w:pPr>
            <w:r>
              <w:rPr>
                <w:rFonts w:ascii="Arial" w:cs="Arial" w:eastAsia="Arial" w:hAnsi="Arial"/>
                <w:sz w:val="16"/>
                <w:szCs w:val="16"/>
                <w:color w:val="auto"/>
                <w:w w:val="93"/>
              </w:rPr>
              <w:t>114.25</w:t>
            </w:r>
          </w:p>
        </w:tc>
        <w:tc>
          <w:tcPr>
            <w:tcW w:w="1900" w:type="dxa"/>
            <w:vAlign w:val="bottom"/>
            <w:shd w:val="clear" w:color="auto" w:fill="E5F1F8"/>
          </w:tcPr>
          <w:p>
            <w:pPr>
              <w:jc w:val="right"/>
              <w:ind w:right="539"/>
              <w:spacing w:after="0" w:line="257" w:lineRule="exact"/>
              <w:rPr>
                <w:sz w:val="20"/>
                <w:szCs w:val="20"/>
                <w:color w:val="auto"/>
              </w:rPr>
            </w:pPr>
            <w:r>
              <w:rPr>
                <w:rFonts w:ascii="Arial" w:cs="Arial" w:eastAsia="Arial" w:hAnsi="Arial"/>
                <w:sz w:val="16"/>
                <w:szCs w:val="16"/>
                <w:color w:val="auto"/>
              </w:rPr>
              <w:t>1,190,868</w:t>
            </w:r>
            <w:r>
              <w:rPr>
                <w:rFonts w:ascii="Arial" w:cs="Arial" w:eastAsia="Arial" w:hAnsi="Arial"/>
                <w:sz w:val="27"/>
                <w:szCs w:val="27"/>
                <w:color w:val="auto"/>
                <w:vertAlign w:val="superscript"/>
              </w:rPr>
              <w:t>4</w:t>
            </w:r>
          </w:p>
        </w:tc>
      </w:tr>
      <w:tr>
        <w:trPr>
          <w:trHeight w:val="257"/>
        </w:trPr>
        <w:tc>
          <w:tcPr>
            <w:tcW w:w="5500" w:type="dxa"/>
            <w:vAlign w:val="bottom"/>
            <w:tcBorders>
              <w:right w:val="single" w:sz="8" w:color="007CBA"/>
            </w:tcBorders>
          </w:tcPr>
          <w:p>
            <w:pPr>
              <w:ind w:left="60"/>
              <w:spacing w:after="0"/>
              <w:rPr>
                <w:sz w:val="20"/>
                <w:szCs w:val="20"/>
                <w:color w:val="auto"/>
              </w:rPr>
            </w:pPr>
            <w:r>
              <w:rPr>
                <w:rFonts w:ascii="Arial" w:cs="Arial" w:eastAsia="Arial" w:hAnsi="Arial"/>
                <w:sz w:val="16"/>
                <w:szCs w:val="16"/>
                <w:color w:val="auto"/>
              </w:rPr>
              <w:t>Equity compensation plans not approved by shareholders</w:t>
            </w:r>
          </w:p>
        </w:tc>
        <w:tc>
          <w:tcPr>
            <w:tcW w:w="1920" w:type="dxa"/>
            <w:vAlign w:val="bottom"/>
            <w:tcBorders>
              <w:right w:val="single" w:sz="8" w:color="007CBA"/>
            </w:tcBorders>
          </w:tcPr>
          <w:p>
            <w:pPr>
              <w:jc w:val="right"/>
              <w:ind w:right="559"/>
              <w:spacing w:after="0" w:line="257" w:lineRule="exact"/>
              <w:rPr>
                <w:sz w:val="20"/>
                <w:szCs w:val="20"/>
                <w:color w:val="auto"/>
              </w:rPr>
            </w:pPr>
            <w:r>
              <w:rPr>
                <w:rFonts w:ascii="Arial" w:cs="Arial" w:eastAsia="Arial" w:hAnsi="Arial"/>
                <w:sz w:val="16"/>
                <w:szCs w:val="16"/>
                <w:color w:val="auto"/>
              </w:rPr>
              <w:t>112,688</w:t>
            </w:r>
            <w:r>
              <w:rPr>
                <w:rFonts w:ascii="Arial" w:cs="Arial" w:eastAsia="Arial" w:hAnsi="Arial"/>
                <w:sz w:val="27"/>
                <w:szCs w:val="27"/>
                <w:color w:val="auto"/>
                <w:vertAlign w:val="superscript"/>
              </w:rPr>
              <w:t>2</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007CBA"/>
            </w:tcBorders>
          </w:tcPr>
          <w:p>
            <w:pPr>
              <w:jc w:val="right"/>
              <w:ind w:right="559"/>
              <w:spacing w:after="0"/>
              <w:rPr>
                <w:sz w:val="20"/>
                <w:szCs w:val="20"/>
                <w:color w:val="auto"/>
              </w:rPr>
            </w:pPr>
            <w:r>
              <w:rPr>
                <w:rFonts w:ascii="Arial" w:cs="Arial" w:eastAsia="Arial" w:hAnsi="Arial"/>
                <w:sz w:val="16"/>
                <w:szCs w:val="16"/>
                <w:color w:val="auto"/>
              </w:rPr>
              <w:t>51.66</w:t>
            </w:r>
          </w:p>
        </w:tc>
        <w:tc>
          <w:tcPr>
            <w:tcW w:w="1900" w:type="dxa"/>
            <w:vAlign w:val="bottom"/>
          </w:tcPr>
          <w:p>
            <w:pPr>
              <w:jc w:val="right"/>
              <w:ind w:right="539"/>
              <w:spacing w:after="0" w:line="257" w:lineRule="exact"/>
              <w:rPr>
                <w:sz w:val="20"/>
                <w:szCs w:val="20"/>
                <w:color w:val="auto"/>
              </w:rPr>
            </w:pPr>
            <w:r>
              <w:rPr>
                <w:rFonts w:ascii="Arial" w:cs="Arial" w:eastAsia="Arial" w:hAnsi="Arial"/>
                <w:sz w:val="16"/>
                <w:szCs w:val="16"/>
                <w:color w:val="auto"/>
              </w:rPr>
              <w:t>0</w:t>
            </w:r>
            <w:r>
              <w:rPr>
                <w:rFonts w:ascii="Arial" w:cs="Arial" w:eastAsia="Arial" w:hAnsi="Arial"/>
                <w:sz w:val="27"/>
                <w:szCs w:val="27"/>
                <w:color w:val="auto"/>
                <w:vertAlign w:val="superscript"/>
              </w:rPr>
              <w:t>5</w:t>
            </w:r>
          </w:p>
        </w:tc>
      </w:tr>
      <w:tr>
        <w:trPr>
          <w:trHeight w:val="250"/>
        </w:trPr>
        <w:tc>
          <w:tcPr>
            <w:tcW w:w="5500" w:type="dxa"/>
            <w:vAlign w:val="bottom"/>
            <w:tcBorders>
              <w:bottom w:val="single" w:sz="8" w:color="007CBA"/>
              <w:right w:val="single" w:sz="8" w:color="007CBA"/>
            </w:tcBorders>
            <w:shd w:val="clear" w:color="auto" w:fill="E5F1F8"/>
          </w:tcPr>
          <w:p>
            <w:pPr>
              <w:ind w:left="60"/>
              <w:spacing w:after="0"/>
              <w:rPr>
                <w:sz w:val="20"/>
                <w:szCs w:val="20"/>
                <w:color w:val="auto"/>
              </w:rPr>
            </w:pPr>
            <w:r>
              <w:rPr>
                <w:rFonts w:ascii="Arial" w:cs="Arial" w:eastAsia="Arial" w:hAnsi="Arial"/>
                <w:sz w:val="16"/>
                <w:szCs w:val="16"/>
                <w:color w:val="auto"/>
              </w:rPr>
              <w:t>TOTAL</w:t>
            </w:r>
          </w:p>
        </w:tc>
        <w:tc>
          <w:tcPr>
            <w:tcW w:w="1920" w:type="dxa"/>
            <w:vAlign w:val="bottom"/>
            <w:tcBorders>
              <w:bottom w:val="single" w:sz="8" w:color="007CBA"/>
              <w:right w:val="single" w:sz="8" w:color="007CBA"/>
            </w:tcBorders>
            <w:shd w:val="clear" w:color="auto" w:fill="E5F1F8"/>
          </w:tcPr>
          <w:p>
            <w:pPr>
              <w:jc w:val="center"/>
              <w:spacing w:after="0"/>
              <w:rPr>
                <w:sz w:val="20"/>
                <w:szCs w:val="20"/>
                <w:color w:val="auto"/>
              </w:rPr>
            </w:pPr>
            <w:r>
              <w:rPr>
                <w:rFonts w:ascii="Arial" w:cs="Arial" w:eastAsia="Arial" w:hAnsi="Arial"/>
                <w:sz w:val="16"/>
                <w:szCs w:val="16"/>
                <w:color w:val="auto"/>
              </w:rPr>
              <w:t>795,307</w:t>
            </w:r>
          </w:p>
        </w:tc>
        <w:tc>
          <w:tcPr>
            <w:tcW w:w="580" w:type="dxa"/>
            <w:vAlign w:val="bottom"/>
            <w:tcBorders>
              <w:bottom w:val="single" w:sz="8" w:color="007CBA"/>
            </w:tcBorders>
            <w:shd w:val="clear" w:color="auto" w:fill="E5F1F8"/>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007CBA"/>
              <w:right w:val="single" w:sz="8" w:color="007CBA"/>
            </w:tcBorders>
            <w:shd w:val="clear" w:color="auto" w:fill="E5F1F8"/>
          </w:tcPr>
          <w:p>
            <w:pPr>
              <w:jc w:val="right"/>
              <w:ind w:right="559"/>
              <w:spacing w:after="0"/>
              <w:rPr>
                <w:sz w:val="20"/>
                <w:szCs w:val="20"/>
                <w:color w:val="auto"/>
              </w:rPr>
            </w:pPr>
            <w:r>
              <w:rPr>
                <w:rFonts w:ascii="Arial" w:cs="Arial" w:eastAsia="Arial" w:hAnsi="Arial"/>
                <w:sz w:val="16"/>
                <w:szCs w:val="16"/>
                <w:color w:val="auto"/>
              </w:rPr>
              <w:t>96.18</w:t>
            </w:r>
          </w:p>
        </w:tc>
        <w:tc>
          <w:tcPr>
            <w:tcW w:w="1900" w:type="dxa"/>
            <w:vAlign w:val="bottom"/>
            <w:tcBorders>
              <w:bottom w:val="single" w:sz="8" w:color="007CBA"/>
            </w:tcBorders>
            <w:shd w:val="clear" w:color="auto" w:fill="E5F1F8"/>
          </w:tcPr>
          <w:p>
            <w:pPr>
              <w:jc w:val="right"/>
              <w:ind w:right="579"/>
              <w:spacing w:after="0"/>
              <w:rPr>
                <w:sz w:val="20"/>
                <w:szCs w:val="20"/>
                <w:color w:val="auto"/>
              </w:rPr>
            </w:pPr>
            <w:r>
              <w:rPr>
                <w:rFonts w:ascii="Arial" w:cs="Arial" w:eastAsia="Arial" w:hAnsi="Arial"/>
                <w:sz w:val="16"/>
                <w:szCs w:val="16"/>
                <w:color w:val="auto"/>
              </w:rPr>
              <w:t>1,190,868</w:t>
            </w:r>
          </w:p>
        </w:tc>
      </w:tr>
    </w:tbl>
    <w:p>
      <w:pPr>
        <w:spacing w:after="0" w:line="64" w:lineRule="exact"/>
        <w:rPr>
          <w:sz w:val="20"/>
          <w:szCs w:val="20"/>
          <w:color w:val="auto"/>
        </w:rPr>
      </w:pPr>
    </w:p>
    <w:p>
      <w:pPr>
        <w:jc w:val="both"/>
        <w:ind w:left="520" w:right="20" w:hanging="316"/>
        <w:spacing w:after="0" w:line="233" w:lineRule="auto"/>
        <w:tabs>
          <w:tab w:leader="none" w:pos="520" w:val="left"/>
        </w:tabs>
        <w:numPr>
          <w:ilvl w:val="0"/>
          <w:numId w:val="132"/>
        </w:numPr>
        <w:rPr>
          <w:rFonts w:ascii="Arial" w:cs="Arial" w:eastAsia="Arial" w:hAnsi="Arial"/>
          <w:sz w:val="11"/>
          <w:szCs w:val="11"/>
          <w:color w:val="auto"/>
        </w:rPr>
      </w:pPr>
      <w:r>
        <w:rPr>
          <w:rFonts w:ascii="Arial" w:cs="Arial" w:eastAsia="Arial" w:hAnsi="Arial"/>
          <w:sz w:val="14"/>
          <w:szCs w:val="14"/>
          <w:color w:val="auto"/>
        </w:rPr>
        <w:t>Includes 203,870 stock options that have a weighted-average exercise price of $110.63; 440,461 restricted stock units that have a $0 exercise price; and 38,288 stock units granted in accordance with Martin Marietta’s Incentive Stock Plan that are credited to participants at an average weighted cost of $133.54. The restricted stock units and stock units granted in accordance with Martin Marietta’s Incentive Stock Plan represent Martin Marietta’s obligation to issue shares in the future subject to certain conditions in accordance with Martin Marietta’s Stock-Based Award Plan.</w:t>
      </w:r>
    </w:p>
    <w:p>
      <w:pPr>
        <w:spacing w:after="0" w:line="50" w:lineRule="exact"/>
        <w:rPr>
          <w:sz w:val="20"/>
          <w:szCs w:val="20"/>
          <w:color w:val="auto"/>
        </w:rPr>
      </w:pPr>
    </w:p>
    <w:p>
      <w:pPr>
        <w:ind w:left="520" w:hanging="316"/>
        <w:spacing w:after="0"/>
        <w:tabs>
          <w:tab w:leader="none" w:pos="520" w:val="left"/>
        </w:tabs>
        <w:numPr>
          <w:ilvl w:val="0"/>
          <w:numId w:val="133"/>
        </w:numPr>
        <w:rPr>
          <w:rFonts w:ascii="Arial" w:cs="Arial" w:eastAsia="Arial" w:hAnsi="Arial"/>
          <w:sz w:val="11"/>
          <w:szCs w:val="11"/>
          <w:color w:val="auto"/>
        </w:rPr>
      </w:pPr>
      <w:r>
        <w:rPr>
          <w:rFonts w:ascii="Arial" w:cs="Arial" w:eastAsia="Arial" w:hAnsi="Arial"/>
          <w:sz w:val="14"/>
          <w:szCs w:val="14"/>
          <w:color w:val="auto"/>
        </w:rPr>
        <w:t>Represents stock options and restricted stock units granted to legacy Texas Industries, Inc. (“TXI”) employees and employees hired after July 1, 2014.</w:t>
      </w:r>
    </w:p>
    <w:p>
      <w:pPr>
        <w:spacing w:after="0" w:line="68" w:lineRule="exact"/>
        <w:rPr>
          <w:rFonts w:ascii="Arial" w:cs="Arial" w:eastAsia="Arial" w:hAnsi="Arial"/>
          <w:sz w:val="11"/>
          <w:szCs w:val="11"/>
          <w:color w:val="auto"/>
        </w:rPr>
      </w:pPr>
    </w:p>
    <w:p>
      <w:pPr>
        <w:ind w:left="200"/>
        <w:spacing w:after="0"/>
        <w:rPr>
          <w:rFonts w:ascii="Arial" w:cs="Arial" w:eastAsia="Arial" w:hAnsi="Arial"/>
          <w:sz w:val="11"/>
          <w:szCs w:val="11"/>
          <w:color w:val="auto"/>
        </w:rPr>
      </w:pPr>
      <w:r>
        <w:rPr>
          <w:rFonts w:ascii="Arial" w:cs="Arial" w:eastAsia="Arial" w:hAnsi="Arial"/>
          <w:sz w:val="11"/>
          <w:szCs w:val="11"/>
          <w:color w:val="auto"/>
        </w:rPr>
        <w:t>3</w:t>
      </w:r>
      <w:r>
        <w:rPr>
          <w:rFonts w:ascii="Arial" w:cs="Arial" w:eastAsia="Arial" w:hAnsi="Arial"/>
          <w:sz w:val="12"/>
          <w:szCs w:val="12"/>
          <w:color w:val="auto"/>
        </w:rPr>
        <w:t>The weighted-average exercise price does not take into account the restricted stock units and stock units for which there is no exercise price.</w:t>
      </w:r>
    </w:p>
    <w:p>
      <w:pPr>
        <w:spacing w:after="0" w:line="92" w:lineRule="exact"/>
        <w:rPr>
          <w:sz w:val="20"/>
          <w:szCs w:val="20"/>
          <w:color w:val="auto"/>
        </w:rPr>
      </w:pPr>
    </w:p>
    <w:p>
      <w:pPr>
        <w:jc w:val="both"/>
        <w:ind w:left="520" w:right="20" w:hanging="316"/>
        <w:spacing w:after="0" w:line="230" w:lineRule="auto"/>
        <w:tabs>
          <w:tab w:leader="none" w:pos="520" w:val="left"/>
        </w:tabs>
        <w:numPr>
          <w:ilvl w:val="0"/>
          <w:numId w:val="134"/>
        </w:numPr>
        <w:rPr>
          <w:rFonts w:ascii="Arial" w:cs="Arial" w:eastAsia="Arial" w:hAnsi="Arial"/>
          <w:sz w:val="11"/>
          <w:szCs w:val="11"/>
          <w:color w:val="auto"/>
        </w:rPr>
      </w:pPr>
      <w:r>
        <w:rPr>
          <w:rFonts w:ascii="Arial" w:cs="Arial" w:eastAsia="Arial" w:hAnsi="Arial"/>
          <w:sz w:val="14"/>
          <w:szCs w:val="14"/>
          <w:color w:val="auto"/>
        </w:rPr>
        <w:t>Includes shares of Martin Marietta’s common stock available for issuance (other than those reported in column (a)) under Martin Marietta’s equity compensation plans as of December 31, 2017 in the following amounts: Directors’ Plan (146,588 shares), Stock-Based Award Plan (836,305 shares), and Shareholder Value Achievement Plan (207,975 shares). Also excludes Texas Industries Inc. stock-based award plans (1,865,240 shares). The Directors’ Plan provides that nonemployee directors may elect to receive all or a portion of their fees in the form of common stock. Under the Achievement Plan, awards can be granted to key senior employees based on certain common stock performance over a long-term period. No awards have been granted under this plan since 2000.</w:t>
      </w:r>
    </w:p>
    <w:p>
      <w:pPr>
        <w:spacing w:after="0" w:line="52" w:lineRule="exact"/>
        <w:rPr>
          <w:sz w:val="20"/>
          <w:szCs w:val="20"/>
          <w:color w:val="auto"/>
        </w:rPr>
      </w:pPr>
    </w:p>
    <w:p>
      <w:pPr>
        <w:jc w:val="both"/>
        <w:ind w:left="520" w:right="20" w:hanging="316"/>
        <w:spacing w:after="0" w:line="237" w:lineRule="auto"/>
        <w:tabs>
          <w:tab w:leader="none" w:pos="520" w:val="left"/>
        </w:tabs>
        <w:numPr>
          <w:ilvl w:val="0"/>
          <w:numId w:val="135"/>
        </w:numPr>
        <w:rPr>
          <w:rFonts w:ascii="Arial" w:cs="Arial" w:eastAsia="Arial" w:hAnsi="Arial"/>
          <w:sz w:val="11"/>
          <w:szCs w:val="11"/>
          <w:color w:val="auto"/>
        </w:rPr>
      </w:pPr>
      <w:r>
        <w:rPr>
          <w:rFonts w:ascii="Arial" w:cs="Arial" w:eastAsia="Arial" w:hAnsi="Arial"/>
          <w:sz w:val="14"/>
          <w:szCs w:val="14"/>
          <w:color w:val="auto"/>
        </w:rPr>
        <w:t>There are 1,865,240 shares of Martin Marietta’s common stock available for issuance to legacy TXI employees. These shares will be used to settle currently outstanding awards but no further awards will be granted for these shares, as indicated by management in connection with the approval by shareholders of the Amended and Restated Stock-Based Award Plan on May 19, 2017.</w:t>
      </w:r>
    </w:p>
    <w:p>
      <w:pPr>
        <w:sectPr>
          <w:pgSz w:w="11900" w:h="16838" w:orient="portrait"/>
          <w:cols w:equalWidth="0" w:num="1">
            <w:col w:w="11240"/>
          </w:cols>
          <w:pgMar w:left="240" w:top="455" w:right="419" w:bottom="1440" w:gutter="0" w:footer="0" w:header="0"/>
        </w:sectPr>
      </w:pPr>
    </w:p>
    <w:p>
      <w:pPr>
        <w:spacing w:after="0" w:line="237" w:lineRule="exact"/>
        <w:rPr>
          <w:sz w:val="20"/>
          <w:szCs w:val="20"/>
          <w:color w:val="auto"/>
        </w:rPr>
      </w:pPr>
    </w:p>
    <w:p>
      <w:pPr>
        <w:jc w:val="both"/>
        <w:ind w:left="220"/>
        <w:spacing w:after="0" w:line="255" w:lineRule="auto"/>
        <w:rPr>
          <w:sz w:val="20"/>
          <w:szCs w:val="20"/>
          <w:color w:val="auto"/>
        </w:rPr>
      </w:pPr>
      <w:r>
        <w:rPr>
          <w:rFonts w:ascii="Arial" w:cs="Arial" w:eastAsia="Arial" w:hAnsi="Arial"/>
          <w:sz w:val="16"/>
          <w:szCs w:val="16"/>
          <w:color w:val="auto"/>
        </w:rPr>
        <w:t>On July 1, 2014, in conjunction with the merger of TXI into a wholly-owned subsidiary of Martin Marietta, the Company assumed the TXI 2004 Omnibus Equity Compensation Plan (TXI Legacy Plan) and TXI’s Management Deferred Compensation Plan (the TXI DC Plan) and shares available for future issuance under the TXI Legacy Plan and the TXI DC Plan following the merger.</w:t>
      </w:r>
    </w:p>
    <w:p>
      <w:pPr>
        <w:spacing w:after="0" w:line="134"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007CBA"/>
        </w:rPr>
        <w:t>Description of the TXI Legacy Plan</w:t>
      </w:r>
    </w:p>
    <w:p>
      <w:pPr>
        <w:spacing w:after="0" w:line="242" w:lineRule="exact"/>
        <w:rPr>
          <w:sz w:val="20"/>
          <w:szCs w:val="20"/>
          <w:color w:val="auto"/>
        </w:rPr>
      </w:pPr>
    </w:p>
    <w:p>
      <w:pPr>
        <w:jc w:val="both"/>
        <w:ind w:left="220"/>
        <w:spacing w:after="0" w:line="269" w:lineRule="auto"/>
        <w:rPr>
          <w:sz w:val="20"/>
          <w:szCs w:val="20"/>
          <w:color w:val="auto"/>
        </w:rPr>
      </w:pPr>
      <w:r>
        <w:rPr>
          <w:rFonts w:ascii="Arial" w:cs="Arial" w:eastAsia="Arial" w:hAnsi="Arial"/>
          <w:sz w:val="16"/>
          <w:szCs w:val="16"/>
          <w:color w:val="auto"/>
        </w:rPr>
        <w:t>The TXI Legacy Plan became effective as of July 11, 2012 and will terminate on July 11, 2022 unless sooner terminated. All legacy employees of TXI and its affiliates and subsidiaries are</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eligible to receive awards. However, no further awards will be granted under the TXI Legacy Plan, as indicated by management in connection with the approval by shareholders of the Amended and Restated Stock-Based Award Plan on May 19, 2017.</w:t>
      </w:r>
    </w:p>
    <w:p>
      <w:pPr>
        <w:spacing w:after="0" w:line="145"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The Company’s Management Development and Compensation Committee (the Committee) may grant incentive stock options and non-qualified stock options and stock appreciation rights (either alone or in tandem with options) under the TXI Legacy Plan. These awards may have terms of up to ten years from the date of grant. The Committee may award restricted stock and restricted stock units, subject to such vesting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372745</wp:posOffset>
            </wp:positionV>
            <wp:extent cx="411480" cy="2489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537" w:lineRule="exact"/>
        <w:rPr>
          <w:sz w:val="20"/>
          <w:szCs w:val="20"/>
          <w:color w:val="auto"/>
        </w:rPr>
      </w:pPr>
    </w:p>
    <w:p>
      <w:pPr>
        <w:sectPr>
          <w:pgSz w:w="11900" w:h="16838" w:orient="portrait"/>
          <w:cols w:equalWidth="0" w:num="2">
            <w:col w:w="5500" w:space="320"/>
            <w:col w:w="5420"/>
          </w:cols>
          <w:pgMar w:left="240" w:top="455" w:right="419" w:bottom="1440" w:gutter="0" w:footer="0" w:header="0"/>
          <w:type w:val="continuous"/>
        </w:sectPr>
      </w:pPr>
    </w:p>
    <w:p>
      <w:pPr>
        <w:spacing w:after="0" w:line="69" w:lineRule="exact"/>
        <w:rPr>
          <w:sz w:val="20"/>
          <w:szCs w:val="20"/>
          <w:color w:val="auto"/>
        </w:rPr>
      </w:pPr>
    </w:p>
    <w:p>
      <w:pPr>
        <w:ind w:left="640" w:hanging="436"/>
        <w:spacing w:after="0"/>
        <w:tabs>
          <w:tab w:leader="none" w:pos="640" w:val="left"/>
        </w:tabs>
        <w:numPr>
          <w:ilvl w:val="0"/>
          <w:numId w:val="136"/>
        </w:numPr>
        <w:rPr>
          <w:rFonts w:ascii="Arial" w:cs="Arial" w:eastAsia="Arial" w:hAnsi="Arial"/>
          <w:sz w:val="12"/>
          <w:szCs w:val="12"/>
          <w:b w:val="1"/>
          <w:bCs w:val="1"/>
          <w:color w:val="auto"/>
        </w:rPr>
      </w:pPr>
      <w:r>
        <w:rPr>
          <w:rFonts w:ascii="Arial" w:cs="Arial" w:eastAsia="Arial" w:hAnsi="Arial"/>
          <w:sz w:val="12"/>
          <w:szCs w:val="12"/>
          <w:color w:val="007CBA"/>
        </w:rPr>
        <w:t>2018 PROXY STATEMENT</w:t>
      </w:r>
    </w:p>
    <w:p>
      <w:pPr>
        <w:sectPr>
          <w:pgSz w:w="11900" w:h="16838" w:orient="portrait"/>
          <w:cols w:equalWidth="0" w:num="1">
            <w:col w:w="11240"/>
          </w:cols>
          <w:pgMar w:left="240" w:top="455" w:right="419" w:bottom="1440" w:gutter="0" w:footer="0" w:header="0"/>
          <w:type w:val="continuous"/>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64" w:lineRule="exact"/>
        <w:rPr>
          <w:sz w:val="20"/>
          <w:szCs w:val="20"/>
          <w:color w:val="auto"/>
        </w:rPr>
      </w:pPr>
    </w:p>
    <w:p>
      <w:pPr>
        <w:jc w:val="right"/>
        <w:spacing w:after="0" w:line="288" w:lineRule="exact"/>
        <w:rPr>
          <w:sz w:val="20"/>
          <w:szCs w:val="20"/>
          <w:color w:val="auto"/>
        </w:rPr>
      </w:pPr>
      <w:r>
        <w:rPr>
          <w:rFonts w:ascii="Arial" w:cs="Arial" w:eastAsia="Arial" w:hAnsi="Arial"/>
          <w:sz w:val="14"/>
          <w:szCs w:val="14"/>
          <w:color w:val="auto"/>
        </w:rPr>
        <w:t xml:space="preserve">Description of the TXI Legacy Plan </w:t>
      </w:r>
      <w:r>
        <w:rPr>
          <w:rFonts w:ascii="MS PGothic" w:cs="MS PGothic" w:eastAsia="MS PGothic" w:hAnsi="MS PGothic"/>
          <w:sz w:val="25"/>
          <w:szCs w:val="25"/>
          <w:color w:val="007CBA"/>
        </w:rPr>
        <w:t>◆</w:t>
      </w:r>
      <w:r>
        <w:rPr>
          <w:rFonts w:ascii="Arial" w:cs="Arial" w:eastAsia="Arial" w:hAnsi="Arial"/>
          <w:sz w:val="14"/>
          <w:szCs w:val="14"/>
          <w:color w:val="auto"/>
        </w:rPr>
        <w:t xml:space="preserve"> </w:t>
      </w:r>
      <w:r>
        <w:rPr>
          <w:rFonts w:ascii="Arial" w:cs="Arial" w:eastAsia="Arial" w:hAnsi="Arial"/>
          <w:sz w:val="14"/>
          <w:szCs w:val="14"/>
          <w:color w:val="007CBA"/>
        </w:rPr>
        <w:t>Securities Authorized for Issuance Under Equity Compensation Plans</w:t>
      </w:r>
    </w:p>
    <w:p>
      <w:pPr>
        <w:sectPr>
          <w:pgSz w:w="11900" w:h="16838" w:orient="portrait"/>
          <w:cols w:equalWidth="0" w:num="1">
            <w:col w:w="11220"/>
          </w:cols>
          <w:pgMar w:left="240" w:top="455" w:right="439" w:bottom="1440" w:gutter="0" w:footer="0" w:header="0"/>
        </w:sectPr>
      </w:pPr>
    </w:p>
    <w:p>
      <w:pPr>
        <w:spacing w:after="0" w:line="258" w:lineRule="exact"/>
        <w:rPr>
          <w:sz w:val="20"/>
          <w:szCs w:val="20"/>
          <w:color w:val="auto"/>
        </w:rPr>
      </w:pPr>
    </w:p>
    <w:p>
      <w:pPr>
        <w:jc w:val="both"/>
        <w:ind w:left="220"/>
        <w:spacing w:after="0" w:line="253" w:lineRule="auto"/>
        <w:rPr>
          <w:sz w:val="20"/>
          <w:szCs w:val="20"/>
          <w:color w:val="auto"/>
        </w:rPr>
      </w:pPr>
      <w:r>
        <w:rPr>
          <w:rFonts w:ascii="Arial" w:cs="Arial" w:eastAsia="Arial" w:hAnsi="Arial"/>
          <w:sz w:val="16"/>
          <w:szCs w:val="16"/>
          <w:color w:val="auto"/>
        </w:rPr>
        <w:t>limitations on transfer and other restrictions as the Committee may determine. The Committee may award performance units and performance shares to participants under the TXI Legacy Plan. Performance units have an initial value determined by the Committee, while performance shares will have an initial value based on the fair market value of the stock on the date of grant. Such awards will be earned only if performance goals over performance periods established by or under the direction of the Committee are met.</w:t>
      </w:r>
    </w:p>
    <w:p>
      <w:pPr>
        <w:spacing w:after="0" w:line="150" w:lineRule="exact"/>
        <w:rPr>
          <w:sz w:val="20"/>
          <w:szCs w:val="20"/>
          <w:color w:val="auto"/>
        </w:rPr>
      </w:pPr>
    </w:p>
    <w:p>
      <w:pPr>
        <w:jc w:val="both"/>
        <w:ind w:left="220"/>
        <w:spacing w:after="0" w:line="257" w:lineRule="auto"/>
        <w:rPr>
          <w:sz w:val="20"/>
          <w:szCs w:val="20"/>
          <w:color w:val="auto"/>
        </w:rPr>
      </w:pPr>
      <w:r>
        <w:rPr>
          <w:rFonts w:ascii="Arial" w:cs="Arial" w:eastAsia="Arial" w:hAnsi="Arial"/>
          <w:sz w:val="16"/>
          <w:szCs w:val="16"/>
          <w:color w:val="auto"/>
        </w:rPr>
        <w:t>Subject to the terms of the TXI Legacy Plan, the Committee may grant other equity-based awards on such terms as it may determine. The Committee may establish performance goals in its discretion. Such awards may involve the transfer of actual shares to participants or the payment in cash or otherwise of amounts based on the value of shares.</w:t>
      </w:r>
    </w:p>
    <w:p>
      <w:pPr>
        <w:spacing w:after="0" w:line="136" w:lineRule="exact"/>
        <w:rPr>
          <w:sz w:val="20"/>
          <w:szCs w:val="20"/>
          <w:color w:val="auto"/>
        </w:rPr>
      </w:pPr>
    </w:p>
    <w:p>
      <w:pPr>
        <w:jc w:val="both"/>
        <w:ind w:left="220"/>
        <w:spacing w:after="0" w:line="252" w:lineRule="auto"/>
        <w:rPr>
          <w:sz w:val="20"/>
          <w:szCs w:val="20"/>
          <w:color w:val="auto"/>
        </w:rPr>
      </w:pPr>
      <w:r>
        <w:rPr>
          <w:rFonts w:ascii="Arial" w:cs="Arial" w:eastAsia="Arial" w:hAnsi="Arial"/>
          <w:sz w:val="16"/>
          <w:szCs w:val="16"/>
          <w:color w:val="auto"/>
        </w:rPr>
        <w:t>If Martin Marietta is dissolved or liquidated, or if substantially all of its assets are sold or there is a merger or consolidation and the acquiring or surviving entity does not substitute equivalent awards for the awards then outstanding, each award granted under the TXI Legacy Plan will become fully vested and exercisable and all restrictions on it will lapse. All options and stock appreciation rights not exercised upon the occurrence of such a corporate event will terminate, and the Company may, in its discretion cancel all other awards then outstanding and pay the award holder its then current value as determined by the Committee.</w:t>
      </w:r>
    </w:p>
    <w:p>
      <w:pPr>
        <w:spacing w:after="0" w:line="122" w:lineRule="exact"/>
        <w:rPr>
          <w:sz w:val="20"/>
          <w:szCs w:val="20"/>
          <w:color w:val="auto"/>
        </w:rPr>
      </w:pPr>
    </w:p>
    <w:p>
      <w:pPr>
        <w:ind w:left="220" w:right="220"/>
        <w:spacing w:after="0" w:line="299" w:lineRule="auto"/>
        <w:rPr>
          <w:sz w:val="20"/>
          <w:szCs w:val="20"/>
          <w:color w:val="auto"/>
        </w:rPr>
      </w:pPr>
      <w:r>
        <w:rPr>
          <w:rFonts w:ascii="Arial" w:cs="Arial" w:eastAsia="Arial" w:hAnsi="Arial"/>
          <w:sz w:val="25"/>
          <w:szCs w:val="25"/>
          <w:b w:val="1"/>
          <w:bCs w:val="1"/>
          <w:color w:val="007CBA"/>
        </w:rPr>
        <w:t>Description of the Deferred Compensation Plan</w:t>
      </w:r>
    </w:p>
    <w:p>
      <w:pPr>
        <w:spacing w:after="0" w:line="2" w:lineRule="exact"/>
        <w:rPr>
          <w:sz w:val="20"/>
          <w:szCs w:val="20"/>
          <w:color w:val="auto"/>
        </w:rPr>
      </w:pPr>
    </w:p>
    <w:p>
      <w:pPr>
        <w:ind w:left="220"/>
        <w:spacing w:after="0" w:line="291" w:lineRule="auto"/>
        <w:rPr>
          <w:sz w:val="20"/>
          <w:szCs w:val="20"/>
          <w:color w:val="auto"/>
        </w:rPr>
      </w:pPr>
      <w:r>
        <w:rPr>
          <w:rFonts w:ascii="Arial" w:cs="Arial" w:eastAsia="Arial" w:hAnsi="Arial"/>
          <w:sz w:val="16"/>
          <w:szCs w:val="16"/>
          <w:color w:val="auto"/>
        </w:rPr>
        <w:t>The TXI DC Plan became effective as of July 11, 2012 and will terminate on July 11, 2022 unless sooner terminated. Key</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management legacy employees of TXI, its subsidiaries and its affiliates are eligible to participate in the TXI DC Plan. Under the terms of the TXI DC Plan, participants may elect each year to defer all or a portion of their eligible compensation received during that year. However, no further awards will be granted under the TXI DC Plan, as indicated by management in connection with the approval by shareholders of the Amended and Restated Stock-Based Award Plan on May 19, 2017.</w:t>
      </w:r>
    </w:p>
    <w:p>
      <w:pPr>
        <w:spacing w:after="0" w:line="15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lieu of receiving the compensation being deferred, participants will be awarded restricted stock units. At the discretion of the Committee, a participant may be entitled to receive dividend equivalents with respect to dividends declared on shares of common stock. The Committee may determine that additional awards of matching restricted stock units will be made to participants and the rate at which matching restricted stock units will be awarded. The matching restricted stock units will have the same deferral period and forfeiture and cancelation provisions as the restricted stock units that are being matched, except that matching restricted stock units may vest in accordance with such schedule as the Committee may determine.</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If Martin Marietta is dissolved or liquidated, or if substantially all of its assets are sold (or there is a merger or consolidation) and the acquiring or surviving entity does not substitute equivalent awards for the awards then outstanding, each award granted under the TXI DC Plan will become fully vested and all restrictions on it will lapse.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-259715</wp:posOffset>
            </wp:positionH>
            <wp:positionV relativeFrom="paragraph">
              <wp:posOffset>852170</wp:posOffset>
            </wp:positionV>
            <wp:extent cx="411480" cy="2489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1295" w:lineRule="exact"/>
        <w:rPr>
          <w:sz w:val="20"/>
          <w:szCs w:val="20"/>
          <w:color w:val="auto"/>
        </w:rPr>
      </w:pPr>
    </w:p>
    <w:p>
      <w:pPr>
        <w:sectPr>
          <w:pgSz w:w="11900" w:h="16838" w:orient="portrait"/>
          <w:cols w:equalWidth="0" w:num="2">
            <w:col w:w="5500" w:space="320"/>
            <w:col w:w="5400"/>
          </w:cols>
          <w:pgMar w:left="240" w:top="455" w:right="439" w:bottom="1440" w:gutter="0" w:footer="0" w:header="0"/>
          <w:type w:val="continuous"/>
        </w:sectPr>
      </w:pPr>
    </w:p>
    <w:p>
      <w:pPr>
        <w:spacing w:after="0" w:line="64" w:lineRule="exact"/>
        <w:rPr>
          <w:sz w:val="20"/>
          <w:szCs w:val="20"/>
          <w:color w:val="auto"/>
        </w:rPr>
      </w:pPr>
    </w:p>
    <w:tbl>
      <w:tblPr>
        <w:tblLayout w:type="fixed"/>
        <w:tblInd w:w="9260" w:type="dxa"/>
        <w:tblCellMar>
          <w:top w:w="0" w:type="dxa"/>
          <w:left w:w="0" w:type="dxa"/>
          <w:bottom w:w="0" w:type="dxa"/>
          <w:right w:w="0" w:type="dxa"/>
        </w:tblCellMar>
      </w:tblPr>
      <w:tr>
        <w:trPr>
          <w:trHeight w:val="178"/>
        </w:trPr>
        <w:tc>
          <w:tcPr>
            <w:tcW w:w="1680" w:type="dxa"/>
            <w:vAlign w:val="bottom"/>
          </w:tcPr>
          <w:p>
            <w:pPr>
              <w:spacing w:after="0"/>
              <w:rPr>
                <w:sz w:val="20"/>
                <w:szCs w:val="20"/>
                <w:color w:val="auto"/>
              </w:rPr>
            </w:pPr>
            <w:r>
              <w:rPr>
                <w:rFonts w:ascii="Arial" w:cs="Arial" w:eastAsia="Arial" w:hAnsi="Arial"/>
                <w:sz w:val="13"/>
                <w:szCs w:val="13"/>
                <w:color w:val="007CBA"/>
              </w:rPr>
              <w:t>2018 PROXY STATEMENT</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rPr>
              <w:t>65</w:t>
            </w:r>
          </w:p>
        </w:tc>
      </w:tr>
    </w:tbl>
    <w:p>
      <w:pPr>
        <w:sectPr>
          <w:pgSz w:w="11900" w:h="16838" w:orient="portrait"/>
          <w:cols w:equalWidth="0" w:num="1">
            <w:col w:w="11220"/>
          </w:cols>
          <w:pgMar w:left="240" w:top="455" w:right="439" w:bottom="1440" w:gutter="0" w:footer="0" w:header="0"/>
          <w:type w:val="continuous"/>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72" w:lineRule="exact"/>
        <w:rPr>
          <w:sz w:val="20"/>
          <w:szCs w:val="20"/>
          <w:color w:val="auto"/>
        </w:rPr>
      </w:pPr>
    </w:p>
    <w:p>
      <w:pPr>
        <w:jc w:val="right"/>
        <w:ind w:right="1780"/>
        <w:spacing w:after="0"/>
        <w:rPr>
          <w:sz w:val="20"/>
          <w:szCs w:val="20"/>
          <w:color w:val="auto"/>
        </w:rPr>
      </w:pPr>
      <w:r>
        <w:rPr>
          <w:rFonts w:ascii="Arial" w:cs="Arial" w:eastAsia="Arial" w:hAnsi="Arial"/>
          <w:sz w:val="43"/>
          <w:szCs w:val="43"/>
          <w:color w:val="auto"/>
        </w:rPr>
        <w:t>Annual Meeting and Voting Information</w:t>
      </w:r>
    </w:p>
    <w:p>
      <w:pPr>
        <w:sectPr>
          <w:pgSz w:w="11900" w:h="16838" w:orient="portrait"/>
          <w:cols w:equalWidth="0" w:num="1">
            <w:col w:w="11220"/>
          </w:cols>
          <w:pgMar w:left="240" w:top="455" w:right="4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007CBA"/>
        </w:rPr>
        <w:t>What is the purpose of the annual meeting?</w:t>
      </w:r>
    </w:p>
    <w:p>
      <w:pPr>
        <w:spacing w:after="0" w:line="25" w:lineRule="exact"/>
        <w:rPr>
          <w:sz w:val="20"/>
          <w:szCs w:val="20"/>
          <w:color w:val="auto"/>
        </w:rPr>
      </w:pPr>
    </w:p>
    <w:p>
      <w:pPr>
        <w:jc w:val="both"/>
        <w:ind w:left="220"/>
        <w:spacing w:after="0" w:line="251" w:lineRule="auto"/>
        <w:rPr>
          <w:sz w:val="20"/>
          <w:szCs w:val="20"/>
          <w:color w:val="auto"/>
        </w:rPr>
      </w:pPr>
      <w:r>
        <w:rPr>
          <w:rFonts w:ascii="Arial" w:cs="Arial" w:eastAsia="Arial" w:hAnsi="Arial"/>
          <w:sz w:val="16"/>
          <w:szCs w:val="16"/>
          <w:color w:val="auto"/>
        </w:rPr>
        <w:t>At our annual meeting, shareholders will act on the matters outlined in the accompanying Notice of Annual Meeting of Shareholders. This statement is furnished in connection with the solicitation by Martin Marietta’s Board of Directors of proxies to be used at the meeting and at any and all adjournments or postponements of the meeting.</w:t>
      </w:r>
    </w:p>
    <w:p>
      <w:pPr>
        <w:spacing w:after="0" w:line="152" w:lineRule="exact"/>
        <w:rPr>
          <w:sz w:val="20"/>
          <w:szCs w:val="20"/>
          <w:color w:val="auto"/>
        </w:rPr>
      </w:pPr>
    </w:p>
    <w:p>
      <w:pPr>
        <w:jc w:val="both"/>
        <w:ind w:left="220" w:right="20"/>
        <w:spacing w:after="0" w:line="291" w:lineRule="auto"/>
        <w:rPr>
          <w:sz w:val="20"/>
          <w:szCs w:val="20"/>
          <w:color w:val="auto"/>
        </w:rPr>
      </w:pPr>
      <w:r>
        <w:rPr>
          <w:rFonts w:ascii="Arial" w:cs="Arial" w:eastAsia="Arial" w:hAnsi="Arial"/>
          <w:sz w:val="16"/>
          <w:szCs w:val="16"/>
          <w:color w:val="auto"/>
        </w:rPr>
        <w:t>Whether or not you plan to attend the meeting, we encourage you to date, sign, and return your proxy in the enclosed envelope.</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007CBA"/>
        </w:rPr>
        <w:t>Who is entitled to vote at the meeting?</w:t>
      </w:r>
    </w:p>
    <w:p>
      <w:pPr>
        <w:spacing w:after="0" w:line="25" w:lineRule="exact"/>
        <w:rPr>
          <w:sz w:val="20"/>
          <w:szCs w:val="20"/>
          <w:color w:val="auto"/>
        </w:rPr>
      </w:pPr>
    </w:p>
    <w:p>
      <w:pPr>
        <w:jc w:val="both"/>
        <w:ind w:left="220"/>
        <w:spacing w:after="0" w:line="251" w:lineRule="auto"/>
        <w:rPr>
          <w:sz w:val="20"/>
          <w:szCs w:val="20"/>
          <w:color w:val="auto"/>
        </w:rPr>
      </w:pPr>
      <w:r>
        <w:rPr>
          <w:rFonts w:ascii="Arial" w:cs="Arial" w:eastAsia="Arial" w:hAnsi="Arial"/>
          <w:sz w:val="16"/>
          <w:szCs w:val="16"/>
          <w:color w:val="auto"/>
        </w:rPr>
        <w:t>Only shareholders of record at the close of business on March 9, 2018 are entitled to notice of and to participate in the Annual Meeting. If you were a shareholder of record on that date, you will be entitled to vote all the shares that you held on that date at the meeting, or any adjournments or postponements of the meeting.</w:t>
      </w:r>
    </w:p>
    <w:p>
      <w:pPr>
        <w:spacing w:after="0" w:line="139" w:lineRule="exact"/>
        <w:rPr>
          <w:sz w:val="20"/>
          <w:szCs w:val="20"/>
          <w:color w:val="auto"/>
        </w:rPr>
      </w:pPr>
    </w:p>
    <w:p>
      <w:pPr>
        <w:ind w:left="220" w:right="60"/>
        <w:spacing w:after="0" w:line="259" w:lineRule="auto"/>
        <w:rPr>
          <w:sz w:val="20"/>
          <w:szCs w:val="20"/>
          <w:color w:val="auto"/>
        </w:rPr>
      </w:pPr>
      <w:r>
        <w:rPr>
          <w:rFonts w:ascii="Arial" w:cs="Arial" w:eastAsia="Arial" w:hAnsi="Arial"/>
          <w:sz w:val="16"/>
          <w:szCs w:val="16"/>
          <w:b w:val="1"/>
          <w:bCs w:val="1"/>
          <w:i w:val="1"/>
          <w:iCs w:val="1"/>
          <w:color w:val="007CBA"/>
        </w:rPr>
        <w:t>What are the voting rights of the holders of Martin Marietta common stock?</w:t>
      </w:r>
    </w:p>
    <w:p>
      <w:pPr>
        <w:spacing w:after="0" w:line="1" w:lineRule="exact"/>
        <w:rPr>
          <w:sz w:val="20"/>
          <w:szCs w:val="20"/>
          <w:color w:val="auto"/>
        </w:rPr>
      </w:pPr>
    </w:p>
    <w:p>
      <w:pPr>
        <w:jc w:val="both"/>
        <w:ind w:left="220"/>
        <w:spacing w:after="0" w:line="265" w:lineRule="auto"/>
        <w:rPr>
          <w:sz w:val="20"/>
          <w:szCs w:val="20"/>
          <w:color w:val="auto"/>
        </w:rPr>
      </w:pPr>
      <w:r>
        <w:rPr>
          <w:rFonts w:ascii="Arial" w:cs="Arial" w:eastAsia="Arial" w:hAnsi="Arial"/>
          <w:sz w:val="16"/>
          <w:szCs w:val="16"/>
          <w:color w:val="auto"/>
        </w:rPr>
        <w:t>Each share of Martin Marietta common stock is entitled to one vote on each matter considered at the meeting.</w:t>
      </w:r>
    </w:p>
    <w:p>
      <w:pPr>
        <w:spacing w:after="0" w:line="141"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007CBA"/>
        </w:rPr>
        <w:t>Who can attend the meeting?</w:t>
      </w:r>
    </w:p>
    <w:p>
      <w:pPr>
        <w:spacing w:after="0" w:line="25" w:lineRule="exact"/>
        <w:rPr>
          <w:sz w:val="20"/>
          <w:szCs w:val="20"/>
          <w:color w:val="auto"/>
        </w:rPr>
      </w:pPr>
    </w:p>
    <w:p>
      <w:pPr>
        <w:jc w:val="both"/>
        <w:ind w:left="220"/>
        <w:spacing w:after="0" w:line="254" w:lineRule="auto"/>
        <w:rPr>
          <w:sz w:val="20"/>
          <w:szCs w:val="20"/>
          <w:color w:val="auto"/>
        </w:rPr>
      </w:pPr>
      <w:r>
        <w:rPr>
          <w:rFonts w:ascii="Arial" w:cs="Arial" w:eastAsia="Arial" w:hAnsi="Arial"/>
          <w:sz w:val="16"/>
          <w:szCs w:val="16"/>
          <w:color w:val="auto"/>
        </w:rPr>
        <w:t>All shareholders as of the record date, or their duly appointed proxies, beneficial owners presenting satisfactory evidence of ownership as of the record date, and invited guests of Martin Marietta may attend the meeting.</w:t>
      </w:r>
    </w:p>
    <w:p>
      <w:pPr>
        <w:spacing w:after="0" w:line="328"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007CBA"/>
        </w:rPr>
        <w:t>What constitutes a quorum?</w:t>
      </w:r>
    </w:p>
    <w:p>
      <w:pPr>
        <w:spacing w:after="0" w:line="25" w:lineRule="exact"/>
        <w:rPr>
          <w:sz w:val="20"/>
          <w:szCs w:val="20"/>
          <w:color w:val="auto"/>
        </w:rPr>
      </w:pPr>
    </w:p>
    <w:p>
      <w:pPr>
        <w:jc w:val="both"/>
        <w:ind w:left="220"/>
        <w:spacing w:after="0" w:line="251" w:lineRule="auto"/>
        <w:rPr>
          <w:sz w:val="20"/>
          <w:szCs w:val="20"/>
          <w:color w:val="auto"/>
        </w:rPr>
      </w:pPr>
      <w:r>
        <w:rPr>
          <w:rFonts w:ascii="Arial" w:cs="Arial" w:eastAsia="Arial" w:hAnsi="Arial"/>
          <w:sz w:val="16"/>
          <w:szCs w:val="16"/>
          <w:color w:val="auto"/>
        </w:rPr>
        <w:t>The presence at the meeting, in person or by proxy, of the holders of a majority of the common stock outstanding on the record date constitutes a quorum, permitting shareholders to take action at the meeting. On March 9, 2018, there were 62,819,920 shares outstanding of Martin Marietta’s common stock, $.01 par value per share.</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007CBA"/>
        </w:rPr>
        <w:t>Who will oversee the voting results?</w:t>
      </w:r>
    </w:p>
    <w:p>
      <w:pPr>
        <w:spacing w:after="0" w:line="25"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Votes cast by proxy or in person at the Annual Meeting will be tabulated by an independent inspector of election appointed by Martin Marietta’s Board of Directors for the Annual Meeting from American Stock Transfer &amp; Trust Company, Martin Marietta’s transfer agent. The inspector of election will determine whether a quorum is present. For purposes of determining the presence of a quorum, abstentions and broker non-votes (which are described below) will be counted as shares that are present and entitled to vote.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7CBA"/>
        </w:rPr>
        <w:t>How do I vote?</w:t>
      </w:r>
    </w:p>
    <w:p>
      <w:pPr>
        <w:spacing w:after="0" w:line="25" w:lineRule="exact"/>
        <w:rPr>
          <w:sz w:val="20"/>
          <w:szCs w:val="20"/>
          <w:color w:val="auto"/>
        </w:rPr>
      </w:pPr>
    </w:p>
    <w:p>
      <w:pPr>
        <w:spacing w:after="0" w:line="252" w:lineRule="auto"/>
        <w:rPr>
          <w:sz w:val="20"/>
          <w:szCs w:val="20"/>
          <w:color w:val="auto"/>
        </w:rPr>
      </w:pPr>
      <w:r>
        <w:rPr>
          <w:rFonts w:ascii="Arial" w:cs="Arial" w:eastAsia="Arial" w:hAnsi="Arial"/>
          <w:sz w:val="16"/>
          <w:szCs w:val="16"/>
          <w:i w:val="1"/>
          <w:iCs w:val="1"/>
          <w:color w:val="auto"/>
        </w:rPr>
        <w:t xml:space="preserve">Registered shareholders: </w:t>
      </w:r>
      <w:r>
        <w:rPr>
          <w:rFonts w:ascii="Arial" w:cs="Arial" w:eastAsia="Arial" w:hAnsi="Arial"/>
          <w:sz w:val="16"/>
          <w:szCs w:val="16"/>
          <w:color w:val="auto"/>
        </w:rPr>
        <w:t>Registered shareholders have four voting</w:t>
      </w:r>
      <w:r>
        <w:rPr>
          <w:rFonts w:ascii="Arial" w:cs="Arial" w:eastAsia="Arial" w:hAnsi="Arial"/>
          <w:sz w:val="16"/>
          <w:szCs w:val="16"/>
          <w:i w:val="1"/>
          <w:iCs w:val="1"/>
          <w:color w:val="auto"/>
        </w:rPr>
        <w:t xml:space="preserve"> </w:t>
      </w:r>
      <w:r>
        <w:rPr>
          <w:rFonts w:ascii="Arial" w:cs="Arial" w:eastAsia="Arial" w:hAnsi="Arial"/>
          <w:sz w:val="16"/>
          <w:szCs w:val="16"/>
          <w:color w:val="auto"/>
        </w:rPr>
        <w:t>options:</w:t>
      </w:r>
    </w:p>
    <w:p>
      <w:pPr>
        <w:spacing w:after="0" w:line="246" w:lineRule="exact"/>
        <w:rPr>
          <w:sz w:val="20"/>
          <w:szCs w:val="20"/>
          <w:color w:val="auto"/>
        </w:rPr>
      </w:pPr>
    </w:p>
    <w:p>
      <w:pPr>
        <w:ind w:left="360" w:hanging="275"/>
        <w:spacing w:after="0" w:line="291" w:lineRule="auto"/>
        <w:tabs>
          <w:tab w:leader="none" w:pos="360" w:val="left"/>
        </w:tabs>
        <w:numPr>
          <w:ilvl w:val="0"/>
          <w:numId w:val="137"/>
        </w:numPr>
        <w:rPr>
          <w:rFonts w:ascii="Arial" w:cs="Arial" w:eastAsia="Arial" w:hAnsi="Arial"/>
          <w:sz w:val="16"/>
          <w:szCs w:val="16"/>
          <w:color w:val="007CBA"/>
        </w:rPr>
      </w:pPr>
      <w:r>
        <w:rPr>
          <w:rFonts w:ascii="Arial" w:cs="Arial" w:eastAsia="Arial" w:hAnsi="Arial"/>
          <w:sz w:val="16"/>
          <w:szCs w:val="16"/>
          <w:color w:val="auto"/>
        </w:rPr>
        <w:t>over the Internet at the internet address shown on the enclosed proxy card;</w:t>
      </w:r>
    </w:p>
    <w:p>
      <w:pPr>
        <w:spacing w:after="0" w:line="13" w:lineRule="exact"/>
        <w:rPr>
          <w:rFonts w:ascii="Arial" w:cs="Arial" w:eastAsia="Arial" w:hAnsi="Arial"/>
          <w:sz w:val="16"/>
          <w:szCs w:val="16"/>
          <w:color w:val="007CBA"/>
        </w:rPr>
      </w:pPr>
    </w:p>
    <w:p>
      <w:pPr>
        <w:ind w:left="360" w:hanging="275"/>
        <w:spacing w:after="0"/>
        <w:tabs>
          <w:tab w:leader="none" w:pos="360" w:val="left"/>
        </w:tabs>
        <w:numPr>
          <w:ilvl w:val="0"/>
          <w:numId w:val="137"/>
        </w:numPr>
        <w:rPr>
          <w:rFonts w:ascii="Arial" w:cs="Arial" w:eastAsia="Arial" w:hAnsi="Arial"/>
          <w:sz w:val="16"/>
          <w:szCs w:val="16"/>
          <w:color w:val="007CBA"/>
        </w:rPr>
      </w:pPr>
      <w:r>
        <w:rPr>
          <w:rFonts w:ascii="Arial" w:cs="Arial" w:eastAsia="Arial" w:hAnsi="Arial"/>
          <w:sz w:val="16"/>
          <w:szCs w:val="16"/>
          <w:color w:val="auto"/>
        </w:rPr>
        <w:t>by telephone through the number shown on the enclosed proxy card;</w:t>
      </w:r>
    </w:p>
    <w:p>
      <w:pPr>
        <w:spacing w:after="0" w:line="86" w:lineRule="exact"/>
        <w:rPr>
          <w:rFonts w:ascii="Arial" w:cs="Arial" w:eastAsia="Arial" w:hAnsi="Arial"/>
          <w:sz w:val="16"/>
          <w:szCs w:val="16"/>
          <w:color w:val="007CBA"/>
        </w:rPr>
      </w:pPr>
    </w:p>
    <w:p>
      <w:pPr>
        <w:ind w:left="360" w:hanging="275"/>
        <w:spacing w:after="0" w:line="291" w:lineRule="auto"/>
        <w:tabs>
          <w:tab w:leader="none" w:pos="360" w:val="left"/>
        </w:tabs>
        <w:numPr>
          <w:ilvl w:val="0"/>
          <w:numId w:val="137"/>
        </w:numPr>
        <w:rPr>
          <w:rFonts w:ascii="Arial" w:cs="Arial" w:eastAsia="Arial" w:hAnsi="Arial"/>
          <w:sz w:val="16"/>
          <w:szCs w:val="16"/>
          <w:color w:val="007CBA"/>
        </w:rPr>
      </w:pPr>
      <w:r>
        <w:rPr>
          <w:rFonts w:ascii="Arial" w:cs="Arial" w:eastAsia="Arial" w:hAnsi="Arial"/>
          <w:sz w:val="16"/>
          <w:szCs w:val="16"/>
          <w:color w:val="auto"/>
        </w:rPr>
        <w:t>by completing, signing, dating and returning the enclosed proxy card by mail; or</w:t>
      </w:r>
    </w:p>
    <w:p>
      <w:pPr>
        <w:spacing w:after="0" w:line="13" w:lineRule="exact"/>
        <w:rPr>
          <w:rFonts w:ascii="Arial" w:cs="Arial" w:eastAsia="Arial" w:hAnsi="Arial"/>
          <w:sz w:val="16"/>
          <w:szCs w:val="16"/>
          <w:color w:val="007CBA"/>
        </w:rPr>
      </w:pPr>
    </w:p>
    <w:p>
      <w:pPr>
        <w:ind w:left="360" w:hanging="275"/>
        <w:spacing w:after="0"/>
        <w:tabs>
          <w:tab w:leader="none" w:pos="360" w:val="left"/>
        </w:tabs>
        <w:numPr>
          <w:ilvl w:val="0"/>
          <w:numId w:val="137"/>
        </w:numPr>
        <w:rPr>
          <w:rFonts w:ascii="Arial" w:cs="Arial" w:eastAsia="Arial" w:hAnsi="Arial"/>
          <w:sz w:val="16"/>
          <w:szCs w:val="16"/>
          <w:color w:val="007CBA"/>
        </w:rPr>
      </w:pPr>
      <w:r>
        <w:rPr>
          <w:rFonts w:ascii="Arial" w:cs="Arial" w:eastAsia="Arial" w:hAnsi="Arial"/>
          <w:sz w:val="16"/>
          <w:szCs w:val="16"/>
          <w:color w:val="auto"/>
        </w:rPr>
        <w:t>in person at the meeting.</w:t>
      </w:r>
    </w:p>
    <w:p>
      <w:pPr>
        <w:spacing w:after="0" w:line="19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Even if you plan to attend the meeting, we encourage you to vote your shares by submitting your proxy. If you choose to vote your shares at the meeting, please bring proof of stock ownership and proof of your identity for entrance to the meeting.</w:t>
      </w:r>
    </w:p>
    <w:p>
      <w:pPr>
        <w:spacing w:after="0" w:line="13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i w:val="1"/>
          <w:iCs w:val="1"/>
          <w:color w:val="auto"/>
        </w:rPr>
        <w:t xml:space="preserve">Beneficial shareholders: </w:t>
      </w:r>
      <w:r>
        <w:rPr>
          <w:rFonts w:ascii="Arial" w:cs="Arial" w:eastAsia="Arial" w:hAnsi="Arial"/>
          <w:sz w:val="16"/>
          <w:szCs w:val="16"/>
          <w:color w:val="auto"/>
        </w:rPr>
        <w:t>If you hold your Martin Marietta shares in street</w:t>
      </w:r>
      <w:r>
        <w:rPr>
          <w:rFonts w:ascii="Arial" w:cs="Arial" w:eastAsia="Arial" w:hAnsi="Arial"/>
          <w:sz w:val="16"/>
          <w:szCs w:val="16"/>
          <w:i w:val="1"/>
          <w:iCs w:val="1"/>
          <w:color w:val="auto"/>
        </w:rPr>
        <w:t xml:space="preserve"> </w:t>
      </w:r>
      <w:r>
        <w:rPr>
          <w:rFonts w:ascii="Arial" w:cs="Arial" w:eastAsia="Arial" w:hAnsi="Arial"/>
          <w:sz w:val="16"/>
          <w:szCs w:val="16"/>
          <w:color w:val="auto"/>
        </w:rPr>
        <w:t>name, your ability to vote by Internet or telephone depends on the voting process of the bank, broker or other nominee through which you hold the shares. Please follow their directions carefully. If you want to vote at the meeting, you must request a legal proxy from your bank, broker or other nominee and present that proxy, together with proof of your identity, for entrance to the meeting.</w:t>
      </w:r>
    </w:p>
    <w:p>
      <w:pPr>
        <w:spacing w:after="0" w:line="136"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If you complete and properly sign the accompanying proxy card and return it to Martin Marietta, it will be voted as you direct. If you are a registered shareholder and attend the meeting, you may deliver your completed proxy card or vote in person. Shareholders whose shares are held by brokers, banks, or other nominees who wish to vote at the meeting will need to obtain a proxy form from the institution that holds its shares.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7CBA"/>
        </w:rPr>
        <w:t>What can I do if I change my mind after I vote my shares?</w:t>
      </w:r>
    </w:p>
    <w:p>
      <w:pPr>
        <w:spacing w:after="0" w:line="2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Even if you have submitted your vote, you may revoke your proxy and change your vote at any time before voting begins at the annual meeting.</w:t>
      </w:r>
    </w:p>
    <w:p>
      <w:pPr>
        <w:spacing w:after="0" w:line="12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Registered shareholders: </w:t>
      </w:r>
      <w:r>
        <w:rPr>
          <w:rFonts w:ascii="Arial" w:cs="Arial" w:eastAsia="Arial" w:hAnsi="Arial"/>
          <w:sz w:val="16"/>
          <w:szCs w:val="16"/>
          <w:color w:val="auto"/>
        </w:rPr>
        <w:t>Registered shareholders may change their votes</w:t>
      </w:r>
      <w:r>
        <w:rPr>
          <w:rFonts w:ascii="Arial" w:cs="Arial" w:eastAsia="Arial" w:hAnsi="Arial"/>
          <w:sz w:val="16"/>
          <w:szCs w:val="16"/>
          <w:i w:val="1"/>
          <w:iCs w:val="1"/>
          <w:color w:val="auto"/>
        </w:rPr>
        <w:t xml:space="preserve"> </w:t>
      </w:r>
      <w:r>
        <w:rPr>
          <w:rFonts w:ascii="Arial" w:cs="Arial" w:eastAsia="Arial" w:hAnsi="Arial"/>
          <w:sz w:val="16"/>
          <w:szCs w:val="16"/>
          <w:color w:val="auto"/>
        </w:rPr>
        <w:t>in one of two ways:</w:t>
      </w:r>
    </w:p>
    <w:p>
      <w:pPr>
        <w:spacing w:after="0" w:line="13" w:lineRule="exact"/>
        <w:rPr>
          <w:sz w:val="20"/>
          <w:szCs w:val="20"/>
          <w:color w:val="auto"/>
        </w:rPr>
      </w:pPr>
    </w:p>
    <w:p>
      <w:pPr>
        <w:ind w:left="360" w:hanging="275"/>
        <w:spacing w:after="0" w:line="291" w:lineRule="auto"/>
        <w:tabs>
          <w:tab w:leader="none" w:pos="360" w:val="left"/>
        </w:tabs>
        <w:numPr>
          <w:ilvl w:val="0"/>
          <w:numId w:val="138"/>
        </w:numPr>
        <w:rPr>
          <w:rFonts w:ascii="Arial" w:cs="Arial" w:eastAsia="Arial" w:hAnsi="Arial"/>
          <w:sz w:val="16"/>
          <w:szCs w:val="16"/>
          <w:color w:val="007CBA"/>
        </w:rPr>
      </w:pPr>
      <w:r>
        <w:rPr>
          <w:rFonts w:ascii="Arial" w:cs="Arial" w:eastAsia="Arial" w:hAnsi="Arial"/>
          <w:sz w:val="16"/>
          <w:szCs w:val="16"/>
          <w:color w:val="auto"/>
        </w:rPr>
        <w:t>by voting on a later date by telephone or over the Internet (only your last dated proxy card or telephone or Internet vote is counted); or</w:t>
      </w:r>
    </w:p>
    <w:p>
      <w:pPr>
        <w:spacing w:after="0" w:line="13" w:lineRule="exact"/>
        <w:rPr>
          <w:rFonts w:ascii="Arial" w:cs="Arial" w:eastAsia="Arial" w:hAnsi="Arial"/>
          <w:sz w:val="16"/>
          <w:szCs w:val="16"/>
          <w:color w:val="007CBA"/>
        </w:rPr>
      </w:pPr>
    </w:p>
    <w:p>
      <w:pPr>
        <w:jc w:val="both"/>
        <w:ind w:left="360" w:hanging="275"/>
        <w:spacing w:after="0" w:line="261" w:lineRule="auto"/>
        <w:tabs>
          <w:tab w:leader="none" w:pos="360" w:val="left"/>
        </w:tabs>
        <w:numPr>
          <w:ilvl w:val="0"/>
          <w:numId w:val="138"/>
        </w:numPr>
        <w:rPr>
          <w:rFonts w:ascii="Arial" w:cs="Arial" w:eastAsia="Arial" w:hAnsi="Arial"/>
          <w:sz w:val="16"/>
          <w:szCs w:val="16"/>
          <w:color w:val="007CBA"/>
        </w:rPr>
      </w:pPr>
      <w:r>
        <w:rPr>
          <w:rFonts w:ascii="Arial" w:cs="Arial" w:eastAsia="Arial" w:hAnsi="Arial"/>
          <w:sz w:val="16"/>
          <w:szCs w:val="16"/>
          <w:color w:val="auto"/>
        </w:rPr>
        <w:t>by delivering a later dated proxy card to our Secretary, either prior to or at the meeting; or by voting your shares in person at the meeting. In order to vote your shares at the meeting, you must specifically revoke a previously submitted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172085</wp:posOffset>
            </wp:positionV>
            <wp:extent cx="411480" cy="2489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00" w:space="320"/>
            <w:col w:w="5400"/>
          </w:cols>
          <w:pgMar w:left="240" w:top="455" w:right="439" w:bottom="1440" w:gutter="0" w:footer="0" w:header="0"/>
          <w:type w:val="continuous"/>
        </w:sectPr>
      </w:pPr>
    </w:p>
    <w:p>
      <w:pPr>
        <w:spacing w:after="0" w:line="90" w:lineRule="exact"/>
        <w:rPr>
          <w:sz w:val="20"/>
          <w:szCs w:val="20"/>
          <w:color w:val="auto"/>
        </w:rPr>
      </w:pPr>
    </w:p>
    <w:p>
      <w:pPr>
        <w:ind w:left="640" w:hanging="436"/>
        <w:spacing w:after="0"/>
        <w:tabs>
          <w:tab w:leader="none" w:pos="640" w:val="left"/>
        </w:tabs>
        <w:numPr>
          <w:ilvl w:val="0"/>
          <w:numId w:val="139"/>
        </w:numPr>
        <w:rPr>
          <w:rFonts w:ascii="Arial" w:cs="Arial" w:eastAsia="Arial" w:hAnsi="Arial"/>
          <w:sz w:val="12"/>
          <w:szCs w:val="12"/>
          <w:b w:val="1"/>
          <w:bCs w:val="1"/>
          <w:color w:val="auto"/>
        </w:rPr>
      </w:pPr>
      <w:r>
        <w:rPr>
          <w:rFonts w:ascii="Arial" w:cs="Arial" w:eastAsia="Arial" w:hAnsi="Arial"/>
          <w:sz w:val="12"/>
          <w:szCs w:val="12"/>
          <w:color w:val="007CBA"/>
        </w:rPr>
        <w:t>2018 PROXY STATEMENT</w:t>
      </w:r>
    </w:p>
    <w:p>
      <w:pPr>
        <w:sectPr>
          <w:pgSz w:w="11900" w:h="16838" w:orient="portrait"/>
          <w:cols w:equalWidth="0" w:num="1">
            <w:col w:w="11220"/>
          </w:cols>
          <w:pgMar w:left="240" w:top="455" w:right="439" w:bottom="1440" w:gutter="0" w:footer="0" w:header="0"/>
          <w:type w:val="continuous"/>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64" w:lineRule="exact"/>
        <w:rPr>
          <w:sz w:val="20"/>
          <w:szCs w:val="20"/>
          <w:color w:val="auto"/>
        </w:rPr>
      </w:pPr>
    </w:p>
    <w:p>
      <w:pPr>
        <w:jc w:val="right"/>
        <w:spacing w:after="0" w:line="288" w:lineRule="exact"/>
        <w:rPr>
          <w:sz w:val="20"/>
          <w:szCs w:val="20"/>
          <w:color w:val="auto"/>
        </w:rPr>
      </w:pPr>
      <w:r>
        <w:rPr>
          <w:rFonts w:ascii="MS PGothic" w:cs="MS PGothic" w:eastAsia="MS PGothic" w:hAnsi="MS PGothic"/>
          <w:sz w:val="25"/>
          <w:szCs w:val="25"/>
          <w:color w:val="007CBA"/>
        </w:rPr>
        <w:t>◆</w:t>
      </w:r>
      <w:r>
        <w:rPr>
          <w:rFonts w:ascii="Arial" w:cs="Arial" w:eastAsia="Arial" w:hAnsi="Arial"/>
          <w:sz w:val="14"/>
          <w:szCs w:val="14"/>
          <w:color w:val="007CBA"/>
        </w:rPr>
        <w:t xml:space="preserve"> Annual Meeting and Voting Information</w:t>
      </w:r>
    </w:p>
    <w:p>
      <w:pPr>
        <w:sectPr>
          <w:pgSz w:w="11900" w:h="16838" w:orient="portrait"/>
          <w:cols w:equalWidth="0" w:num="1">
            <w:col w:w="11220"/>
          </w:cols>
          <w:pgMar w:left="240" w:top="455" w:right="439" w:bottom="1440" w:gutter="0" w:footer="0" w:header="0"/>
        </w:sectPr>
      </w:pPr>
    </w:p>
    <w:p>
      <w:pPr>
        <w:spacing w:after="0" w:line="258" w:lineRule="exact"/>
        <w:rPr>
          <w:sz w:val="20"/>
          <w:szCs w:val="20"/>
          <w:color w:val="auto"/>
        </w:rPr>
      </w:pPr>
    </w:p>
    <w:p>
      <w:pPr>
        <w:jc w:val="both"/>
        <w:ind w:left="220" w:right="20"/>
        <w:spacing w:after="0" w:line="269" w:lineRule="auto"/>
        <w:rPr>
          <w:sz w:val="20"/>
          <w:szCs w:val="20"/>
          <w:color w:val="auto"/>
        </w:rPr>
      </w:pPr>
      <w:r>
        <w:rPr>
          <w:rFonts w:ascii="Arial" w:cs="Arial" w:eastAsia="Arial" w:hAnsi="Arial"/>
          <w:sz w:val="16"/>
          <w:szCs w:val="16"/>
          <w:i w:val="1"/>
          <w:iCs w:val="1"/>
          <w:color w:val="auto"/>
        </w:rPr>
        <w:t xml:space="preserve">Beneficial shareholders: </w:t>
      </w:r>
      <w:r>
        <w:rPr>
          <w:rFonts w:ascii="Arial" w:cs="Arial" w:eastAsia="Arial" w:hAnsi="Arial"/>
          <w:sz w:val="16"/>
          <w:szCs w:val="16"/>
          <w:color w:val="auto"/>
        </w:rPr>
        <w:t>If you hold your shares in street name, you</w:t>
      </w:r>
      <w:r>
        <w:rPr>
          <w:rFonts w:ascii="Arial" w:cs="Arial" w:eastAsia="Arial" w:hAnsi="Arial"/>
          <w:sz w:val="16"/>
          <w:szCs w:val="16"/>
          <w:i w:val="1"/>
          <w:iCs w:val="1"/>
          <w:color w:val="auto"/>
        </w:rPr>
        <w:t xml:space="preserve"> </w:t>
      </w:r>
      <w:r>
        <w:rPr>
          <w:rFonts w:ascii="Arial" w:cs="Arial" w:eastAsia="Arial" w:hAnsi="Arial"/>
          <w:sz w:val="16"/>
          <w:szCs w:val="16"/>
          <w:color w:val="auto"/>
        </w:rPr>
        <w:t>should contact your bank, broker or other nominee to find out how to revoke your proxy.</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007CBA"/>
        </w:rPr>
        <w:t>How do I vote my 401(k) shares?</w:t>
      </w:r>
    </w:p>
    <w:p>
      <w:pPr>
        <w:spacing w:after="0" w:line="25"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Each participant in Martin Marietta’s Savings and Investment Plan may direct the trustee as to the manner in which shares of common stock allocated to the plan participant’s account are to be voted. If the plan participant does not return a signed voting instruction card to the trustee in a timely manner or returns a card without indicating any voting instructions, the trustee will vote the shares in the same proportion as shares for which the trustee receives voting instructions for that plan.</w:t>
      </w:r>
    </w:p>
    <w:p>
      <w:pPr>
        <w:spacing w:after="0" w:line="129" w:lineRule="exact"/>
        <w:rPr>
          <w:sz w:val="20"/>
          <w:szCs w:val="20"/>
          <w:color w:val="auto"/>
        </w:rPr>
      </w:pPr>
    </w:p>
    <w:p>
      <w:pPr>
        <w:ind w:left="220" w:right="740"/>
        <w:spacing w:after="0" w:line="259" w:lineRule="auto"/>
        <w:rPr>
          <w:sz w:val="20"/>
          <w:szCs w:val="20"/>
          <w:color w:val="auto"/>
        </w:rPr>
      </w:pPr>
      <w:r>
        <w:rPr>
          <w:rFonts w:ascii="Arial" w:cs="Arial" w:eastAsia="Arial" w:hAnsi="Arial"/>
          <w:sz w:val="16"/>
          <w:szCs w:val="16"/>
          <w:b w:val="1"/>
          <w:bCs w:val="1"/>
          <w:i w:val="1"/>
          <w:iCs w:val="1"/>
          <w:color w:val="007CBA"/>
        </w:rPr>
        <w:t>Will my broker vote my shares for me if I do not give voting instructions? What are “broker non-votes”?</w:t>
      </w:r>
    </w:p>
    <w:p>
      <w:pPr>
        <w:spacing w:after="0" w:line="1" w:lineRule="exact"/>
        <w:rPr>
          <w:sz w:val="20"/>
          <w:szCs w:val="20"/>
          <w:color w:val="auto"/>
        </w:rPr>
      </w:pPr>
    </w:p>
    <w:p>
      <w:pPr>
        <w:jc w:val="both"/>
        <w:ind w:left="220"/>
        <w:spacing w:after="0" w:line="247" w:lineRule="auto"/>
        <w:rPr>
          <w:sz w:val="20"/>
          <w:szCs w:val="20"/>
          <w:color w:val="auto"/>
        </w:rPr>
      </w:pPr>
      <w:r>
        <w:rPr>
          <w:rFonts w:ascii="Arial" w:cs="Arial" w:eastAsia="Arial" w:hAnsi="Arial"/>
          <w:sz w:val="16"/>
          <w:szCs w:val="16"/>
          <w:color w:val="auto"/>
        </w:rPr>
        <w:t>Brokers holding shares for beneficial owners must vote those shares according to the specific instructions they receive from the beneficial owners. If specific instructions are not received, brokers may generally vote these shares at their discretion. However, the New York Stock Exchange rules preclude brokers from exercising their voting discretion on certain proposals, such as the election of Directors and executive compensation matters. In such cases, absent specific instructions from the beneficial owner, the broker may not vote on those proposals. This results in what is known as a “broker non-vote.” The approval of the ratification of the appointment of independent auditors is not a proposal subject to this rule. Accordingly, if you want your broker to vote your shares on the election of Directors or, the approval on an advisory basis of the compensation of our named executive officers, you must provide specific voting instructions to your broker. Conversely, any broker holding shares for you may vote your shares at their discretion with respect to the ratification of the appointment of independent auditors unless you give them specific instructions on how you wish for them to vote.</w:t>
      </w:r>
    </w:p>
    <w:p>
      <w:pPr>
        <w:spacing w:after="0" w:line="137"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007CBA"/>
        </w:rPr>
        <w:t>What vote is required to approve each item?</w:t>
      </w:r>
    </w:p>
    <w:p>
      <w:pPr>
        <w:spacing w:after="0" w:line="25" w:lineRule="exact"/>
        <w:rPr>
          <w:sz w:val="20"/>
          <w:szCs w:val="20"/>
          <w:color w:val="auto"/>
        </w:rPr>
      </w:pPr>
    </w:p>
    <w:p>
      <w:pPr>
        <w:jc w:val="both"/>
        <w:ind w:left="220"/>
        <w:spacing w:after="0" w:line="248" w:lineRule="auto"/>
        <w:rPr>
          <w:sz w:val="20"/>
          <w:szCs w:val="20"/>
          <w:color w:val="auto"/>
        </w:rPr>
      </w:pPr>
      <w:r>
        <w:rPr>
          <w:rFonts w:ascii="Arial" w:cs="Arial" w:eastAsia="Arial" w:hAnsi="Arial"/>
          <w:sz w:val="16"/>
          <w:szCs w:val="16"/>
          <w:color w:val="auto"/>
        </w:rPr>
        <w:t>Martin Marietta amended its Articles of Incorporation following the 2013 Annual Meeting of Shareholders to provide for majority voting in the election of Directors. As a result, in an uncontested Director election (</w:t>
      </w:r>
      <w:r>
        <w:rPr>
          <w:rFonts w:ascii="Arial" w:cs="Arial" w:eastAsia="Arial" w:hAnsi="Arial"/>
          <w:sz w:val="16"/>
          <w:szCs w:val="16"/>
          <w:i w:val="1"/>
          <w:iCs w:val="1"/>
          <w:color w:val="auto"/>
        </w:rPr>
        <w:t>i.e.</w:t>
      </w:r>
      <w:r>
        <w:rPr>
          <w:rFonts w:ascii="Arial" w:cs="Arial" w:eastAsia="Arial" w:hAnsi="Arial"/>
          <w:sz w:val="16"/>
          <w:szCs w:val="16"/>
          <w:color w:val="auto"/>
        </w:rPr>
        <w:t>, an election where the only nominees are those proposed by our Board of Directors, such as at the 2018 Annual Meeting), Directors are elected by a majority of the votes cast by holders of our common stock present in person or by proxy at the meeting. For purposes of uncontested Director elections, a majority of votes cast means that the number of votes cast “for” a nominee’s election exceeds the number of votes cast “against” that nominee’s election. Abstentions and broker non-votes will not be counted as votes cast in the election of Directors and will have no effect on the outcome of the election of Directors.</w:t>
      </w:r>
    </w:p>
    <w:p>
      <w:pPr>
        <w:spacing w:after="0" w:line="130" w:lineRule="exact"/>
        <w:rPr>
          <w:sz w:val="20"/>
          <w:szCs w:val="20"/>
          <w:color w:val="auto"/>
        </w:rPr>
      </w:pPr>
    </w:p>
    <w:p>
      <w:pPr>
        <w:jc w:val="both"/>
        <w:ind w:left="220"/>
        <w:spacing w:after="0" w:line="269" w:lineRule="auto"/>
        <w:rPr>
          <w:sz w:val="20"/>
          <w:szCs w:val="20"/>
          <w:color w:val="auto"/>
        </w:rPr>
      </w:pPr>
      <w:r>
        <w:rPr>
          <w:rFonts w:ascii="Arial" w:cs="Arial" w:eastAsia="Arial" w:hAnsi="Arial"/>
          <w:sz w:val="16"/>
          <w:szCs w:val="16"/>
          <w:color w:val="auto"/>
        </w:rPr>
        <w:t>Under North Carolina law, if an incumbent director is not re-elected at an Annual Meeting of Shareholders, then, even though his or her term has expired, the incumbent director</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continues to serve in office as a holdover director until his or her successor is elected or until there is a decrease in the number of directors.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North Carolina law further provides that if the shareholders fail to elect the full authorized number of directors, a board of directors may fill the vacancy by electing a successor. Accordingly, Martin Marietta’s Articles of Incorporation provide that if a nominee is not elected by a vote of the majority of the votes cast with respect to that nominee’s election, the Board of Directors may decrease the number of Directors, fill any vacancy or take other appropriate action.</w:t>
      </w:r>
    </w:p>
    <w:p>
      <w:pPr>
        <w:spacing w:after="0" w:line="13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ratification of the selection of independent auditors, the advisory vote to approve the compensation of the named executive officers, and any other proposal presented at the meeting, will be approved if more votes are cast by proxy or in person in favor of the proposal than are cast against it.</w:t>
      </w:r>
    </w:p>
    <w:p>
      <w:pPr>
        <w:spacing w:after="0" w:line="13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Abstentions and broker non-votes, if any, will not be counted “for” or “against” any of these proposals.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7CBA"/>
        </w:rPr>
        <w:t>Where can I find voting results for the Annual Meeting?</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will announce preliminary voting results at the conclusion of the meeting and publish final results in a Current Report on Form 8-K filed with the Securities and Exchange Commission within four business days after the Annual Meeting.</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7CBA"/>
        </w:rPr>
        <w:t>Where can I find out more information about Martin Marietta?</w:t>
      </w:r>
    </w:p>
    <w:p>
      <w:pPr>
        <w:spacing w:after="0" w:line="2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 xml:space="preserve">We maintain a website at </w:t>
      </w:r>
      <w:r>
        <w:rPr>
          <w:rFonts w:ascii="Arial" w:cs="Arial" w:eastAsia="Arial" w:hAnsi="Arial"/>
          <w:sz w:val="16"/>
          <w:szCs w:val="16"/>
          <w:i w:val="1"/>
          <w:iCs w:val="1"/>
          <w:color w:val="auto"/>
        </w:rPr>
        <w:t>www.martinmarietta.com</w:t>
      </w:r>
      <w:r>
        <w:rPr>
          <w:rFonts w:ascii="Arial" w:cs="Arial" w:eastAsia="Arial" w:hAnsi="Arial"/>
          <w:sz w:val="16"/>
          <w:szCs w:val="16"/>
          <w:color w:val="auto"/>
        </w:rPr>
        <w:t xml:space="preserve"> where you can find additional information about Martin Marietta. Visitors to the website can view and print copies of Martin Marietta’s SEC filings, including periodic and current reports on Forms 10-K, 10-Q and 8-K, as soon as reasonably practicable after those filings are made with the SEC. Copies of the charters for each of our Audit Committee, Management Development and Compensation Committee, and Nominating and Corporate Governance Committee, </w:t>
      </w:r>
      <w:r>
        <w:rPr>
          <w:rFonts w:ascii="Arial" w:cs="Arial" w:eastAsia="Arial" w:hAnsi="Arial"/>
          <w:sz w:val="16"/>
          <w:szCs w:val="16"/>
          <w:i w:val="1"/>
          <w:iCs w:val="1"/>
          <w:color w:val="auto"/>
        </w:rPr>
        <w:t>Corporate Governance Guidelines</w:t>
      </w:r>
      <w:r>
        <w:rPr>
          <w:rFonts w:ascii="Arial" w:cs="Arial" w:eastAsia="Arial" w:hAnsi="Arial"/>
          <w:sz w:val="16"/>
          <w:szCs w:val="16"/>
          <w:color w:val="auto"/>
        </w:rPr>
        <w:t xml:space="preserve">, as well as our </w:t>
      </w:r>
      <w:r>
        <w:rPr>
          <w:rFonts w:ascii="Arial" w:cs="Arial" w:eastAsia="Arial" w:hAnsi="Arial"/>
          <w:sz w:val="16"/>
          <w:szCs w:val="16"/>
          <w:i w:val="1"/>
          <w:iCs w:val="1"/>
          <w:color w:val="auto"/>
        </w:rPr>
        <w:t>Code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Ethical Business Conduct </w:t>
      </w:r>
      <w:r>
        <w:rPr>
          <w:rFonts w:ascii="Arial" w:cs="Arial" w:eastAsia="Arial" w:hAnsi="Arial"/>
          <w:sz w:val="16"/>
          <w:szCs w:val="16"/>
          <w:color w:val="auto"/>
        </w:rPr>
        <w:t>are all available through the website.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Alternatively, </w:t>
      </w:r>
      <w:r>
        <w:rPr>
          <w:rFonts w:ascii="Arial" w:cs="Arial" w:eastAsia="Arial" w:hAnsi="Arial"/>
          <w:sz w:val="16"/>
          <w:szCs w:val="16"/>
          <w:b w:val="1"/>
          <w:bCs w:val="1"/>
          <w:i w:val="1"/>
          <w:iCs w:val="1"/>
          <w:color w:val="auto"/>
        </w:rPr>
        <w:t>our shareholders and other interested parties may</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obtain, without charge, copies of all of these documents by writing to the Corporate Secretary, Martin Marietta, 2710 Wycliff Road, Raleigh, NC 27607</w:t>
      </w:r>
      <w:r>
        <w:rPr>
          <w:rFonts w:ascii="Arial" w:cs="Arial" w:eastAsia="Arial" w:hAnsi="Arial"/>
          <w:sz w:val="16"/>
          <w:szCs w:val="16"/>
          <w:color w:val="auto"/>
        </w:rPr>
        <w:t>. Please note that the information contained on Martin Marietta’s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website is not incorporated by reference in, or considered to be a part of, this document.</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7CBA"/>
        </w:rPr>
        <w:t>Who is paying for this proxy statement?</w:t>
      </w:r>
    </w:p>
    <w:p>
      <w:pPr>
        <w:spacing w:after="0" w:line="2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entire cost of preparing, assembling, printing, and mailing the Notice of Meeting, this proxy statement, and proxies, and the cost of soliciting proxies relating to the meeting, if any, has been or will be paid by Martin Marietta. In addition to use of the mail, proxies may be solicited by Directors, officers, and other regular employees of Martin Marietta by telephone, facsimile, or personal solicitation, and no additional compensation will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-259715</wp:posOffset>
            </wp:positionH>
            <wp:positionV relativeFrom="paragraph">
              <wp:posOffset>297815</wp:posOffset>
            </wp:positionV>
            <wp:extent cx="411480" cy="2489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tbl>
      <w:tblPr>
        <w:tblLayout w:type="fixed"/>
        <w:tblInd w:w="3440" w:type="dxa"/>
        <w:tblCellMar>
          <w:top w:w="0" w:type="dxa"/>
          <w:left w:w="0" w:type="dxa"/>
          <w:bottom w:w="0" w:type="dxa"/>
          <w:right w:w="0" w:type="dxa"/>
        </w:tblCellMar>
      </w:tblPr>
      <w:tr>
        <w:trPr>
          <w:trHeight w:val="178"/>
        </w:trPr>
        <w:tc>
          <w:tcPr>
            <w:tcW w:w="1680" w:type="dxa"/>
            <w:vAlign w:val="bottom"/>
          </w:tcPr>
          <w:p>
            <w:pPr>
              <w:spacing w:after="0"/>
              <w:rPr>
                <w:sz w:val="20"/>
                <w:szCs w:val="20"/>
                <w:color w:val="auto"/>
              </w:rPr>
            </w:pPr>
            <w:r>
              <w:rPr>
                <w:rFonts w:ascii="Arial" w:cs="Arial" w:eastAsia="Arial" w:hAnsi="Arial"/>
                <w:sz w:val="13"/>
                <w:szCs w:val="13"/>
                <w:color w:val="007CBA"/>
              </w:rPr>
              <w:t>2018 PROXY STATEMENT</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rPr>
              <w:t>67</w:t>
            </w:r>
          </w:p>
        </w:tc>
      </w:tr>
    </w:tbl>
    <w:p>
      <w:pPr>
        <w:sectPr>
          <w:pgSz w:w="11900" w:h="16838" w:orient="portrait"/>
          <w:cols w:equalWidth="0" w:num="2">
            <w:col w:w="5500" w:space="320"/>
            <w:col w:w="5400"/>
          </w:cols>
          <w:pgMar w:left="240" w:top="455" w:right="439" w:bottom="1440" w:gutter="0" w:footer="0" w:header="0"/>
          <w:type w:val="continuous"/>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64" w:lineRule="exact"/>
        <w:rPr>
          <w:sz w:val="20"/>
          <w:szCs w:val="20"/>
          <w:color w:val="auto"/>
        </w:rPr>
      </w:pPr>
    </w:p>
    <w:p>
      <w:pPr>
        <w:ind w:left="200"/>
        <w:spacing w:after="0" w:line="288" w:lineRule="exact"/>
        <w:rPr>
          <w:sz w:val="20"/>
          <w:szCs w:val="20"/>
          <w:color w:val="auto"/>
        </w:rPr>
      </w:pPr>
      <w:r>
        <w:rPr>
          <w:rFonts w:ascii="Arial" w:cs="Arial" w:eastAsia="Arial" w:hAnsi="Arial"/>
          <w:sz w:val="14"/>
          <w:szCs w:val="14"/>
          <w:color w:val="007CBA"/>
        </w:rPr>
        <w:t xml:space="preserve">Annual Meeting and Voting Information </w:t>
      </w:r>
      <w:r>
        <w:rPr>
          <w:rFonts w:ascii="MS PGothic" w:cs="MS PGothic" w:eastAsia="MS PGothic" w:hAnsi="MS PGothic"/>
          <w:sz w:val="25"/>
          <w:szCs w:val="25"/>
          <w:color w:val="007CBA"/>
        </w:rPr>
        <w:t>◆</w:t>
      </w:r>
    </w:p>
    <w:p>
      <w:pPr>
        <w:spacing w:after="0" w:line="258" w:lineRule="exact"/>
        <w:rPr>
          <w:sz w:val="20"/>
          <w:szCs w:val="20"/>
          <w:color w:val="auto"/>
        </w:rPr>
      </w:pPr>
    </w:p>
    <w:p>
      <w:pPr>
        <w:jc w:val="both"/>
        <w:ind w:left="220"/>
        <w:spacing w:after="0" w:line="257" w:lineRule="auto"/>
        <w:rPr>
          <w:sz w:val="20"/>
          <w:szCs w:val="20"/>
          <w:color w:val="auto"/>
        </w:rPr>
      </w:pPr>
      <w:r>
        <w:rPr>
          <w:rFonts w:ascii="Arial" w:cs="Arial" w:eastAsia="Arial" w:hAnsi="Arial"/>
          <w:sz w:val="16"/>
          <w:szCs w:val="16"/>
          <w:color w:val="auto"/>
        </w:rPr>
        <w:t>paid to such individuals. Martin Marietta will use the services of Morrow Sodali LLC, 470 West Avenue, Stamford, CT 06902, a professional soliciting organization, to assist in obtaining in person or by proxy shareholder votes. Martin Marietta estimates its expenses for solicitation services will not exceed $10,000.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Martin Marietta will, if requested, reimburse banks, brokerage houses and other custodians, nominees and certain fiduciaries for their reasonable expenses incurred in mailing proxy materials to their principals.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-1238250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566" w:lineRule="exact"/>
        <w:rPr>
          <w:sz w:val="20"/>
          <w:szCs w:val="20"/>
          <w:color w:val="auto"/>
        </w:rPr>
      </w:pPr>
    </w:p>
    <w:p>
      <w:pPr>
        <w:sectPr>
          <w:pgSz w:w="11900" w:h="16838" w:orient="portrait"/>
          <w:cols w:equalWidth="0" w:num="2">
            <w:col w:w="5480" w:space="340"/>
            <w:col w:w="5400"/>
          </w:cols>
          <w:pgMar w:left="24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9"/>
        <w:spacing w:after="0"/>
        <w:rPr>
          <w:sz w:val="20"/>
          <w:szCs w:val="20"/>
          <w:color w:val="auto"/>
        </w:rPr>
      </w:pPr>
      <w:r>
        <w:rPr>
          <w:rFonts w:ascii="Arial" w:cs="Arial" w:eastAsia="Arial" w:hAnsi="Arial"/>
          <w:sz w:val="43"/>
          <w:szCs w:val="43"/>
          <w:color w:val="auto"/>
        </w:rPr>
        <w:t>Incorporation by Reference</w:t>
      </w:r>
    </w:p>
    <w:p>
      <w:pPr>
        <w:sectPr>
          <w:pgSz w:w="11900" w:h="16838" w:orient="portrait"/>
          <w:cols w:equalWidth="0" w:num="1">
            <w:col w:w="11220"/>
          </w:cols>
          <w:pgMar w:left="240" w:top="455" w:right="439"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jc w:val="both"/>
        <w:ind w:left="220"/>
        <w:spacing w:after="0" w:line="257" w:lineRule="auto"/>
        <w:rPr>
          <w:sz w:val="20"/>
          <w:szCs w:val="20"/>
          <w:color w:val="auto"/>
        </w:rPr>
      </w:pPr>
      <w:r>
        <w:rPr>
          <w:rFonts w:ascii="Arial" w:cs="Arial" w:eastAsia="Arial" w:hAnsi="Arial"/>
          <w:sz w:val="16"/>
          <w:szCs w:val="16"/>
          <w:color w:val="auto"/>
        </w:rPr>
        <w:t>The Audit Committee Report beginning on page 29 and the Management Development and Compensation Committee Report beginning on page 30 do not constitute soliciting material and should not be deemed filed or incorporated by reference into any other filing by Martin Marietta under the Securities Act of 1933 or the Securities Exchange Act of 1934, 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subject to Regulation 14A or to the liabilities of Section 18 of the Exchange Act, except to the extent that Martin Marietta specifically requests that the information be treated as soliciting material or specifically incorporates such information by reference.</w:t>
      </w:r>
    </w:p>
    <w:p>
      <w:pPr>
        <w:spacing w:after="0" w:line="384" w:lineRule="exact"/>
        <w:rPr>
          <w:sz w:val="20"/>
          <w:szCs w:val="20"/>
          <w:color w:val="auto"/>
        </w:rPr>
      </w:pPr>
    </w:p>
    <w:p>
      <w:pPr>
        <w:sectPr>
          <w:pgSz w:w="11900" w:h="16838" w:orient="portrait"/>
          <w:cols w:equalWidth="0" w:num="2">
            <w:col w:w="5500" w:space="320"/>
            <w:col w:w="5400"/>
          </w:cols>
          <w:pgMar w:left="240" w:top="455"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940"/>
        <w:spacing w:after="0"/>
        <w:rPr>
          <w:sz w:val="20"/>
          <w:szCs w:val="20"/>
          <w:color w:val="auto"/>
        </w:rPr>
      </w:pPr>
      <w:r>
        <w:rPr>
          <w:rFonts w:ascii="Arial" w:cs="Arial" w:eastAsia="Arial" w:hAnsi="Arial"/>
          <w:sz w:val="43"/>
          <w:szCs w:val="43"/>
          <w:color w:val="auto"/>
        </w:rPr>
        <w:t>Shareholders’ Proposals for 2019 Annual Meeting</w:t>
      </w:r>
    </w:p>
    <w:p>
      <w:pPr>
        <w:sectPr>
          <w:pgSz w:w="11900" w:h="16838" w:orient="portrait"/>
          <w:cols w:equalWidth="0" w:num="1">
            <w:col w:w="11220"/>
          </w:cols>
          <w:pgMar w:left="240" w:top="455" w:right="439"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jc w:val="both"/>
        <w:ind w:left="220"/>
        <w:spacing w:after="0" w:line="248" w:lineRule="auto"/>
        <w:rPr>
          <w:sz w:val="20"/>
          <w:szCs w:val="20"/>
          <w:color w:val="auto"/>
        </w:rPr>
      </w:pPr>
      <w:r>
        <w:rPr>
          <w:rFonts w:ascii="Arial" w:cs="Arial" w:eastAsia="Arial" w:hAnsi="Arial"/>
          <w:sz w:val="16"/>
          <w:szCs w:val="16"/>
          <w:color w:val="auto"/>
        </w:rPr>
        <w:t>Proposals by shareholders intended to be presented at the 2019 Annual Meeting of Shareholders of Martin Marietta must be received by the Secretary of Martin Marietta no later than December 19, 2018 in order to be included in the proxy statement and on the proxy card that will be solicited by the Board of Directors in connection with that meeting. The inclusion of any proposal will be subject to applicable rules of the Securities and Exchange Commission. In addition, the Bylaws of Martin Marietta establish an advance notice requirement for any proposal of business to be considered at an Annual Meeting of Shareholders, including the nomination of any person for election as Director. In general, written notice must be received by the Secretary of Martin Marietta at its principal executive office, 2710 Wycliff Road, Raleigh, North Carolina 27607, not less than 60 days nor more than 90 days prior to the first anniversary of the mailing of the preceding year’s proxy statement in connection with the Annual Meeting and must contain specified information concerning the matter to be brought before such meeting and concerning the shareholder proposing such a matter. Accordingly, to be considered at the 2019 Annual Meeting of Shareholders, proposals must be received by the Secretary of Martin Marietta no earlier than January 18, 2019 and no later than February 17, 2019. Any waiver by Martin Marietta of these requirements with respect to the submission of a particular shareholder proposal shall not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constitute a waiver with respect to the submission of any other shareholder proposal nor shall it obligate Martin Marietta to waive these requirements with respect to future submissions of the shareholder proposal or any other shareholder proposal. Our Bylaws provide a proxy access right to permit a shareholder, or a group of up to 20 shareholders, owning at least 3% of our outstanding common stock continuously for at least three years, to nominate and include in our proxy materials director nominees constituting up to 25% of the Board of Directors or two Directors, whichever is greater, provided that the shareholder(s) and the nominee(s) satisfy the requirements specified in our Bylaws. Under our Bylaws, compliant notice of proxy access Director nominations for the 2019 Annual Meeting of Shareholders must be submitted to the Secretary no earlier than November 19, 2018 and no later than December 19, 2018. The notice must contain the information required by the Bylaws. Any shareholder desiring a copy of the Bylaws of Martin Marietta will be furnished one without charge upon written request to the Secretary of Martin Marietta at its principal executive office, 2710 Wycliff Road, Raleigh, North Carolina 27607.</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MARTIN MARIETTA MATERIALS,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April 18,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306070</wp:posOffset>
            </wp:positionV>
            <wp:extent cx="411480" cy="2489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403" w:lineRule="exact"/>
        <w:rPr>
          <w:sz w:val="20"/>
          <w:szCs w:val="20"/>
          <w:color w:val="auto"/>
        </w:rPr>
      </w:pPr>
    </w:p>
    <w:p>
      <w:pPr>
        <w:sectPr>
          <w:pgSz w:w="11900" w:h="16838" w:orient="portrait"/>
          <w:cols w:equalWidth="0" w:num="2">
            <w:col w:w="5500" w:space="320"/>
            <w:col w:w="5400"/>
          </w:cols>
          <w:pgMar w:left="240" w:top="455" w:right="439" w:bottom="1440" w:gutter="0" w:footer="0" w:header="0"/>
          <w:type w:val="continuous"/>
        </w:sectPr>
      </w:pPr>
    </w:p>
    <w:p>
      <w:pPr>
        <w:spacing w:after="0" w:line="97" w:lineRule="exact"/>
        <w:rPr>
          <w:sz w:val="20"/>
          <w:szCs w:val="20"/>
          <w:color w:val="auto"/>
        </w:rPr>
      </w:pPr>
    </w:p>
    <w:p>
      <w:pPr>
        <w:ind w:left="640" w:hanging="436"/>
        <w:spacing w:after="0"/>
        <w:tabs>
          <w:tab w:leader="none" w:pos="640" w:val="left"/>
        </w:tabs>
        <w:numPr>
          <w:ilvl w:val="0"/>
          <w:numId w:val="140"/>
        </w:numPr>
        <w:rPr>
          <w:rFonts w:ascii="Arial" w:cs="Arial" w:eastAsia="Arial" w:hAnsi="Arial"/>
          <w:sz w:val="12"/>
          <w:szCs w:val="12"/>
          <w:b w:val="1"/>
          <w:bCs w:val="1"/>
          <w:color w:val="auto"/>
        </w:rPr>
      </w:pPr>
      <w:r>
        <w:rPr>
          <w:rFonts w:ascii="Arial" w:cs="Arial" w:eastAsia="Arial" w:hAnsi="Arial"/>
          <w:sz w:val="12"/>
          <w:szCs w:val="12"/>
          <w:color w:val="007CBA"/>
        </w:rPr>
        <w:t>2018 PROXY STATEMENT</w:t>
      </w:r>
    </w:p>
    <w:p>
      <w:pPr>
        <w:sectPr>
          <w:pgSz w:w="11900" w:h="16838" w:orient="portrait"/>
          <w:cols w:equalWidth="0" w:num="1">
            <w:col w:w="11220"/>
          </w:cols>
          <w:pgMar w:left="240" w:top="455" w:right="439" w:bottom="1440" w:gutter="0" w:footer="0" w:header="0"/>
          <w:type w:val="continuous"/>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72" w:lineRule="exact"/>
        <w:rPr>
          <w:sz w:val="20"/>
          <w:szCs w:val="20"/>
          <w:color w:val="auto"/>
        </w:rPr>
      </w:pPr>
    </w:p>
    <w:p>
      <w:pPr>
        <w:jc w:val="center"/>
        <w:ind w:right="-199"/>
        <w:spacing w:after="0"/>
        <w:rPr>
          <w:sz w:val="20"/>
          <w:szCs w:val="20"/>
          <w:color w:val="auto"/>
        </w:rPr>
      </w:pPr>
      <w:r>
        <w:rPr>
          <w:rFonts w:ascii="Arial" w:cs="Arial" w:eastAsia="Arial" w:hAnsi="Arial"/>
          <w:sz w:val="43"/>
          <w:szCs w:val="43"/>
          <w:color w:val="auto"/>
        </w:rPr>
        <w:t>Appendix A</w:t>
      </w:r>
    </w:p>
    <w:p>
      <w:pPr>
        <w:spacing w:after="0" w:line="350"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007CBA"/>
        </w:rPr>
        <w:t>MARTIN MARIETTA</w:t>
      </w:r>
    </w:p>
    <w:p>
      <w:pPr>
        <w:spacing w:after="0" w:line="46"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007CBA"/>
        </w:rPr>
        <w:t>GUIDELINES FOR POTENTIAL NEW BOARD MEMBERS</w:t>
      </w:r>
    </w:p>
    <w:p>
      <w:pPr>
        <w:sectPr>
          <w:pgSz w:w="11900" w:h="16838" w:orient="portrait"/>
          <w:cols w:equalWidth="0" w:num="1">
            <w:col w:w="11220"/>
          </w:cols>
          <w:pgMar w:left="240" w:top="455" w:right="439" w:bottom="1440" w:gutter="0" w:footer="0" w:header="0"/>
        </w:sectPr>
      </w:pPr>
    </w:p>
    <w:p>
      <w:pPr>
        <w:spacing w:after="0" w:line="289"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i w:val="1"/>
          <w:iCs w:val="1"/>
          <w:u w:val="single" w:color="auto"/>
          <w:color w:val="auto"/>
        </w:rPr>
        <w:t>Preamble</w:t>
      </w:r>
      <w:r>
        <w:rPr>
          <w:rFonts w:ascii="Arial" w:cs="Arial" w:eastAsia="Arial" w:hAnsi="Arial"/>
          <w:sz w:val="16"/>
          <w:szCs w:val="16"/>
          <w:i w:val="1"/>
          <w:iCs w:val="1"/>
          <w:color w:val="auto"/>
        </w:rPr>
        <w:t>: The following considerations are one of the tools used to assist the Nominating and Corporate Governance Committee in the exercise of its responsibility to evaluate the suitability of new potential candidates for the Board of Directors, consistent with any criteria set out in Martin Marietta’s Corporate Governance Guidelines. In evaluating a new potential candidate who is not an employee or former employee of Martin Marietta, the Nominating and Corporate Governance Committee would take into consideration the extent to which the candidate has the personal characteristics and core competencies outlined in one or more of the guidelines set out below, and would take into account all other factors it considers appropriate, including the overall composition of the Board. These guidelines are in addition to and are not intended to change or interpret any law or regulation, or Martin Marietta’s Articles of Incorporation or Bylaws. The guidelines are subject to modification from time to time by the Nominating and Corporate Governance Committee.</w:t>
      </w:r>
    </w:p>
    <w:p>
      <w:pPr>
        <w:spacing w:after="0" w:line="92" w:lineRule="exact"/>
        <w:rPr>
          <w:sz w:val="20"/>
          <w:szCs w:val="20"/>
          <w:color w:val="auto"/>
        </w:rPr>
      </w:pPr>
    </w:p>
    <w:p>
      <w:pPr>
        <w:ind w:left="520" w:right="20" w:hanging="309"/>
        <w:spacing w:after="0" w:line="291" w:lineRule="auto"/>
        <w:tabs>
          <w:tab w:leader="none" w:pos="52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Candidates should have a long-term history of the highest integrity and should ascribe fully to the ethics program of Martin Marietta.</w:t>
      </w:r>
    </w:p>
    <w:p>
      <w:pPr>
        <w:spacing w:after="0" w:line="53" w:lineRule="exact"/>
        <w:rPr>
          <w:rFonts w:ascii="Arial" w:cs="Arial" w:eastAsia="Arial" w:hAnsi="Arial"/>
          <w:sz w:val="16"/>
          <w:szCs w:val="16"/>
          <w:color w:val="auto"/>
        </w:rPr>
      </w:pPr>
    </w:p>
    <w:p>
      <w:pPr>
        <w:jc w:val="both"/>
        <w:ind w:left="520" w:right="20" w:hanging="309"/>
        <w:spacing w:after="0" w:line="269" w:lineRule="auto"/>
        <w:tabs>
          <w:tab w:leader="none" w:pos="52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Candidates should be experienced, seasoned and have mature business judgment. It would be desirable if they are still active in their careers.</w:t>
      </w:r>
    </w:p>
    <w:p>
      <w:pPr>
        <w:spacing w:after="0" w:line="70" w:lineRule="exact"/>
        <w:rPr>
          <w:rFonts w:ascii="Arial" w:cs="Arial" w:eastAsia="Arial" w:hAnsi="Arial"/>
          <w:sz w:val="16"/>
          <w:szCs w:val="16"/>
          <w:color w:val="auto"/>
        </w:rPr>
      </w:pPr>
    </w:p>
    <w:p>
      <w:pPr>
        <w:ind w:left="520" w:right="20" w:hanging="309"/>
        <w:spacing w:after="0" w:line="291" w:lineRule="auto"/>
        <w:tabs>
          <w:tab w:leader="none" w:pos="52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Consideration should be given to matching the geographic base of the candidate with the geographic coverage of Martin Marietta.</w:t>
      </w:r>
    </w:p>
    <w:p>
      <w:pPr>
        <w:spacing w:after="0" w:line="53" w:lineRule="exact"/>
        <w:rPr>
          <w:rFonts w:ascii="Arial" w:cs="Arial" w:eastAsia="Arial" w:hAnsi="Arial"/>
          <w:sz w:val="16"/>
          <w:szCs w:val="16"/>
          <w:color w:val="auto"/>
        </w:rPr>
      </w:pPr>
    </w:p>
    <w:p>
      <w:pPr>
        <w:jc w:val="both"/>
        <w:ind w:left="520" w:right="20" w:hanging="309"/>
        <w:spacing w:after="0" w:line="261" w:lineRule="auto"/>
        <w:tabs>
          <w:tab w:leader="none" w:pos="52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Consideration should be given to diversity on the Board. Such diversity may include type of experience, education, skill sets, ethnic origin, gender and other items that will enable the Board to have a broad knowledge base and diverse viewpoints.</w:t>
      </w:r>
    </w:p>
    <w:p>
      <w:pPr>
        <w:spacing w:after="0" w:line="77" w:lineRule="exact"/>
        <w:rPr>
          <w:rFonts w:ascii="Arial" w:cs="Arial" w:eastAsia="Arial" w:hAnsi="Arial"/>
          <w:sz w:val="16"/>
          <w:szCs w:val="16"/>
          <w:color w:val="auto"/>
        </w:rPr>
      </w:pPr>
    </w:p>
    <w:p>
      <w:pPr>
        <w:jc w:val="both"/>
        <w:ind w:left="520" w:right="20" w:hanging="309"/>
        <w:spacing w:after="0" w:line="269" w:lineRule="auto"/>
        <w:tabs>
          <w:tab w:leader="none" w:pos="52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Generally, candidates should not come from firms or companies that are significant sellers or buyers of goods and services to or from Martin Marietta.</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jc w:val="both"/>
        <w:ind w:left="311" w:hanging="226"/>
        <w:spacing w:after="0" w:line="255" w:lineRule="auto"/>
        <w:tabs>
          <w:tab w:leader="none" w:pos="311" w:val="left"/>
        </w:tabs>
        <w:numPr>
          <w:ilvl w:val="1"/>
          <w:numId w:val="142"/>
        </w:numPr>
        <w:rPr>
          <w:rFonts w:ascii="Arial" w:cs="Arial" w:eastAsia="Arial" w:hAnsi="Arial"/>
          <w:sz w:val="16"/>
          <w:szCs w:val="16"/>
          <w:color w:val="auto"/>
        </w:rPr>
      </w:pPr>
      <w:r>
        <w:rPr>
          <w:rFonts w:ascii="Arial" w:cs="Arial" w:eastAsia="Arial" w:hAnsi="Arial"/>
          <w:sz w:val="16"/>
          <w:szCs w:val="16"/>
          <w:color w:val="auto"/>
        </w:rPr>
        <w:t xml:space="preserve">Candidates who would serve on Martin Marietta’s Audit Committee, Nominating and Corporate Governance Committee, or Management Development and Compensation Committee should be “independent” as defined by the Securities and Exchange Commission, the New York Stock Exchange and Martin Marietta’s </w:t>
      </w:r>
      <w:r>
        <w:rPr>
          <w:rFonts w:ascii="Arial" w:cs="Arial" w:eastAsia="Arial" w:hAnsi="Arial"/>
          <w:sz w:val="16"/>
          <w:szCs w:val="16"/>
          <w:i w:val="1"/>
          <w:iCs w:val="1"/>
          <w:color w:val="auto"/>
        </w:rPr>
        <w:t>Corporate Governance</w:t>
      </w:r>
      <w:r>
        <w:rPr>
          <w:rFonts w:ascii="Arial" w:cs="Arial" w:eastAsia="Arial" w:hAnsi="Arial"/>
          <w:sz w:val="16"/>
          <w:szCs w:val="16"/>
          <w:color w:val="auto"/>
        </w:rPr>
        <w:t xml:space="preserve"> </w:t>
      </w:r>
      <w:r>
        <w:rPr>
          <w:rFonts w:ascii="Arial" w:cs="Arial" w:eastAsia="Arial" w:hAnsi="Arial"/>
          <w:sz w:val="16"/>
          <w:szCs w:val="16"/>
          <w:i w:val="1"/>
          <w:iCs w:val="1"/>
          <w:color w:val="auto"/>
        </w:rPr>
        <w:t>Guidelines</w:t>
      </w:r>
      <w:r>
        <w:rPr>
          <w:rFonts w:ascii="Arial" w:cs="Arial" w:eastAsia="Arial" w:hAnsi="Arial"/>
          <w:sz w:val="16"/>
          <w:szCs w:val="16"/>
          <w:color w:val="auto"/>
        </w:rPr>
        <w:t>.</w:t>
      </w:r>
    </w:p>
    <w:p>
      <w:pPr>
        <w:spacing w:after="0" w:line="83" w:lineRule="exact"/>
        <w:rPr>
          <w:rFonts w:ascii="Arial" w:cs="Arial" w:eastAsia="Arial" w:hAnsi="Arial"/>
          <w:sz w:val="16"/>
          <w:szCs w:val="16"/>
          <w:color w:val="auto"/>
        </w:rPr>
      </w:pPr>
    </w:p>
    <w:p>
      <w:pPr>
        <w:jc w:val="both"/>
        <w:ind w:left="311" w:hanging="226"/>
        <w:spacing w:after="0" w:line="255" w:lineRule="auto"/>
        <w:tabs>
          <w:tab w:leader="none" w:pos="311" w:val="left"/>
        </w:tabs>
        <w:numPr>
          <w:ilvl w:val="1"/>
          <w:numId w:val="142"/>
        </w:numPr>
        <w:rPr>
          <w:rFonts w:ascii="Arial" w:cs="Arial" w:eastAsia="Arial" w:hAnsi="Arial"/>
          <w:sz w:val="16"/>
          <w:szCs w:val="16"/>
          <w:color w:val="auto"/>
        </w:rPr>
      </w:pPr>
      <w:r>
        <w:rPr>
          <w:rFonts w:ascii="Arial" w:cs="Arial" w:eastAsia="Arial" w:hAnsi="Arial"/>
          <w:sz w:val="16"/>
          <w:szCs w:val="16"/>
          <w:color w:val="auto"/>
        </w:rPr>
        <w:t>Given the nature of Board governance, the background and expertise of candidates should reflect the skill needs of the Board and Martin Marietta. With the Securities and Exchange Commission requirements with respect to audit committees and the financial nature of much of what the Board is responsible for, a significant number of Board members need to have strong financial knowledge.</w:t>
      </w:r>
    </w:p>
    <w:p>
      <w:pPr>
        <w:spacing w:after="0" w:line="83" w:lineRule="exact"/>
        <w:rPr>
          <w:rFonts w:ascii="Arial" w:cs="Arial" w:eastAsia="Arial" w:hAnsi="Arial"/>
          <w:sz w:val="16"/>
          <w:szCs w:val="16"/>
          <w:color w:val="auto"/>
        </w:rPr>
      </w:pPr>
    </w:p>
    <w:p>
      <w:pPr>
        <w:jc w:val="both"/>
        <w:ind w:left="311" w:right="20" w:hanging="226"/>
        <w:spacing w:after="0" w:line="255" w:lineRule="auto"/>
        <w:tabs>
          <w:tab w:leader="none" w:pos="311" w:val="left"/>
        </w:tabs>
        <w:numPr>
          <w:ilvl w:val="1"/>
          <w:numId w:val="142"/>
        </w:numPr>
        <w:rPr>
          <w:rFonts w:ascii="Arial" w:cs="Arial" w:eastAsia="Arial" w:hAnsi="Arial"/>
          <w:sz w:val="16"/>
          <w:szCs w:val="16"/>
          <w:color w:val="auto"/>
        </w:rPr>
      </w:pPr>
      <w:r>
        <w:rPr>
          <w:rFonts w:ascii="Arial" w:cs="Arial" w:eastAsia="Arial" w:hAnsi="Arial"/>
          <w:sz w:val="16"/>
          <w:szCs w:val="16"/>
          <w:color w:val="auto"/>
        </w:rPr>
        <w:t>Candidates should have significant professional experience to make a significant contribution to the Board such that the overall composition of the Board includes expertise in the following areas: audit committee financial experts, legal, human resources, business strategy, marketing, the primary businesses in which Martin Marietta operates, and other areas of importance to Martin Marietta.</w:t>
      </w:r>
    </w:p>
    <w:p>
      <w:pPr>
        <w:spacing w:after="0" w:line="83" w:lineRule="exact"/>
        <w:rPr>
          <w:rFonts w:ascii="Arial" w:cs="Arial" w:eastAsia="Arial" w:hAnsi="Arial"/>
          <w:sz w:val="16"/>
          <w:szCs w:val="16"/>
          <w:color w:val="auto"/>
        </w:rPr>
      </w:pPr>
    </w:p>
    <w:p>
      <w:pPr>
        <w:ind w:left="311" w:hanging="226"/>
        <w:spacing w:after="0"/>
        <w:tabs>
          <w:tab w:leader="none" w:pos="311" w:val="left"/>
        </w:tabs>
        <w:numPr>
          <w:ilvl w:val="1"/>
          <w:numId w:val="142"/>
        </w:numPr>
        <w:rPr>
          <w:rFonts w:ascii="Arial" w:cs="Arial" w:eastAsia="Arial" w:hAnsi="Arial"/>
          <w:sz w:val="16"/>
          <w:szCs w:val="16"/>
          <w:color w:val="auto"/>
        </w:rPr>
      </w:pPr>
      <w:r>
        <w:rPr>
          <w:rFonts w:ascii="Arial" w:cs="Arial" w:eastAsia="Arial" w:hAnsi="Arial"/>
          <w:sz w:val="16"/>
          <w:szCs w:val="16"/>
          <w:color w:val="auto"/>
        </w:rPr>
        <w:t>Public company experience is highly desirable.</w:t>
      </w:r>
    </w:p>
    <w:p>
      <w:pPr>
        <w:spacing w:after="0" w:line="126" w:lineRule="exact"/>
        <w:rPr>
          <w:rFonts w:ascii="Arial" w:cs="Arial" w:eastAsia="Arial" w:hAnsi="Arial"/>
          <w:sz w:val="16"/>
          <w:szCs w:val="16"/>
          <w:color w:val="auto"/>
        </w:rPr>
      </w:pPr>
    </w:p>
    <w:p>
      <w:pPr>
        <w:jc w:val="both"/>
        <w:ind w:left="311" w:hanging="311"/>
        <w:spacing w:after="0" w:line="269" w:lineRule="auto"/>
        <w:tabs>
          <w:tab w:leader="none" w:pos="311" w:val="left"/>
        </w:tabs>
        <w:numPr>
          <w:ilvl w:val="1"/>
          <w:numId w:val="142"/>
        </w:numPr>
        <w:rPr>
          <w:rFonts w:ascii="Arial" w:cs="Arial" w:eastAsia="Arial" w:hAnsi="Arial"/>
          <w:sz w:val="16"/>
          <w:szCs w:val="16"/>
          <w:color w:val="auto"/>
        </w:rPr>
      </w:pPr>
      <w:r>
        <w:rPr>
          <w:rFonts w:ascii="Arial" w:cs="Arial" w:eastAsia="Arial" w:hAnsi="Arial"/>
          <w:sz w:val="16"/>
          <w:szCs w:val="16"/>
          <w:color w:val="auto"/>
        </w:rPr>
        <w:t>Candidates from education or nonprofit organizations will be considered where there is a specific priority need identified by the Board and where such a candidate can add value.</w:t>
      </w:r>
    </w:p>
    <w:p>
      <w:pPr>
        <w:spacing w:after="0" w:line="70" w:lineRule="exact"/>
        <w:rPr>
          <w:rFonts w:ascii="Arial" w:cs="Arial" w:eastAsia="Arial" w:hAnsi="Arial"/>
          <w:sz w:val="16"/>
          <w:szCs w:val="16"/>
          <w:color w:val="auto"/>
        </w:rPr>
      </w:pPr>
    </w:p>
    <w:p>
      <w:pPr>
        <w:jc w:val="both"/>
        <w:ind w:left="311" w:hanging="311"/>
        <w:spacing w:after="0" w:line="269" w:lineRule="auto"/>
        <w:tabs>
          <w:tab w:leader="none" w:pos="311" w:val="left"/>
        </w:tabs>
        <w:numPr>
          <w:ilvl w:val="0"/>
          <w:numId w:val="143"/>
        </w:numPr>
        <w:rPr>
          <w:rFonts w:ascii="Arial" w:cs="Arial" w:eastAsia="Arial" w:hAnsi="Arial"/>
          <w:sz w:val="16"/>
          <w:szCs w:val="16"/>
          <w:color w:val="auto"/>
        </w:rPr>
      </w:pPr>
      <w:r>
        <w:rPr>
          <w:rFonts w:ascii="Arial" w:cs="Arial" w:eastAsia="Arial" w:hAnsi="Arial"/>
          <w:sz w:val="16"/>
          <w:szCs w:val="16"/>
          <w:color w:val="auto"/>
        </w:rPr>
        <w:t>Board candidates ideally would serve on no more than three for-profit boards inclusive of Martin Marietta Materials to assure adequate time to discharge the duties of a Board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wp:posOffset>
            </wp:positionH>
            <wp:positionV relativeFrom="paragraph">
              <wp:posOffset>647700</wp:posOffset>
            </wp:positionV>
            <wp:extent cx="411480" cy="2489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956" w:lineRule="exact"/>
        <w:rPr>
          <w:sz w:val="20"/>
          <w:szCs w:val="20"/>
          <w:color w:val="auto"/>
        </w:rPr>
      </w:pPr>
    </w:p>
    <w:p>
      <w:pPr>
        <w:sectPr>
          <w:pgSz w:w="11900" w:h="16838" w:orient="portrait"/>
          <w:cols w:equalWidth="0" w:num="2">
            <w:col w:w="5500" w:space="329"/>
            <w:col w:w="5391"/>
          </w:cols>
          <w:pgMar w:left="240" w:top="455" w:right="439" w:bottom="1440" w:gutter="0" w:footer="0" w:header="0"/>
          <w:type w:val="continuous"/>
        </w:sectPr>
      </w:pPr>
    </w:p>
    <w:p>
      <w:pPr>
        <w:spacing w:after="0" w:line="80" w:lineRule="exact"/>
        <w:rPr>
          <w:sz w:val="20"/>
          <w:szCs w:val="20"/>
          <w:color w:val="auto"/>
        </w:rPr>
      </w:pPr>
    </w:p>
    <w:p>
      <w:pPr>
        <w:ind w:left="9260"/>
        <w:spacing w:after="0"/>
        <w:tabs>
          <w:tab w:leader="none" w:pos="11000" w:val="left"/>
        </w:tabs>
        <w:rPr>
          <w:sz w:val="20"/>
          <w:szCs w:val="20"/>
          <w:color w:val="auto"/>
        </w:rPr>
      </w:pPr>
      <w:r>
        <w:rPr>
          <w:rFonts w:ascii="Arial" w:cs="Arial" w:eastAsia="Arial" w:hAnsi="Arial"/>
          <w:sz w:val="13"/>
          <w:szCs w:val="13"/>
          <w:color w:val="007CBA"/>
        </w:rPr>
        <w:t>2018 PROXY STATEMENT</w:t>
      </w:r>
      <w:r>
        <w:rPr>
          <w:sz w:val="20"/>
          <w:szCs w:val="20"/>
          <w:color w:val="auto"/>
        </w:rPr>
        <w:tab/>
      </w:r>
      <w:r>
        <w:rPr>
          <w:rFonts w:ascii="Arial" w:cs="Arial" w:eastAsia="Arial" w:hAnsi="Arial"/>
          <w:sz w:val="12"/>
          <w:szCs w:val="12"/>
          <w:b w:val="1"/>
          <w:bCs w:val="1"/>
          <w:color w:val="auto"/>
        </w:rPr>
        <w:t>A-1</w:t>
      </w:r>
    </w:p>
    <w:p>
      <w:pPr>
        <w:sectPr>
          <w:pgSz w:w="11900" w:h="16838" w:orient="portrait"/>
          <w:cols w:equalWidth="0" w:num="1">
            <w:col w:w="11220"/>
          </w:cols>
          <w:pgMar w:left="240" w:top="455" w:right="439" w:bottom="1440" w:gutter="0" w:footer="0" w:header="0"/>
          <w:type w:val="continuous"/>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72" w:lineRule="exact"/>
        <w:rPr>
          <w:sz w:val="20"/>
          <w:szCs w:val="20"/>
          <w:color w:val="auto"/>
        </w:rPr>
      </w:pPr>
    </w:p>
    <w:p>
      <w:pPr>
        <w:jc w:val="center"/>
        <w:ind w:right="-179"/>
        <w:spacing w:after="0"/>
        <w:rPr>
          <w:sz w:val="20"/>
          <w:szCs w:val="20"/>
          <w:color w:val="auto"/>
        </w:rPr>
      </w:pPr>
      <w:r>
        <w:rPr>
          <w:rFonts w:ascii="Arial" w:cs="Arial" w:eastAsia="Arial" w:hAnsi="Arial"/>
          <w:sz w:val="43"/>
          <w:szCs w:val="43"/>
          <w:color w:val="auto"/>
        </w:rPr>
        <w:t>Appendix B</w:t>
      </w:r>
    </w:p>
    <w:p>
      <w:pPr>
        <w:spacing w:after="0" w:line="350"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007CBA"/>
        </w:rPr>
        <w:t>NON-GAAP MEASURES</w:t>
      </w:r>
    </w:p>
    <w:p>
      <w:pPr>
        <w:spacing w:after="0" w:line="242" w:lineRule="exact"/>
        <w:rPr>
          <w:sz w:val="20"/>
          <w:szCs w:val="20"/>
          <w:color w:val="auto"/>
        </w:rPr>
      </w:pPr>
    </w:p>
    <w:p>
      <w:pPr>
        <w:jc w:val="both"/>
        <w:ind w:left="200" w:right="20"/>
        <w:spacing w:after="0" w:line="269" w:lineRule="auto"/>
        <w:rPr>
          <w:sz w:val="20"/>
          <w:szCs w:val="20"/>
          <w:color w:val="auto"/>
        </w:rPr>
      </w:pPr>
      <w:r>
        <w:rPr>
          <w:rFonts w:ascii="Arial" w:cs="Arial" w:eastAsia="Arial" w:hAnsi="Arial"/>
          <w:sz w:val="16"/>
          <w:szCs w:val="16"/>
          <w:color w:val="auto"/>
        </w:rPr>
        <w:t>Non-GAAP financial measures disclosed by management are provided as additional information to investors in order to provide them with an alternative method for assessing our financial condition and operating results. These measures are not in accordance with, or a substitute for, GAAP, and may be different from or inconsistent with non-GAAP financial measures used by other companies.</w:t>
      </w:r>
    </w:p>
    <w:p>
      <w:pPr>
        <w:spacing w:after="0" w:line="138" w:lineRule="exact"/>
        <w:rPr>
          <w:sz w:val="20"/>
          <w:szCs w:val="20"/>
          <w:color w:val="auto"/>
        </w:rPr>
      </w:pPr>
    </w:p>
    <w:p>
      <w:pPr>
        <w:jc w:val="both"/>
        <w:ind w:left="200" w:right="20"/>
        <w:spacing w:after="0" w:line="291" w:lineRule="auto"/>
        <w:rPr>
          <w:sz w:val="20"/>
          <w:szCs w:val="20"/>
          <w:color w:val="auto"/>
        </w:rPr>
      </w:pPr>
      <w:r>
        <w:rPr>
          <w:rFonts w:ascii="Arial" w:cs="Arial" w:eastAsia="Arial" w:hAnsi="Arial"/>
          <w:sz w:val="16"/>
          <w:szCs w:val="16"/>
          <w:color w:val="auto"/>
        </w:rPr>
        <w:t>EBITDA is a widely accepted financial indicator of a company’s ability to service and/or incur indebtedness. EBITDA is not defined by GAAP and, as such, should not be construed as an alternative to net earnings or operating cash flow.</w:t>
      </w:r>
    </w:p>
    <w:p>
      <w:pPr>
        <w:spacing w:after="0" w:line="108" w:lineRule="exact"/>
        <w:rPr>
          <w:sz w:val="20"/>
          <w:szCs w:val="20"/>
          <w:color w:val="auto"/>
        </w:rPr>
      </w:pPr>
    </w:p>
    <w:p>
      <w:pPr>
        <w:jc w:val="both"/>
        <w:ind w:left="200" w:right="20"/>
        <w:spacing w:after="0" w:line="291" w:lineRule="auto"/>
        <w:rPr>
          <w:sz w:val="20"/>
          <w:szCs w:val="20"/>
          <w:color w:val="auto"/>
        </w:rPr>
      </w:pPr>
      <w:r>
        <w:rPr>
          <w:rFonts w:ascii="Arial" w:cs="Arial" w:eastAsia="Arial" w:hAnsi="Arial"/>
          <w:sz w:val="16"/>
          <w:szCs w:val="16"/>
          <w:color w:val="auto"/>
        </w:rPr>
        <w:t>The following presents a reconciliation of net earnings attributable to Martin Marietta to consolidated EBITDA for the years ended December 31, 2017, 2016, 2015 and 2010</w:t>
      </w:r>
    </w:p>
    <w:p>
      <w:pPr>
        <w:spacing w:after="0" w:line="10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(dollars in thousands)</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Consolidated EBITDA for years ended December 31:</w:t>
      </w:r>
    </w:p>
    <w:p>
      <w:pPr>
        <w:spacing w:after="0" w:line="241" w:lineRule="exact"/>
        <w:rPr>
          <w:sz w:val="20"/>
          <w:szCs w:val="20"/>
          <w:color w:val="auto"/>
        </w:rPr>
      </w:pPr>
    </w:p>
    <w:tbl>
      <w:tblPr>
        <w:tblLayout w:type="fixed"/>
        <w:tblInd w:w="220" w:type="dxa"/>
        <w:tblCellMar>
          <w:top w:w="0" w:type="dxa"/>
          <w:left w:w="0" w:type="dxa"/>
          <w:bottom w:w="0" w:type="dxa"/>
          <w:right w:w="0" w:type="dxa"/>
        </w:tblCellMar>
      </w:tblPr>
      <w:tr>
        <w:trPr>
          <w:trHeight w:val="237"/>
        </w:trPr>
        <w:tc>
          <w:tcPr>
            <w:tcW w:w="6460" w:type="dxa"/>
            <w:vAlign w:val="bottom"/>
            <w:tcBorders>
              <w:bottom w:val="single" w:sz="8" w:color="007CBA"/>
              <w:right w:val="single" w:sz="8" w:color="007CBA"/>
            </w:tcBorders>
            <w:shd w:val="clear" w:color="auto" w:fill="007CBA"/>
          </w:tcPr>
          <w:p>
            <w:pPr>
              <w:spacing w:after="0"/>
              <w:rPr>
                <w:sz w:val="20"/>
                <w:szCs w:val="20"/>
                <w:color w:val="auto"/>
              </w:rPr>
            </w:pPr>
          </w:p>
        </w:tc>
        <w:tc>
          <w:tcPr>
            <w:tcW w:w="200" w:type="dxa"/>
            <w:vAlign w:val="bottom"/>
            <w:tcBorders>
              <w:bottom w:val="single" w:sz="8" w:color="007CBA"/>
            </w:tcBorders>
            <w:shd w:val="clear" w:color="auto" w:fill="007CBA"/>
          </w:tcPr>
          <w:p>
            <w:pPr>
              <w:spacing w:after="0"/>
              <w:rPr>
                <w:sz w:val="20"/>
                <w:szCs w:val="20"/>
                <w:color w:val="auto"/>
              </w:rPr>
            </w:pPr>
          </w:p>
        </w:tc>
        <w:tc>
          <w:tcPr>
            <w:tcW w:w="100" w:type="dxa"/>
            <w:vAlign w:val="bottom"/>
            <w:tcBorders>
              <w:bottom w:val="single" w:sz="8" w:color="007CBA"/>
            </w:tcBorders>
            <w:shd w:val="clear" w:color="auto" w:fill="007CBA"/>
          </w:tcPr>
          <w:p>
            <w:pPr>
              <w:spacing w:after="0"/>
              <w:rPr>
                <w:sz w:val="20"/>
                <w:szCs w:val="20"/>
                <w:color w:val="auto"/>
              </w:rPr>
            </w:pPr>
          </w:p>
        </w:tc>
        <w:tc>
          <w:tcPr>
            <w:tcW w:w="840" w:type="dxa"/>
            <w:vAlign w:val="bottom"/>
            <w:tcBorders>
              <w:bottom w:val="single" w:sz="8" w:color="007CBA"/>
            </w:tcBorders>
            <w:shd w:val="clear" w:color="auto" w:fill="007CBA"/>
          </w:tcPr>
          <w:p>
            <w:pPr>
              <w:jc w:val="right"/>
              <w:ind w:right="240"/>
              <w:spacing w:after="0"/>
              <w:rPr>
                <w:sz w:val="20"/>
                <w:szCs w:val="20"/>
                <w:color w:val="auto"/>
              </w:rPr>
            </w:pPr>
            <w:r>
              <w:rPr>
                <w:rFonts w:ascii="Arial" w:cs="Arial" w:eastAsia="Arial" w:hAnsi="Arial"/>
                <w:sz w:val="14"/>
                <w:szCs w:val="14"/>
                <w:b w:val="1"/>
                <w:bCs w:val="1"/>
                <w:color w:val="FFFFFF"/>
              </w:rPr>
              <w:t>2017</w:t>
            </w:r>
          </w:p>
        </w:tc>
        <w:tc>
          <w:tcPr>
            <w:tcW w:w="1080" w:type="dxa"/>
            <w:vAlign w:val="bottom"/>
            <w:tcBorders>
              <w:bottom w:val="single" w:sz="8" w:color="007CBA"/>
            </w:tcBorders>
            <w:gridSpan w:val="3"/>
            <w:shd w:val="clear" w:color="auto" w:fill="007CBA"/>
          </w:tcPr>
          <w:p>
            <w:pPr>
              <w:jc w:val="right"/>
              <w:ind w:right="139"/>
              <w:spacing w:after="0"/>
              <w:rPr>
                <w:sz w:val="20"/>
                <w:szCs w:val="20"/>
                <w:color w:val="auto"/>
              </w:rPr>
            </w:pPr>
            <w:r>
              <w:rPr>
                <w:rFonts w:ascii="Arial" w:cs="Arial" w:eastAsia="Arial" w:hAnsi="Arial"/>
                <w:sz w:val="14"/>
                <w:szCs w:val="14"/>
                <w:b w:val="1"/>
                <w:bCs w:val="1"/>
                <w:color w:val="FFFFFF"/>
              </w:rPr>
              <w:t>2016</w:t>
            </w:r>
          </w:p>
        </w:tc>
        <w:tc>
          <w:tcPr>
            <w:tcW w:w="1100" w:type="dxa"/>
            <w:vAlign w:val="bottom"/>
            <w:tcBorders>
              <w:bottom w:val="single" w:sz="8" w:color="007CBA"/>
            </w:tcBorders>
            <w:gridSpan w:val="3"/>
            <w:shd w:val="clear" w:color="auto" w:fill="007CBA"/>
          </w:tcPr>
          <w:p>
            <w:pPr>
              <w:jc w:val="right"/>
              <w:ind w:right="139"/>
              <w:spacing w:after="0"/>
              <w:rPr>
                <w:sz w:val="20"/>
                <w:szCs w:val="20"/>
                <w:color w:val="auto"/>
              </w:rPr>
            </w:pPr>
            <w:r>
              <w:rPr>
                <w:rFonts w:ascii="Arial" w:cs="Arial" w:eastAsia="Arial" w:hAnsi="Arial"/>
                <w:sz w:val="14"/>
                <w:szCs w:val="14"/>
                <w:b w:val="1"/>
                <w:bCs w:val="1"/>
                <w:color w:val="FFFFFF"/>
              </w:rPr>
              <w:t>2015</w:t>
            </w:r>
          </w:p>
        </w:tc>
        <w:tc>
          <w:tcPr>
            <w:tcW w:w="160" w:type="dxa"/>
            <w:vAlign w:val="bottom"/>
            <w:tcBorders>
              <w:bottom w:val="single" w:sz="8" w:color="007CBA"/>
              <w:right w:val="single" w:sz="8" w:color="007CBA"/>
            </w:tcBorders>
            <w:shd w:val="clear" w:color="auto" w:fill="007CBA"/>
          </w:tcPr>
          <w:p>
            <w:pPr>
              <w:spacing w:after="0"/>
              <w:rPr>
                <w:sz w:val="20"/>
                <w:szCs w:val="20"/>
                <w:color w:val="auto"/>
              </w:rPr>
            </w:pPr>
          </w:p>
        </w:tc>
        <w:tc>
          <w:tcPr>
            <w:tcW w:w="200" w:type="dxa"/>
            <w:vAlign w:val="bottom"/>
            <w:tcBorders>
              <w:bottom w:val="single" w:sz="8" w:color="007CBA"/>
            </w:tcBorders>
            <w:shd w:val="clear" w:color="auto" w:fill="007CBA"/>
          </w:tcPr>
          <w:p>
            <w:pPr>
              <w:spacing w:after="0"/>
              <w:rPr>
                <w:sz w:val="20"/>
                <w:szCs w:val="20"/>
                <w:color w:val="auto"/>
              </w:rPr>
            </w:pPr>
          </w:p>
        </w:tc>
        <w:tc>
          <w:tcPr>
            <w:tcW w:w="80" w:type="dxa"/>
            <w:vAlign w:val="bottom"/>
            <w:tcBorders>
              <w:bottom w:val="single" w:sz="8" w:color="007CBA"/>
            </w:tcBorders>
            <w:shd w:val="clear" w:color="auto" w:fill="007CBA"/>
          </w:tcPr>
          <w:p>
            <w:pPr>
              <w:spacing w:after="0"/>
              <w:rPr>
                <w:sz w:val="20"/>
                <w:szCs w:val="20"/>
                <w:color w:val="auto"/>
              </w:rPr>
            </w:pPr>
          </w:p>
        </w:tc>
        <w:tc>
          <w:tcPr>
            <w:tcW w:w="660" w:type="dxa"/>
            <w:vAlign w:val="bottom"/>
            <w:tcBorders>
              <w:bottom w:val="single" w:sz="8" w:color="007CBA"/>
            </w:tcBorders>
            <w:shd w:val="clear" w:color="auto" w:fill="007CBA"/>
          </w:tcPr>
          <w:p>
            <w:pPr>
              <w:jc w:val="right"/>
              <w:ind w:right="140"/>
              <w:spacing w:after="0"/>
              <w:rPr>
                <w:sz w:val="20"/>
                <w:szCs w:val="20"/>
                <w:color w:val="auto"/>
              </w:rPr>
            </w:pPr>
            <w:r>
              <w:rPr>
                <w:rFonts w:ascii="Arial" w:cs="Arial" w:eastAsia="Arial" w:hAnsi="Arial"/>
                <w:sz w:val="14"/>
                <w:szCs w:val="14"/>
                <w:b w:val="1"/>
                <w:bCs w:val="1"/>
                <w:color w:val="FFFFFF"/>
              </w:rPr>
              <w:t>2010</w:t>
            </w:r>
          </w:p>
        </w:tc>
        <w:tc>
          <w:tcPr>
            <w:tcW w:w="100" w:type="dxa"/>
            <w:vAlign w:val="bottom"/>
            <w:tcBorders>
              <w:bottom w:val="single" w:sz="8" w:color="007CBA"/>
            </w:tcBorders>
            <w:shd w:val="clear" w:color="auto" w:fill="007CBA"/>
          </w:tcPr>
          <w:p>
            <w:pPr>
              <w:spacing w:after="0"/>
              <w:rPr>
                <w:sz w:val="20"/>
                <w:szCs w:val="20"/>
                <w:color w:val="auto"/>
              </w:rPr>
            </w:pPr>
          </w:p>
        </w:tc>
        <w:tc>
          <w:tcPr>
            <w:tcW w:w="40" w:type="dxa"/>
            <w:vAlign w:val="bottom"/>
            <w:tcBorders>
              <w:bottom w:val="single" w:sz="8" w:color="007CBA"/>
            </w:tcBorders>
            <w:shd w:val="clear" w:color="auto" w:fill="007CBA"/>
          </w:tcPr>
          <w:p>
            <w:pPr>
              <w:spacing w:after="0"/>
              <w:rPr>
                <w:sz w:val="20"/>
                <w:szCs w:val="20"/>
                <w:color w:val="auto"/>
              </w:rPr>
            </w:pPr>
          </w:p>
        </w:tc>
      </w:tr>
      <w:tr>
        <w:trPr>
          <w:trHeight w:val="243"/>
        </w:trPr>
        <w:tc>
          <w:tcPr>
            <w:tcW w:w="6460" w:type="dxa"/>
            <w:vAlign w:val="bottom"/>
            <w:tcBorders>
              <w:right w:val="single" w:sz="8" w:color="007CBA"/>
            </w:tcBorders>
          </w:tcPr>
          <w:p>
            <w:pPr>
              <w:ind w:left="60"/>
              <w:spacing w:after="0"/>
              <w:rPr>
                <w:sz w:val="20"/>
                <w:szCs w:val="20"/>
                <w:color w:val="auto"/>
              </w:rPr>
            </w:pPr>
            <w:r>
              <w:rPr>
                <w:rFonts w:ascii="Arial" w:cs="Arial" w:eastAsia="Arial" w:hAnsi="Arial"/>
                <w:sz w:val="16"/>
                <w:szCs w:val="16"/>
                <w:color w:val="auto"/>
              </w:rPr>
              <w:t>Net earnings attributable to Martin Marietta</w:t>
            </w: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713,342</w:t>
            </w:r>
          </w:p>
        </w:tc>
        <w:tc>
          <w:tcPr>
            <w:tcW w:w="140" w:type="dxa"/>
            <w:vAlign w:val="bottom"/>
            <w:tcBorders>
              <w:right w:val="single" w:sz="8" w:color="007CBA"/>
            </w:tcBorders>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$425,386</w:t>
            </w:r>
          </w:p>
        </w:tc>
        <w:tc>
          <w:tcPr>
            <w:tcW w:w="160" w:type="dxa"/>
            <w:vAlign w:val="bottom"/>
            <w:tcBorders>
              <w:right w:val="single" w:sz="8" w:color="007CBA"/>
            </w:tcBorders>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$288,792</w:t>
            </w:r>
          </w:p>
        </w:tc>
        <w:tc>
          <w:tcPr>
            <w:tcW w:w="160" w:type="dxa"/>
            <w:vAlign w:val="bottom"/>
            <w:tcBorders>
              <w:right w:val="single" w:sz="8" w:color="007CBA"/>
            </w:tcBorders>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97,012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646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6"/>
                <w:szCs w:val="16"/>
                <w:color w:val="auto"/>
              </w:rPr>
              <w:t>Add back:</w:t>
            </w:r>
          </w:p>
        </w:tc>
        <w:tc>
          <w:tcPr>
            <w:tcW w:w="200" w:type="dxa"/>
            <w:vAlign w:val="bottom"/>
            <w:shd w:val="clear" w:color="auto" w:fill="E5F1F8"/>
          </w:tcPr>
          <w:p>
            <w:pPr>
              <w:spacing w:after="0"/>
              <w:rPr>
                <w:sz w:val="21"/>
                <w:szCs w:val="21"/>
                <w:color w:val="auto"/>
              </w:rPr>
            </w:pPr>
          </w:p>
        </w:tc>
        <w:tc>
          <w:tcPr>
            <w:tcW w:w="100" w:type="dxa"/>
            <w:vAlign w:val="bottom"/>
            <w:shd w:val="clear" w:color="auto" w:fill="E5F1F8"/>
          </w:tcPr>
          <w:p>
            <w:pPr>
              <w:spacing w:after="0"/>
              <w:rPr>
                <w:sz w:val="21"/>
                <w:szCs w:val="21"/>
                <w:color w:val="auto"/>
              </w:rPr>
            </w:pPr>
          </w:p>
        </w:tc>
        <w:tc>
          <w:tcPr>
            <w:tcW w:w="840" w:type="dxa"/>
            <w:vAlign w:val="bottom"/>
            <w:shd w:val="clear" w:color="auto" w:fill="E5F1F8"/>
          </w:tcPr>
          <w:p>
            <w:pPr>
              <w:spacing w:after="0"/>
              <w:rPr>
                <w:sz w:val="21"/>
                <w:szCs w:val="21"/>
                <w:color w:val="auto"/>
              </w:rPr>
            </w:pPr>
          </w:p>
        </w:tc>
        <w:tc>
          <w:tcPr>
            <w:tcW w:w="140" w:type="dxa"/>
            <w:vAlign w:val="bottom"/>
            <w:tcBorders>
              <w:right w:val="single" w:sz="8" w:color="007CBA"/>
            </w:tcBorders>
            <w:shd w:val="clear" w:color="auto" w:fill="E5F1F8"/>
          </w:tcPr>
          <w:p>
            <w:pPr>
              <w:spacing w:after="0"/>
              <w:rPr>
                <w:sz w:val="21"/>
                <w:szCs w:val="21"/>
                <w:color w:val="auto"/>
              </w:rPr>
            </w:pPr>
          </w:p>
        </w:tc>
        <w:tc>
          <w:tcPr>
            <w:tcW w:w="200" w:type="dxa"/>
            <w:vAlign w:val="bottom"/>
            <w:shd w:val="clear" w:color="auto" w:fill="E5F1F8"/>
          </w:tcPr>
          <w:p>
            <w:pPr>
              <w:spacing w:after="0"/>
              <w:rPr>
                <w:sz w:val="21"/>
                <w:szCs w:val="21"/>
                <w:color w:val="auto"/>
              </w:rPr>
            </w:pPr>
          </w:p>
        </w:tc>
        <w:tc>
          <w:tcPr>
            <w:tcW w:w="740" w:type="dxa"/>
            <w:vAlign w:val="bottom"/>
            <w:shd w:val="clear" w:color="auto" w:fill="E5F1F8"/>
          </w:tcPr>
          <w:p>
            <w:pPr>
              <w:spacing w:after="0"/>
              <w:rPr>
                <w:sz w:val="21"/>
                <w:szCs w:val="21"/>
                <w:color w:val="auto"/>
              </w:rPr>
            </w:pPr>
          </w:p>
        </w:tc>
        <w:tc>
          <w:tcPr>
            <w:tcW w:w="160" w:type="dxa"/>
            <w:vAlign w:val="bottom"/>
            <w:tcBorders>
              <w:right w:val="single" w:sz="8" w:color="007CBA"/>
            </w:tcBorders>
            <w:shd w:val="clear" w:color="auto" w:fill="E5F1F8"/>
          </w:tcPr>
          <w:p>
            <w:pPr>
              <w:spacing w:after="0"/>
              <w:rPr>
                <w:sz w:val="21"/>
                <w:szCs w:val="21"/>
                <w:color w:val="auto"/>
              </w:rPr>
            </w:pPr>
          </w:p>
        </w:tc>
        <w:tc>
          <w:tcPr>
            <w:tcW w:w="200" w:type="dxa"/>
            <w:vAlign w:val="bottom"/>
            <w:shd w:val="clear" w:color="auto" w:fill="E5F1F8"/>
          </w:tcPr>
          <w:p>
            <w:pPr>
              <w:spacing w:after="0"/>
              <w:rPr>
                <w:sz w:val="21"/>
                <w:szCs w:val="21"/>
                <w:color w:val="auto"/>
              </w:rPr>
            </w:pPr>
          </w:p>
        </w:tc>
        <w:tc>
          <w:tcPr>
            <w:tcW w:w="740" w:type="dxa"/>
            <w:vAlign w:val="bottom"/>
            <w:shd w:val="clear" w:color="auto" w:fill="E5F1F8"/>
          </w:tcPr>
          <w:p>
            <w:pPr>
              <w:spacing w:after="0"/>
              <w:rPr>
                <w:sz w:val="21"/>
                <w:szCs w:val="21"/>
                <w:color w:val="auto"/>
              </w:rPr>
            </w:pPr>
          </w:p>
        </w:tc>
        <w:tc>
          <w:tcPr>
            <w:tcW w:w="160" w:type="dxa"/>
            <w:vAlign w:val="bottom"/>
            <w:tcBorders>
              <w:right w:val="single" w:sz="8" w:color="007CBA"/>
            </w:tcBorders>
            <w:shd w:val="clear" w:color="auto" w:fill="E5F1F8"/>
          </w:tcPr>
          <w:p>
            <w:pPr>
              <w:spacing w:after="0"/>
              <w:rPr>
                <w:sz w:val="21"/>
                <w:szCs w:val="21"/>
                <w:color w:val="auto"/>
              </w:rPr>
            </w:pPr>
          </w:p>
        </w:tc>
        <w:tc>
          <w:tcPr>
            <w:tcW w:w="200" w:type="dxa"/>
            <w:vAlign w:val="bottom"/>
            <w:shd w:val="clear" w:color="auto" w:fill="E5F1F8"/>
          </w:tcPr>
          <w:p>
            <w:pPr>
              <w:spacing w:after="0"/>
              <w:rPr>
                <w:sz w:val="21"/>
                <w:szCs w:val="21"/>
                <w:color w:val="auto"/>
              </w:rPr>
            </w:pPr>
          </w:p>
        </w:tc>
        <w:tc>
          <w:tcPr>
            <w:tcW w:w="80" w:type="dxa"/>
            <w:vAlign w:val="bottom"/>
            <w:shd w:val="clear" w:color="auto" w:fill="E5F1F8"/>
          </w:tcPr>
          <w:p>
            <w:pPr>
              <w:spacing w:after="0"/>
              <w:rPr>
                <w:sz w:val="21"/>
                <w:szCs w:val="21"/>
                <w:color w:val="auto"/>
              </w:rPr>
            </w:pPr>
          </w:p>
        </w:tc>
        <w:tc>
          <w:tcPr>
            <w:tcW w:w="660" w:type="dxa"/>
            <w:vAlign w:val="bottom"/>
            <w:shd w:val="clear" w:color="auto" w:fill="E5F1F8"/>
          </w:tcPr>
          <w:p>
            <w:pPr>
              <w:spacing w:after="0"/>
              <w:rPr>
                <w:sz w:val="21"/>
                <w:szCs w:val="21"/>
                <w:color w:val="auto"/>
              </w:rPr>
            </w:pPr>
          </w:p>
        </w:tc>
        <w:tc>
          <w:tcPr>
            <w:tcW w:w="100" w:type="dxa"/>
            <w:vAlign w:val="bottom"/>
            <w:shd w:val="clear" w:color="auto" w:fill="E5F1F8"/>
          </w:tcPr>
          <w:p>
            <w:pPr>
              <w:spacing w:after="0"/>
              <w:rPr>
                <w:sz w:val="21"/>
                <w:szCs w:val="21"/>
                <w:color w:val="auto"/>
              </w:rPr>
            </w:pPr>
          </w:p>
        </w:tc>
        <w:tc>
          <w:tcPr>
            <w:tcW w:w="40" w:type="dxa"/>
            <w:vAlign w:val="bottom"/>
            <w:shd w:val="clear" w:color="auto" w:fill="E5F1F8"/>
          </w:tcPr>
          <w:p>
            <w:pPr>
              <w:spacing w:after="0"/>
              <w:rPr>
                <w:sz w:val="21"/>
                <w:szCs w:val="21"/>
                <w:color w:val="auto"/>
              </w:rPr>
            </w:pPr>
          </w:p>
        </w:tc>
      </w:tr>
      <w:tr>
        <w:trPr>
          <w:trHeight w:val="243"/>
        </w:trPr>
        <w:tc>
          <w:tcPr>
            <w:tcW w:w="6460" w:type="dxa"/>
            <w:vAlign w:val="bottom"/>
            <w:tcBorders>
              <w:right w:val="single" w:sz="8" w:color="007CBA"/>
            </w:tcBorders>
          </w:tcPr>
          <w:p>
            <w:pPr>
              <w:ind w:left="30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91,487</w:t>
            </w:r>
          </w:p>
        </w:tc>
        <w:tc>
          <w:tcPr>
            <w:tcW w:w="140" w:type="dxa"/>
            <w:vAlign w:val="bottom"/>
            <w:tcBorders>
              <w:right w:val="single" w:sz="8" w:color="007CBA"/>
            </w:tcBorders>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81,677</w:t>
            </w:r>
          </w:p>
        </w:tc>
        <w:tc>
          <w:tcPr>
            <w:tcW w:w="160" w:type="dxa"/>
            <w:vAlign w:val="bottom"/>
            <w:tcBorders>
              <w:right w:val="single" w:sz="8" w:color="007CBA"/>
            </w:tcBorders>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76,287</w:t>
            </w:r>
          </w:p>
        </w:tc>
        <w:tc>
          <w:tcPr>
            <w:tcW w:w="160" w:type="dxa"/>
            <w:vAlign w:val="bottom"/>
            <w:tcBorders>
              <w:right w:val="single" w:sz="8" w:color="007CBA"/>
            </w:tcBorders>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68,456</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6460" w:type="dxa"/>
            <w:vAlign w:val="bottom"/>
            <w:tcBorders>
              <w:right w:val="single" w:sz="8" w:color="007CBA"/>
            </w:tcBorders>
            <w:shd w:val="clear" w:color="auto" w:fill="E5F1F8"/>
          </w:tcPr>
          <w:p>
            <w:pPr>
              <w:ind w:left="300"/>
              <w:spacing w:after="0"/>
              <w:rPr>
                <w:sz w:val="20"/>
                <w:szCs w:val="20"/>
                <w:color w:val="auto"/>
              </w:rPr>
            </w:pPr>
            <w:r>
              <w:rPr>
                <w:rFonts w:ascii="Arial" w:cs="Arial" w:eastAsia="Arial" w:hAnsi="Arial"/>
                <w:sz w:val="16"/>
                <w:szCs w:val="16"/>
                <w:color w:val="auto"/>
              </w:rPr>
              <w:t>Income tax (benefit) expense for controlling interests</w:t>
            </w:r>
          </w:p>
        </w:tc>
        <w:tc>
          <w:tcPr>
            <w:tcW w:w="200" w:type="dxa"/>
            <w:vAlign w:val="bottom"/>
            <w:shd w:val="clear" w:color="auto" w:fill="E5F1F8"/>
          </w:tcPr>
          <w:p>
            <w:pPr>
              <w:spacing w:after="0"/>
              <w:rPr>
                <w:sz w:val="21"/>
                <w:szCs w:val="21"/>
                <w:color w:val="auto"/>
              </w:rPr>
            </w:pPr>
          </w:p>
        </w:tc>
        <w:tc>
          <w:tcPr>
            <w:tcW w:w="100" w:type="dxa"/>
            <w:vAlign w:val="bottom"/>
            <w:shd w:val="clear" w:color="auto" w:fill="E5F1F8"/>
          </w:tcPr>
          <w:p>
            <w:pPr>
              <w:spacing w:after="0"/>
              <w:rPr>
                <w:sz w:val="21"/>
                <w:szCs w:val="21"/>
                <w:color w:val="auto"/>
              </w:rPr>
            </w:pPr>
          </w:p>
        </w:tc>
        <w:tc>
          <w:tcPr>
            <w:tcW w:w="840" w:type="dxa"/>
            <w:vAlign w:val="bottom"/>
            <w:shd w:val="clear" w:color="auto" w:fill="E5F1F8"/>
          </w:tcPr>
          <w:p>
            <w:pPr>
              <w:jc w:val="right"/>
              <w:spacing w:after="0"/>
              <w:rPr>
                <w:sz w:val="20"/>
                <w:szCs w:val="20"/>
                <w:color w:val="auto"/>
              </w:rPr>
            </w:pPr>
            <w:r>
              <w:rPr>
                <w:rFonts w:ascii="Arial" w:cs="Arial" w:eastAsia="Arial" w:hAnsi="Arial"/>
                <w:sz w:val="16"/>
                <w:szCs w:val="16"/>
                <w:color w:val="auto"/>
              </w:rPr>
              <w:t>(94,401)</w:t>
            </w:r>
          </w:p>
        </w:tc>
        <w:tc>
          <w:tcPr>
            <w:tcW w:w="140" w:type="dxa"/>
            <w:vAlign w:val="bottom"/>
            <w:tcBorders>
              <w:right w:val="single" w:sz="8" w:color="007CBA"/>
            </w:tcBorders>
            <w:shd w:val="clear" w:color="auto" w:fill="E5F1F8"/>
          </w:tcPr>
          <w:p>
            <w:pPr>
              <w:spacing w:after="0"/>
              <w:rPr>
                <w:sz w:val="21"/>
                <w:szCs w:val="21"/>
                <w:color w:val="auto"/>
              </w:rPr>
            </w:pPr>
          </w:p>
        </w:tc>
        <w:tc>
          <w:tcPr>
            <w:tcW w:w="940" w:type="dxa"/>
            <w:vAlign w:val="bottom"/>
            <w:gridSpan w:val="2"/>
            <w:shd w:val="clear" w:color="auto" w:fill="E5F1F8"/>
          </w:tcPr>
          <w:p>
            <w:pPr>
              <w:jc w:val="right"/>
              <w:spacing w:after="0"/>
              <w:rPr>
                <w:sz w:val="20"/>
                <w:szCs w:val="20"/>
                <w:color w:val="auto"/>
              </w:rPr>
            </w:pPr>
            <w:r>
              <w:rPr>
                <w:rFonts w:ascii="Arial" w:cs="Arial" w:eastAsia="Arial" w:hAnsi="Arial"/>
                <w:sz w:val="16"/>
                <w:szCs w:val="16"/>
                <w:color w:val="auto"/>
              </w:rPr>
              <w:t>181,524</w:t>
            </w:r>
          </w:p>
        </w:tc>
        <w:tc>
          <w:tcPr>
            <w:tcW w:w="160" w:type="dxa"/>
            <w:vAlign w:val="bottom"/>
            <w:tcBorders>
              <w:right w:val="single" w:sz="8" w:color="007CBA"/>
            </w:tcBorders>
            <w:shd w:val="clear" w:color="auto" w:fill="E5F1F8"/>
          </w:tcPr>
          <w:p>
            <w:pPr>
              <w:spacing w:after="0"/>
              <w:rPr>
                <w:sz w:val="21"/>
                <w:szCs w:val="21"/>
                <w:color w:val="auto"/>
              </w:rPr>
            </w:pPr>
          </w:p>
        </w:tc>
        <w:tc>
          <w:tcPr>
            <w:tcW w:w="940" w:type="dxa"/>
            <w:vAlign w:val="bottom"/>
            <w:gridSpan w:val="2"/>
            <w:shd w:val="clear" w:color="auto" w:fill="E5F1F8"/>
          </w:tcPr>
          <w:p>
            <w:pPr>
              <w:jc w:val="right"/>
              <w:spacing w:after="0"/>
              <w:rPr>
                <w:sz w:val="20"/>
                <w:szCs w:val="20"/>
                <w:color w:val="auto"/>
              </w:rPr>
            </w:pPr>
            <w:r>
              <w:rPr>
                <w:rFonts w:ascii="Arial" w:cs="Arial" w:eastAsia="Arial" w:hAnsi="Arial"/>
                <w:sz w:val="16"/>
                <w:szCs w:val="16"/>
                <w:color w:val="auto"/>
              </w:rPr>
              <w:t>124,863</w:t>
            </w:r>
          </w:p>
        </w:tc>
        <w:tc>
          <w:tcPr>
            <w:tcW w:w="160" w:type="dxa"/>
            <w:vAlign w:val="bottom"/>
            <w:tcBorders>
              <w:right w:val="single" w:sz="8" w:color="007CBA"/>
            </w:tcBorders>
            <w:shd w:val="clear" w:color="auto" w:fill="E5F1F8"/>
          </w:tcPr>
          <w:p>
            <w:pPr>
              <w:spacing w:after="0"/>
              <w:rPr>
                <w:sz w:val="21"/>
                <w:szCs w:val="21"/>
                <w:color w:val="auto"/>
              </w:rPr>
            </w:pPr>
          </w:p>
        </w:tc>
        <w:tc>
          <w:tcPr>
            <w:tcW w:w="200" w:type="dxa"/>
            <w:vAlign w:val="bottom"/>
            <w:shd w:val="clear" w:color="auto" w:fill="E5F1F8"/>
          </w:tcPr>
          <w:p>
            <w:pPr>
              <w:spacing w:after="0"/>
              <w:rPr>
                <w:sz w:val="21"/>
                <w:szCs w:val="21"/>
                <w:color w:val="auto"/>
              </w:rPr>
            </w:pPr>
          </w:p>
        </w:tc>
        <w:tc>
          <w:tcPr>
            <w:tcW w:w="80" w:type="dxa"/>
            <w:vAlign w:val="bottom"/>
            <w:shd w:val="clear" w:color="auto" w:fill="E5F1F8"/>
          </w:tcPr>
          <w:p>
            <w:pPr>
              <w:spacing w:after="0"/>
              <w:rPr>
                <w:sz w:val="21"/>
                <w:szCs w:val="21"/>
                <w:color w:val="auto"/>
              </w:rPr>
            </w:pPr>
          </w:p>
        </w:tc>
        <w:tc>
          <w:tcPr>
            <w:tcW w:w="660" w:type="dxa"/>
            <w:vAlign w:val="bottom"/>
            <w:shd w:val="clear" w:color="auto" w:fill="E5F1F8"/>
          </w:tcPr>
          <w:p>
            <w:pPr>
              <w:jc w:val="right"/>
              <w:spacing w:after="0"/>
              <w:rPr>
                <w:sz w:val="20"/>
                <w:szCs w:val="20"/>
                <w:color w:val="auto"/>
              </w:rPr>
            </w:pPr>
            <w:r>
              <w:rPr>
                <w:rFonts w:ascii="Arial" w:cs="Arial" w:eastAsia="Arial" w:hAnsi="Arial"/>
                <w:sz w:val="16"/>
                <w:szCs w:val="16"/>
                <w:color w:val="auto"/>
              </w:rPr>
              <w:t>29,307</w:t>
            </w:r>
          </w:p>
        </w:tc>
        <w:tc>
          <w:tcPr>
            <w:tcW w:w="100" w:type="dxa"/>
            <w:vAlign w:val="bottom"/>
            <w:shd w:val="clear" w:color="auto" w:fill="E5F1F8"/>
          </w:tcPr>
          <w:p>
            <w:pPr>
              <w:spacing w:after="0"/>
              <w:rPr>
                <w:sz w:val="21"/>
                <w:szCs w:val="21"/>
                <w:color w:val="auto"/>
              </w:rPr>
            </w:pPr>
          </w:p>
        </w:tc>
        <w:tc>
          <w:tcPr>
            <w:tcW w:w="40" w:type="dxa"/>
            <w:vAlign w:val="bottom"/>
            <w:shd w:val="clear" w:color="auto" w:fill="E5F1F8"/>
          </w:tcPr>
          <w:p>
            <w:pPr>
              <w:spacing w:after="0"/>
              <w:rPr>
                <w:sz w:val="21"/>
                <w:szCs w:val="21"/>
                <w:color w:val="auto"/>
              </w:rPr>
            </w:pPr>
          </w:p>
        </w:tc>
      </w:tr>
      <w:tr>
        <w:trPr>
          <w:trHeight w:val="250"/>
        </w:trPr>
        <w:tc>
          <w:tcPr>
            <w:tcW w:w="6460" w:type="dxa"/>
            <w:vAlign w:val="bottom"/>
            <w:tcBorders>
              <w:right w:val="single" w:sz="8" w:color="007CBA"/>
            </w:tcBorders>
          </w:tcPr>
          <w:p>
            <w:pPr>
              <w:ind w:left="60"/>
              <w:spacing w:after="0"/>
              <w:rPr>
                <w:sz w:val="20"/>
                <w:szCs w:val="20"/>
                <w:color w:val="auto"/>
              </w:rPr>
            </w:pPr>
            <w:r>
              <w:rPr>
                <w:rFonts w:ascii="Arial" w:cs="Arial" w:eastAsia="Arial" w:hAnsi="Arial"/>
                <w:sz w:val="16"/>
                <w:szCs w:val="16"/>
                <w:color w:val="auto"/>
              </w:rPr>
              <w:t>Depreciation, depletion and amortization expense</w:t>
            </w: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293,951</w:t>
            </w:r>
          </w:p>
        </w:tc>
        <w:tc>
          <w:tcPr>
            <w:tcW w:w="140" w:type="dxa"/>
            <w:vAlign w:val="bottom"/>
            <w:tcBorders>
              <w:right w:val="single" w:sz="8" w:color="007CBA"/>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283,003</w:t>
            </w:r>
          </w:p>
        </w:tc>
        <w:tc>
          <w:tcPr>
            <w:tcW w:w="160" w:type="dxa"/>
            <w:vAlign w:val="bottom"/>
            <w:tcBorders>
              <w:right w:val="single" w:sz="8" w:color="007CBA"/>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260,836</w:t>
            </w:r>
          </w:p>
        </w:tc>
        <w:tc>
          <w:tcPr>
            <w:tcW w:w="160" w:type="dxa"/>
            <w:vAlign w:val="bottom"/>
            <w:tcBorders>
              <w:right w:val="single" w:sz="8" w:color="007CBA"/>
            </w:tcBorders>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179,877</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84"/>
        </w:trPr>
        <w:tc>
          <w:tcPr>
            <w:tcW w:w="646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6"/>
                <w:szCs w:val="16"/>
                <w:color w:val="auto"/>
              </w:rPr>
              <w:t>Consolidated EBITDA</w:t>
            </w:r>
          </w:p>
        </w:tc>
        <w:tc>
          <w:tcPr>
            <w:tcW w:w="300" w:type="dxa"/>
            <w:vAlign w:val="bottom"/>
            <w:gridSpan w:val="2"/>
            <w:shd w:val="clear" w:color="auto" w:fill="E5F1F8"/>
          </w:tcPr>
          <w:p>
            <w:pPr>
              <w:jc w:val="right"/>
              <w:ind w:right="20"/>
              <w:spacing w:after="0"/>
              <w:rPr>
                <w:sz w:val="20"/>
                <w:szCs w:val="20"/>
                <w:color w:val="auto"/>
              </w:rPr>
            </w:pPr>
            <w:r>
              <w:rPr>
                <w:rFonts w:ascii="Arial" w:cs="Arial" w:eastAsia="Arial" w:hAnsi="Arial"/>
                <w:sz w:val="16"/>
                <w:szCs w:val="16"/>
                <w:u w:val="single" w:color="auto"/>
                <w:color w:val="auto"/>
              </w:rPr>
              <w:t>$</w:t>
            </w:r>
          </w:p>
        </w:tc>
        <w:tc>
          <w:tcPr>
            <w:tcW w:w="840" w:type="dxa"/>
            <w:vAlign w:val="bottom"/>
            <w:shd w:val="clear" w:color="auto" w:fill="E5F1F8"/>
          </w:tcPr>
          <w:p>
            <w:pPr>
              <w:jc w:val="right"/>
              <w:ind w:right="40"/>
              <w:spacing w:after="0"/>
              <w:rPr>
                <w:sz w:val="20"/>
                <w:szCs w:val="20"/>
                <w:color w:val="auto"/>
              </w:rPr>
            </w:pPr>
            <w:r>
              <w:rPr>
                <w:rFonts w:ascii="Arial" w:cs="Arial" w:eastAsia="Arial" w:hAnsi="Arial"/>
                <w:sz w:val="16"/>
                <w:szCs w:val="16"/>
                <w:color w:val="auto"/>
                <w:w w:val="98"/>
              </w:rPr>
              <w:t>1,004,379</w:t>
            </w:r>
          </w:p>
        </w:tc>
        <w:tc>
          <w:tcPr>
            <w:tcW w:w="140" w:type="dxa"/>
            <w:vAlign w:val="bottom"/>
            <w:tcBorders>
              <w:right w:val="single" w:sz="8" w:color="007CBA"/>
            </w:tcBorders>
            <w:shd w:val="clear" w:color="auto" w:fill="E5F1F8"/>
          </w:tcPr>
          <w:p>
            <w:pPr>
              <w:spacing w:after="0"/>
              <w:rPr>
                <w:sz w:val="24"/>
                <w:szCs w:val="24"/>
                <w:color w:val="auto"/>
              </w:rPr>
            </w:pPr>
          </w:p>
        </w:tc>
        <w:tc>
          <w:tcPr>
            <w:tcW w:w="940" w:type="dxa"/>
            <w:vAlign w:val="bottom"/>
            <w:gridSpan w:val="2"/>
            <w:shd w:val="clear" w:color="auto" w:fill="E5F1F8"/>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971,590</w:t>
            </w:r>
          </w:p>
        </w:tc>
        <w:tc>
          <w:tcPr>
            <w:tcW w:w="160" w:type="dxa"/>
            <w:vAlign w:val="bottom"/>
            <w:tcBorders>
              <w:right w:val="single" w:sz="8" w:color="007CBA"/>
            </w:tcBorders>
            <w:shd w:val="clear" w:color="auto" w:fill="E5F1F8"/>
          </w:tcPr>
          <w:p>
            <w:pPr>
              <w:spacing w:after="0"/>
              <w:rPr>
                <w:sz w:val="24"/>
                <w:szCs w:val="24"/>
                <w:color w:val="auto"/>
              </w:rPr>
            </w:pPr>
          </w:p>
        </w:tc>
        <w:tc>
          <w:tcPr>
            <w:tcW w:w="940" w:type="dxa"/>
            <w:vAlign w:val="bottom"/>
            <w:gridSpan w:val="2"/>
            <w:shd w:val="clear" w:color="auto" w:fill="E5F1F8"/>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750,778</w:t>
            </w:r>
          </w:p>
        </w:tc>
        <w:tc>
          <w:tcPr>
            <w:tcW w:w="160" w:type="dxa"/>
            <w:vAlign w:val="bottom"/>
            <w:tcBorders>
              <w:right w:val="single" w:sz="8" w:color="007CBA"/>
            </w:tcBorders>
            <w:shd w:val="clear" w:color="auto" w:fill="E5F1F8"/>
          </w:tcPr>
          <w:p>
            <w:pPr>
              <w:spacing w:after="0"/>
              <w:rPr>
                <w:sz w:val="24"/>
                <w:szCs w:val="24"/>
                <w:color w:val="auto"/>
              </w:rPr>
            </w:pPr>
          </w:p>
        </w:tc>
        <w:tc>
          <w:tcPr>
            <w:tcW w:w="280" w:type="dxa"/>
            <w:vAlign w:val="bottom"/>
            <w:gridSpan w:val="2"/>
            <w:shd w:val="clear" w:color="auto" w:fill="E5F1F8"/>
          </w:tcPr>
          <w:p>
            <w:pPr>
              <w:jc w:val="right"/>
              <w:spacing w:after="0"/>
              <w:rPr>
                <w:sz w:val="20"/>
                <w:szCs w:val="20"/>
                <w:color w:val="auto"/>
              </w:rPr>
            </w:pPr>
            <w:r>
              <w:rPr>
                <w:rFonts w:ascii="Arial" w:cs="Arial" w:eastAsia="Arial" w:hAnsi="Arial"/>
                <w:sz w:val="16"/>
                <w:szCs w:val="16"/>
                <w:u w:val="single" w:color="auto"/>
                <w:color w:val="auto"/>
              </w:rPr>
              <w:t>$</w:t>
            </w:r>
          </w:p>
        </w:tc>
        <w:tc>
          <w:tcPr>
            <w:tcW w:w="660" w:type="dxa"/>
            <w:vAlign w:val="bottom"/>
            <w:shd w:val="clear" w:color="auto" w:fill="E5F1F8"/>
          </w:tcPr>
          <w:p>
            <w:pPr>
              <w:jc w:val="right"/>
              <w:spacing w:after="0"/>
              <w:rPr>
                <w:sz w:val="20"/>
                <w:szCs w:val="20"/>
                <w:color w:val="auto"/>
              </w:rPr>
            </w:pPr>
            <w:r>
              <w:rPr>
                <w:rFonts w:ascii="Arial" w:cs="Arial" w:eastAsia="Arial" w:hAnsi="Arial"/>
                <w:sz w:val="16"/>
                <w:szCs w:val="16"/>
                <w:color w:val="auto"/>
              </w:rPr>
              <w:t>374,652</w:t>
            </w:r>
          </w:p>
        </w:tc>
        <w:tc>
          <w:tcPr>
            <w:tcW w:w="100" w:type="dxa"/>
            <w:vAlign w:val="bottom"/>
            <w:shd w:val="clear" w:color="auto" w:fill="E5F1F8"/>
          </w:tcPr>
          <w:p>
            <w:pPr>
              <w:spacing w:after="0"/>
              <w:rPr>
                <w:sz w:val="24"/>
                <w:szCs w:val="24"/>
                <w:color w:val="auto"/>
              </w:rPr>
            </w:pPr>
          </w:p>
        </w:tc>
        <w:tc>
          <w:tcPr>
            <w:tcW w:w="40" w:type="dxa"/>
            <w:vAlign w:val="bottom"/>
            <w:shd w:val="clear" w:color="auto" w:fill="E5F1F8"/>
          </w:tcPr>
          <w:p>
            <w:pPr>
              <w:spacing w:after="0"/>
              <w:rPr>
                <w:sz w:val="24"/>
                <w:szCs w:val="24"/>
                <w:color w:val="auto"/>
              </w:rPr>
            </w:pPr>
          </w:p>
        </w:tc>
      </w:tr>
      <w:tr>
        <w:trPr>
          <w:trHeight w:val="20"/>
        </w:trPr>
        <w:tc>
          <w:tcPr>
            <w:tcW w:w="6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
        </w:trPr>
        <w:tc>
          <w:tcPr>
            <w:tcW w:w="6460" w:type="dxa"/>
            <w:vAlign w:val="bottom"/>
            <w:tcBorders>
              <w:bottom w:val="single" w:sz="8" w:color="007CBA"/>
            </w:tcBorders>
          </w:tcPr>
          <w:p>
            <w:pPr>
              <w:spacing w:after="0" w:line="20" w:lineRule="exact"/>
              <w:rPr>
                <w:sz w:val="1"/>
                <w:szCs w:val="1"/>
                <w:color w:val="auto"/>
              </w:rPr>
            </w:pPr>
          </w:p>
        </w:tc>
        <w:tc>
          <w:tcPr>
            <w:tcW w:w="200" w:type="dxa"/>
            <w:vAlign w:val="bottom"/>
            <w:tcBorders>
              <w:bottom w:val="single" w:sz="8" w:color="007CBA"/>
            </w:tcBorders>
          </w:tcPr>
          <w:p>
            <w:pPr>
              <w:spacing w:after="0" w:line="20" w:lineRule="exact"/>
              <w:rPr>
                <w:sz w:val="1"/>
                <w:szCs w:val="1"/>
                <w:color w:val="auto"/>
              </w:rPr>
            </w:pPr>
          </w:p>
        </w:tc>
        <w:tc>
          <w:tcPr>
            <w:tcW w:w="100" w:type="dxa"/>
            <w:vAlign w:val="bottom"/>
            <w:tcBorders>
              <w:bottom w:val="single" w:sz="8" w:color="007CBA"/>
            </w:tcBorders>
          </w:tcPr>
          <w:p>
            <w:pPr>
              <w:spacing w:after="0" w:line="20" w:lineRule="exact"/>
              <w:rPr>
                <w:sz w:val="1"/>
                <w:szCs w:val="1"/>
                <w:color w:val="auto"/>
              </w:rPr>
            </w:pPr>
          </w:p>
        </w:tc>
        <w:tc>
          <w:tcPr>
            <w:tcW w:w="840" w:type="dxa"/>
            <w:vAlign w:val="bottom"/>
            <w:tcBorders>
              <w:bottom w:val="single" w:sz="8" w:color="007CBA"/>
            </w:tcBorders>
          </w:tcPr>
          <w:p>
            <w:pPr>
              <w:spacing w:after="0" w:line="20" w:lineRule="exact"/>
              <w:rPr>
                <w:sz w:val="1"/>
                <w:szCs w:val="1"/>
                <w:color w:val="auto"/>
              </w:rPr>
            </w:pPr>
          </w:p>
        </w:tc>
        <w:tc>
          <w:tcPr>
            <w:tcW w:w="140" w:type="dxa"/>
            <w:vAlign w:val="bottom"/>
            <w:tcBorders>
              <w:bottom w:val="single" w:sz="8" w:color="007CBA"/>
            </w:tcBorders>
          </w:tcPr>
          <w:p>
            <w:pPr>
              <w:spacing w:after="0" w:line="20" w:lineRule="exact"/>
              <w:rPr>
                <w:sz w:val="1"/>
                <w:szCs w:val="1"/>
                <w:color w:val="auto"/>
              </w:rPr>
            </w:pPr>
          </w:p>
        </w:tc>
        <w:tc>
          <w:tcPr>
            <w:tcW w:w="200" w:type="dxa"/>
            <w:vAlign w:val="bottom"/>
            <w:tcBorders>
              <w:bottom w:val="single" w:sz="8" w:color="007CBA"/>
            </w:tcBorders>
          </w:tcPr>
          <w:p>
            <w:pPr>
              <w:spacing w:after="0" w:line="20" w:lineRule="exact"/>
              <w:rPr>
                <w:sz w:val="1"/>
                <w:szCs w:val="1"/>
                <w:color w:val="auto"/>
              </w:rPr>
            </w:pPr>
          </w:p>
        </w:tc>
        <w:tc>
          <w:tcPr>
            <w:tcW w:w="740" w:type="dxa"/>
            <w:vAlign w:val="bottom"/>
            <w:tcBorders>
              <w:bottom w:val="single" w:sz="8" w:color="007CBA"/>
            </w:tcBorders>
          </w:tcPr>
          <w:p>
            <w:pPr>
              <w:spacing w:after="0" w:line="20" w:lineRule="exact"/>
              <w:rPr>
                <w:sz w:val="1"/>
                <w:szCs w:val="1"/>
                <w:color w:val="auto"/>
              </w:rPr>
            </w:pPr>
          </w:p>
        </w:tc>
        <w:tc>
          <w:tcPr>
            <w:tcW w:w="160" w:type="dxa"/>
            <w:vAlign w:val="bottom"/>
            <w:tcBorders>
              <w:bottom w:val="single" w:sz="8" w:color="007CBA"/>
            </w:tcBorders>
          </w:tcPr>
          <w:p>
            <w:pPr>
              <w:spacing w:after="0" w:line="20" w:lineRule="exact"/>
              <w:rPr>
                <w:sz w:val="1"/>
                <w:szCs w:val="1"/>
                <w:color w:val="auto"/>
              </w:rPr>
            </w:pPr>
          </w:p>
        </w:tc>
        <w:tc>
          <w:tcPr>
            <w:tcW w:w="200" w:type="dxa"/>
            <w:vAlign w:val="bottom"/>
            <w:tcBorders>
              <w:bottom w:val="single" w:sz="8" w:color="007CBA"/>
            </w:tcBorders>
          </w:tcPr>
          <w:p>
            <w:pPr>
              <w:spacing w:after="0" w:line="20" w:lineRule="exact"/>
              <w:rPr>
                <w:sz w:val="1"/>
                <w:szCs w:val="1"/>
                <w:color w:val="auto"/>
              </w:rPr>
            </w:pPr>
          </w:p>
        </w:tc>
        <w:tc>
          <w:tcPr>
            <w:tcW w:w="740" w:type="dxa"/>
            <w:vAlign w:val="bottom"/>
            <w:tcBorders>
              <w:bottom w:val="single" w:sz="8" w:color="007CBA"/>
            </w:tcBorders>
          </w:tcPr>
          <w:p>
            <w:pPr>
              <w:spacing w:after="0" w:line="20" w:lineRule="exact"/>
              <w:rPr>
                <w:sz w:val="1"/>
                <w:szCs w:val="1"/>
                <w:color w:val="auto"/>
              </w:rPr>
            </w:pPr>
          </w:p>
        </w:tc>
        <w:tc>
          <w:tcPr>
            <w:tcW w:w="160" w:type="dxa"/>
            <w:vAlign w:val="bottom"/>
            <w:tcBorders>
              <w:bottom w:val="single" w:sz="8" w:color="007CBA"/>
            </w:tcBorders>
          </w:tcPr>
          <w:p>
            <w:pPr>
              <w:spacing w:after="0" w:line="20" w:lineRule="exact"/>
              <w:rPr>
                <w:sz w:val="1"/>
                <w:szCs w:val="1"/>
                <w:color w:val="auto"/>
              </w:rPr>
            </w:pPr>
          </w:p>
        </w:tc>
        <w:tc>
          <w:tcPr>
            <w:tcW w:w="200" w:type="dxa"/>
            <w:vAlign w:val="bottom"/>
            <w:tcBorders>
              <w:bottom w:val="single" w:sz="8" w:color="007CBA"/>
            </w:tcBorders>
          </w:tcPr>
          <w:p>
            <w:pPr>
              <w:spacing w:after="0" w:line="20" w:lineRule="exact"/>
              <w:rPr>
                <w:sz w:val="1"/>
                <w:szCs w:val="1"/>
                <w:color w:val="auto"/>
              </w:rPr>
            </w:pPr>
          </w:p>
        </w:tc>
        <w:tc>
          <w:tcPr>
            <w:tcW w:w="80" w:type="dxa"/>
            <w:vAlign w:val="bottom"/>
            <w:tcBorders>
              <w:bottom w:val="single" w:sz="8" w:color="007CBA"/>
            </w:tcBorders>
          </w:tcPr>
          <w:p>
            <w:pPr>
              <w:spacing w:after="0" w:line="20" w:lineRule="exact"/>
              <w:rPr>
                <w:sz w:val="1"/>
                <w:szCs w:val="1"/>
                <w:color w:val="auto"/>
              </w:rPr>
            </w:pPr>
          </w:p>
        </w:tc>
        <w:tc>
          <w:tcPr>
            <w:tcW w:w="660" w:type="dxa"/>
            <w:vAlign w:val="bottom"/>
            <w:tcBorders>
              <w:bottom w:val="single" w:sz="8" w:color="007CBA"/>
            </w:tcBorders>
          </w:tcPr>
          <w:p>
            <w:pPr>
              <w:spacing w:after="0" w:line="20" w:lineRule="exact"/>
              <w:rPr>
                <w:sz w:val="1"/>
                <w:szCs w:val="1"/>
                <w:color w:val="auto"/>
              </w:rPr>
            </w:pPr>
          </w:p>
        </w:tc>
        <w:tc>
          <w:tcPr>
            <w:tcW w:w="100" w:type="dxa"/>
            <w:vAlign w:val="bottom"/>
            <w:tcBorders>
              <w:bottom w:val="single" w:sz="8" w:color="007CBA"/>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5022215</wp:posOffset>
            </wp:positionH>
            <wp:positionV relativeFrom="paragraph">
              <wp:posOffset>-256540</wp:posOffset>
            </wp:positionV>
            <wp:extent cx="2603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5716905</wp:posOffset>
            </wp:positionH>
            <wp:positionV relativeFrom="paragraph">
              <wp:posOffset>-256540</wp:posOffset>
            </wp:positionV>
            <wp:extent cx="2603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6410960</wp:posOffset>
            </wp:positionH>
            <wp:positionV relativeFrom="paragraph">
              <wp:posOffset>-256540</wp:posOffset>
            </wp:positionV>
            <wp:extent cx="2603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7105650</wp:posOffset>
            </wp:positionH>
            <wp:positionV relativeFrom="paragraph">
              <wp:posOffset>-256540</wp:posOffset>
            </wp:positionV>
            <wp:extent cx="2603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5022215</wp:posOffset>
            </wp:positionH>
            <wp:positionV relativeFrom="paragraph">
              <wp:posOffset>-59690</wp:posOffset>
            </wp:positionV>
            <wp:extent cx="2603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5022215</wp:posOffset>
            </wp:positionH>
            <wp:positionV relativeFrom="paragraph">
              <wp:posOffset>-42545</wp:posOffset>
            </wp:positionV>
            <wp:extent cx="2603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5716905</wp:posOffset>
            </wp:positionH>
            <wp:positionV relativeFrom="paragraph">
              <wp:posOffset>-59690</wp:posOffset>
            </wp:positionV>
            <wp:extent cx="2603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5716905</wp:posOffset>
            </wp:positionH>
            <wp:positionV relativeFrom="paragraph">
              <wp:posOffset>-42545</wp:posOffset>
            </wp:positionV>
            <wp:extent cx="2603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6410960</wp:posOffset>
            </wp:positionH>
            <wp:positionV relativeFrom="paragraph">
              <wp:posOffset>-59690</wp:posOffset>
            </wp:positionV>
            <wp:extent cx="2603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6410960</wp:posOffset>
            </wp:positionH>
            <wp:positionV relativeFrom="paragraph">
              <wp:posOffset>-42545</wp:posOffset>
            </wp:positionV>
            <wp:extent cx="2603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7105650</wp:posOffset>
            </wp:positionH>
            <wp:positionV relativeFrom="paragraph">
              <wp:posOffset>-59690</wp:posOffset>
            </wp:positionV>
            <wp:extent cx="2603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7105650</wp:posOffset>
            </wp:positionH>
            <wp:positionV relativeFrom="paragraph">
              <wp:posOffset>-42545</wp:posOffset>
            </wp:positionV>
            <wp:extent cx="2603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5022215</wp:posOffset>
            </wp:positionH>
            <wp:positionV relativeFrom="paragraph">
              <wp:posOffset>-16510</wp:posOffset>
            </wp:positionV>
            <wp:extent cx="2603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5716905</wp:posOffset>
            </wp:positionH>
            <wp:positionV relativeFrom="paragraph">
              <wp:posOffset>-16510</wp:posOffset>
            </wp:positionV>
            <wp:extent cx="2603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6410960</wp:posOffset>
            </wp:positionH>
            <wp:positionV relativeFrom="paragraph">
              <wp:posOffset>-16510</wp:posOffset>
            </wp:positionV>
            <wp:extent cx="2603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7105650</wp:posOffset>
            </wp:positionH>
            <wp:positionV relativeFrom="paragraph">
              <wp:posOffset>-16510</wp:posOffset>
            </wp:positionV>
            <wp:extent cx="2603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94615</wp:posOffset>
            </wp:positionV>
            <wp:extent cx="411480" cy="2489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145" w:lineRule="exact"/>
        <w:rPr>
          <w:sz w:val="20"/>
          <w:szCs w:val="20"/>
          <w:color w:val="auto"/>
        </w:rPr>
      </w:pPr>
    </w:p>
    <w:p>
      <w:pPr>
        <w:ind w:left="9260"/>
        <w:spacing w:after="0"/>
        <w:tabs>
          <w:tab w:leader="none" w:pos="11000" w:val="left"/>
        </w:tabs>
        <w:rPr>
          <w:sz w:val="20"/>
          <w:szCs w:val="20"/>
          <w:color w:val="auto"/>
        </w:rPr>
      </w:pPr>
      <w:r>
        <w:rPr>
          <w:rFonts w:ascii="Arial" w:cs="Arial" w:eastAsia="Arial" w:hAnsi="Arial"/>
          <w:sz w:val="13"/>
          <w:szCs w:val="13"/>
          <w:color w:val="007CBA"/>
        </w:rPr>
        <w:t>2018 PROXY STATEMENT</w:t>
      </w:r>
      <w:r>
        <w:rPr>
          <w:sz w:val="20"/>
          <w:szCs w:val="20"/>
          <w:color w:val="auto"/>
        </w:rPr>
        <w:tab/>
      </w:r>
      <w:r>
        <w:rPr>
          <w:rFonts w:ascii="Arial" w:cs="Arial" w:eastAsia="Arial" w:hAnsi="Arial"/>
          <w:sz w:val="12"/>
          <w:szCs w:val="12"/>
          <w:b w:val="1"/>
          <w:bCs w:val="1"/>
          <w:color w:val="auto"/>
        </w:rPr>
        <w:t>B-1</w:t>
      </w:r>
    </w:p>
    <w:p>
      <w:pPr>
        <w:sectPr>
          <w:pgSz w:w="11900" w:h="16838" w:orient="portrait"/>
          <w:cols w:equalWidth="0" w:num="1">
            <w:col w:w="11240"/>
          </w:cols>
          <w:pgMar w:left="240" w:top="455" w:right="419" w:bottom="1440" w:gutter="0" w:footer="0" w:header="0"/>
        </w:sectPr>
      </w:pPr>
    </w:p>
    <w:bookmarkStart w:id="75" w:name="page76"/>
    <w:bookmarkEnd w:id="75"/>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215265</wp:posOffset>
            </wp:positionV>
            <wp:extent cx="7031990" cy="903922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031990" cy="9039225"/>
                    </a:xfrm>
                    <a:prstGeom prst="rect">
                      <a:avLst/>
                    </a:prstGeom>
                    <a:noFill/>
                  </pic:spPr>
                </pic:pic>
              </a:graphicData>
            </a:graphic>
          </wp:anchor>
        </w:drawing>
      </w:r>
    </w:p>
    <w:p>
      <w:pPr>
        <w:sectPr>
          <w:pgSz w:w="11900" w:h="16838" w:orient="portrait"/>
          <w:cols w:equalWidth="0" w:num="1">
            <w:col w:w="10219"/>
          </w:cols>
          <w:pgMar w:left="240" w:top="455" w:right="1440"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ANNUAL MEETING OF SHAREHOLDERS OF</w:t>
      </w: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MARTIN MARIETTA MATERIALS, INC.</w:t>
      </w: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May 17,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161925</wp:posOffset>
            </wp:positionV>
            <wp:extent cx="1964055" cy="1714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964055" cy="171450"/>
                    </a:xfrm>
                    <a:prstGeom prst="rect">
                      <a:avLst/>
                    </a:prstGeom>
                    <a:noFill/>
                  </pic:spPr>
                </pic:pic>
              </a:graphicData>
            </a:graphic>
          </wp:anchor>
        </w:drawing>
      </w:r>
    </w:p>
    <w:p>
      <w:pPr>
        <w:spacing w:after="0" w:line="2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PROXY VOTING INSTRUCTIONS</w:t>
      </w:r>
    </w:p>
    <w:p>
      <w:pPr>
        <w:sectPr>
          <w:pgSz w:w="11900" w:h="16838" w:orient="portrait"/>
          <w:cols w:equalWidth="0" w:num="1">
            <w:col w:w="11440"/>
          </w:cols>
          <w:pgMar w:left="240" w:top="455" w:right="219" w:bottom="1440" w:gutter="0" w:footer="0" w:header="0"/>
        </w:sectPr>
      </w:pPr>
    </w:p>
    <w:p>
      <w:pPr>
        <w:spacing w:after="0" w:line="231"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14"/>
          <w:szCs w:val="14"/>
          <w:b w:val="1"/>
          <w:bCs w:val="1"/>
          <w:u w:val="single" w:color="auto"/>
          <w:color w:val="auto"/>
        </w:rPr>
        <w:t>INTERNET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Access “</w:t>
      </w:r>
      <w:r>
        <w:rPr>
          <w:rFonts w:ascii="Times New Roman" w:cs="Times New Roman" w:eastAsia="Times New Roman" w:hAnsi="Times New Roman"/>
          <w:sz w:val="14"/>
          <w:szCs w:val="14"/>
          <w:b w:val="1"/>
          <w:bCs w:val="1"/>
          <w:color w:val="auto"/>
        </w:rPr>
        <w:t>www.voteproxy.com</w:t>
      </w:r>
      <w:r>
        <w:rPr>
          <w:rFonts w:ascii="Times New Roman" w:cs="Times New Roman" w:eastAsia="Times New Roman" w:hAnsi="Times New Roman"/>
          <w:sz w:val="14"/>
          <w:szCs w:val="14"/>
          <w:color w:val="auto"/>
        </w:rPr>
        <w:t>” and follow the on-screen instructions or scan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QR code with your smartphone. Have your proxy card available when you access the web page.</w:t>
      </w:r>
    </w:p>
    <w:p>
      <w:pPr>
        <w:spacing w:after="0" w:line="267" w:lineRule="exact"/>
        <w:rPr>
          <w:sz w:val="20"/>
          <w:szCs w:val="20"/>
          <w:color w:val="auto"/>
        </w:rPr>
      </w:pPr>
    </w:p>
    <w:p>
      <w:pPr>
        <w:ind w:right="300"/>
        <w:spacing w:after="0" w:line="243" w:lineRule="auto"/>
        <w:rPr>
          <w:sz w:val="20"/>
          <w:szCs w:val="20"/>
          <w:color w:val="auto"/>
        </w:rPr>
      </w:pPr>
      <w:r>
        <w:rPr>
          <w:rFonts w:ascii="Times New Roman" w:cs="Times New Roman" w:eastAsia="Times New Roman" w:hAnsi="Times New Roman"/>
          <w:sz w:val="14"/>
          <w:szCs w:val="14"/>
          <w:b w:val="1"/>
          <w:bCs w:val="1"/>
          <w:u w:val="single" w:color="auto"/>
          <w:color w:val="auto"/>
        </w:rPr>
        <w:t>TELEPHONE</w:t>
      </w:r>
      <w:r>
        <w:rPr>
          <w:rFonts w:ascii="Times New Roman" w:cs="Times New Roman" w:eastAsia="Times New Roman" w:hAnsi="Times New Roman"/>
          <w:sz w:val="14"/>
          <w:szCs w:val="14"/>
          <w:b w:val="1"/>
          <w:bCs w:val="1"/>
          <w:color w:val="auto"/>
        </w:rPr>
        <w:t xml:space="preserve"> - </w:t>
      </w:r>
      <w:r>
        <w:rPr>
          <w:rFonts w:ascii="Times New Roman" w:cs="Times New Roman" w:eastAsia="Times New Roman" w:hAnsi="Times New Roman"/>
          <w:sz w:val="14"/>
          <w:szCs w:val="14"/>
          <w:color w:val="auto"/>
        </w:rPr>
        <w:t>Call toll-free</w:t>
      </w:r>
      <w:r>
        <w:rPr>
          <w:rFonts w:ascii="Times New Roman" w:cs="Times New Roman" w:eastAsia="Times New Roman" w:hAnsi="Times New Roman"/>
          <w:sz w:val="14"/>
          <w:szCs w:val="14"/>
          <w:b w:val="1"/>
          <w:bCs w:val="1"/>
          <w:color w:val="auto"/>
        </w:rPr>
        <w:t xml:space="preserve"> 1-800-PROXIES </w:t>
      </w:r>
      <w:r>
        <w:rPr>
          <w:rFonts w:ascii="Times New Roman" w:cs="Times New Roman" w:eastAsia="Times New Roman" w:hAnsi="Times New Roman"/>
          <w:sz w:val="14"/>
          <w:szCs w:val="14"/>
          <w:color w:val="auto"/>
        </w:rPr>
        <w:t>(1-800-776-9437) in the United States or</w:t>
      </w:r>
      <w:r>
        <w:rPr>
          <w:rFonts w:ascii="Times New Roman" w:cs="Times New Roman" w:eastAsia="Times New Roman" w:hAnsi="Times New Roman"/>
          <w:sz w:val="14"/>
          <w:szCs w:val="14"/>
          <w:b w:val="1"/>
          <w:bCs w:val="1"/>
          <w:color w:val="auto"/>
        </w:rPr>
        <w:t xml:space="preserve"> 1-718-921-8500 </w:t>
      </w:r>
      <w:r>
        <w:rPr>
          <w:rFonts w:ascii="Times New Roman" w:cs="Times New Roman" w:eastAsia="Times New Roman" w:hAnsi="Times New Roman"/>
          <w:sz w:val="14"/>
          <w:szCs w:val="14"/>
          <w:color w:val="auto"/>
        </w:rPr>
        <w:t>from foreign countries from any touch-tone telephone and follow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instructions. Have your proxy card available when you call.</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Vote online/phone until 11:59 PM EST the day before the meeting.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MAIL</w:t>
      </w:r>
      <w:r>
        <w:rPr>
          <w:rFonts w:ascii="Times New Roman" w:cs="Times New Roman" w:eastAsia="Times New Roman" w:hAnsi="Times New Roman"/>
          <w:sz w:val="14"/>
          <w:szCs w:val="14"/>
          <w:b w:val="1"/>
          <w:bCs w:val="1"/>
          <w:color w:val="auto"/>
        </w:rPr>
        <w:t xml:space="preserve"> - </w:t>
      </w:r>
      <w:r>
        <w:rPr>
          <w:rFonts w:ascii="Times New Roman" w:cs="Times New Roman" w:eastAsia="Times New Roman" w:hAnsi="Times New Roman"/>
          <w:sz w:val="14"/>
          <w:szCs w:val="14"/>
          <w:color w:val="auto"/>
        </w:rPr>
        <w:t>Sign, date and mail your proxy card in the envelope provided as soon as possible.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IN PERSON</w:t>
      </w:r>
      <w:r>
        <w:rPr>
          <w:rFonts w:ascii="Times New Roman" w:cs="Times New Roman" w:eastAsia="Times New Roman" w:hAnsi="Times New Roman"/>
          <w:sz w:val="14"/>
          <w:szCs w:val="14"/>
          <w:b w:val="1"/>
          <w:bCs w:val="1"/>
          <w:color w:val="auto"/>
        </w:rPr>
        <w:t xml:space="preserve"> - </w:t>
      </w:r>
      <w:r>
        <w:rPr>
          <w:rFonts w:ascii="Times New Roman" w:cs="Times New Roman" w:eastAsia="Times New Roman" w:hAnsi="Times New Roman"/>
          <w:sz w:val="14"/>
          <w:szCs w:val="14"/>
          <w:color w:val="auto"/>
        </w:rPr>
        <w:t>You may vote your shares in person by attending the Annual Meeting.</w:t>
      </w:r>
    </w:p>
    <w:p>
      <w:pPr>
        <w:spacing w:after="0" w:line="136"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14"/>
          <w:szCs w:val="14"/>
          <w:b w:val="1"/>
          <w:bCs w:val="1"/>
          <w:u w:val="single" w:color="auto"/>
          <w:color w:val="auto"/>
        </w:rPr>
        <w:t>GO GREEN</w:t>
      </w:r>
      <w:r>
        <w:rPr>
          <w:rFonts w:ascii="Times New Roman" w:cs="Times New Roman" w:eastAsia="Times New Roman" w:hAnsi="Times New Roman"/>
          <w:sz w:val="14"/>
          <w:szCs w:val="14"/>
          <w:b w:val="1"/>
          <w:bCs w:val="1"/>
          <w:color w:val="auto"/>
        </w:rPr>
        <w:t xml:space="preserve"> - </w:t>
      </w:r>
      <w:r>
        <w:rPr>
          <w:rFonts w:ascii="Times New Roman" w:cs="Times New Roman" w:eastAsia="Times New Roman" w:hAnsi="Times New Roman"/>
          <w:sz w:val="14"/>
          <w:szCs w:val="14"/>
          <w:color w:val="auto"/>
        </w:rPr>
        <w:t>e-Consent makes it easy to go paperless. With e-Consent, you can quickly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access your proxy material, statements and other eligible documents online, while reducing costs, clutter and paper waste. Enroll today via www.astfinancial.com to enjoy online access.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-202565</wp:posOffset>
            </wp:positionV>
            <wp:extent cx="3481705" cy="9347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481705" cy="934720"/>
                    </a:xfrm>
                    <a:prstGeom prst="rect">
                      <a:avLst/>
                    </a:prstGeom>
                    <a:noFill/>
                  </pic:spPr>
                </pic:pic>
              </a:graphicData>
            </a:graphic>
          </wp:anchor>
        </w:drawing>
        <w:drawing>
          <wp:anchor simplePos="0" relativeHeight="251657728" behindDoc="1" locked="0" layoutInCell="0" allowOverlap="1">
            <wp:simplePos x="0" y="0"/>
            <wp:positionH relativeFrom="column">
              <wp:posOffset>-260350</wp:posOffset>
            </wp:positionH>
            <wp:positionV relativeFrom="paragraph">
              <wp:posOffset>-1188720</wp:posOffset>
            </wp:positionV>
            <wp:extent cx="506095" cy="5143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06095" cy="514350"/>
                    </a:xfrm>
                    <a:prstGeom prst="rect">
                      <a:avLst/>
                    </a:prstGeom>
                    <a:noFill/>
                  </pic:spPr>
                </pic:pic>
              </a:graphicData>
            </a:graphic>
          </wp:anchor>
        </w:drawing>
      </w:r>
    </w:p>
    <w:p>
      <w:pPr>
        <w:spacing w:after="0" w:line="2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ACCOUNT NUMBER</w:t>
      </w:r>
    </w:p>
    <w:p>
      <w:pPr>
        <w:spacing w:after="0" w:line="371" w:lineRule="exact"/>
        <w:rPr>
          <w:sz w:val="20"/>
          <w:szCs w:val="20"/>
          <w:color w:val="auto"/>
        </w:rPr>
      </w:pPr>
    </w:p>
    <w:p>
      <w:pPr>
        <w:sectPr>
          <w:pgSz w:w="11900" w:h="16838" w:orient="portrait"/>
          <w:cols w:equalWidth="0" w:num="2">
            <w:col w:w="5520" w:space="720"/>
            <w:col w:w="5200"/>
          </w:cols>
          <w:pgMar w:left="240" w:top="455" w:right="219" w:bottom="1440" w:gutter="0" w:footer="0" w:header="0"/>
          <w:type w:val="continuous"/>
        </w:sectPr>
      </w:pPr>
    </w:p>
    <w:p>
      <w:pPr>
        <w:spacing w:after="0" w:line="200" w:lineRule="exact"/>
        <w:rPr>
          <w:sz w:val="20"/>
          <w:szCs w:val="20"/>
          <w:color w:val="auto"/>
        </w:rPr>
      </w:pPr>
    </w:p>
    <w:p>
      <w:pPr>
        <w:spacing w:after="0" w:line="345"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900" w:type="dxa"/>
            <w:vAlign w:val="bottom"/>
            <w:tcBorders>
              <w:top w:val="single" w:sz="8" w:color="auto"/>
              <w:left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vMerge w:val="restart"/>
          </w:tcPr>
          <w:p>
            <w:pPr>
              <w:ind w:left="320"/>
              <w:spacing w:after="0"/>
              <w:rPr>
                <w:sz w:val="20"/>
                <w:szCs w:val="20"/>
                <w:color w:val="auto"/>
              </w:rPr>
            </w:pPr>
            <w:r>
              <w:rPr>
                <w:rFonts w:ascii="Times New Roman" w:cs="Times New Roman" w:eastAsia="Times New Roman" w:hAnsi="Times New Roman"/>
                <w:sz w:val="14"/>
                <w:szCs w:val="14"/>
                <w:color w:val="auto"/>
                <w:w w:val="91"/>
              </w:rPr>
              <w:t>The proxy statement,</w:t>
            </w:r>
          </w:p>
        </w:tc>
        <w:tc>
          <w:tcPr>
            <w:tcW w:w="7820" w:type="dxa"/>
            <w:vAlign w:val="bottom"/>
            <w:tcBorders>
              <w:top w:val="single" w:sz="8" w:color="auto"/>
              <w:right w:val="single" w:sz="8" w:color="auto"/>
            </w:tcBorders>
            <w:gridSpan w:val="4"/>
          </w:tcPr>
          <w:p>
            <w:pPr>
              <w:jc w:val="center"/>
              <w:ind w:right="3520"/>
              <w:spacing w:after="0"/>
              <w:rPr>
                <w:sz w:val="20"/>
                <w:szCs w:val="20"/>
                <w:color w:val="auto"/>
              </w:rPr>
            </w:pPr>
            <w:r>
              <w:rPr>
                <w:rFonts w:ascii="Times New Roman" w:cs="Times New Roman" w:eastAsia="Times New Roman" w:hAnsi="Times New Roman"/>
                <w:sz w:val="14"/>
                <w:szCs w:val="14"/>
                <w:b w:val="1"/>
                <w:bCs w:val="1"/>
                <w:color w:val="auto"/>
              </w:rPr>
              <w:t>NOTICE OF INTERNET AVAILABILITY OF PROXY MATERIAL:</w:t>
            </w:r>
          </w:p>
        </w:tc>
        <w:tc>
          <w:tcPr>
            <w:tcW w:w="0" w:type="dxa"/>
            <w:vAlign w:val="bottom"/>
          </w:tcPr>
          <w:p>
            <w:pPr>
              <w:spacing w:after="0"/>
              <w:rPr>
                <w:sz w:val="1"/>
                <w:szCs w:val="1"/>
                <w:color w:val="auto"/>
              </w:rPr>
            </w:pPr>
          </w:p>
        </w:tc>
      </w:tr>
      <w:tr>
        <w:trPr>
          <w:trHeight w:val="20"/>
        </w:trPr>
        <w:tc>
          <w:tcPr>
            <w:tcW w:w="190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vMerge w:val="continue"/>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5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900" w:type="dxa"/>
            <w:vAlign w:val="bottom"/>
            <w:tcBorders>
              <w:lef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7820" w:type="dxa"/>
            <w:vAlign w:val="bottom"/>
            <w:tcBorders>
              <w:right w:val="single" w:sz="8" w:color="auto"/>
            </w:tcBorders>
            <w:gridSpan w:val="4"/>
          </w:tcPr>
          <w:p>
            <w:pPr>
              <w:ind w:left="140"/>
              <w:spacing w:after="0" w:line="119" w:lineRule="exact"/>
              <w:rPr>
                <w:sz w:val="20"/>
                <w:szCs w:val="20"/>
                <w:color w:val="auto"/>
              </w:rPr>
            </w:pPr>
            <w:r>
              <w:rPr>
                <w:rFonts w:ascii="Times New Roman" w:cs="Times New Roman" w:eastAsia="Times New Roman" w:hAnsi="Times New Roman"/>
                <w:sz w:val="13"/>
                <w:szCs w:val="13"/>
                <w:color w:val="auto"/>
              </w:rPr>
              <w:t>form of proxy card and 2017 Annual Report to Shareholders are available for review on the</w:t>
            </w:r>
          </w:p>
        </w:tc>
        <w:tc>
          <w:tcPr>
            <w:tcW w:w="0" w:type="dxa"/>
            <w:vAlign w:val="bottom"/>
          </w:tcPr>
          <w:p>
            <w:pPr>
              <w:spacing w:after="0"/>
              <w:rPr>
                <w:sz w:val="1"/>
                <w:szCs w:val="1"/>
                <w:color w:val="auto"/>
              </w:rPr>
            </w:pPr>
          </w:p>
        </w:tc>
      </w:tr>
      <w:tr>
        <w:trPr>
          <w:trHeight w:val="188"/>
        </w:trPr>
        <w:tc>
          <w:tcPr>
            <w:tcW w:w="1900" w:type="dxa"/>
            <w:vAlign w:val="bottom"/>
            <w:tcBorders>
              <w:lef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7820" w:type="dxa"/>
            <w:vAlign w:val="bottom"/>
            <w:tcBorders>
              <w:right w:val="single" w:sz="8" w:color="auto"/>
            </w:tcBorders>
            <w:gridSpan w:val="4"/>
          </w:tcPr>
          <w:p>
            <w:pPr>
              <w:jc w:val="center"/>
              <w:ind w:right="3500"/>
              <w:spacing w:after="0"/>
              <w:rPr>
                <w:sz w:val="20"/>
                <w:szCs w:val="20"/>
                <w:color w:val="auto"/>
              </w:rPr>
            </w:pPr>
            <w:r>
              <w:rPr>
                <w:rFonts w:ascii="Times New Roman" w:cs="Times New Roman" w:eastAsia="Times New Roman" w:hAnsi="Times New Roman"/>
                <w:sz w:val="14"/>
                <w:szCs w:val="14"/>
                <w:color w:val="auto"/>
              </w:rPr>
              <w:t>Internet at http://ir.martinmarietta.com/investor-relations/reports-filings</w:t>
            </w:r>
          </w:p>
        </w:tc>
        <w:tc>
          <w:tcPr>
            <w:tcW w:w="0" w:type="dxa"/>
            <w:vAlign w:val="bottom"/>
          </w:tcPr>
          <w:p>
            <w:pPr>
              <w:spacing w:after="0"/>
              <w:rPr>
                <w:sz w:val="1"/>
                <w:szCs w:val="1"/>
                <w:color w:val="auto"/>
              </w:rPr>
            </w:pPr>
          </w:p>
        </w:tc>
      </w:tr>
      <w:tr>
        <w:trPr>
          <w:trHeight w:val="37"/>
        </w:trPr>
        <w:tc>
          <w:tcPr>
            <w:tcW w:w="1900" w:type="dxa"/>
            <w:vAlign w:val="bottom"/>
            <w:tcBorders>
              <w:left w:val="single" w:sz="8" w:color="auto"/>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26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5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1900" w:type="dxa"/>
            <w:vAlign w:val="bottom"/>
          </w:tcPr>
          <w:p>
            <w:pPr>
              <w:spacing w:after="0"/>
              <w:rPr>
                <w:sz w:val="14"/>
                <w:szCs w:val="14"/>
                <w:color w:val="auto"/>
              </w:rPr>
            </w:pPr>
          </w:p>
        </w:tc>
        <w:tc>
          <w:tcPr>
            <w:tcW w:w="30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i</w:t>
            </w:r>
          </w:p>
        </w:tc>
        <w:tc>
          <w:tcPr>
            <w:tcW w:w="9240" w:type="dxa"/>
            <w:vAlign w:val="bottom"/>
            <w:gridSpan w:val="5"/>
          </w:tcPr>
          <w:p>
            <w:pPr>
              <w:jc w:val="center"/>
              <w:ind w:right="2080"/>
              <w:spacing w:after="0" w:line="170" w:lineRule="exact"/>
              <w:rPr>
                <w:sz w:val="20"/>
                <w:szCs w:val="20"/>
                <w:color w:val="auto"/>
              </w:rPr>
            </w:pPr>
            <w:r>
              <w:rPr>
                <w:rFonts w:ascii="Times New Roman" w:cs="Times New Roman" w:eastAsia="Times New Roman" w:hAnsi="Times New Roman"/>
                <w:sz w:val="14"/>
                <w:szCs w:val="14"/>
                <w:color w:val="auto"/>
              </w:rPr>
              <w:t xml:space="preserve">Please detach along perforated line and mail in the envelope provided IF you are not voting via telephone or the Internet. </w:t>
            </w:r>
            <w:r>
              <w:rPr>
                <w:rFonts w:ascii="Times New Roman" w:cs="Times New Roman" w:eastAsia="Times New Roman" w:hAnsi="Times New Roman"/>
                <w:sz w:val="18"/>
                <w:szCs w:val="18"/>
                <w:color w:val="auto"/>
              </w:rPr>
              <w:t>i</w:t>
            </w:r>
          </w:p>
        </w:tc>
        <w:tc>
          <w:tcPr>
            <w:tcW w:w="0" w:type="dxa"/>
            <w:vAlign w:val="bottom"/>
          </w:tcPr>
          <w:p>
            <w:pPr>
              <w:spacing w:after="0"/>
              <w:rPr>
                <w:sz w:val="1"/>
                <w:szCs w:val="1"/>
                <w:color w:val="auto"/>
              </w:rPr>
            </w:pPr>
          </w:p>
        </w:tc>
      </w:tr>
      <w:tr>
        <w:trPr>
          <w:trHeight w:val="335"/>
        </w:trPr>
        <w:tc>
          <w:tcPr>
            <w:tcW w:w="1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00033333333300000000</w:t>
            </w:r>
          </w:p>
        </w:tc>
        <w:tc>
          <w:tcPr>
            <w:tcW w:w="300" w:type="dxa"/>
            <w:vAlign w:val="bottom"/>
          </w:tcPr>
          <w:p>
            <w:pPr>
              <w:jc w:val="right"/>
              <w:ind w:right="79"/>
              <w:spacing w:after="0"/>
              <w:rPr>
                <w:sz w:val="20"/>
                <w:szCs w:val="20"/>
                <w:color w:val="auto"/>
              </w:rPr>
            </w:pPr>
            <w:r>
              <w:rPr>
                <w:rFonts w:ascii="Times New Roman" w:cs="Times New Roman" w:eastAsia="Times New Roman" w:hAnsi="Times New Roman"/>
                <w:sz w:val="14"/>
                <w:szCs w:val="14"/>
                <w:color w:val="auto"/>
              </w:rPr>
              <w:t>8</w:t>
            </w:r>
          </w:p>
        </w:tc>
        <w:tc>
          <w:tcPr>
            <w:tcW w:w="4080" w:type="dxa"/>
            <w:vAlign w:val="bottom"/>
            <w:gridSpan w:val="2"/>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60" w:type="dxa"/>
            <w:vAlign w:val="bottom"/>
          </w:tcPr>
          <w:p>
            <w:pPr>
              <w:jc w:val="right"/>
              <w:ind w:right="708"/>
              <w:spacing w:after="0"/>
              <w:rPr>
                <w:sz w:val="20"/>
                <w:szCs w:val="20"/>
                <w:color w:val="auto"/>
              </w:rPr>
            </w:pPr>
            <w:r>
              <w:rPr>
                <w:rFonts w:ascii="Times New Roman" w:cs="Times New Roman" w:eastAsia="Times New Roman" w:hAnsi="Times New Roman"/>
                <w:sz w:val="14"/>
                <w:szCs w:val="14"/>
                <w:color w:val="auto"/>
              </w:rPr>
              <w:t>051718</w:t>
            </w: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YOU DO NOT NEED TO MARK ANY BOXES IF YOU WISH TO VOTE IN ACCORDANCE WITH THE BOARD OF DIRECTORS’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54875" cy="34474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4875" cy="3447415"/>
                    </a:xfrm>
                    <a:prstGeom prst="rect">
                      <a:avLst/>
                    </a:prstGeom>
                    <a:noFill/>
                  </pic:spPr>
                </pic:pic>
              </a:graphicData>
            </a:graphic>
          </wp:anchor>
        </w:drawing>
      </w:r>
    </w:p>
    <w:p>
      <w:pPr>
        <w:jc w:val="center"/>
        <w:ind w:right="-79"/>
        <w:spacing w:after="0" w:line="232" w:lineRule="auto"/>
        <w:rPr>
          <w:sz w:val="20"/>
          <w:szCs w:val="20"/>
          <w:color w:val="auto"/>
        </w:rPr>
      </w:pPr>
      <w:r>
        <w:rPr>
          <w:rFonts w:ascii="Times New Roman" w:cs="Times New Roman" w:eastAsia="Times New Roman" w:hAnsi="Times New Roman"/>
          <w:sz w:val="14"/>
          <w:szCs w:val="14"/>
          <w:b w:val="1"/>
          <w:bCs w:val="1"/>
          <w:color w:val="auto"/>
        </w:rPr>
        <w:t>THE BOARD OF DIRECTORS RECOMMENDS YOU VOTE “FOR” ITEMS 1, 2 AND 3.</w:t>
      </w:r>
    </w:p>
    <w:p>
      <w:pPr>
        <w:ind w:left="440"/>
        <w:spacing w:after="0" w:line="207" w:lineRule="exact"/>
        <w:rPr>
          <w:sz w:val="20"/>
          <w:szCs w:val="20"/>
          <w:color w:val="auto"/>
        </w:rPr>
      </w:pPr>
      <w:r>
        <w:rPr>
          <w:rFonts w:ascii="Times New Roman" w:cs="Times New Roman" w:eastAsia="Times New Roman" w:hAnsi="Times New Roman"/>
          <w:sz w:val="14"/>
          <w:szCs w:val="14"/>
          <w:b w:val="1"/>
          <w:bCs w:val="1"/>
          <w:color w:val="auto"/>
        </w:rPr>
        <w:t xml:space="preserve">PLEASE SIGN, DATE AND RETURN PROMPTLY IN THE ENCLOSED ENVELOPE. PLEASE MARK YOUR VOTE IN BLUE OR BLACK INK AS SHOWN HERE </w:t>
      </w:r>
      <w:r>
        <w:rPr>
          <w:rFonts w:ascii="MS PGothic" w:cs="MS PGothic" w:eastAsia="MS PGothic" w:hAnsi="MS PGothic"/>
          <w:sz w:val="18"/>
          <w:szCs w:val="18"/>
          <w:color w:val="auto"/>
          <w:highlight w:val="black"/>
        </w:rPr>
        <w:t>☒</w:t>
      </w:r>
    </w:p>
    <w:p>
      <w:pPr>
        <w:sectPr>
          <w:pgSz w:w="11900" w:h="16838" w:orient="portrait"/>
          <w:cols w:equalWidth="0" w:num="1">
            <w:col w:w="11440"/>
          </w:cols>
          <w:pgMar w:left="240" w:top="455" w:right="219" w:bottom="1440" w:gutter="0" w:footer="0" w:header="0"/>
          <w:type w:val="continuous"/>
        </w:sectPr>
      </w:pPr>
    </w:p>
    <w:p>
      <w:pPr>
        <w:spacing w:after="0" w:line="99" w:lineRule="exact"/>
        <w:rPr>
          <w:sz w:val="20"/>
          <w:szCs w:val="20"/>
          <w:color w:val="auto"/>
        </w:rPr>
      </w:pPr>
    </w:p>
    <w:p>
      <w:pPr>
        <w:ind w:left="160"/>
        <w:spacing w:after="0" w:line="231" w:lineRule="auto"/>
        <w:rPr>
          <w:sz w:val="20"/>
          <w:szCs w:val="20"/>
          <w:color w:val="auto"/>
        </w:rPr>
      </w:pPr>
      <w:r>
        <w:rPr>
          <w:rFonts w:ascii="Times New Roman" w:cs="Times New Roman" w:eastAsia="Times New Roman" w:hAnsi="Times New Roman"/>
          <w:sz w:val="14"/>
          <w:szCs w:val="14"/>
          <w:color w:val="auto"/>
        </w:rPr>
        <w:t xml:space="preserve">This proxy is solicited by the Board of Directors of Martin Marietta Materials, Inc. and when properly executed will be voted as specified herein and, unless otherwise directed, will be voted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xml:space="preserve"> the election of all nominees as Directors,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xml:space="preserve"> the ratification of the selection of PricewaterhouseCoopers as independent auditors, and </w:t>
      </w:r>
      <w:r>
        <w:rPr>
          <w:rFonts w:ascii="Times New Roman" w:cs="Times New Roman" w:eastAsia="Times New Roman" w:hAnsi="Times New Roman"/>
          <w:sz w:val="14"/>
          <w:szCs w:val="14"/>
          <w:b w:val="1"/>
          <w:bCs w:val="1"/>
          <w:color w:val="auto"/>
        </w:rPr>
        <w:t xml:space="preserve">FOR </w:t>
      </w:r>
      <w:r>
        <w:rPr>
          <w:rFonts w:ascii="Times New Roman" w:cs="Times New Roman" w:eastAsia="Times New Roman" w:hAnsi="Times New Roman"/>
          <w:sz w:val="14"/>
          <w:szCs w:val="14"/>
          <w:color w:val="auto"/>
        </w:rPr>
        <w:t>the approval, by a non-binding advisory vote, of the compensation of our named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executive officers. The Board of Directors recommends voting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xml:space="preserve"> each item.</w:t>
      </w:r>
    </w:p>
    <w:p>
      <w:pPr>
        <w:spacing w:after="0" w:line="205" w:lineRule="exact"/>
        <w:rPr>
          <w:sz w:val="20"/>
          <w:szCs w:val="20"/>
          <w:color w:val="auto"/>
        </w:rPr>
      </w:pPr>
    </w:p>
    <w:p>
      <w:pPr>
        <w:ind w:left="160" w:right="380"/>
        <w:spacing w:after="0" w:line="262" w:lineRule="auto"/>
        <w:rPr>
          <w:sz w:val="20"/>
          <w:szCs w:val="20"/>
          <w:color w:val="auto"/>
        </w:rPr>
      </w:pPr>
      <w:r>
        <w:rPr>
          <w:rFonts w:ascii="Times New Roman" w:cs="Times New Roman" w:eastAsia="Times New Roman" w:hAnsi="Times New Roman"/>
          <w:sz w:val="14"/>
          <w:szCs w:val="14"/>
          <w:color w:val="auto"/>
        </w:rPr>
        <w:t>Receipt of Notice of Annual Meeting of Shareholders and accompanying Proxy Statement is hereby acknowledged.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change the address on your account, please check the box at right and indicate</w:t>
      </w:r>
    </w:p>
    <w:p>
      <w:pPr>
        <w:spacing w:after="0" w:line="4" w:lineRule="exact"/>
        <w:rPr>
          <w:sz w:val="20"/>
          <w:szCs w:val="20"/>
          <w:color w:val="auto"/>
        </w:rPr>
      </w:pPr>
    </w:p>
    <w:p>
      <w:pPr>
        <w:ind w:right="60"/>
        <w:spacing w:after="0" w:line="161" w:lineRule="exact"/>
        <w:rPr>
          <w:sz w:val="20"/>
          <w:szCs w:val="20"/>
          <w:color w:val="auto"/>
        </w:rPr>
      </w:pPr>
      <w:r>
        <w:rPr>
          <w:rFonts w:ascii="Times New Roman" w:cs="Times New Roman" w:eastAsia="Times New Roman" w:hAnsi="Times New Roman"/>
          <w:sz w:val="14"/>
          <w:szCs w:val="14"/>
          <w:color w:val="auto"/>
        </w:rPr>
        <w:t xml:space="preserve">your new address in the address space above. Please note that changes to the </w:t>
      </w:r>
      <w:r>
        <w:rPr>
          <w:rFonts w:ascii="MS PGothic" w:cs="MS PGothic" w:eastAsia="MS PGothic" w:hAnsi="MS PGothic"/>
          <w:sz w:val="18"/>
          <w:szCs w:val="18"/>
          <w:color w:val="auto"/>
        </w:rPr>
        <w:t>☐</w:t>
      </w:r>
      <w:r>
        <w:rPr>
          <w:rFonts w:ascii="Times New Roman" w:cs="Times New Roman" w:eastAsia="Times New Roman" w:hAnsi="Times New Roman"/>
          <w:sz w:val="14"/>
          <w:szCs w:val="14"/>
          <w:color w:val="auto"/>
        </w:rPr>
        <w:t xml:space="preserve"> registered name(s) on the account may not be submitted via this method.</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75"/>
              </w:rPr>
              <w:t>1.</w:t>
            </w:r>
          </w:p>
        </w:tc>
        <w:tc>
          <w:tcPr>
            <w:tcW w:w="40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Election of Directors:</w:t>
            </w: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FOR</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AGAINST</w:t>
            </w:r>
          </w:p>
        </w:tc>
        <w:tc>
          <w:tcPr>
            <w:tcW w:w="7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98"/>
              </w:rPr>
              <w:t>ABSTAIN</w:t>
            </w:r>
          </w:p>
        </w:tc>
      </w:tr>
      <w:tr>
        <w:trPr>
          <w:trHeight w:val="300"/>
        </w:trPr>
        <w:tc>
          <w:tcPr>
            <w:tcW w:w="160" w:type="dxa"/>
            <w:vAlign w:val="bottom"/>
          </w:tcPr>
          <w:p>
            <w:pPr>
              <w:spacing w:after="0"/>
              <w:rPr>
                <w:sz w:val="24"/>
                <w:szCs w:val="24"/>
                <w:color w:val="auto"/>
              </w:rPr>
            </w:pPr>
          </w:p>
        </w:tc>
        <w:tc>
          <w:tcPr>
            <w:tcW w:w="40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Sue W. Cole</w:t>
            </w:r>
          </w:p>
        </w:tc>
        <w:tc>
          <w:tcPr>
            <w:tcW w:w="4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r>
      <w:tr>
        <w:trPr>
          <w:trHeight w:val="284"/>
        </w:trPr>
        <w:tc>
          <w:tcPr>
            <w:tcW w:w="160" w:type="dxa"/>
            <w:vAlign w:val="bottom"/>
          </w:tcPr>
          <w:p>
            <w:pPr>
              <w:spacing w:after="0"/>
              <w:rPr>
                <w:sz w:val="24"/>
                <w:szCs w:val="24"/>
                <w:color w:val="auto"/>
              </w:rPr>
            </w:pPr>
          </w:p>
        </w:tc>
        <w:tc>
          <w:tcPr>
            <w:tcW w:w="40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Smith W. Davis</w:t>
            </w:r>
          </w:p>
        </w:tc>
        <w:tc>
          <w:tcPr>
            <w:tcW w:w="4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r>
      <w:tr>
        <w:trPr>
          <w:trHeight w:val="284"/>
        </w:trPr>
        <w:tc>
          <w:tcPr>
            <w:tcW w:w="160" w:type="dxa"/>
            <w:vAlign w:val="bottom"/>
          </w:tcPr>
          <w:p>
            <w:pPr>
              <w:spacing w:after="0"/>
              <w:rPr>
                <w:sz w:val="24"/>
                <w:szCs w:val="24"/>
                <w:color w:val="auto"/>
              </w:rPr>
            </w:pPr>
          </w:p>
        </w:tc>
        <w:tc>
          <w:tcPr>
            <w:tcW w:w="40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John J. Koraleski</w:t>
            </w:r>
          </w:p>
        </w:tc>
        <w:tc>
          <w:tcPr>
            <w:tcW w:w="4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r>
      <w:tr>
        <w:trPr>
          <w:trHeight w:val="284"/>
        </w:trPr>
        <w:tc>
          <w:tcPr>
            <w:tcW w:w="160" w:type="dxa"/>
            <w:vAlign w:val="bottom"/>
          </w:tcPr>
          <w:p>
            <w:pPr>
              <w:spacing w:after="0"/>
              <w:rPr>
                <w:sz w:val="24"/>
                <w:szCs w:val="24"/>
                <w:color w:val="auto"/>
              </w:rPr>
            </w:pPr>
          </w:p>
        </w:tc>
        <w:tc>
          <w:tcPr>
            <w:tcW w:w="40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David G. Maffucci</w:t>
            </w:r>
          </w:p>
        </w:tc>
        <w:tc>
          <w:tcPr>
            <w:tcW w:w="4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r>
      <w:tr>
        <w:trPr>
          <w:trHeight w:val="284"/>
        </w:trPr>
        <w:tc>
          <w:tcPr>
            <w:tcW w:w="160" w:type="dxa"/>
            <w:vAlign w:val="bottom"/>
          </w:tcPr>
          <w:p>
            <w:pPr>
              <w:spacing w:after="0"/>
              <w:rPr>
                <w:sz w:val="24"/>
                <w:szCs w:val="24"/>
                <w:color w:val="auto"/>
              </w:rPr>
            </w:pPr>
          </w:p>
        </w:tc>
        <w:tc>
          <w:tcPr>
            <w:tcW w:w="40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Michael J. Quillen</w:t>
            </w:r>
          </w:p>
        </w:tc>
        <w:tc>
          <w:tcPr>
            <w:tcW w:w="4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r>
      <w:tr>
        <w:trPr>
          <w:trHeight w:val="284"/>
        </w:trPr>
        <w:tc>
          <w:tcPr>
            <w:tcW w:w="160" w:type="dxa"/>
            <w:vAlign w:val="bottom"/>
          </w:tcPr>
          <w:p>
            <w:pPr>
              <w:spacing w:after="0"/>
              <w:rPr>
                <w:sz w:val="24"/>
                <w:szCs w:val="24"/>
                <w:color w:val="auto"/>
              </w:rPr>
            </w:pPr>
          </w:p>
        </w:tc>
        <w:tc>
          <w:tcPr>
            <w:tcW w:w="40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Donald W. Slager</w:t>
            </w:r>
          </w:p>
        </w:tc>
        <w:tc>
          <w:tcPr>
            <w:tcW w:w="4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r>
      <w:tr>
        <w:trPr>
          <w:trHeight w:val="284"/>
        </w:trPr>
        <w:tc>
          <w:tcPr>
            <w:tcW w:w="160" w:type="dxa"/>
            <w:vAlign w:val="bottom"/>
          </w:tcPr>
          <w:p>
            <w:pPr>
              <w:spacing w:after="0"/>
              <w:rPr>
                <w:sz w:val="24"/>
                <w:szCs w:val="24"/>
                <w:color w:val="auto"/>
              </w:rPr>
            </w:pPr>
          </w:p>
        </w:tc>
        <w:tc>
          <w:tcPr>
            <w:tcW w:w="40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Stephen P. Zelnak, Jr.</w:t>
            </w:r>
          </w:p>
        </w:tc>
        <w:tc>
          <w:tcPr>
            <w:tcW w:w="4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r>
      <w:tr>
        <w:trPr>
          <w:trHeight w:val="243"/>
        </w:trPr>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75"/>
              </w:rPr>
              <w:t>2.</w:t>
            </w:r>
          </w:p>
        </w:tc>
        <w:tc>
          <w:tcPr>
            <w:tcW w:w="40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Ratification of selection of PricewaterhouseCoopers as independent</w:t>
            </w:r>
          </w:p>
        </w:tc>
        <w:tc>
          <w:tcPr>
            <w:tcW w:w="4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r>
      <w:tr>
        <w:trPr>
          <w:trHeight w:val="188"/>
        </w:trPr>
        <w:tc>
          <w:tcPr>
            <w:tcW w:w="160" w:type="dxa"/>
            <w:vAlign w:val="bottom"/>
          </w:tcPr>
          <w:p>
            <w:pPr>
              <w:spacing w:after="0"/>
              <w:rPr>
                <w:sz w:val="16"/>
                <w:szCs w:val="16"/>
                <w:color w:val="auto"/>
              </w:rPr>
            </w:pPr>
          </w:p>
        </w:tc>
        <w:tc>
          <w:tcPr>
            <w:tcW w:w="40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auditors.</w:t>
            </w: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44"/>
        </w:trPr>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75"/>
              </w:rPr>
              <w:t>3.</w:t>
            </w:r>
          </w:p>
        </w:tc>
        <w:tc>
          <w:tcPr>
            <w:tcW w:w="40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Approval, by a non-binding advisory vote, of the compensation of</w:t>
            </w:r>
          </w:p>
        </w:tc>
        <w:tc>
          <w:tcPr>
            <w:tcW w:w="4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r>
      <w:tr>
        <w:trPr>
          <w:trHeight w:val="188"/>
        </w:trPr>
        <w:tc>
          <w:tcPr>
            <w:tcW w:w="160" w:type="dxa"/>
            <w:vAlign w:val="bottom"/>
          </w:tcPr>
          <w:p>
            <w:pPr>
              <w:spacing w:after="0"/>
              <w:rPr>
                <w:sz w:val="16"/>
                <w:szCs w:val="16"/>
                <w:color w:val="auto"/>
              </w:rPr>
            </w:pPr>
          </w:p>
        </w:tc>
        <w:tc>
          <w:tcPr>
            <w:tcW w:w="40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Martin Marietta Materials, Inc.’s named executive officers.</w:t>
            </w: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r>
    </w:tbl>
    <w:p>
      <w:pPr>
        <w:spacing w:after="0" w:line="79" w:lineRule="exact"/>
        <w:rPr>
          <w:sz w:val="20"/>
          <w:szCs w:val="20"/>
          <w:color w:val="auto"/>
        </w:rPr>
      </w:pPr>
    </w:p>
    <w:p>
      <w:pPr>
        <w:ind w:left="220" w:right="160" w:hanging="218"/>
        <w:spacing w:after="0" w:line="262" w:lineRule="auto"/>
        <w:tabs>
          <w:tab w:leader="none" w:pos="22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their discretion, the proxies are authorized to vote upon such other business as may properly come before the meeting, or any adjournments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3191510</wp:posOffset>
            </wp:positionH>
            <wp:positionV relativeFrom="paragraph">
              <wp:posOffset>897255</wp:posOffset>
            </wp:positionV>
            <wp:extent cx="728980" cy="1543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80" cy="154305"/>
                    </a:xfrm>
                    <a:prstGeom prst="rect">
                      <a:avLst/>
                    </a:prstGeom>
                    <a:noFill/>
                  </pic:spPr>
                </pic:pic>
              </a:graphicData>
            </a:graphic>
          </wp:anchor>
        </w:drawing>
      </w:r>
    </w:p>
    <w:p>
      <w:pPr>
        <w:spacing w:after="0" w:line="1393" w:lineRule="exact"/>
        <w:rPr>
          <w:sz w:val="20"/>
          <w:szCs w:val="20"/>
          <w:color w:val="auto"/>
        </w:rPr>
      </w:pPr>
    </w:p>
    <w:p>
      <w:pPr>
        <w:sectPr>
          <w:pgSz w:w="11900" w:h="16838" w:orient="portrait"/>
          <w:cols w:equalWidth="0" w:num="2">
            <w:col w:w="5120" w:space="140"/>
            <w:col w:w="6180"/>
          </w:cols>
          <w:pgMar w:left="240" w:top="455" w:right="21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1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Signature of Shareholder</w:t>
            </w:r>
          </w:p>
        </w:tc>
        <w:tc>
          <w:tcPr>
            <w:tcW w:w="2420" w:type="dxa"/>
            <w:vAlign w:val="bottom"/>
            <w:tcBorders>
              <w:top w:val="single" w:sz="8" w:color="auto"/>
              <w:bottom w:val="single" w:sz="8" w:color="auto"/>
              <w:right w:val="single" w:sz="8" w:color="auto"/>
            </w:tcBorders>
          </w:tcPr>
          <w:p>
            <w:pPr>
              <w:spacing w:after="0"/>
              <w:rPr>
                <w:sz w:val="19"/>
                <w:szCs w:val="19"/>
                <w:color w:val="auto"/>
              </w:rPr>
            </w:pPr>
          </w:p>
        </w:tc>
        <w:tc>
          <w:tcPr>
            <w:tcW w:w="4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Date:</w:t>
            </w:r>
          </w:p>
        </w:tc>
        <w:tc>
          <w:tcPr>
            <w:tcW w:w="1120" w:type="dxa"/>
            <w:vAlign w:val="bottom"/>
            <w:tcBorders>
              <w:top w:val="single" w:sz="8" w:color="auto"/>
              <w:bottom w:val="single" w:sz="8" w:color="auto"/>
              <w:right w:val="single" w:sz="8" w:color="auto"/>
            </w:tcBorders>
          </w:tcPr>
          <w:p>
            <w:pPr>
              <w:spacing w:after="0"/>
              <w:rPr>
                <w:sz w:val="19"/>
                <w:szCs w:val="19"/>
                <w:color w:val="auto"/>
              </w:rPr>
            </w:pPr>
          </w:p>
        </w:tc>
        <w:tc>
          <w:tcPr>
            <w:tcW w:w="18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Signature of Shareholder</w:t>
            </w:r>
          </w:p>
        </w:tc>
        <w:tc>
          <w:tcPr>
            <w:tcW w:w="2260" w:type="dxa"/>
            <w:vAlign w:val="bottom"/>
            <w:tcBorders>
              <w:top w:val="single" w:sz="8" w:color="auto"/>
              <w:bottom w:val="single" w:sz="8" w:color="auto"/>
              <w:right w:val="single" w:sz="8" w:color="auto"/>
            </w:tcBorders>
          </w:tcPr>
          <w:p>
            <w:pPr>
              <w:spacing w:after="0"/>
              <w:rPr>
                <w:sz w:val="19"/>
                <w:szCs w:val="19"/>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2"/>
              </w:rPr>
              <w:t>Date:</w:t>
            </w:r>
          </w:p>
        </w:tc>
      </w:tr>
    </w:tbl>
    <w:p>
      <w:pPr>
        <w:spacing w:after="0" w:line="97" w:lineRule="exact"/>
        <w:rPr>
          <w:sz w:val="20"/>
          <w:szCs w:val="20"/>
          <w:color w:val="auto"/>
        </w:rPr>
      </w:pPr>
    </w:p>
    <w:p>
      <w:pPr>
        <w:ind w:left="720" w:right="380" w:hanging="459"/>
        <w:spacing w:after="0" w:line="241" w:lineRule="auto"/>
        <w:tabs>
          <w:tab w:leader="none" w:pos="700" w:val="left"/>
        </w:tabs>
        <w:rPr>
          <w:sz w:val="20"/>
          <w:szCs w:val="20"/>
          <w:color w:val="auto"/>
        </w:rPr>
      </w:pPr>
      <w:r>
        <w:rPr>
          <w:rFonts w:ascii="Times New Roman" w:cs="Times New Roman" w:eastAsia="Times New Roman" w:hAnsi="Times New Roman"/>
          <w:sz w:val="14"/>
          <w:szCs w:val="14"/>
          <w:b w:val="1"/>
          <w:bCs w:val="1"/>
          <w:color w:val="auto"/>
        </w:rPr>
        <w:t>Note:</w:t>
      </w:r>
      <w:r>
        <w:rPr>
          <w:sz w:val="20"/>
          <w:szCs w:val="20"/>
          <w:color w:val="auto"/>
        </w:rPr>
        <w:tab/>
      </w:r>
      <w:r>
        <w:rPr>
          <w:rFonts w:ascii="Times New Roman" w:cs="Times New Roman" w:eastAsia="Times New Roman" w:hAnsi="Times New Roman"/>
          <w:sz w:val="14"/>
          <w:szCs w:val="14"/>
          <w:color w:val="auto"/>
        </w:rPr>
        <w:t>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ectPr>
          <w:pgSz w:w="11900" w:h="16838" w:orient="portrait"/>
          <w:cols w:equalWidth="0" w:num="1">
            <w:col w:w="11440"/>
          </w:cols>
          <w:pgMar w:left="240" w:top="455" w:right="219" w:bottom="1440" w:gutter="0" w:footer="0" w:header="0"/>
          <w:type w:val="continuous"/>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ANNUAL MEETING OF SHAREHOLDERS OF</w:t>
      </w:r>
    </w:p>
    <w:p>
      <w:pPr>
        <w:spacing w:after="0" w:line="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MARTIN MARIETTA MATERIALS, INC.</w:t>
      </w:r>
    </w:p>
    <w:p>
      <w:pPr>
        <w:spacing w:after="0" w:line="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May 17, 2018</w:t>
      </w:r>
    </w:p>
    <w:p>
      <w:pPr>
        <w:spacing w:after="0" w:line="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GO GREEN</w:t>
      </w:r>
    </w:p>
    <w:p>
      <w:pPr>
        <w:ind w:left="3220"/>
        <w:spacing w:after="0" w:line="229" w:lineRule="auto"/>
        <w:rPr>
          <w:sz w:val="20"/>
          <w:szCs w:val="20"/>
          <w:color w:val="auto"/>
        </w:rPr>
      </w:pPr>
      <w:r>
        <w:rPr>
          <w:rFonts w:ascii="Times New Roman" w:cs="Times New Roman" w:eastAsia="Times New Roman" w:hAnsi="Times New Roman"/>
          <w:sz w:val="14"/>
          <w:szCs w:val="14"/>
          <w:color w:val="auto"/>
        </w:rPr>
        <w:t>e-Consent makes it easy to go paperless. With e-Consent, you can quickly access your</w:t>
      </w:r>
    </w:p>
    <w:p>
      <w:pPr>
        <w:ind w:left="3220"/>
        <w:spacing w:after="0" w:line="222" w:lineRule="auto"/>
        <w:rPr>
          <w:sz w:val="20"/>
          <w:szCs w:val="20"/>
          <w:color w:val="auto"/>
        </w:rPr>
      </w:pPr>
      <w:r>
        <w:rPr>
          <w:rFonts w:ascii="Times New Roman" w:cs="Times New Roman" w:eastAsia="Times New Roman" w:hAnsi="Times New Roman"/>
          <w:sz w:val="14"/>
          <w:szCs w:val="14"/>
          <w:color w:val="auto"/>
        </w:rPr>
        <w:t>proxy material, statements and other eligible documents online, while reducing costs,</w:t>
      </w:r>
    </w:p>
    <w:p>
      <w:pPr>
        <w:ind w:left="3220"/>
        <w:spacing w:after="0"/>
        <w:rPr>
          <w:sz w:val="20"/>
          <w:szCs w:val="20"/>
          <w:color w:val="auto"/>
        </w:rPr>
      </w:pPr>
      <w:r>
        <w:rPr>
          <w:rFonts w:ascii="Times New Roman" w:cs="Times New Roman" w:eastAsia="Times New Roman" w:hAnsi="Times New Roman"/>
          <w:sz w:val="14"/>
          <w:szCs w:val="14"/>
          <w:color w:val="auto"/>
        </w:rPr>
        <w:t>clutter and paper waste. Enroll today via www.astfinancial.com to enjoy online access.</w:t>
      </w:r>
    </w:p>
    <w:p>
      <w:pPr>
        <w:spacing w:after="0" w:line="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u w:val="single" w:color="auto"/>
          <w:color w:val="auto"/>
        </w:rPr>
        <w:t>NOTICE OF INTERNET AVAILABILITY OF PROXY MATERIAL</w:t>
      </w:r>
      <w:r>
        <w:rPr>
          <w:rFonts w:ascii="Times New Roman" w:cs="Times New Roman" w:eastAsia="Times New Roman" w:hAnsi="Times New Roman"/>
          <w:sz w:val="14"/>
          <w:szCs w:val="14"/>
          <w:color w:val="auto"/>
        </w:rPr>
        <w:t>:</w:t>
      </w:r>
    </w:p>
    <w:p>
      <w:pPr>
        <w:jc w:val="center"/>
        <w:ind w:right="-59"/>
        <w:spacing w:after="0" w:line="229" w:lineRule="auto"/>
        <w:rPr>
          <w:sz w:val="20"/>
          <w:szCs w:val="20"/>
          <w:color w:val="auto"/>
        </w:rPr>
      </w:pPr>
      <w:r>
        <w:rPr>
          <w:rFonts w:ascii="Times New Roman" w:cs="Times New Roman" w:eastAsia="Times New Roman" w:hAnsi="Times New Roman"/>
          <w:sz w:val="14"/>
          <w:szCs w:val="14"/>
          <w:color w:val="auto"/>
        </w:rPr>
        <w:t>The proxy statement, form of proxy card and 2017 Annual Report to Shareholders</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are available for review on the Internet at http://ir.martinmarietta.com/investor-relations/reports-filings</w:t>
      </w:r>
    </w:p>
    <w:p>
      <w:pPr>
        <w:spacing w:after="0" w:line="67"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3160" w:type="dxa"/>
            <w:vAlign w:val="bottom"/>
          </w:tcPr>
          <w:p>
            <w:pPr>
              <w:spacing w:after="0"/>
              <w:rPr>
                <w:sz w:val="13"/>
                <w:szCs w:val="13"/>
                <w:color w:val="auto"/>
              </w:rPr>
            </w:pPr>
          </w:p>
        </w:tc>
        <w:tc>
          <w:tcPr>
            <w:tcW w:w="41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Please sign, date and mail</w:t>
            </w:r>
          </w:p>
        </w:tc>
      </w:tr>
      <w:tr>
        <w:trPr>
          <w:trHeight w:val="149"/>
        </w:trPr>
        <w:tc>
          <w:tcPr>
            <w:tcW w:w="3160" w:type="dxa"/>
            <w:vAlign w:val="bottom"/>
          </w:tcPr>
          <w:p>
            <w:pPr>
              <w:spacing w:after="0"/>
              <w:rPr>
                <w:sz w:val="12"/>
                <w:szCs w:val="12"/>
                <w:color w:val="auto"/>
              </w:rPr>
            </w:pPr>
          </w:p>
        </w:tc>
        <w:tc>
          <w:tcPr>
            <w:tcW w:w="4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your proxy card in the</w:t>
            </w:r>
          </w:p>
        </w:tc>
      </w:tr>
      <w:tr>
        <w:trPr>
          <w:trHeight w:val="149"/>
        </w:trPr>
        <w:tc>
          <w:tcPr>
            <w:tcW w:w="3160" w:type="dxa"/>
            <w:vAlign w:val="bottom"/>
          </w:tcPr>
          <w:p>
            <w:pPr>
              <w:spacing w:after="0"/>
              <w:rPr>
                <w:sz w:val="12"/>
                <w:szCs w:val="12"/>
                <w:color w:val="auto"/>
              </w:rPr>
            </w:pPr>
          </w:p>
        </w:tc>
        <w:tc>
          <w:tcPr>
            <w:tcW w:w="418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envelope provided as soon</w:t>
            </w:r>
          </w:p>
        </w:tc>
      </w:tr>
      <w:tr>
        <w:trPr>
          <w:trHeight w:val="188"/>
        </w:trPr>
        <w:tc>
          <w:tcPr>
            <w:tcW w:w="3160" w:type="dxa"/>
            <w:vAlign w:val="bottom"/>
          </w:tcPr>
          <w:p>
            <w:pPr>
              <w:spacing w:after="0"/>
              <w:rPr>
                <w:sz w:val="16"/>
                <w:szCs w:val="16"/>
                <w:color w:val="auto"/>
              </w:rPr>
            </w:pPr>
          </w:p>
        </w:tc>
        <w:tc>
          <w:tcPr>
            <w:tcW w:w="41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as possible.</w:t>
            </w:r>
          </w:p>
        </w:tc>
      </w:tr>
      <w:tr>
        <w:trPr>
          <w:trHeight w:val="257"/>
        </w:trPr>
        <w:tc>
          <w:tcPr>
            <w:tcW w:w="3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w:t>
            </w:r>
          </w:p>
        </w:tc>
        <w:tc>
          <w:tcPr>
            <w:tcW w:w="4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Please detach along perforated line and mail in the envelope provided. i</w:t>
            </w:r>
          </w:p>
        </w:tc>
      </w:tr>
      <w:tr>
        <w:trPr>
          <w:trHeight w:val="270"/>
        </w:trPr>
        <w:tc>
          <w:tcPr>
            <w:tcW w:w="3160" w:type="dxa"/>
            <w:vAlign w:val="bottom"/>
          </w:tcPr>
          <w:p>
            <w:pPr>
              <w:jc w:val="right"/>
              <w:ind w:right="1528"/>
              <w:spacing w:after="0"/>
              <w:rPr>
                <w:sz w:val="20"/>
                <w:szCs w:val="20"/>
                <w:color w:val="auto"/>
              </w:rPr>
            </w:pPr>
            <w:r>
              <w:rPr>
                <w:rFonts w:ascii="Times New Roman" w:cs="Times New Roman" w:eastAsia="Times New Roman" w:hAnsi="Times New Roman"/>
                <w:sz w:val="14"/>
                <w:szCs w:val="14"/>
                <w:color w:val="auto"/>
              </w:rPr>
              <w:t>00033333333300000000 8</w:t>
            </w:r>
          </w:p>
        </w:tc>
        <w:tc>
          <w:tcPr>
            <w:tcW w:w="418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rPr>
              <w:t>051718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6550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3655060"/>
                    </a:xfrm>
                    <a:prstGeom prst="rect">
                      <a:avLst/>
                    </a:prstGeom>
                    <a:noFill/>
                  </pic:spPr>
                </pic:pic>
              </a:graphicData>
            </a:graphic>
          </wp:anchor>
        </w:drawing>
      </w:r>
    </w:p>
    <w:p>
      <w:pPr>
        <w:spacing w:after="0" w:line="1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YOU DO NOT NEED TO MARK ANY BOXES IF YOU WISH TO VOTE IN ACCORDANCE WITH THE BOARD OF DIRECTORS’</w:t>
      </w:r>
    </w:p>
    <w:p>
      <w:pPr>
        <w:jc w:val="center"/>
        <w:ind w:right="-59"/>
        <w:spacing w:after="0" w:line="229" w:lineRule="auto"/>
        <w:rPr>
          <w:sz w:val="20"/>
          <w:szCs w:val="20"/>
          <w:color w:val="auto"/>
        </w:rPr>
      </w:pPr>
      <w:r>
        <w:rPr>
          <w:rFonts w:ascii="Times New Roman" w:cs="Times New Roman" w:eastAsia="Times New Roman" w:hAnsi="Times New Roman"/>
          <w:sz w:val="14"/>
          <w:szCs w:val="14"/>
          <w:b w:val="1"/>
          <w:bCs w:val="1"/>
          <w:color w:val="auto"/>
        </w:rPr>
        <w:t>RECOMMENDATIONS.</w:t>
      </w:r>
    </w:p>
    <w:p>
      <w:pPr>
        <w:jc w:val="center"/>
        <w:ind w:right="-59"/>
        <w:spacing w:after="0" w:line="224" w:lineRule="auto"/>
        <w:rPr>
          <w:sz w:val="20"/>
          <w:szCs w:val="20"/>
          <w:color w:val="auto"/>
        </w:rPr>
      </w:pPr>
      <w:r>
        <w:rPr>
          <w:rFonts w:ascii="Times New Roman" w:cs="Times New Roman" w:eastAsia="Times New Roman" w:hAnsi="Times New Roman"/>
          <w:sz w:val="14"/>
          <w:szCs w:val="14"/>
          <w:b w:val="1"/>
          <w:bCs w:val="1"/>
          <w:color w:val="auto"/>
        </w:rPr>
        <w:t>THE BOARD OF DIRECTORS RECOMMENDS YOU VOTE “FOR” ITEMS 1, 2 AND 3.</w:t>
      </w:r>
    </w:p>
    <w:p>
      <w:pPr>
        <w:spacing w:after="0" w:line="1" w:lineRule="exact"/>
        <w:rPr>
          <w:sz w:val="20"/>
          <w:szCs w:val="20"/>
          <w:color w:val="auto"/>
        </w:rPr>
      </w:pPr>
    </w:p>
    <w:p>
      <w:pPr>
        <w:ind w:left="380"/>
        <w:spacing w:after="0" w:line="207" w:lineRule="exact"/>
        <w:rPr>
          <w:sz w:val="20"/>
          <w:szCs w:val="20"/>
          <w:color w:val="auto"/>
        </w:rPr>
      </w:pPr>
      <w:r>
        <w:rPr>
          <w:rFonts w:ascii="Times New Roman" w:cs="Times New Roman" w:eastAsia="Times New Roman" w:hAnsi="Times New Roman"/>
          <w:sz w:val="14"/>
          <w:szCs w:val="14"/>
          <w:b w:val="1"/>
          <w:bCs w:val="1"/>
          <w:color w:val="auto"/>
        </w:rPr>
        <w:t xml:space="preserve">PLEASE SIGN, DATE AND RETURN PROMPTLY IN THE ENCLOSED ENVELOPE. PLEASE MARK YOUR VOTE IN BLUE OR BLACK INK AS SHOWN HERE </w:t>
      </w:r>
      <w:r>
        <w:rPr>
          <w:rFonts w:ascii="MS PGothic" w:cs="MS PGothic" w:eastAsia="MS PGothic" w:hAnsi="MS PGothic"/>
          <w:sz w:val="18"/>
          <w:szCs w:val="18"/>
          <w:color w:val="auto"/>
          <w:highlight w:val="black"/>
        </w:rPr>
        <w:t>☒</w:t>
      </w:r>
    </w:p>
    <w:p>
      <w:pPr>
        <w:spacing w:after="0" w:line="100"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This proxy is solicited by the Board of Directors of Martin Marietta Materials, Inc.</w:t>
            </w:r>
          </w:p>
        </w:tc>
        <w:tc>
          <w:tcPr>
            <w:tcW w:w="42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  Election of Directors:</w:t>
            </w: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FOR</w:t>
            </w:r>
          </w:p>
        </w:tc>
        <w:tc>
          <w:tcPr>
            <w:tcW w:w="7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AGAINST</w:t>
            </w:r>
          </w:p>
        </w:tc>
        <w:tc>
          <w:tcPr>
            <w:tcW w:w="7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98"/>
              </w:rPr>
              <w:t>ABSTAIN</w:t>
            </w:r>
          </w:p>
        </w:tc>
        <w:tc>
          <w:tcPr>
            <w:tcW w:w="0" w:type="dxa"/>
            <w:vAlign w:val="bottom"/>
          </w:tcPr>
          <w:p>
            <w:pPr>
              <w:spacing w:after="0"/>
              <w:rPr>
                <w:sz w:val="1"/>
                <w:szCs w:val="1"/>
                <w:color w:val="auto"/>
              </w:rPr>
            </w:pPr>
          </w:p>
        </w:tc>
      </w:tr>
      <w:tr>
        <w:trPr>
          <w:trHeight w:val="147"/>
        </w:trPr>
        <w:tc>
          <w:tcPr>
            <w:tcW w:w="504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and when properly executed will be voted as specified herein and, unless otherwise</w:t>
            </w:r>
          </w:p>
        </w:tc>
        <w:tc>
          <w:tcPr>
            <w:tcW w:w="42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Sue W. Cole</w:t>
            </w:r>
          </w:p>
        </w:tc>
        <w:tc>
          <w:tcPr>
            <w:tcW w:w="42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60" w:type="dxa"/>
            <w:vAlign w:val="bottom"/>
            <w:vMerge w:val="restart"/>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700" w:type="dxa"/>
            <w:vAlign w:val="bottom"/>
            <w:vMerge w:val="restart"/>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1"/>
        </w:trPr>
        <w:tc>
          <w:tcPr>
            <w:tcW w:w="504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 xml:space="preserve">directed, will be voted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xml:space="preserve"> the election of all nominees as Directors,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xml:space="preserve"> the</w:t>
            </w:r>
          </w:p>
        </w:tc>
        <w:tc>
          <w:tcPr>
            <w:tcW w:w="428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504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ratification of the selection of PricewaterhouseCoopers as independent auditors, and</w:t>
            </w:r>
          </w:p>
        </w:tc>
        <w:tc>
          <w:tcPr>
            <w:tcW w:w="42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Smith W. Davis</w:t>
            </w:r>
          </w:p>
        </w:tc>
        <w:tc>
          <w:tcPr>
            <w:tcW w:w="42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60" w:type="dxa"/>
            <w:vAlign w:val="bottom"/>
            <w:vMerge w:val="restart"/>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700" w:type="dxa"/>
            <w:vAlign w:val="bottom"/>
            <w:vMerge w:val="restart"/>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9"/>
        </w:trPr>
        <w:tc>
          <w:tcPr>
            <w:tcW w:w="50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FOR </w:t>
            </w:r>
            <w:r>
              <w:rPr>
                <w:rFonts w:ascii="Times New Roman" w:cs="Times New Roman" w:eastAsia="Times New Roman" w:hAnsi="Times New Roman"/>
                <w:sz w:val="14"/>
                <w:szCs w:val="14"/>
                <w:color w:val="auto"/>
              </w:rPr>
              <w:t>the approval, by a non-binding advisory vote, of the compensation of our named</w:t>
            </w:r>
          </w:p>
        </w:tc>
        <w:tc>
          <w:tcPr>
            <w:tcW w:w="4280" w:type="dxa"/>
            <w:vAlign w:val="bottom"/>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executive officers. The Board of Directors recommends voting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xml:space="preserve"> each item.</w:t>
            </w:r>
          </w:p>
        </w:tc>
        <w:tc>
          <w:tcPr>
            <w:tcW w:w="42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John J. Koraleski</w:t>
            </w:r>
          </w:p>
        </w:tc>
        <w:tc>
          <w:tcPr>
            <w:tcW w:w="42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60" w:type="dxa"/>
            <w:vAlign w:val="bottom"/>
            <w:vMerge w:val="restart"/>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700" w:type="dxa"/>
            <w:vAlign w:val="bottom"/>
            <w:vMerge w:val="restart"/>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25"/>
        </w:trPr>
        <w:tc>
          <w:tcPr>
            <w:tcW w:w="5040" w:type="dxa"/>
            <w:vAlign w:val="bottom"/>
          </w:tcPr>
          <w:p>
            <w:pPr>
              <w:spacing w:after="0"/>
              <w:rPr>
                <w:sz w:val="10"/>
                <w:szCs w:val="10"/>
                <w:color w:val="auto"/>
              </w:rPr>
            </w:pPr>
          </w:p>
        </w:tc>
        <w:tc>
          <w:tcPr>
            <w:tcW w:w="428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7"/>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Receipt of Notice of Annual Meeting of Shareholders and accompanying Proxy</w:t>
            </w:r>
          </w:p>
        </w:tc>
        <w:tc>
          <w:tcPr>
            <w:tcW w:w="4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David G. Maffucci</w:t>
            </w:r>
          </w:p>
        </w:tc>
        <w:tc>
          <w:tcPr>
            <w:tcW w:w="4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7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8"/>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Statement is hereby acknowledged.</w:t>
            </w:r>
          </w:p>
        </w:tc>
        <w:tc>
          <w:tcPr>
            <w:tcW w:w="42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Michael J. Quillen</w:t>
            </w:r>
          </w:p>
        </w:tc>
        <w:tc>
          <w:tcPr>
            <w:tcW w:w="42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60" w:type="dxa"/>
            <w:vAlign w:val="bottom"/>
            <w:vMerge w:val="restart"/>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700" w:type="dxa"/>
            <w:vAlign w:val="bottom"/>
            <w:vMerge w:val="restart"/>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2"/>
        </w:trPr>
        <w:tc>
          <w:tcPr>
            <w:tcW w:w="5040" w:type="dxa"/>
            <w:vAlign w:val="bottom"/>
          </w:tcPr>
          <w:p>
            <w:pPr>
              <w:spacing w:after="0"/>
              <w:rPr>
                <w:sz w:val="13"/>
                <w:szCs w:val="13"/>
                <w:color w:val="auto"/>
              </w:rPr>
            </w:pPr>
          </w:p>
        </w:tc>
        <w:tc>
          <w:tcPr>
            <w:tcW w:w="428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84"/>
        </w:trPr>
        <w:tc>
          <w:tcPr>
            <w:tcW w:w="5040" w:type="dxa"/>
            <w:vAlign w:val="bottom"/>
          </w:tcPr>
          <w:p>
            <w:pPr>
              <w:spacing w:after="0"/>
              <w:rPr>
                <w:sz w:val="24"/>
                <w:szCs w:val="24"/>
                <w:color w:val="auto"/>
              </w:rPr>
            </w:pPr>
          </w:p>
        </w:tc>
        <w:tc>
          <w:tcPr>
            <w:tcW w:w="4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Donald W. Slager</w:t>
            </w:r>
          </w:p>
        </w:tc>
        <w:tc>
          <w:tcPr>
            <w:tcW w:w="4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7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4"/>
        </w:trPr>
        <w:tc>
          <w:tcPr>
            <w:tcW w:w="5040" w:type="dxa"/>
            <w:vAlign w:val="bottom"/>
          </w:tcPr>
          <w:p>
            <w:pPr>
              <w:spacing w:after="0"/>
              <w:rPr>
                <w:sz w:val="24"/>
                <w:szCs w:val="24"/>
                <w:color w:val="auto"/>
              </w:rPr>
            </w:pPr>
          </w:p>
        </w:tc>
        <w:tc>
          <w:tcPr>
            <w:tcW w:w="4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Stephen P. Zelnak, Jr.</w:t>
            </w:r>
          </w:p>
        </w:tc>
        <w:tc>
          <w:tcPr>
            <w:tcW w:w="4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7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3"/>
        </w:trPr>
        <w:tc>
          <w:tcPr>
            <w:tcW w:w="5040" w:type="dxa"/>
            <w:vAlign w:val="bottom"/>
          </w:tcPr>
          <w:p>
            <w:pPr>
              <w:spacing w:after="0"/>
              <w:rPr>
                <w:sz w:val="21"/>
                <w:szCs w:val="21"/>
                <w:color w:val="auto"/>
              </w:rPr>
            </w:pPr>
          </w:p>
        </w:tc>
        <w:tc>
          <w:tcPr>
            <w:tcW w:w="42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2.  Ratification of selection of PricewaterhouseCoopers as independent</w:t>
            </w:r>
          </w:p>
        </w:tc>
        <w:tc>
          <w:tcPr>
            <w:tcW w:w="4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7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8"/>
        </w:trPr>
        <w:tc>
          <w:tcPr>
            <w:tcW w:w="5040" w:type="dxa"/>
            <w:vAlign w:val="bottom"/>
          </w:tcPr>
          <w:p>
            <w:pPr>
              <w:spacing w:after="0"/>
              <w:rPr>
                <w:sz w:val="16"/>
                <w:szCs w:val="16"/>
                <w:color w:val="auto"/>
              </w:rPr>
            </w:pPr>
          </w:p>
        </w:tc>
        <w:tc>
          <w:tcPr>
            <w:tcW w:w="4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auditors.</w:t>
            </w: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5040" w:type="dxa"/>
            <w:vAlign w:val="bottom"/>
          </w:tcPr>
          <w:p>
            <w:pPr>
              <w:spacing w:after="0"/>
              <w:rPr>
                <w:sz w:val="21"/>
                <w:szCs w:val="21"/>
                <w:color w:val="auto"/>
              </w:rPr>
            </w:pPr>
          </w:p>
        </w:tc>
        <w:tc>
          <w:tcPr>
            <w:tcW w:w="42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3.  Approval, by a non-binding advisory vote, of the compensation of</w:t>
            </w:r>
          </w:p>
        </w:tc>
        <w:tc>
          <w:tcPr>
            <w:tcW w:w="4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7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8"/>
        </w:trPr>
        <w:tc>
          <w:tcPr>
            <w:tcW w:w="5040" w:type="dxa"/>
            <w:vAlign w:val="bottom"/>
          </w:tcPr>
          <w:p>
            <w:pPr>
              <w:spacing w:after="0"/>
              <w:rPr>
                <w:sz w:val="16"/>
                <w:szCs w:val="16"/>
                <w:color w:val="auto"/>
              </w:rPr>
            </w:pPr>
          </w:p>
        </w:tc>
        <w:tc>
          <w:tcPr>
            <w:tcW w:w="4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Martin Marietta Materials, Inc.’s named executive officers.</w:t>
            </w: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5480" w:right="80" w:hanging="218"/>
        <w:spacing w:after="0" w:line="262" w:lineRule="auto"/>
        <w:tabs>
          <w:tab w:leader="none" w:pos="548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their discretion, the proxies are authorized to vote upon such other business as may properly come before the meeting, or any adjournments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change the address on your account, please check the box at right and indicate</w:t>
      </w:r>
    </w:p>
    <w:p>
      <w:pPr>
        <w:spacing w:after="0" w:line="161" w:lineRule="exact"/>
        <w:tabs>
          <w:tab w:leader="none" w:pos="4880" w:val="left"/>
        </w:tabs>
        <w:rPr>
          <w:sz w:val="20"/>
          <w:szCs w:val="20"/>
          <w:color w:val="auto"/>
        </w:rPr>
      </w:pPr>
      <w:r>
        <w:rPr>
          <w:rFonts w:ascii="Times New Roman" w:cs="Times New Roman" w:eastAsia="Times New Roman" w:hAnsi="Times New Roman"/>
          <w:sz w:val="14"/>
          <w:szCs w:val="14"/>
          <w:color w:val="auto"/>
        </w:rPr>
        <w:t>your new address in the address space above. Please note that changes to the</w:t>
      </w:r>
      <w:r>
        <w:rPr>
          <w:sz w:val="20"/>
          <w:szCs w:val="20"/>
          <w:color w:val="auto"/>
        </w:rPr>
        <w:tab/>
      </w:r>
      <w:r>
        <w:rPr>
          <w:rFonts w:ascii="MS PGothic" w:cs="MS PGothic" w:eastAsia="MS PGothic" w:hAnsi="MS PGothic"/>
          <w:sz w:val="16"/>
          <w:szCs w:val="16"/>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registered name(s) on the account may not be submitted via this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6531610</wp:posOffset>
            </wp:positionH>
            <wp:positionV relativeFrom="paragraph">
              <wp:posOffset>167640</wp:posOffset>
            </wp:positionV>
            <wp:extent cx="728980" cy="1543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80" cy="154305"/>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Signature of Shareholder</w:t>
            </w:r>
          </w:p>
        </w:tc>
        <w:tc>
          <w:tcPr>
            <w:tcW w:w="2420" w:type="dxa"/>
            <w:vAlign w:val="bottom"/>
            <w:tcBorders>
              <w:top w:val="single" w:sz="8" w:color="auto"/>
              <w:bottom w:val="single" w:sz="8" w:color="auto"/>
              <w:right w:val="single" w:sz="8" w:color="auto"/>
            </w:tcBorders>
          </w:tcPr>
          <w:p>
            <w:pPr>
              <w:spacing w:after="0"/>
              <w:rPr>
                <w:sz w:val="19"/>
                <w:szCs w:val="19"/>
                <w:color w:val="auto"/>
              </w:rPr>
            </w:pPr>
          </w:p>
        </w:tc>
        <w:tc>
          <w:tcPr>
            <w:tcW w:w="4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Date:</w:t>
            </w:r>
          </w:p>
        </w:tc>
        <w:tc>
          <w:tcPr>
            <w:tcW w:w="1120" w:type="dxa"/>
            <w:vAlign w:val="bottom"/>
            <w:tcBorders>
              <w:top w:val="single" w:sz="8" w:color="auto"/>
              <w:bottom w:val="single" w:sz="8" w:color="auto"/>
              <w:right w:val="single" w:sz="8" w:color="auto"/>
            </w:tcBorders>
          </w:tcPr>
          <w:p>
            <w:pPr>
              <w:spacing w:after="0"/>
              <w:rPr>
                <w:sz w:val="19"/>
                <w:szCs w:val="19"/>
                <w:color w:val="auto"/>
              </w:rPr>
            </w:pPr>
          </w:p>
        </w:tc>
        <w:tc>
          <w:tcPr>
            <w:tcW w:w="18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Signature of Shareholder</w:t>
            </w:r>
          </w:p>
        </w:tc>
        <w:tc>
          <w:tcPr>
            <w:tcW w:w="2260" w:type="dxa"/>
            <w:vAlign w:val="bottom"/>
            <w:tcBorders>
              <w:top w:val="single" w:sz="8" w:color="auto"/>
              <w:bottom w:val="single" w:sz="8" w:color="auto"/>
              <w:right w:val="single" w:sz="8" w:color="auto"/>
            </w:tcBorders>
          </w:tcPr>
          <w:p>
            <w:pPr>
              <w:spacing w:after="0"/>
              <w:rPr>
                <w:sz w:val="19"/>
                <w:szCs w:val="19"/>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2"/>
              </w:rPr>
              <w:t>Date:</w:t>
            </w:r>
          </w:p>
        </w:tc>
      </w:tr>
    </w:tbl>
    <w:p>
      <w:pPr>
        <w:spacing w:after="0" w:line="97" w:lineRule="exact"/>
        <w:rPr>
          <w:sz w:val="20"/>
          <w:szCs w:val="20"/>
          <w:color w:val="auto"/>
        </w:rPr>
      </w:pPr>
    </w:p>
    <w:p>
      <w:pPr>
        <w:ind w:left="720" w:right="300" w:hanging="459"/>
        <w:spacing w:after="0" w:line="241" w:lineRule="auto"/>
        <w:tabs>
          <w:tab w:leader="none" w:pos="700" w:val="left"/>
        </w:tabs>
        <w:rPr>
          <w:sz w:val="20"/>
          <w:szCs w:val="20"/>
          <w:color w:val="auto"/>
        </w:rPr>
      </w:pPr>
      <w:r>
        <w:rPr>
          <w:rFonts w:ascii="Times New Roman" w:cs="Times New Roman" w:eastAsia="Times New Roman" w:hAnsi="Times New Roman"/>
          <w:sz w:val="14"/>
          <w:szCs w:val="14"/>
          <w:b w:val="1"/>
          <w:bCs w:val="1"/>
          <w:color w:val="auto"/>
        </w:rPr>
        <w:t>Note:</w:t>
      </w:r>
      <w:r>
        <w:rPr>
          <w:sz w:val="20"/>
          <w:szCs w:val="20"/>
          <w:color w:val="auto"/>
        </w:rPr>
        <w:tab/>
      </w:r>
      <w:r>
        <w:rPr>
          <w:rFonts w:ascii="Times New Roman" w:cs="Times New Roman" w:eastAsia="Times New Roman" w:hAnsi="Times New Roman"/>
          <w:sz w:val="14"/>
          <w:szCs w:val="14"/>
          <w:color w:val="auto"/>
        </w:rPr>
        <w:t>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ectPr>
          <w:pgSz w:w="11900" w:h="16838" w:orient="portrait"/>
          <w:cols w:equalWidth="0" w:num="1">
            <w:col w:w="11360"/>
          </w:cols>
          <w:pgMar w:left="240" w:top="455" w:right="29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0160"/>
        <w:spacing w:after="0"/>
        <w:rPr>
          <w:sz w:val="20"/>
          <w:szCs w:val="20"/>
          <w:color w:val="auto"/>
        </w:rPr>
      </w:pPr>
      <w:r>
        <w:rPr>
          <w:rFonts w:ascii="Times New Roman" w:cs="Times New Roman" w:eastAsia="Times New Roman" w:hAnsi="Times New Roman"/>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MARTIN MARIETTA MATERIALS, INC.</w:t>
      </w:r>
    </w:p>
    <w:p>
      <w:pPr>
        <w:spacing w:after="0" w:line="26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Proxy solicited by the Board of Directors for the</w:t>
      </w:r>
    </w:p>
    <w:p>
      <w:pPr>
        <w:spacing w:after="0" w:line="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Annual Meeting to be held May 17, 2018</w:t>
      </w:r>
    </w:p>
    <w:p>
      <w:pPr>
        <w:spacing w:after="0" w:line="247" w:lineRule="exact"/>
        <w:rPr>
          <w:sz w:val="20"/>
          <w:szCs w:val="20"/>
          <w:color w:val="auto"/>
        </w:rPr>
      </w:pPr>
    </w:p>
    <w:p>
      <w:pPr>
        <w:ind w:left="260" w:right="200"/>
        <w:spacing w:after="0" w:line="266" w:lineRule="auto"/>
        <w:rPr>
          <w:sz w:val="20"/>
          <w:szCs w:val="20"/>
          <w:color w:val="auto"/>
        </w:rPr>
      </w:pPr>
      <w:r>
        <w:rPr>
          <w:rFonts w:ascii="Times New Roman" w:cs="Times New Roman" w:eastAsia="Times New Roman" w:hAnsi="Times New Roman"/>
          <w:sz w:val="18"/>
          <w:szCs w:val="18"/>
          <w:color w:val="auto"/>
        </w:rPr>
        <w:t>The undersigned hereby appoints C. Howard Nye and James A. J. Nickolas, and each or either of them, proxies, with full power of substitution, with the powers the undersigned would possess if personally present, to vote, as designated below, all shares of the common stock of the undersigned in Martin Marietta Materials, Inc. at the Annual Meeting of Shareholders to be held on May 17, 2018, and at any adjournment thereof.</w:t>
      </w:r>
    </w:p>
    <w:p>
      <w:pPr>
        <w:spacing w:after="0" w:line="21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(Continued and to be signed on the reverse side)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60"/>
        <w:spacing w:after="0"/>
        <w:tabs>
          <w:tab w:leader="none" w:pos="1068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14475</w:t>
      </w:r>
    </w:p>
    <w:sectPr>
      <w:pgSz w:w="11900" w:h="16838" w:orient="portrait"/>
      <w:cols w:equalWidth="0" w:num="1">
        <w:col w:w="11160"/>
      </w:cols>
      <w:pgMar w:left="240" w:top="455"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BA5D23"/>
    <w:multiLevelType w:val="hybridMultilevel"/>
    <w:lvl w:ilvl="0">
      <w:lvlJc w:val="left"/>
      <w:lvlText w:val="☐"/>
      <w:numFmt w:val="bullet"/>
      <w:start w:val="1"/>
    </w:lvl>
  </w:abstractNum>
  <w:abstractNum w:abstractNumId="1">
    <w:nsid w:val="661E3F1E"/>
    <w:multiLevelType w:val="hybridMultilevel"/>
    <w:lvl w:ilvl="0">
      <w:lvlJc w:val="left"/>
      <w:lvlText w:val="☒"/>
      <w:numFmt w:val="bullet"/>
      <w:start w:val="1"/>
    </w:lvl>
  </w:abstractNum>
  <w:abstractNum w:abstractNumId="2">
    <w:nsid w:val="5DC79EA8"/>
    <w:multiLevelType w:val="hybridMultilevel"/>
    <w:lvl w:ilvl="0">
      <w:lvlJc w:val="left"/>
      <w:lvlText w:val="☐"/>
      <w:numFmt w:val="bullet"/>
      <w:start w:val="1"/>
    </w:lvl>
    <w:lvl w:ilvl="1">
      <w:lvlJc w:val="left"/>
      <w:lvlText w:val="(%2)"/>
      <w:numFmt w:val="decimal"/>
      <w:start w:val="1"/>
    </w:lvl>
  </w:abstractNum>
  <w:abstractNum w:abstractNumId="3">
    <w:nsid w:val="540A471C"/>
    <w:multiLevelType w:val="hybridMultilevel"/>
    <w:lvl w:ilvl="0">
      <w:lvlJc w:val="left"/>
      <w:lvlText w:val="(%1)"/>
      <w:numFmt w:val="decimal"/>
      <w:start w:val="1"/>
    </w:lvl>
  </w:abstractNum>
  <w:abstractNum w:abstractNumId="4">
    <w:nsid w:val="7BD3EE7B"/>
    <w:multiLevelType w:val="hybridMultilevel"/>
    <w:lvl w:ilvl="0">
      <w:lvlJc w:val="left"/>
      <w:lvlText w:val="2"/>
      <w:numFmt w:val="bullet"/>
      <w:start w:val="1"/>
    </w:lvl>
  </w:abstractNum>
  <w:abstractNum w:abstractNumId="5">
    <w:nsid w:val="51D9C564"/>
    <w:multiLevelType w:val="hybridMultilevel"/>
    <w:lvl w:ilvl="0">
      <w:lvlJc w:val="left"/>
      <w:lvlText w:val="•"/>
      <w:numFmt w:val="bullet"/>
      <w:start w:val="1"/>
    </w:lvl>
  </w:abstractNum>
  <w:abstractNum w:abstractNumId="6">
    <w:nsid w:val="613EFDC5"/>
    <w:multiLevelType w:val="hybridMultilevel"/>
    <w:lvl w:ilvl="0">
      <w:lvlJc w:val="left"/>
      <w:lvlText w:val="•"/>
      <w:numFmt w:val="bullet"/>
      <w:start w:val="1"/>
    </w:lvl>
  </w:abstractNum>
  <w:abstractNum w:abstractNumId="7">
    <w:nsid w:val="BF72B14"/>
    <w:multiLevelType w:val="hybridMultilevel"/>
    <w:lvl w:ilvl="0">
      <w:lvlJc w:val="left"/>
      <w:lvlText w:val="•"/>
      <w:numFmt w:val="bullet"/>
      <w:start w:val="1"/>
    </w:lvl>
  </w:abstractNum>
  <w:abstractNum w:abstractNumId="8">
    <w:nsid w:val="11447B73"/>
    <w:multiLevelType w:val="hybridMultilevel"/>
    <w:lvl w:ilvl="0">
      <w:lvlJc w:val="left"/>
      <w:lvlText w:val="*"/>
      <w:numFmt w:val="bullet"/>
      <w:start w:val="1"/>
    </w:lvl>
  </w:abstractNum>
  <w:abstractNum w:abstractNumId="9">
    <w:nsid w:val="42963E5A"/>
    <w:multiLevelType w:val="hybridMultilevel"/>
    <w:lvl w:ilvl="0">
      <w:lvlJc w:val="left"/>
      <w:lvlText w:val="4"/>
      <w:numFmt w:val="bullet"/>
      <w:start w:val="1"/>
    </w:lvl>
  </w:abstractNum>
  <w:abstractNum w:abstractNumId="10">
    <w:nsid w:val="A0382C5"/>
    <w:multiLevelType w:val="hybridMultilevel"/>
    <w:lvl w:ilvl="0">
      <w:lvlJc w:val="left"/>
      <w:lvlText w:val="•"/>
      <w:numFmt w:val="bullet"/>
      <w:start w:val="1"/>
    </w:lvl>
  </w:abstractNum>
  <w:abstractNum w:abstractNumId="11">
    <w:nsid w:val="8F2B15E"/>
    <w:multiLevelType w:val="hybridMultilevel"/>
    <w:lvl w:ilvl="0">
      <w:lvlJc w:val="left"/>
      <w:lvlText w:val="•"/>
      <w:numFmt w:val="bullet"/>
      <w:start w:val="1"/>
    </w:lvl>
  </w:abstractNum>
  <w:abstractNum w:abstractNumId="12">
    <w:nsid w:val="1A32234B"/>
    <w:multiLevelType w:val="hybridMultilevel"/>
    <w:lvl w:ilvl="0">
      <w:lvlJc w:val="left"/>
      <w:lvlText w:val="6"/>
      <w:numFmt w:val="bullet"/>
      <w:start w:val="1"/>
    </w:lvl>
  </w:abstractNum>
  <w:abstractNum w:abstractNumId="13">
    <w:nsid w:val="3B0FD379"/>
    <w:multiLevelType w:val="hybridMultilevel"/>
    <w:lvl w:ilvl="0">
      <w:lvlJc w:val="left"/>
      <w:lvlText w:val="•"/>
      <w:numFmt w:val="bullet"/>
      <w:start w:val="1"/>
    </w:lvl>
  </w:abstractNum>
  <w:abstractNum w:abstractNumId="14">
    <w:nsid w:val="68EB2F63"/>
    <w:multiLevelType w:val="hybridMultilevel"/>
    <w:lvl w:ilvl="0">
      <w:lvlJc w:val="left"/>
      <w:lvlText w:val="•"/>
      <w:numFmt w:val="bullet"/>
      <w:start w:val="1"/>
    </w:lvl>
  </w:abstractNum>
  <w:abstractNum w:abstractNumId="15">
    <w:nsid w:val="4962813B"/>
    <w:multiLevelType w:val="hybridMultilevel"/>
    <w:lvl w:ilvl="0">
      <w:lvlJc w:val="left"/>
      <w:lvlText w:val="•"/>
      <w:numFmt w:val="bullet"/>
      <w:start w:val="1"/>
    </w:lvl>
  </w:abstractNum>
  <w:abstractNum w:abstractNumId="16">
    <w:nsid w:val="60B6DF70"/>
    <w:multiLevelType w:val="hybridMultilevel"/>
    <w:lvl w:ilvl="0">
      <w:lvlJc w:val="left"/>
      <w:lvlText w:val="8"/>
      <w:numFmt w:val="bullet"/>
      <w:start w:val="1"/>
    </w:lvl>
  </w:abstractNum>
  <w:abstractNum w:abstractNumId="17">
    <w:nsid w:val="6A5EE64"/>
    <w:multiLevelType w:val="hybridMultilevel"/>
    <w:lvl w:ilvl="0">
      <w:lvlJc w:val="left"/>
      <w:lvlText w:val="•"/>
      <w:numFmt w:val="bullet"/>
      <w:start w:val="1"/>
    </w:lvl>
  </w:abstractNum>
  <w:abstractNum w:abstractNumId="18">
    <w:nsid w:val="14330624"/>
    <w:multiLevelType w:val="hybridMultilevel"/>
    <w:lvl w:ilvl="0">
      <w:lvlJc w:val="left"/>
      <w:lvlText w:val="•"/>
      <w:numFmt w:val="bullet"/>
      <w:start w:val="1"/>
    </w:lvl>
  </w:abstractNum>
  <w:abstractNum w:abstractNumId="19">
    <w:nsid w:val="7FFFCA11"/>
    <w:multiLevelType w:val="hybridMultilevel"/>
    <w:lvl w:ilvl="0">
      <w:lvlJc w:val="left"/>
      <w:lvlText w:val="•"/>
      <w:numFmt w:val="bullet"/>
      <w:start w:val="1"/>
    </w:lvl>
  </w:abstractNum>
  <w:abstractNum w:abstractNumId="20">
    <w:nsid w:val="1A27709E"/>
    <w:multiLevelType w:val="hybridMultilevel"/>
    <w:lvl w:ilvl="0">
      <w:lvlJc w:val="left"/>
      <w:lvlText w:val="%1"/>
      <w:numFmt w:val="decimal"/>
      <w:start w:val="10"/>
    </w:lvl>
  </w:abstractNum>
  <w:abstractNum w:abstractNumId="21">
    <w:nsid w:val="71EA1109"/>
    <w:multiLevelType w:val="hybridMultilevel"/>
    <w:lvl w:ilvl="0">
      <w:lvlJc w:val="left"/>
      <w:lvlText w:val="•"/>
      <w:numFmt w:val="bullet"/>
      <w:start w:val="1"/>
    </w:lvl>
  </w:abstractNum>
  <w:abstractNum w:abstractNumId="22">
    <w:nsid w:val="100F59DC"/>
    <w:multiLevelType w:val="hybridMultilevel"/>
    <w:lvl w:ilvl="0">
      <w:lvlJc w:val="left"/>
      <w:lvlText w:val="•"/>
      <w:numFmt w:val="bullet"/>
      <w:start w:val="1"/>
    </w:lvl>
  </w:abstractNum>
  <w:abstractNum w:abstractNumId="23">
    <w:nsid w:val="7FB7E0AA"/>
    <w:multiLevelType w:val="hybridMultilevel"/>
    <w:lvl w:ilvl="0">
      <w:lvlJc w:val="left"/>
      <w:lvlText w:val="%1"/>
      <w:numFmt w:val="decimal"/>
      <w:start w:val="12"/>
    </w:lvl>
  </w:abstractNum>
  <w:abstractNum w:abstractNumId="24">
    <w:nsid w:val="6EB5BD4"/>
    <w:multiLevelType w:val="hybridMultilevel"/>
    <w:lvl w:ilvl="0">
      <w:lvlJc w:val="left"/>
      <w:lvlText w:val="1"/>
      <w:numFmt w:val="bullet"/>
      <w:start w:val="1"/>
    </w:lvl>
  </w:abstractNum>
  <w:abstractNum w:abstractNumId="25">
    <w:nsid w:val="6F6DD9AC"/>
    <w:multiLevelType w:val="hybridMultilevel"/>
    <w:lvl w:ilvl="0">
      <w:lvlJc w:val="left"/>
      <w:lvlText w:val="2"/>
      <w:numFmt w:val="bullet"/>
      <w:start w:val="1"/>
    </w:lvl>
  </w:abstractNum>
  <w:abstractNum w:abstractNumId="26">
    <w:nsid w:val="94211F2"/>
    <w:multiLevelType w:val="hybridMultilevel"/>
    <w:lvl w:ilvl="0">
      <w:lvlJc w:val="left"/>
      <w:lvlText w:val="3"/>
      <w:numFmt w:val="bullet"/>
      <w:start w:val="1"/>
    </w:lvl>
  </w:abstractNum>
  <w:abstractNum w:abstractNumId="27">
    <w:nsid w:val="885E1B"/>
    <w:multiLevelType w:val="hybridMultilevel"/>
    <w:lvl w:ilvl="0">
      <w:lvlJc w:val="left"/>
      <w:lvlText w:val="1"/>
      <w:numFmt w:val="bullet"/>
      <w:start w:val="1"/>
    </w:lvl>
  </w:abstractNum>
  <w:abstractNum w:abstractNumId="28">
    <w:nsid w:val="76272110"/>
    <w:multiLevelType w:val="hybridMultilevel"/>
    <w:lvl w:ilvl="0">
      <w:lvlJc w:val="left"/>
      <w:lvlText w:val="2"/>
      <w:numFmt w:val="bullet"/>
      <w:start w:val="1"/>
    </w:lvl>
  </w:abstractNum>
  <w:abstractNum w:abstractNumId="29">
    <w:nsid w:val="4C04A8AF"/>
    <w:multiLevelType w:val="hybridMultilevel"/>
    <w:lvl w:ilvl="0">
      <w:lvlJc w:val="left"/>
      <w:lvlText w:val="3"/>
      <w:numFmt w:val="bullet"/>
      <w:start w:val="1"/>
    </w:lvl>
  </w:abstractNum>
  <w:abstractNum w:abstractNumId="30">
    <w:nsid w:val="1716703B"/>
    <w:multiLevelType w:val="hybridMultilevel"/>
    <w:lvl w:ilvl="0">
      <w:lvlJc w:val="left"/>
      <w:lvlText w:val="4"/>
      <w:numFmt w:val="bullet"/>
      <w:start w:val="1"/>
    </w:lvl>
  </w:abstractNum>
  <w:abstractNum w:abstractNumId="31">
    <w:nsid w:val="14E17E33"/>
    <w:multiLevelType w:val="hybridMultilevel"/>
    <w:lvl w:ilvl="0">
      <w:lvlJc w:val="left"/>
      <w:lvlText w:val="5"/>
      <w:numFmt w:val="bullet"/>
      <w:start w:val="1"/>
    </w:lvl>
  </w:abstractNum>
  <w:abstractNum w:abstractNumId="32">
    <w:nsid w:val="3222E7CD"/>
    <w:multiLevelType w:val="hybridMultilevel"/>
    <w:lvl w:ilvl="0">
      <w:lvlJc w:val="left"/>
      <w:lvlText w:val="6"/>
      <w:numFmt w:val="bullet"/>
      <w:start w:val="1"/>
    </w:lvl>
  </w:abstractNum>
  <w:abstractNum w:abstractNumId="33">
    <w:nsid w:val="74DE0EE3"/>
    <w:multiLevelType w:val="hybridMultilevel"/>
    <w:lvl w:ilvl="0">
      <w:lvlJc w:val="left"/>
      <w:lvlText w:val="%1"/>
      <w:numFmt w:val="decimal"/>
      <w:start w:val="14"/>
    </w:lvl>
  </w:abstractNum>
  <w:abstractNum w:abstractNumId="34">
    <w:nsid w:val="68EBC550"/>
    <w:multiLevelType w:val="hybridMultilevel"/>
    <w:lvl w:ilvl="0">
      <w:lvlJc w:val="left"/>
      <w:lvlText w:val="1"/>
      <w:numFmt w:val="bullet"/>
      <w:start w:val="1"/>
    </w:lvl>
  </w:abstractNum>
  <w:abstractNum w:abstractNumId="35">
    <w:nsid w:val="2DF6D648"/>
    <w:multiLevelType w:val="hybridMultilevel"/>
    <w:lvl w:ilvl="0">
      <w:lvlJc w:val="left"/>
      <w:lvlText w:val="2"/>
      <w:numFmt w:val="bullet"/>
      <w:start w:val="1"/>
    </w:lvl>
  </w:abstractNum>
  <w:abstractNum w:abstractNumId="36">
    <w:nsid w:val="46B7D447"/>
    <w:multiLevelType w:val="hybridMultilevel"/>
    <w:lvl w:ilvl="0">
      <w:lvlJc w:val="left"/>
      <w:lvlText w:val="3"/>
      <w:numFmt w:val="bullet"/>
      <w:start w:val="1"/>
    </w:lvl>
  </w:abstractNum>
  <w:abstractNum w:abstractNumId="37">
    <w:nsid w:val="4A2AC315"/>
    <w:multiLevelType w:val="hybridMultilevel"/>
    <w:lvl w:ilvl="0">
      <w:lvlJc w:val="left"/>
      <w:lvlText w:val="4"/>
      <w:numFmt w:val="bullet"/>
      <w:start w:val="1"/>
    </w:lvl>
  </w:abstractNum>
  <w:abstractNum w:abstractNumId="38">
    <w:nsid w:val="39EE015C"/>
    <w:multiLevelType w:val="hybridMultilevel"/>
    <w:lvl w:ilvl="0">
      <w:lvlJc w:val="left"/>
      <w:lvlText w:val="5"/>
      <w:numFmt w:val="bullet"/>
      <w:start w:val="1"/>
    </w:lvl>
  </w:abstractNum>
  <w:abstractNum w:abstractNumId="39">
    <w:nsid w:val="57FC4FBB"/>
    <w:multiLevelType w:val="hybridMultilevel"/>
    <w:lvl w:ilvl="0">
      <w:lvlJc w:val="left"/>
      <w:lvlText w:val="6"/>
      <w:numFmt w:val="bullet"/>
      <w:start w:val="1"/>
    </w:lvl>
  </w:abstractNum>
  <w:abstractNum w:abstractNumId="40">
    <w:nsid w:val="CC1016F"/>
    <w:multiLevelType w:val="hybridMultilevel"/>
    <w:lvl w:ilvl="0">
      <w:lvlJc w:val="left"/>
      <w:lvlText w:val="1"/>
      <w:numFmt w:val="bullet"/>
      <w:start w:val="1"/>
    </w:lvl>
  </w:abstractNum>
  <w:abstractNum w:abstractNumId="41">
    <w:nsid w:val="43F18422"/>
    <w:multiLevelType w:val="hybridMultilevel"/>
    <w:lvl w:ilvl="0">
      <w:lvlJc w:val="left"/>
      <w:lvlText w:val="2"/>
      <w:numFmt w:val="bullet"/>
      <w:start w:val="1"/>
    </w:lvl>
  </w:abstractNum>
  <w:abstractNum w:abstractNumId="42">
    <w:nsid w:val="60EF0119"/>
    <w:multiLevelType w:val="hybridMultilevel"/>
    <w:lvl w:ilvl="0">
      <w:lvlJc w:val="left"/>
      <w:lvlText w:val="%1"/>
      <w:numFmt w:val="decimal"/>
      <w:start w:val="16"/>
    </w:lvl>
  </w:abstractNum>
  <w:abstractNum w:abstractNumId="43">
    <w:nsid w:val="26F324BA"/>
    <w:multiLevelType w:val="hybridMultilevel"/>
    <w:lvl w:ilvl="0">
      <w:lvlJc w:val="left"/>
      <w:lvlText w:val="%1"/>
      <w:numFmt w:val="decimal"/>
      <w:start w:val="18"/>
    </w:lvl>
  </w:abstractNum>
  <w:abstractNum w:abstractNumId="44">
    <w:nsid w:val="7F01579B"/>
    <w:multiLevelType w:val="hybridMultilevel"/>
    <w:lvl w:ilvl="0">
      <w:lvlJc w:val="left"/>
      <w:lvlText w:val="•"/>
      <w:numFmt w:val="bullet"/>
      <w:start w:val="1"/>
    </w:lvl>
  </w:abstractNum>
  <w:abstractNum w:abstractNumId="45">
    <w:nsid w:val="49DA307D"/>
    <w:multiLevelType w:val="hybridMultilevel"/>
    <w:lvl w:ilvl="0">
      <w:lvlJc w:val="left"/>
      <w:lvlText w:val="•"/>
      <w:numFmt w:val="bullet"/>
      <w:start w:val="1"/>
    </w:lvl>
  </w:abstractNum>
  <w:abstractNum w:abstractNumId="46">
    <w:nsid w:val="7055A5F5"/>
    <w:multiLevelType w:val="hybridMultilevel"/>
    <w:lvl w:ilvl="0">
      <w:lvlJc w:val="left"/>
      <w:lvlText w:val="(%1)"/>
      <w:numFmt w:val="decimal"/>
      <w:start w:val="3"/>
    </w:lvl>
  </w:abstractNum>
  <w:abstractNum w:abstractNumId="47">
    <w:nsid w:val="5FB8370B"/>
    <w:multiLevelType w:val="hybridMultilevel"/>
    <w:lvl w:ilvl="0">
      <w:lvlJc w:val="left"/>
      <w:lvlText w:val="%1"/>
      <w:numFmt w:val="decimal"/>
      <w:start w:val="20"/>
    </w:lvl>
  </w:abstractNum>
  <w:abstractNum w:abstractNumId="48">
    <w:nsid w:val="50801EE1"/>
    <w:multiLevelType w:val="hybridMultilevel"/>
    <w:lvl w:ilvl="0">
      <w:lvlJc w:val="left"/>
      <w:lvlText w:val="•"/>
      <w:numFmt w:val="bullet"/>
      <w:start w:val="1"/>
    </w:lvl>
  </w:abstractNum>
  <w:abstractNum w:abstractNumId="49">
    <w:nsid w:val="488AC1A"/>
    <w:multiLevelType w:val="hybridMultilevel"/>
    <w:lvl w:ilvl="0">
      <w:lvlJc w:val="left"/>
      <w:lvlText w:val="%1"/>
      <w:numFmt w:val="decimal"/>
      <w:start w:val="22"/>
    </w:lvl>
  </w:abstractNum>
  <w:abstractNum w:abstractNumId="50">
    <w:nsid w:val="5FB8011C"/>
    <w:multiLevelType w:val="hybridMultilevel"/>
    <w:lvl w:ilvl="0">
      <w:lvlJc w:val="left"/>
      <w:lvlText w:val="•"/>
      <w:numFmt w:val="bullet"/>
      <w:start w:val="1"/>
    </w:lvl>
  </w:abstractNum>
  <w:abstractNum w:abstractNumId="51">
    <w:nsid w:val="6AA78F7F"/>
    <w:multiLevelType w:val="hybridMultilevel"/>
    <w:lvl w:ilvl="0">
      <w:lvlJc w:val="left"/>
      <w:lvlText w:val="•"/>
      <w:numFmt w:val="bullet"/>
      <w:start w:val="1"/>
    </w:lvl>
  </w:abstractNum>
  <w:abstractNum w:abstractNumId="52">
    <w:nsid w:val="7672BD23"/>
    <w:multiLevelType w:val="hybridMultilevel"/>
    <w:lvl w:ilvl="0">
      <w:lvlJc w:val="left"/>
      <w:lvlText w:val="•"/>
      <w:numFmt w:val="bullet"/>
      <w:start w:val="1"/>
    </w:lvl>
  </w:abstractNum>
  <w:abstractNum w:abstractNumId="53">
    <w:nsid w:val="6FC75AF8"/>
    <w:multiLevelType w:val="hybridMultilevel"/>
    <w:lvl w:ilvl="0">
      <w:lvlJc w:val="left"/>
      <w:lvlText w:val="•"/>
      <w:numFmt w:val="bullet"/>
      <w:start w:val="1"/>
    </w:lvl>
  </w:abstractNum>
  <w:abstractNum w:abstractNumId="54">
    <w:nsid w:val="6A5F7029"/>
    <w:multiLevelType w:val="hybridMultilevel"/>
    <w:lvl w:ilvl="0">
      <w:lvlJc w:val="left"/>
      <w:lvlText w:val="%1"/>
      <w:numFmt w:val="decimal"/>
      <w:start w:val="24"/>
    </w:lvl>
  </w:abstractNum>
  <w:abstractNum w:abstractNumId="55">
    <w:nsid w:val="7D5E18F8"/>
    <w:multiLevelType w:val="hybridMultilevel"/>
    <w:lvl w:ilvl="0">
      <w:lvlJc w:val="left"/>
      <w:lvlText w:val="%1"/>
      <w:numFmt w:val="decimal"/>
      <w:start w:val="26"/>
    </w:lvl>
  </w:abstractNum>
  <w:abstractNum w:abstractNumId="56">
    <w:nsid w:val="5F3534A4"/>
    <w:multiLevelType w:val="hybridMultilevel"/>
    <w:lvl w:ilvl="0">
      <w:lvlJc w:val="left"/>
      <w:lvlText w:val="1"/>
      <w:numFmt w:val="bullet"/>
      <w:start w:val="1"/>
    </w:lvl>
  </w:abstractNum>
  <w:abstractNum w:abstractNumId="57">
    <w:nsid w:val="73A1821B"/>
    <w:multiLevelType w:val="hybridMultilevel"/>
    <w:lvl w:ilvl="0">
      <w:lvlJc w:val="left"/>
      <w:lvlText w:val="2"/>
      <w:numFmt w:val="bullet"/>
      <w:start w:val="1"/>
    </w:lvl>
  </w:abstractNum>
  <w:abstractNum w:abstractNumId="58">
    <w:nsid w:val="7DE67713"/>
    <w:multiLevelType w:val="hybridMultilevel"/>
    <w:lvl w:ilvl="0">
      <w:lvlJc w:val="left"/>
      <w:lvlText w:val="%1"/>
      <w:numFmt w:val="decimal"/>
      <w:start w:val="28"/>
    </w:lvl>
  </w:abstractNum>
  <w:abstractNum w:abstractNumId="59">
    <w:nsid w:val="555C55B5"/>
    <w:multiLevelType w:val="hybridMultilevel"/>
    <w:lvl w:ilvl="0">
      <w:lvlJc w:val="left"/>
      <w:lvlText w:val="%1"/>
      <w:numFmt w:val="decimal"/>
      <w:start w:val="30"/>
    </w:lvl>
  </w:abstractNum>
  <w:abstractNum w:abstractNumId="60">
    <w:nsid w:val="3FA62ACA"/>
    <w:multiLevelType w:val="hybridMultilevel"/>
    <w:lvl w:ilvl="0">
      <w:lvlJc w:val="left"/>
      <w:lvlText w:val="*"/>
      <w:numFmt w:val="bullet"/>
      <w:start w:val="1"/>
    </w:lvl>
  </w:abstractNum>
  <w:abstractNum w:abstractNumId="61">
    <w:nsid w:val="14FCE74E"/>
    <w:multiLevelType w:val="hybridMultilevel"/>
    <w:lvl w:ilvl="0">
      <w:lvlJc w:val="left"/>
      <w:lvlText w:val="*"/>
      <w:numFmt w:val="bullet"/>
      <w:start w:val="1"/>
    </w:lvl>
    <w:lvl w:ilvl="1">
      <w:lvlJc w:val="left"/>
      <w:lvlText w:val="◆"/>
      <w:numFmt w:val="bullet"/>
      <w:start w:val="1"/>
    </w:lvl>
  </w:abstractNum>
  <w:abstractNum w:abstractNumId="62">
    <w:nsid w:val="6A3DD3E8"/>
    <w:multiLevelType w:val="hybridMultilevel"/>
    <w:lvl w:ilvl="0">
      <w:lvlJc w:val="left"/>
      <w:lvlText w:val="•"/>
      <w:numFmt w:val="bullet"/>
      <w:start w:val="1"/>
    </w:lvl>
  </w:abstractNum>
  <w:abstractNum w:abstractNumId="63">
    <w:nsid w:val="71C91298"/>
    <w:multiLevelType w:val="hybridMultilevel"/>
    <w:lvl w:ilvl="0">
      <w:lvlJc w:val="left"/>
      <w:lvlText w:val="•"/>
      <w:numFmt w:val="bullet"/>
      <w:start w:val="1"/>
    </w:lvl>
  </w:abstractNum>
  <w:abstractNum w:abstractNumId="64">
    <w:nsid w:val="9DAF632"/>
    <w:multiLevelType w:val="hybridMultilevel"/>
    <w:lvl w:ilvl="0">
      <w:lvlJc w:val="left"/>
      <w:lvlText w:val="%1"/>
      <w:numFmt w:val="decimal"/>
      <w:start w:val="32"/>
    </w:lvl>
  </w:abstractNum>
  <w:abstractNum w:abstractNumId="65">
    <w:nsid w:val="53299938"/>
    <w:multiLevelType w:val="hybridMultilevel"/>
    <w:lvl w:ilvl="0">
      <w:lvlJc w:val="left"/>
      <w:lvlText w:val="•"/>
      <w:numFmt w:val="bullet"/>
      <w:start w:val="1"/>
    </w:lvl>
  </w:abstractNum>
  <w:abstractNum w:abstractNumId="66">
    <w:nsid w:val="1FBFE8E0"/>
    <w:multiLevelType w:val="hybridMultilevel"/>
    <w:lvl w:ilvl="0">
      <w:lvlJc w:val="left"/>
      <w:lvlText w:val="•"/>
      <w:numFmt w:val="bullet"/>
      <w:start w:val="1"/>
    </w:lvl>
  </w:abstractNum>
  <w:abstractNum w:abstractNumId="67">
    <w:nsid w:val="5092CA79"/>
    <w:multiLevelType w:val="hybridMultilevel"/>
    <w:lvl w:ilvl="0">
      <w:lvlJc w:val="left"/>
      <w:lvlText w:val="%1"/>
      <w:numFmt w:val="decimal"/>
      <w:start w:val="34"/>
    </w:lvl>
  </w:abstractNum>
  <w:abstractNum w:abstractNumId="68">
    <w:nsid w:val="1D545C4D"/>
    <w:multiLevelType w:val="hybridMultilevel"/>
    <w:lvl w:ilvl="0">
      <w:lvlJc w:val="left"/>
      <w:lvlText w:val="%1"/>
      <w:numFmt w:val="decimal"/>
      <w:start w:val="36"/>
    </w:lvl>
  </w:abstractNum>
  <w:abstractNum w:abstractNumId="69">
    <w:nsid w:val="59ADEA3D"/>
    <w:multiLevelType w:val="hybridMultilevel"/>
    <w:lvl w:ilvl="0">
      <w:lvlJc w:val="left"/>
      <w:lvlText w:val="*"/>
      <w:numFmt w:val="bullet"/>
      <w:start w:val="1"/>
    </w:lvl>
  </w:abstractNum>
  <w:abstractNum w:abstractNumId="70">
    <w:nsid w:val="288F1A34"/>
    <w:multiLevelType w:val="hybridMultilevel"/>
    <w:lvl w:ilvl="0">
      <w:lvlJc w:val="left"/>
      <w:lvlText w:val="•"/>
      <w:numFmt w:val="bullet"/>
      <w:start w:val="1"/>
    </w:lvl>
  </w:abstractNum>
  <w:abstractNum w:abstractNumId="71">
    <w:nsid w:val="2A155DBC"/>
    <w:multiLevelType w:val="hybridMultilevel"/>
    <w:lvl w:ilvl="0">
      <w:lvlJc w:val="left"/>
      <w:lvlText w:val="%1"/>
      <w:numFmt w:val="decimal"/>
      <w:start w:val="38"/>
    </w:lvl>
  </w:abstractNum>
  <w:abstractNum w:abstractNumId="72">
    <w:nsid w:val="1D9F6E5F"/>
    <w:multiLevelType w:val="hybridMultilevel"/>
    <w:lvl w:ilvl="0">
      <w:lvlJc w:val="left"/>
      <w:lvlText w:val="•"/>
      <w:numFmt w:val="bullet"/>
      <w:start w:val="1"/>
    </w:lvl>
  </w:abstractNum>
  <w:abstractNum w:abstractNumId="73">
    <w:nsid w:val="97E1B4E"/>
    <w:multiLevelType w:val="hybridMultilevel"/>
    <w:lvl w:ilvl="0">
      <w:lvlJc w:val="left"/>
      <w:lvlText w:val="•"/>
      <w:numFmt w:val="bullet"/>
      <w:start w:val="1"/>
    </w:lvl>
  </w:abstractNum>
  <w:abstractNum w:abstractNumId="74">
    <w:nsid w:val="51088277"/>
    <w:multiLevelType w:val="hybridMultilevel"/>
    <w:lvl w:ilvl="0">
      <w:lvlJc w:val="left"/>
      <w:lvlText w:val="%1"/>
      <w:numFmt w:val="decimal"/>
      <w:start w:val="40"/>
    </w:lvl>
  </w:abstractNum>
  <w:abstractNum w:abstractNumId="75">
    <w:nsid w:val="1CA0C5FA"/>
    <w:multiLevelType w:val="hybridMultilevel"/>
    <w:lvl w:ilvl="0">
      <w:lvlJc w:val="left"/>
      <w:lvlText w:val="•"/>
      <w:numFmt w:val="bullet"/>
      <w:start w:val="1"/>
    </w:lvl>
  </w:abstractNum>
  <w:abstractNum w:abstractNumId="76">
    <w:nsid w:val="53584BCB"/>
    <w:multiLevelType w:val="hybridMultilevel"/>
    <w:lvl w:ilvl="0">
      <w:lvlJc w:val="left"/>
      <w:lvlText w:val="(%1)"/>
      <w:numFmt w:val="lowerRoman"/>
      <w:start w:val="6"/>
    </w:lvl>
  </w:abstractNum>
  <w:abstractNum w:abstractNumId="77">
    <w:nsid w:val="415E286C"/>
    <w:multiLevelType w:val="hybridMultilevel"/>
    <w:lvl w:ilvl="0">
      <w:lvlJc w:val="left"/>
      <w:lvlText w:val="•"/>
      <w:numFmt w:val="bullet"/>
      <w:start w:val="1"/>
    </w:lvl>
  </w:abstractNum>
  <w:abstractNum w:abstractNumId="78">
    <w:nsid w:val="7C58FD05"/>
    <w:multiLevelType w:val="hybridMultilevel"/>
    <w:lvl w:ilvl="0">
      <w:lvlJc w:val="left"/>
      <w:lvlText w:val="•"/>
      <w:numFmt w:val="bullet"/>
      <w:start w:val="1"/>
    </w:lvl>
  </w:abstractNum>
  <w:abstractNum w:abstractNumId="79">
    <w:nsid w:val="23D86AAC"/>
    <w:multiLevelType w:val="hybridMultilevel"/>
    <w:lvl w:ilvl="0">
      <w:lvlJc w:val="left"/>
      <w:lvlText w:val="%1"/>
      <w:numFmt w:val="decimal"/>
      <w:start w:val="42"/>
    </w:lvl>
  </w:abstractNum>
  <w:abstractNum w:abstractNumId="80">
    <w:nsid w:val="45E6D486"/>
    <w:multiLevelType w:val="hybridMultilevel"/>
    <w:lvl w:ilvl="0">
      <w:lvlJc w:val="left"/>
      <w:lvlText w:val="•"/>
      <w:numFmt w:val="bullet"/>
      <w:start w:val="1"/>
    </w:lvl>
  </w:abstractNum>
  <w:abstractNum w:abstractNumId="81">
    <w:nsid w:val="5C10FE21"/>
    <w:multiLevelType w:val="hybridMultilevel"/>
    <w:lvl w:ilvl="0">
      <w:lvlJc w:val="left"/>
      <w:lvlText w:val="•"/>
      <w:numFmt w:val="bullet"/>
      <w:start w:val="1"/>
    </w:lvl>
    <w:lvl w:ilvl="1">
      <w:lvlJc w:val="left"/>
      <w:lvlText w:val="•"/>
      <w:numFmt w:val="bullet"/>
      <w:start w:val="1"/>
    </w:lvl>
  </w:abstractNum>
  <w:abstractNum w:abstractNumId="82">
    <w:nsid w:val="E7FFA2B"/>
    <w:multiLevelType w:val="hybridMultilevel"/>
    <w:lvl w:ilvl="0">
      <w:lvlJc w:val="left"/>
      <w:lvlText w:val="•"/>
      <w:numFmt w:val="bullet"/>
      <w:start w:val="1"/>
    </w:lvl>
  </w:abstractNum>
  <w:abstractNum w:abstractNumId="83">
    <w:nsid w:val="3C5991AA"/>
    <w:multiLevelType w:val="hybridMultilevel"/>
    <w:lvl w:ilvl="0">
      <w:lvlJc w:val="left"/>
      <w:lvlText w:val="²"/>
      <w:numFmt w:val="bullet"/>
      <w:start w:val="1"/>
    </w:lvl>
  </w:abstractNum>
  <w:abstractNum w:abstractNumId="84">
    <w:nsid w:val="4BD8591A"/>
    <w:multiLevelType w:val="hybridMultilevel"/>
    <w:lvl w:ilvl="0">
      <w:lvlJc w:val="left"/>
      <w:lvlText w:val="•"/>
      <w:numFmt w:val="bullet"/>
      <w:start w:val="1"/>
    </w:lvl>
  </w:abstractNum>
  <w:abstractNum w:abstractNumId="85">
    <w:nsid w:val="78DF6A55"/>
    <w:multiLevelType w:val="hybridMultilevel"/>
    <w:lvl w:ilvl="0">
      <w:lvlJc w:val="left"/>
      <w:lvlText w:val="%1"/>
      <w:numFmt w:val="decimal"/>
      <w:start w:val="44"/>
    </w:lvl>
  </w:abstractNum>
  <w:abstractNum w:abstractNumId="86">
    <w:nsid w:val="39B7AAA2"/>
    <w:multiLevelType w:val="hybridMultilevel"/>
    <w:lvl w:ilvl="0">
      <w:lvlJc w:val="left"/>
      <w:lvlText w:val="(%1)"/>
      <w:numFmt w:val="decimal"/>
      <w:start w:val="1"/>
    </w:lvl>
  </w:abstractNum>
  <w:abstractNum w:abstractNumId="87">
    <w:nsid w:val="2B0D8DBE"/>
    <w:multiLevelType w:val="hybridMultilevel"/>
    <w:lvl w:ilvl="0">
      <w:lvlJc w:val="left"/>
      <w:lvlText w:val="%1"/>
      <w:numFmt w:val="decimal"/>
      <w:start w:val="46"/>
    </w:lvl>
  </w:abstractNum>
  <w:abstractNum w:abstractNumId="88">
    <w:nsid w:val="6C80EC70"/>
    <w:multiLevelType w:val="hybridMultilevel"/>
    <w:lvl w:ilvl="0">
      <w:lvlJc w:val="left"/>
      <w:lvlText w:val="(%1)"/>
      <w:numFmt w:val="decimal"/>
      <w:start w:val="2"/>
    </w:lvl>
  </w:abstractNum>
  <w:abstractNum w:abstractNumId="89">
    <w:nsid w:val="379E21B5"/>
    <w:multiLevelType w:val="hybridMultilevel"/>
    <w:lvl w:ilvl="0">
      <w:lvlJc w:val="left"/>
      <w:lvlText w:val="(%1)"/>
      <w:numFmt w:val="decimal"/>
      <w:start w:val="1"/>
    </w:lvl>
  </w:abstractNum>
  <w:abstractNum w:abstractNumId="90">
    <w:nsid w:val="69E373"/>
    <w:multiLevelType w:val="hybridMultilevel"/>
    <w:lvl w:ilvl="0">
      <w:lvlJc w:val="left"/>
      <w:lvlText w:val="*"/>
      <w:numFmt w:val="bullet"/>
      <w:start w:val="1"/>
    </w:lvl>
  </w:abstractNum>
  <w:abstractNum w:abstractNumId="91">
    <w:nsid w:val="2C27173B"/>
    <w:multiLevelType w:val="hybridMultilevel"/>
    <w:lvl w:ilvl="0">
      <w:lvlJc w:val="left"/>
      <w:lvlText w:val="•"/>
      <w:numFmt w:val="bullet"/>
      <w:start w:val="1"/>
    </w:lvl>
  </w:abstractNum>
  <w:abstractNum w:abstractNumId="92">
    <w:nsid w:val="4C9B0904"/>
    <w:multiLevelType w:val="hybridMultilevel"/>
    <w:lvl w:ilvl="0">
      <w:lvlJc w:val="left"/>
      <w:lvlText w:val="%1"/>
      <w:numFmt w:val="decimal"/>
      <w:start w:val="48"/>
    </w:lvl>
  </w:abstractNum>
  <w:abstractNum w:abstractNumId="93">
    <w:nsid w:val="6AA7B75C"/>
    <w:multiLevelType w:val="hybridMultilevel"/>
    <w:lvl w:ilvl="0">
      <w:lvlJc w:val="left"/>
      <w:lvlText w:val="•"/>
      <w:numFmt w:val="bullet"/>
      <w:start w:val="1"/>
    </w:lvl>
  </w:abstractNum>
  <w:abstractNum w:abstractNumId="94">
    <w:nsid w:val="1DF029D3"/>
    <w:multiLevelType w:val="hybridMultilevel"/>
    <w:lvl w:ilvl="0">
      <w:lvlJc w:val="left"/>
      <w:lvlText w:val="•"/>
      <w:numFmt w:val="bullet"/>
      <w:start w:val="1"/>
    </w:lvl>
  </w:abstractNum>
  <w:abstractNum w:abstractNumId="95">
    <w:nsid w:val="5675FF36"/>
    <w:multiLevelType w:val="hybridMultilevel"/>
    <w:lvl w:ilvl="0">
      <w:lvlJc w:val="left"/>
      <w:lvlText w:val="%1"/>
      <w:numFmt w:val="decimal"/>
      <w:start w:val="50"/>
    </w:lvl>
  </w:abstractNum>
  <w:abstractNum w:abstractNumId="96">
    <w:nsid w:val="3DD15094"/>
    <w:multiLevelType w:val="hybridMultilevel"/>
    <w:lvl w:ilvl="0">
      <w:lvlJc w:val="left"/>
      <w:lvlText w:val="1"/>
      <w:numFmt w:val="bullet"/>
      <w:start w:val="1"/>
    </w:lvl>
  </w:abstractNum>
  <w:abstractNum w:abstractNumId="97">
    <w:nsid w:val="3DB012B3"/>
    <w:multiLevelType w:val="hybridMultilevel"/>
    <w:lvl w:ilvl="0">
      <w:lvlJc w:val="left"/>
      <w:lvlText w:val="2"/>
      <w:numFmt w:val="bullet"/>
      <w:start w:val="1"/>
    </w:lvl>
  </w:abstractNum>
  <w:abstractNum w:abstractNumId="98">
    <w:nsid w:val="2708C9AF"/>
    <w:multiLevelType w:val="hybridMultilevel"/>
    <w:lvl w:ilvl="0">
      <w:lvlJc w:val="left"/>
      <w:lvlText w:val="3"/>
      <w:numFmt w:val="bullet"/>
      <w:start w:val="1"/>
    </w:lvl>
  </w:abstractNum>
  <w:abstractNum w:abstractNumId="99">
    <w:nsid w:val="5B25ACE2"/>
    <w:multiLevelType w:val="hybridMultilevel"/>
    <w:lvl w:ilvl="0">
      <w:lvlJc w:val="left"/>
      <w:lvlText w:val="4"/>
      <w:numFmt w:val="bullet"/>
      <w:start w:val="1"/>
    </w:lvl>
  </w:abstractNum>
  <w:abstractNum w:abstractNumId="100">
    <w:nsid w:val="175DFCF0"/>
    <w:multiLevelType w:val="hybridMultilevel"/>
    <w:lvl w:ilvl="0">
      <w:lvlJc w:val="left"/>
      <w:lvlText w:val="5"/>
      <w:numFmt w:val="bullet"/>
      <w:start w:val="1"/>
    </w:lvl>
  </w:abstractNum>
  <w:abstractNum w:abstractNumId="101">
    <w:nsid w:val="4F97E3E4"/>
    <w:multiLevelType w:val="hybridMultilevel"/>
    <w:lvl w:ilvl="0">
      <w:lvlJc w:val="left"/>
      <w:lvlText w:val="6"/>
      <w:numFmt w:val="bullet"/>
      <w:start w:val="1"/>
    </w:lvl>
  </w:abstractNum>
  <w:abstractNum w:abstractNumId="102">
    <w:nsid w:val="53B0A9E"/>
    <w:multiLevelType w:val="hybridMultilevel"/>
    <w:lvl w:ilvl="0">
      <w:lvlJc w:val="left"/>
      <w:lvlText w:val="%1"/>
      <w:numFmt w:val="decimal"/>
      <w:start w:val="52"/>
    </w:lvl>
  </w:abstractNum>
  <w:abstractNum w:abstractNumId="103">
    <w:nsid w:val="34FD6B4F"/>
    <w:multiLevelType w:val="hybridMultilevel"/>
    <w:lvl w:ilvl="0">
      <w:lvlJc w:val="left"/>
      <w:lvlText w:val="1"/>
      <w:numFmt w:val="bullet"/>
      <w:start w:val="1"/>
    </w:lvl>
  </w:abstractNum>
  <w:abstractNum w:abstractNumId="104">
    <w:nsid w:val="5915FF32"/>
    <w:multiLevelType w:val="hybridMultilevel"/>
    <w:lvl w:ilvl="0">
      <w:lvlJc w:val="left"/>
      <w:lvlText w:val="2"/>
      <w:numFmt w:val="bullet"/>
      <w:start w:val="1"/>
    </w:lvl>
  </w:abstractNum>
  <w:abstractNum w:abstractNumId="105">
    <w:nsid w:val="56438D15"/>
    <w:multiLevelType w:val="hybridMultilevel"/>
    <w:lvl w:ilvl="0">
      <w:lvlJc w:val="left"/>
      <w:lvlText w:val="3"/>
      <w:numFmt w:val="bullet"/>
      <w:start w:val="1"/>
    </w:lvl>
  </w:abstractNum>
  <w:abstractNum w:abstractNumId="106">
    <w:nsid w:val="519E3149"/>
    <w:multiLevelType w:val="hybridMultilevel"/>
    <w:lvl w:ilvl="0">
      <w:lvlJc w:val="left"/>
      <w:lvlText w:val="4"/>
      <w:numFmt w:val="bullet"/>
      <w:start w:val="1"/>
    </w:lvl>
  </w:abstractNum>
  <w:abstractNum w:abstractNumId="107">
    <w:nsid w:val="2C6E4AFD"/>
    <w:multiLevelType w:val="hybridMultilevel"/>
    <w:lvl w:ilvl="0">
      <w:lvlJc w:val="left"/>
      <w:lvlText w:val="%1"/>
      <w:numFmt w:val="decimal"/>
      <w:start w:val="54"/>
    </w:lvl>
  </w:abstractNum>
  <w:abstractNum w:abstractNumId="108">
    <w:nsid w:val="17A1B582"/>
    <w:multiLevelType w:val="hybridMultilevel"/>
    <w:lvl w:ilvl="0">
      <w:lvlJc w:val="left"/>
      <w:lvlText w:val="1"/>
      <w:numFmt w:val="bullet"/>
      <w:start w:val="1"/>
    </w:lvl>
  </w:abstractNum>
  <w:abstractNum w:abstractNumId="109">
    <w:nsid w:val="4DF72E4E"/>
    <w:multiLevelType w:val="hybridMultilevel"/>
    <w:lvl w:ilvl="0">
      <w:lvlJc w:val="left"/>
      <w:lvlText w:val="7"/>
      <w:numFmt w:val="bullet"/>
      <w:start w:val="1"/>
    </w:lvl>
  </w:abstractNum>
  <w:abstractNum w:abstractNumId="110">
    <w:nsid w:val="5046B5A9"/>
    <w:multiLevelType w:val="hybridMultilevel"/>
    <w:lvl w:ilvl="0">
      <w:lvlJc w:val="left"/>
      <w:lvlText w:val="%1"/>
      <w:numFmt w:val="decimal"/>
      <w:start w:val="13"/>
    </w:lvl>
  </w:abstractNum>
  <w:abstractNum w:abstractNumId="111">
    <w:nsid w:val="5D888A08"/>
    <w:multiLevelType w:val="hybridMultilevel"/>
    <w:lvl w:ilvl="0">
      <w:lvlJc w:val="left"/>
      <w:lvlText w:val="1"/>
      <w:numFmt w:val="bullet"/>
      <w:start w:val="1"/>
    </w:lvl>
  </w:abstractNum>
  <w:abstractNum w:abstractNumId="112">
    <w:nsid w:val="2A082C70"/>
    <w:multiLevelType w:val="hybridMultilevel"/>
    <w:lvl w:ilvl="0">
      <w:lvlJc w:val="left"/>
      <w:lvlText w:val="(%1)"/>
      <w:numFmt w:val="upperLetter"/>
      <w:start w:val="1"/>
    </w:lvl>
  </w:abstractNum>
  <w:abstractNum w:abstractNumId="113">
    <w:nsid w:val="5EC6AFD4"/>
    <w:multiLevelType w:val="hybridMultilevel"/>
    <w:lvl w:ilvl="0">
      <w:lvlJc w:val="left"/>
      <w:lvlText w:val="%1"/>
      <w:numFmt w:val="decimal"/>
      <w:start w:val="56"/>
    </w:lvl>
  </w:abstractNum>
  <w:abstractNum w:abstractNumId="114">
    <w:nsid w:val="19E21BB2"/>
    <w:multiLevelType w:val="hybridMultilevel"/>
    <w:lvl w:ilvl="0">
      <w:lvlJc w:val="left"/>
      <w:lvlText w:val="(%1)"/>
      <w:numFmt w:val="upperLetter"/>
      <w:start w:val="3"/>
    </w:lvl>
  </w:abstractNum>
  <w:abstractNum w:abstractNumId="115">
    <w:nsid w:val="75E0858A"/>
    <w:multiLevelType w:val="hybridMultilevel"/>
    <w:lvl w:ilvl="0">
      <w:lvlJc w:val="left"/>
      <w:lvlText w:val="1"/>
      <w:numFmt w:val="bullet"/>
      <w:start w:val="1"/>
    </w:lvl>
  </w:abstractNum>
  <w:abstractNum w:abstractNumId="116">
    <w:nsid w:val="57A61A29"/>
    <w:multiLevelType w:val="hybridMultilevel"/>
    <w:lvl w:ilvl="0">
      <w:lvlJc w:val="left"/>
      <w:lvlText w:val="%1"/>
      <w:numFmt w:val="decimal"/>
      <w:start w:val="58"/>
    </w:lvl>
  </w:abstractNum>
  <w:abstractNum w:abstractNumId="117">
    <w:nsid w:val="5399C654"/>
    <w:multiLevelType w:val="hybridMultilevel"/>
    <w:lvl w:ilvl="0">
      <w:lvlJc w:val="left"/>
      <w:lvlText w:val="%1"/>
      <w:numFmt w:val="decimal"/>
      <w:start w:val="60"/>
    </w:lvl>
  </w:abstractNum>
  <w:abstractNum w:abstractNumId="118">
    <w:nsid w:val="20EE1348"/>
    <w:multiLevelType w:val="hybridMultilevel"/>
    <w:lvl w:ilvl="0">
      <w:lvlJc w:val="left"/>
      <w:lvlText w:val="1"/>
      <w:numFmt w:val="bullet"/>
      <w:start w:val="1"/>
    </w:lvl>
  </w:abstractNum>
  <w:abstractNum w:abstractNumId="119">
    <w:nsid w:val="4427069A"/>
    <w:multiLevelType w:val="hybridMultilevel"/>
    <w:lvl w:ilvl="0">
      <w:lvlJc w:val="left"/>
      <w:lvlText w:val="2"/>
      <w:numFmt w:val="bullet"/>
      <w:start w:val="1"/>
    </w:lvl>
  </w:abstractNum>
  <w:abstractNum w:abstractNumId="120">
    <w:nsid w:val="B37E80A"/>
    <w:multiLevelType w:val="hybridMultilevel"/>
    <w:lvl w:ilvl="0">
      <w:lvlJc w:val="left"/>
      <w:lvlText w:val="3"/>
      <w:numFmt w:val="bullet"/>
      <w:start w:val="1"/>
    </w:lvl>
  </w:abstractNum>
  <w:abstractNum w:abstractNumId="121">
    <w:nsid w:val="2157F6BC"/>
    <w:multiLevelType w:val="hybridMultilevel"/>
    <w:lvl w:ilvl="0">
      <w:lvlJc w:val="left"/>
      <w:lvlText w:val="4"/>
      <w:numFmt w:val="bullet"/>
      <w:start w:val="1"/>
    </w:lvl>
  </w:abstractNum>
  <w:abstractNum w:abstractNumId="122">
    <w:nsid w:val="704E1DD5"/>
    <w:multiLevelType w:val="hybridMultilevel"/>
    <w:lvl w:ilvl="0">
      <w:lvlJc w:val="left"/>
      <w:lvlText w:val="5"/>
      <w:numFmt w:val="bullet"/>
      <w:start w:val="1"/>
    </w:lvl>
  </w:abstractNum>
  <w:abstractNum w:abstractNumId="123">
    <w:nsid w:val="57D2F10E"/>
    <w:multiLevelType w:val="hybridMultilevel"/>
    <w:lvl w:ilvl="0">
      <w:lvlJc w:val="left"/>
      <w:lvlText w:val="6"/>
      <w:numFmt w:val="bullet"/>
      <w:start w:val="1"/>
    </w:lvl>
  </w:abstractNum>
  <w:abstractNum w:abstractNumId="124">
    <w:nsid w:val="BFFAE18"/>
    <w:multiLevelType w:val="hybridMultilevel"/>
    <w:lvl w:ilvl="0">
      <w:lvlJc w:val="left"/>
      <w:lvlText w:val="7"/>
      <w:numFmt w:val="bullet"/>
      <w:start w:val="1"/>
    </w:lvl>
  </w:abstractNum>
  <w:abstractNum w:abstractNumId="125">
    <w:nsid w:val="E3E47A8"/>
    <w:multiLevelType w:val="hybridMultilevel"/>
    <w:lvl w:ilvl="0">
      <w:lvlJc w:val="left"/>
      <w:lvlText w:val="8"/>
      <w:numFmt w:val="bullet"/>
      <w:start w:val="1"/>
    </w:lvl>
  </w:abstractNum>
  <w:abstractNum w:abstractNumId="126">
    <w:nsid w:val="2E48F044"/>
    <w:multiLevelType w:val="hybridMultilevel"/>
    <w:lvl w:ilvl="0">
      <w:lvlJc w:val="left"/>
      <w:lvlText w:val="9"/>
      <w:numFmt w:val="bullet"/>
      <w:start w:val="1"/>
    </w:lvl>
  </w:abstractNum>
  <w:abstractNum w:abstractNumId="127">
    <w:nsid w:val="49D0FEAC"/>
    <w:multiLevelType w:val="hybridMultilevel"/>
    <w:lvl w:ilvl="0">
      <w:lvlJc w:val="left"/>
      <w:lvlText w:val="%1"/>
      <w:numFmt w:val="decimal"/>
      <w:start w:val="10"/>
    </w:lvl>
  </w:abstractNum>
  <w:abstractNum w:abstractNumId="128">
    <w:nsid w:val="4BEE5A5B"/>
    <w:multiLevelType w:val="hybridMultilevel"/>
    <w:lvl w:ilvl="0">
      <w:lvlJc w:val="left"/>
      <w:lvlText w:val="•"/>
      <w:numFmt w:val="bullet"/>
      <w:start w:val="1"/>
    </w:lvl>
  </w:abstractNum>
  <w:abstractNum w:abstractNumId="129">
    <w:nsid w:val="5551B9F3"/>
    <w:multiLevelType w:val="hybridMultilevel"/>
    <w:lvl w:ilvl="0">
      <w:lvlJc w:val="left"/>
      <w:lvlText w:val="%1"/>
      <w:numFmt w:val="decimal"/>
      <w:start w:val="62"/>
    </w:lvl>
  </w:abstractNum>
  <w:abstractNum w:abstractNumId="130">
    <w:nsid w:val="24F6AB8E"/>
    <w:multiLevelType w:val="hybridMultilevel"/>
    <w:lvl w:ilvl="0">
      <w:lvlJc w:val="left"/>
      <w:lvlText w:val="•"/>
      <w:numFmt w:val="bullet"/>
      <w:start w:val="1"/>
    </w:lvl>
  </w:abstractNum>
  <w:abstractNum w:abstractNumId="131">
    <w:nsid w:val="634C574C"/>
    <w:multiLevelType w:val="hybridMultilevel"/>
    <w:lvl w:ilvl="0">
      <w:lvlJc w:val="left"/>
      <w:lvlText w:val="1"/>
      <w:numFmt w:val="bullet"/>
      <w:start w:val="1"/>
    </w:lvl>
  </w:abstractNum>
  <w:abstractNum w:abstractNumId="132">
    <w:nsid w:val="24E99DD7"/>
    <w:multiLevelType w:val="hybridMultilevel"/>
    <w:lvl w:ilvl="0">
      <w:lvlJc w:val="left"/>
      <w:lvlText w:val="2"/>
      <w:numFmt w:val="bullet"/>
      <w:start w:val="1"/>
    </w:lvl>
  </w:abstractNum>
  <w:abstractNum w:abstractNumId="133">
    <w:nsid w:val="2A31B62D"/>
    <w:multiLevelType w:val="hybridMultilevel"/>
    <w:lvl w:ilvl="0">
      <w:lvlJc w:val="left"/>
      <w:lvlText w:val="4"/>
      <w:numFmt w:val="bullet"/>
      <w:start w:val="1"/>
    </w:lvl>
  </w:abstractNum>
  <w:abstractNum w:abstractNumId="134">
    <w:nsid w:val="1849C29B"/>
    <w:multiLevelType w:val="hybridMultilevel"/>
    <w:lvl w:ilvl="0">
      <w:lvlJc w:val="left"/>
      <w:lvlText w:val="5"/>
      <w:numFmt w:val="bullet"/>
      <w:start w:val="1"/>
    </w:lvl>
  </w:abstractNum>
  <w:abstractNum w:abstractNumId="135">
    <w:nsid w:val="7DFF9D09"/>
    <w:multiLevelType w:val="hybridMultilevel"/>
    <w:lvl w:ilvl="0">
      <w:lvlJc w:val="left"/>
      <w:lvlText w:val="%1"/>
      <w:numFmt w:val="decimal"/>
      <w:start w:val="64"/>
    </w:lvl>
  </w:abstractNum>
  <w:abstractNum w:abstractNumId="136">
    <w:nsid w:val="754342"/>
    <w:multiLevelType w:val="hybridMultilevel"/>
    <w:lvl w:ilvl="0">
      <w:lvlJc w:val="left"/>
      <w:lvlText w:val="•"/>
      <w:numFmt w:val="bullet"/>
      <w:start w:val="1"/>
    </w:lvl>
  </w:abstractNum>
  <w:abstractNum w:abstractNumId="137">
    <w:nsid w:val="69E7F3E5"/>
    <w:multiLevelType w:val="hybridMultilevel"/>
    <w:lvl w:ilvl="0">
      <w:lvlJc w:val="left"/>
      <w:lvlText w:val="•"/>
      <w:numFmt w:val="bullet"/>
      <w:start w:val="1"/>
    </w:lvl>
  </w:abstractNum>
  <w:abstractNum w:abstractNumId="138">
    <w:nsid w:val="2A6DE806"/>
    <w:multiLevelType w:val="hybridMultilevel"/>
    <w:lvl w:ilvl="0">
      <w:lvlJc w:val="left"/>
      <w:lvlText w:val="%1"/>
      <w:numFmt w:val="decimal"/>
      <w:start w:val="66"/>
    </w:lvl>
  </w:abstractNum>
  <w:abstractNum w:abstractNumId="139">
    <w:nsid w:val="1816F8C4"/>
    <w:multiLevelType w:val="hybridMultilevel"/>
    <w:lvl w:ilvl="0">
      <w:lvlJc w:val="left"/>
      <w:lvlText w:val="%1"/>
      <w:numFmt w:val="decimal"/>
      <w:start w:val="68"/>
    </w:lvl>
  </w:abstractNum>
  <w:abstractNum w:abstractNumId="140">
    <w:nsid w:val="37DF2233"/>
    <w:multiLevelType w:val="hybridMultilevel"/>
    <w:lvl w:ilvl="0">
      <w:lvlJc w:val="left"/>
      <w:lvlText w:val="%1."/>
      <w:numFmt w:val="decimal"/>
      <w:start w:val="1"/>
    </w:lvl>
  </w:abstractNum>
  <w:abstractNum w:abstractNumId="141">
    <w:nsid w:val="7AB49DAF"/>
    <w:multiLevelType w:val="hybridMultilevel"/>
    <w:lvl w:ilvl="0">
      <w:lvlJc w:val="left"/>
      <w:lvlText w:val="%1"/>
      <w:numFmt w:val="decimal"/>
      <w:start w:val="1"/>
    </w:lvl>
    <w:lvl w:ilvl="1">
      <w:lvlJc w:val="left"/>
      <w:lvlText w:val="%2."/>
      <w:numFmt w:val="decimal"/>
      <w:start w:val="6"/>
    </w:lvl>
  </w:abstractNum>
  <w:abstractNum w:abstractNumId="142">
    <w:nsid w:val="759F82CD"/>
    <w:multiLevelType w:val="hybridMultilevel"/>
    <w:lvl w:ilvl="0">
      <w:lvlJc w:val="left"/>
      <w:lvlText w:val="%1."/>
      <w:numFmt w:val="decimal"/>
      <w:start w:val="11"/>
    </w:lvl>
    <w:lvl w:ilvl="1">
      <w:lvlJc w:val="left"/>
      <w:lvlText w:val="%2"/>
      <w:numFmt w:val="decimal"/>
      <w:start w:val="1"/>
    </w:lvl>
  </w:abstractNum>
  <w:abstractNum w:abstractNumId="143">
    <w:nsid w:val="61E74EA3"/>
    <w:multiLevelType w:val="hybridMultilevel"/>
    <w:lvl w:ilvl="0">
      <w:lvlJc w:val="left"/>
      <w:lvlText w:val="%1."/>
      <w:numFmt w:val="decimal"/>
      <w:start w:val="4"/>
    </w:lvl>
  </w:abstractNum>
  <w:abstractNum w:abstractNumId="144">
    <w:nsid w:val="597B4D84"/>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2019-12-06T02:48:36Z</dcterms:created>
  <dcterms:modified xsi:type="dcterms:W3CDTF">2019-12-06T02:48:36Z</dcterms:modified>
</cp:coreProperties>
</file>