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6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right="2700" w:hanging="439"/>
        <w:spacing w:after="0" w:line="332" w:lineRule="auto"/>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68" w:lineRule="exact"/>
        <w:rPr>
          <w:rFonts w:ascii="Arial" w:cs="Arial" w:eastAsia="Arial" w:hAnsi="Arial"/>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-4079240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-3658870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-3101340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-2680970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-2294890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0740"/>
          </w:cols>
          <w:pgMar w:left="240" w:top="422" w:right="9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 TO APPEAL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DELAWARE COURT OF CHANCERY RULING</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RALEIGH, NORTH CAROLINA, May 7, 2012 – Martin Marietta Materials, Inc. (NYSE: MLM) today announced that it has determined to pursue an appeal of the ruling announced by the Delaware Court of Chancery in the litigation related to Martin Marietta’s proposed business combination with Vulcan Materials Company (NYSE: VMC).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today issued the following statement:</w:t>
      </w:r>
    </w:p>
    <w:p>
      <w:pPr>
        <w:spacing w:after="0" w:line="9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“Martin Marietta continues to believe in the undeniable strategic merits of a business combination with Vulcan. We are disappointed with the decision rendered by the Delaware Court of Chancery, with which we strongly disagree. After carefully considering our options, Martin Marietta has determined to pursue an appeal and to seek a stay of the Court’s ruling pending the outcome of the appeal.</w:t>
      </w:r>
    </w:p>
    <w:p>
      <w:pPr>
        <w:spacing w:after="0" w:line="59"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“If we are successful in the appeal process, we expect that the independent candidates nominated by Martin Marietta will stand for election at the Vulcan annual meeting and that we will continue to pursue our exchange offer for Vulcan shares.</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“If we are not successful in the appeal process, we may be required by the terms of the Delaware order to suspend our activities with respect to the proposed business combination with Vulcan for four months, including pursuing the election of our four independent nominees to the Vulcan board and our exchange offer.</w:t>
      </w:r>
    </w:p>
    <w:p>
      <w:pPr>
        <w:spacing w:after="0" w:line="59"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“We presently intend to continue our efforts to combine with Vulcan, including pursuing our exchange offer, as soon as we are permitted to do so. We will, of course, make decisions as to how to proceed based on relevant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9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This press release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press release,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w:t>
      </w:r>
    </w:p>
    <w:p>
      <w:pPr>
        <w:sectPr>
          <w:pgSz w:w="11900" w:h="16838" w:orient="portrait"/>
          <w:cols w:equalWidth="0" w:num="1">
            <w:col w:w="11400"/>
          </w:cols>
          <w:pgMar w:left="240" w:top="274" w:right="25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press release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press release relates to the Exchange Offer by Martin Marietta to exchange each issued and outstanding share of common stock of Vulcan for 0.50 shares of Martin Marietta common stock. This press release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solicitation of proxies for Vulcan’s 2012 annual meeting of shareholders (the “Vulcan Meeting”), Martin Marietta filed a definitive proxy statement on April 25, 2012 (as supplemented, the “Vulcan Meeting Definitive Proxy Statement”) with the SEC. The Vulcan Meeting Definitive Proxy Statement and accompanying proxy card were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w:t>
      </w:r>
    </w:p>
    <w:p>
      <w:pPr>
        <w:sectPr>
          <w:pgSz w:w="11900" w:h="16838" w:orient="portrait"/>
          <w:cols w:equalWidth="0" w:num="1">
            <w:col w:w="11380"/>
          </w:cols>
          <w:pgMar w:left="240" w:top="280" w:right="279" w:bottom="1440" w:gutter="0" w:footer="0" w:header="0"/>
        </w:sectPr>
      </w:pPr>
    </w:p>
    <w:bookmarkStart w:id="4" w:name="page5"/>
    <w:bookmarkEnd w:id="4"/>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shares of Martin Marietta common stock pursuant to the Exchange Offer (the “Martin Marietta Meeting Proxy Statement”). 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Martin Marietta</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Martin Marietta Materials, Inc. is the nation’s second largest producer of construction aggregates and a producer of magnesia-based chemicals and dolomitic lime.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Martin Marietta Materials, Inc., refer to the Corporation’s website at www.martinmarietta.com.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Anne Lloyd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9" w:lineRule="exact"/>
        <w:rPr>
          <w:sz w:val="20"/>
          <w:szCs w:val="20"/>
          <w:color w:val="auto"/>
        </w:rPr>
      </w:pPr>
    </w:p>
    <w:p>
      <w:pPr>
        <w:ind w:right="8660" w:firstLine="8"/>
        <w:spacing w:after="0" w:line="32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788-4367 </w:t>
      </w:r>
      <w:r>
        <w:rPr>
          <w:rFonts w:ascii="Arial" w:cs="Arial" w:eastAsia="Arial" w:hAnsi="Arial"/>
          <w:sz w:val="16"/>
          <w:szCs w:val="16"/>
          <w:u w:val="single" w:color="auto"/>
          <w:color w:val="auto"/>
        </w:rPr>
        <w:t>Investor.relations@martinmarietta.com</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spacing w:after="0"/>
              <w:rPr>
                <w:sz w:val="20"/>
                <w:szCs w:val="20"/>
                <w:color w:val="auto"/>
              </w:rPr>
            </w:pPr>
            <w:r>
              <w:rPr>
                <w:rFonts w:ascii="Arial" w:cs="Arial" w:eastAsia="Arial" w:hAnsi="Arial"/>
                <w:sz w:val="18"/>
                <w:szCs w:val="18"/>
                <w:color w:val="auto"/>
              </w:rPr>
              <w:t>Media:</w:t>
            </w:r>
          </w:p>
        </w:tc>
        <w:tc>
          <w:tcPr>
            <w:tcW w:w="4080" w:type="dxa"/>
            <w:vAlign w:val="bottom"/>
          </w:tcPr>
          <w:p>
            <w:pPr>
              <w:spacing w:after="0"/>
              <w:rPr>
                <w:sz w:val="17"/>
                <w:szCs w:val="17"/>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28"/>
        </w:trPr>
        <w:tc>
          <w:tcPr>
            <w:tcW w:w="3180" w:type="dxa"/>
            <w:vAlign w:val="bottom"/>
            <w:gridSpan w:val="4"/>
          </w:tcPr>
          <w:p>
            <w:pPr>
              <w:spacing w:after="0"/>
              <w:rPr>
                <w:sz w:val="20"/>
                <w:szCs w:val="20"/>
                <w:color w:val="auto"/>
              </w:rPr>
            </w:pPr>
            <w:r>
              <w:rPr>
                <w:rFonts w:ascii="Arial" w:cs="Arial" w:eastAsia="Arial" w:hAnsi="Arial"/>
                <w:sz w:val="18"/>
                <w:szCs w:val="18"/>
                <w:color w:val="auto"/>
              </w:rPr>
              <w:t>Mark Semer / Andrea Calise</w:t>
            </w:r>
          </w:p>
        </w:tc>
        <w:tc>
          <w:tcPr>
            <w:tcW w:w="4080" w:type="dxa"/>
            <w:vAlign w:val="bottom"/>
          </w:tcPr>
          <w:p>
            <w:pPr>
              <w:ind w:left="1180"/>
              <w:spacing w:after="0"/>
              <w:rPr>
                <w:sz w:val="20"/>
                <w:szCs w:val="20"/>
                <w:color w:val="auto"/>
              </w:rPr>
            </w:pPr>
            <w:r>
              <w:rPr>
                <w:rFonts w:ascii="Arial" w:cs="Arial" w:eastAsia="Arial" w:hAnsi="Arial"/>
                <w:sz w:val="18"/>
                <w:szCs w:val="18"/>
                <w:color w:val="auto"/>
              </w:rPr>
              <w:t>Andrew Siegel / Jamie Moser</w:t>
            </w:r>
          </w:p>
        </w:tc>
      </w:tr>
      <w:tr>
        <w:trPr>
          <w:trHeight w:val="216"/>
        </w:trPr>
        <w:tc>
          <w:tcPr>
            <w:tcW w:w="3180" w:type="dxa"/>
            <w:vAlign w:val="bottom"/>
            <w:gridSpan w:val="4"/>
          </w:tcPr>
          <w:p>
            <w:pPr>
              <w:spacing w:after="0"/>
              <w:rPr>
                <w:sz w:val="20"/>
                <w:szCs w:val="20"/>
                <w:color w:val="auto"/>
              </w:rPr>
            </w:pPr>
            <w:r>
              <w:rPr>
                <w:rFonts w:ascii="Arial" w:cs="Arial" w:eastAsia="Arial" w:hAnsi="Arial"/>
                <w:sz w:val="18"/>
                <w:szCs w:val="18"/>
                <w:color w:val="auto"/>
              </w:rPr>
              <w:t>Kekst and Company</w:t>
            </w:r>
          </w:p>
        </w:tc>
        <w:tc>
          <w:tcPr>
            <w:tcW w:w="4080" w:type="dxa"/>
            <w:vAlign w:val="bottom"/>
          </w:tcPr>
          <w:p>
            <w:pPr>
              <w:ind w:left="1180"/>
              <w:spacing w:after="0"/>
              <w:rPr>
                <w:sz w:val="20"/>
                <w:szCs w:val="20"/>
                <w:color w:val="auto"/>
              </w:rPr>
            </w:pPr>
            <w:r>
              <w:rPr>
                <w:rFonts w:ascii="Arial" w:cs="Arial" w:eastAsia="Arial" w:hAnsi="Arial"/>
                <w:sz w:val="18"/>
                <w:szCs w:val="18"/>
                <w:color w:val="auto"/>
                <w:w w:val="89"/>
              </w:rPr>
              <w:t>Joele Frank, Wilkinson Brimmer Katcher</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(212) 521-4800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(212) 355-4449</w:t>
            </w:r>
          </w:p>
        </w:tc>
      </w:tr>
      <w:tr>
        <w:trPr>
          <w:trHeight w:val="184"/>
        </w:trPr>
        <w:tc>
          <w:tcPr>
            <w:tcW w:w="3180" w:type="dxa"/>
            <w:vAlign w:val="bottom"/>
            <w:gridSpan w:val="4"/>
          </w:tcPr>
          <w:p>
            <w:pPr>
              <w:spacing w:after="0" w:line="184" w:lineRule="exact"/>
              <w:rPr>
                <w:sz w:val="20"/>
                <w:szCs w:val="20"/>
                <w:color w:val="auto"/>
              </w:rPr>
            </w:pPr>
            <w:r>
              <w:rPr>
                <w:rFonts w:ascii="Arial" w:cs="Arial" w:eastAsia="Arial" w:hAnsi="Arial"/>
                <w:sz w:val="18"/>
                <w:szCs w:val="18"/>
                <w:color w:val="auto"/>
              </w:rPr>
              <w:t>mark-semer@kekst.com</w:t>
            </w:r>
          </w:p>
        </w:tc>
        <w:tc>
          <w:tcPr>
            <w:tcW w:w="4080" w:type="dxa"/>
            <w:vAlign w:val="bottom"/>
          </w:tcPr>
          <w:p>
            <w:pPr>
              <w:spacing w:after="0"/>
              <w:rPr>
                <w:sz w:val="15"/>
                <w:szCs w:val="15"/>
                <w:color w:val="auto"/>
              </w:rPr>
            </w:pP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6"/>
              </w:rPr>
              <w:t>andrea-calise@kekst.com</w:t>
            </w:r>
          </w:p>
        </w:tc>
        <w:tc>
          <w:tcPr>
            <w:tcW w:w="1360" w:type="dxa"/>
            <w:vAlign w:val="bottom"/>
          </w:tcPr>
          <w:p>
            <w:pPr>
              <w:spacing w:after="0"/>
              <w:rPr>
                <w:sz w:val="17"/>
                <w:szCs w:val="17"/>
                <w:color w:val="auto"/>
              </w:rPr>
            </w:pPr>
          </w:p>
        </w:tc>
        <w:tc>
          <w:tcPr>
            <w:tcW w:w="408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Ball / Joe Mills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Morrow &amp; Co. LLC</w:t>
      </w:r>
    </w:p>
    <w:p>
      <w:pPr>
        <w:spacing w:after="0" w:line="9" w:lineRule="exact"/>
        <w:rPr>
          <w:sz w:val="20"/>
          <w:szCs w:val="20"/>
          <w:color w:val="auto"/>
        </w:rPr>
      </w:pPr>
    </w:p>
    <w:p>
      <w:pPr>
        <w:ind w:right="8900" w:firstLine="8"/>
        <w:spacing w:after="0" w:line="32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658-9400 </w:t>
      </w:r>
      <w:r>
        <w:rPr>
          <w:rFonts w:ascii="Arial" w:cs="Arial" w:eastAsia="Arial" w:hAnsi="Arial"/>
          <w:sz w:val="16"/>
          <w:szCs w:val="16"/>
          <w:u w:val="single" w:color="auto"/>
          <w:color w:val="auto"/>
        </w:rPr>
        <w:t>exchangeofferinfo@morrowco.com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919"/>
    </w:lvl>
  </w:abstractNum>
  <w:abstractNum w:abstractNumId="6">
    <w:nsid w:val="41B71EFB"/>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2019-12-20T21:44:11Z</dcterms:created>
  <dcterms:modified xsi:type="dcterms:W3CDTF">2019-12-20T21:44:11Z</dcterms:modified>
</cp:coreProperties>
</file>