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WASHINGTON, DC 2054</w:t>
      </w:r>
      <w:r>
        <w:rPr>
          <w:rFonts w:ascii="Arial" w:cs="Arial" w:eastAsia="Arial" w:hAnsi="Arial"/>
          <w:sz w:val="20"/>
          <w:szCs w:val="20"/>
          <w:b w:val="1"/>
          <w:bCs w:val="1"/>
          <w:color w:val="auto"/>
        </w:rPr>
        <w:t>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64" w:lineRule="exact"/>
        <w:rPr>
          <w:rFonts w:ascii="MS PGothic" w:cs="MS PGothic" w:eastAsia="MS PGothic" w:hAnsi="MS PGothic"/>
          <w:sz w:val="19"/>
          <w:szCs w:val="19"/>
          <w:color w:val="auto"/>
          <w:highlight w:val="black"/>
        </w:rPr>
      </w:pPr>
    </w:p>
    <w:p>
      <w:pPr>
        <w:ind w:left="3460"/>
        <w:spacing w:after="0"/>
        <w:rPr>
          <w:rFonts w:ascii="MS PGothic" w:cs="MS PGothic" w:eastAsia="MS PGothic" w:hAnsi="MS PGothic"/>
          <w:sz w:val="19"/>
          <w:szCs w:val="19"/>
          <w:color w:val="auto"/>
          <w:highlight w:val="black"/>
        </w:rPr>
      </w:pPr>
      <w:r>
        <w:rPr>
          <w:rFonts w:ascii="Arial" w:cs="Arial" w:eastAsia="Arial" w:hAnsi="Arial"/>
          <w:sz w:val="20"/>
          <w:szCs w:val="20"/>
          <w:b w:val="1"/>
          <w:bCs w:val="1"/>
          <w:color w:val="auto"/>
        </w:rPr>
        <w:t>For the quarterly period ended March 31, 2026</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9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1088" w:right="339" w:bottom="1440" w:gutter="0" w:footer="0" w:header="0"/>
        </w:sectPr>
      </w:pPr>
    </w:p>
    <w:p>
      <w:pPr>
        <w:spacing w:after="0" w:line="84" w:lineRule="exact"/>
        <w:rPr>
          <w:sz w:val="24"/>
          <w:szCs w:val="24"/>
          <w:color w:val="auto"/>
        </w:rPr>
      </w:pPr>
    </w:p>
    <w:p>
      <w:pPr>
        <w:ind w:left="288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86" w:lineRule="exact"/>
        <w:rPr>
          <w:sz w:val="24"/>
          <w:szCs w:val="24"/>
          <w:color w:val="auto"/>
        </w:rPr>
      </w:pPr>
    </w:p>
    <w:p>
      <w:pPr>
        <w:sectPr>
          <w:pgSz w:w="11900" w:h="16838" w:orient="portrait"/>
          <w:cols w:equalWidth="0" w:num="2">
            <w:col w:w="7360" w:space="720"/>
            <w:col w:w="3160"/>
          </w:cols>
          <w:pgMar w:left="320" w:top="1088"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color w:val="auto"/>
        </w:rPr>
        <w:t>Commission File Number: 1-12744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45085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020" w:type="dxa"/>
        <w:tblCellMar>
          <w:top w:w="0" w:type="dxa"/>
          <w:left w:w="0" w:type="dxa"/>
          <w:bottom w:w="0" w:type="dxa"/>
          <w:right w:w="0" w:type="dxa"/>
        </w:tblCellMar>
      </w:tblPr>
      <w:tr>
        <w:trPr>
          <w:trHeight w:val="230"/>
        </w:trPr>
        <w:tc>
          <w:tcPr>
            <w:tcW w:w="4980" w:type="dxa"/>
            <w:vAlign w:val="bottom"/>
          </w:tcPr>
          <w:p>
            <w:pPr>
              <w:jc w:val="center"/>
              <w:ind w:right="1319"/>
              <w:spacing w:after="0"/>
              <w:rPr>
                <w:sz w:val="20"/>
                <w:szCs w:val="20"/>
                <w:color w:val="auto"/>
              </w:rPr>
            </w:pPr>
            <w:r>
              <w:rPr>
                <w:rFonts w:ascii="Arial" w:cs="Arial" w:eastAsia="Arial" w:hAnsi="Arial"/>
                <w:sz w:val="20"/>
                <w:szCs w:val="20"/>
                <w:b w:val="1"/>
                <w:bCs w:val="1"/>
                <w:color w:val="auto"/>
                <w:w w:val="99"/>
              </w:rPr>
              <w:t>North Carolina</w:t>
            </w:r>
          </w:p>
        </w:tc>
        <w:tc>
          <w:tcPr>
            <w:tcW w:w="3460" w:type="dxa"/>
            <w:vAlign w:val="bottom"/>
          </w:tcPr>
          <w:p>
            <w:pPr>
              <w:jc w:val="right"/>
              <w:ind w:right="419"/>
              <w:spacing w:after="0"/>
              <w:rPr>
                <w:sz w:val="20"/>
                <w:szCs w:val="20"/>
                <w:color w:val="auto"/>
              </w:rPr>
            </w:pPr>
            <w:r>
              <w:rPr>
                <w:rFonts w:ascii="Arial" w:cs="Arial" w:eastAsia="Arial" w:hAnsi="Arial"/>
                <w:sz w:val="20"/>
                <w:szCs w:val="20"/>
                <w:b w:val="1"/>
                <w:bCs w:val="1"/>
                <w:color w:val="auto"/>
              </w:rPr>
              <w:t>56-1848578</w:t>
            </w:r>
          </w:p>
        </w:tc>
      </w:tr>
      <w:tr>
        <w:trPr>
          <w:trHeight w:val="129"/>
        </w:trPr>
        <w:tc>
          <w:tcPr>
            <w:tcW w:w="4980" w:type="dxa"/>
            <w:vAlign w:val="bottom"/>
          </w:tcPr>
          <w:p>
            <w:pPr>
              <w:jc w:val="center"/>
              <w:ind w:right="1319"/>
              <w:spacing w:after="0" w:line="129" w:lineRule="exact"/>
              <w:rPr>
                <w:sz w:val="20"/>
                <w:szCs w:val="20"/>
                <w:color w:val="auto"/>
              </w:rPr>
            </w:pPr>
            <w:r>
              <w:rPr>
                <w:rFonts w:ascii="Arial" w:cs="Arial" w:eastAsia="Arial" w:hAnsi="Arial"/>
                <w:sz w:val="13"/>
                <w:szCs w:val="13"/>
                <w:b w:val="1"/>
                <w:bCs w:val="1"/>
                <w:color w:val="auto"/>
                <w:w w:val="97"/>
              </w:rPr>
              <w:t>(State or other jurisdiction of incorporation or organization)</w:t>
            </w:r>
          </w:p>
        </w:tc>
        <w:tc>
          <w:tcPr>
            <w:tcW w:w="3460" w:type="dxa"/>
            <w:vAlign w:val="bottom"/>
          </w:tcPr>
          <w:p>
            <w:pPr>
              <w:jc w:val="center"/>
              <w:ind w:left="1319"/>
              <w:spacing w:after="0" w:line="129" w:lineRule="exact"/>
              <w:rPr>
                <w:sz w:val="20"/>
                <w:szCs w:val="20"/>
                <w:color w:val="auto"/>
              </w:rPr>
            </w:pPr>
            <w:r>
              <w:rPr>
                <w:rFonts w:ascii="Arial" w:cs="Arial" w:eastAsia="Arial" w:hAnsi="Arial"/>
                <w:sz w:val="13"/>
                <w:szCs w:val="13"/>
                <w:b w:val="1"/>
                <w:bCs w:val="1"/>
                <w:color w:val="auto"/>
                <w:w w:val="96"/>
              </w:rPr>
              <w:t>(I.R.S. Employer Identification No.)</w:t>
            </w:r>
          </w:p>
        </w:tc>
      </w:tr>
      <w:tr>
        <w:trPr>
          <w:trHeight w:val="235"/>
        </w:trPr>
        <w:tc>
          <w:tcPr>
            <w:tcW w:w="4980" w:type="dxa"/>
            <w:vAlign w:val="bottom"/>
          </w:tcPr>
          <w:p>
            <w:pPr>
              <w:jc w:val="center"/>
              <w:ind w:right="1319"/>
              <w:spacing w:after="0"/>
              <w:rPr>
                <w:sz w:val="20"/>
                <w:szCs w:val="20"/>
                <w:color w:val="auto"/>
              </w:rPr>
            </w:pPr>
            <w:r>
              <w:rPr>
                <w:rFonts w:ascii="Arial" w:cs="Arial" w:eastAsia="Arial" w:hAnsi="Arial"/>
                <w:sz w:val="20"/>
                <w:szCs w:val="20"/>
                <w:b w:val="1"/>
                <w:bCs w:val="1"/>
                <w:color w:val="auto"/>
                <w:w w:val="98"/>
              </w:rPr>
              <w:t>4123 Parklake Avenue, Raleigh, NC</w:t>
            </w:r>
          </w:p>
        </w:tc>
        <w:tc>
          <w:tcPr>
            <w:tcW w:w="3460" w:type="dxa"/>
            <w:vAlign w:val="bottom"/>
          </w:tcPr>
          <w:p>
            <w:pPr>
              <w:jc w:val="right"/>
              <w:ind w:right="679"/>
              <w:spacing w:after="0"/>
              <w:rPr>
                <w:sz w:val="20"/>
                <w:szCs w:val="20"/>
                <w:color w:val="auto"/>
              </w:rPr>
            </w:pPr>
            <w:r>
              <w:rPr>
                <w:rFonts w:ascii="Arial" w:cs="Arial" w:eastAsia="Arial" w:hAnsi="Arial"/>
                <w:sz w:val="20"/>
                <w:szCs w:val="20"/>
                <w:b w:val="1"/>
                <w:bCs w:val="1"/>
                <w:color w:val="auto"/>
              </w:rPr>
              <w:t>27612</w:t>
            </w:r>
          </w:p>
        </w:tc>
      </w:tr>
      <w:tr>
        <w:trPr>
          <w:trHeight w:val="172"/>
        </w:trPr>
        <w:tc>
          <w:tcPr>
            <w:tcW w:w="4980" w:type="dxa"/>
            <w:vAlign w:val="bottom"/>
          </w:tcPr>
          <w:p>
            <w:pPr>
              <w:jc w:val="center"/>
              <w:ind w:right="1319"/>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3460" w:type="dxa"/>
            <w:vAlign w:val="bottom"/>
          </w:tcPr>
          <w:p>
            <w:pPr>
              <w:jc w:val="center"/>
              <w:ind w:left="1319"/>
              <w:spacing w:after="0"/>
              <w:rPr>
                <w:sz w:val="20"/>
                <w:szCs w:val="20"/>
                <w:color w:val="auto"/>
              </w:rPr>
            </w:pPr>
            <w:r>
              <w:rPr>
                <w:rFonts w:ascii="Arial" w:cs="Arial" w:eastAsia="Arial" w:hAnsi="Arial"/>
                <w:sz w:val="13"/>
                <w:szCs w:val="13"/>
                <w:b w:val="1"/>
                <w:bCs w:val="1"/>
                <w:color w:val="auto"/>
                <w:w w:val="96"/>
              </w:rPr>
              <w:t>(Zip Code)</w:t>
            </w:r>
          </w:p>
        </w:tc>
      </w:tr>
    </w:tbl>
    <w:p>
      <w:pPr>
        <w:spacing w:after="0" w:line="38" w:lineRule="exact"/>
        <w:rPr>
          <w:sz w:val="24"/>
          <w:szCs w:val="24"/>
          <w:color w:val="auto"/>
        </w:rPr>
      </w:pPr>
    </w:p>
    <w:p>
      <w:pPr>
        <w:ind w:left="2440"/>
        <w:spacing w:after="0"/>
        <w:rPr>
          <w:sz w:val="20"/>
          <w:szCs w:val="20"/>
          <w:color w:val="auto"/>
        </w:rPr>
      </w:pPr>
      <w:r>
        <w:rPr>
          <w:rFonts w:ascii="Arial" w:cs="Arial" w:eastAsia="Arial" w:hAnsi="Arial"/>
          <w:sz w:val="20"/>
          <w:szCs w:val="20"/>
          <w:b w:val="1"/>
          <w:bCs w:val="1"/>
          <w:color w:val="auto"/>
        </w:rPr>
        <w:t>Registrant’s telephone number, including area code: (919) 781-4550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jc w:val="center"/>
              <w:spacing w:after="0"/>
              <w:rPr>
                <w:sz w:val="20"/>
                <w:szCs w:val="20"/>
                <w:color w:val="auto"/>
              </w:rPr>
            </w:pPr>
            <w:r>
              <w:rPr>
                <w:rFonts w:ascii="Arial" w:cs="Arial" w:eastAsia="Arial" w:hAnsi="Arial"/>
                <w:sz w:val="16"/>
                <w:szCs w:val="16"/>
                <w:color w:val="auto"/>
              </w:rPr>
              <w:t>Common Stock (Par Value $0.01)</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MLM</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The New York Stock Exchange</w:t>
            </w:r>
          </w:p>
        </w:tc>
      </w:tr>
    </w:tbl>
    <w:p>
      <w:pPr>
        <w:spacing w:after="0" w:line="68" w:lineRule="exact"/>
        <w:rPr>
          <w:sz w:val="24"/>
          <w:szCs w:val="24"/>
          <w:color w:val="auto"/>
        </w:rPr>
      </w:pPr>
    </w:p>
    <w:p>
      <w:pPr>
        <w:jc w:val="both"/>
        <w:ind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33" w:lineRule="exact"/>
        <w:rPr>
          <w:sz w:val="24"/>
          <w:szCs w:val="24"/>
          <w:color w:val="auto"/>
        </w:rPr>
      </w:pPr>
    </w:p>
    <w:p>
      <w:pPr>
        <w:ind w:right="2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220" w:type="dxa"/>
            <w:vAlign w:val="bottom"/>
          </w:tcPr>
          <w:p>
            <w:pPr>
              <w:spacing w:after="0"/>
              <w:rPr>
                <w:sz w:val="17"/>
                <w:szCs w:val="17"/>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as of April 27, 2026</w:t>
            </w:r>
          </w:p>
        </w:tc>
      </w:tr>
      <w:tr>
        <w:trPr>
          <w:trHeight w:val="208"/>
        </w:trPr>
        <w:tc>
          <w:tcPr>
            <w:tcW w:w="5520" w:type="dxa"/>
            <w:vAlign w:val="bottom"/>
          </w:tcPr>
          <w:p>
            <w:pPr>
              <w:jc w:val="center"/>
              <w:spacing w:after="0"/>
              <w:rPr>
                <w:sz w:val="20"/>
                <w:szCs w:val="20"/>
                <w:color w:val="auto"/>
              </w:rPr>
            </w:pPr>
            <w:r>
              <w:rPr>
                <w:rFonts w:ascii="Arial" w:cs="Arial" w:eastAsia="Arial" w:hAnsi="Arial"/>
                <w:sz w:val="16"/>
                <w:szCs w:val="16"/>
                <w:color w:val="auto"/>
              </w:rPr>
              <w:t>Common Stock, $0.01 par value</w:t>
            </w:r>
          </w:p>
        </w:tc>
        <w:tc>
          <w:tcPr>
            <w:tcW w:w="220" w:type="dxa"/>
            <w:vAlign w:val="bottom"/>
          </w:tcPr>
          <w:p>
            <w:pPr>
              <w:spacing w:after="0"/>
              <w:rPr>
                <w:sz w:val="18"/>
                <w:szCs w:val="18"/>
                <w:color w:val="auto"/>
              </w:rPr>
            </w:pPr>
          </w:p>
        </w:tc>
        <w:tc>
          <w:tcPr>
            <w:tcW w:w="5500" w:type="dxa"/>
            <w:vAlign w:val="bottom"/>
          </w:tcPr>
          <w:p>
            <w:pPr>
              <w:jc w:val="right"/>
              <w:ind w:right="2264"/>
              <w:spacing w:after="0"/>
              <w:rPr>
                <w:sz w:val="20"/>
                <w:szCs w:val="20"/>
                <w:color w:val="auto"/>
              </w:rPr>
            </w:pPr>
            <w:r>
              <w:rPr>
                <w:rFonts w:ascii="Arial" w:cs="Arial" w:eastAsia="Arial" w:hAnsi="Arial"/>
                <w:sz w:val="16"/>
                <w:szCs w:val="16"/>
                <w:color w:val="auto"/>
              </w:rPr>
              <w:t>60,045,900</w:t>
            </w:r>
          </w:p>
        </w:tc>
      </w:tr>
      <w:tr>
        <w:trPr>
          <w:trHeight w:val="1318"/>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580" w:type="dxa"/>
            <w:vAlign w:val="bottom"/>
            <w:gridSpan w:val="12"/>
          </w:tcPr>
          <w:p>
            <w:pPr>
              <w:ind w:left="820"/>
              <w:spacing w:after="0"/>
              <w:rPr>
                <w:sz w:val="20"/>
                <w:szCs w:val="20"/>
                <w:color w:val="auto"/>
              </w:rPr>
            </w:pPr>
            <w:r>
              <w:rPr>
                <w:rFonts w:ascii="Arial" w:cs="Arial" w:eastAsia="Arial" w:hAnsi="Arial"/>
                <w:sz w:val="20"/>
                <w:szCs w:val="20"/>
                <w:color w:val="auto"/>
              </w:rPr>
              <w:t>For the Quarter Ended March 31, 2026</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10680" w:type="dxa"/>
            <w:vAlign w:val="bottom"/>
            <w:gridSpan w:val="25"/>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33"/>
        </w:trPr>
        <w:tc>
          <w:tcPr>
            <w:tcW w:w="10680" w:type="dxa"/>
            <w:vAlign w:val="bottom"/>
            <w:gridSpan w:val="25"/>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60" w:type="dxa"/>
            <w:vAlign w:val="bottom"/>
          </w:tcPr>
          <w:p>
            <w:pPr>
              <w:spacing w:after="0"/>
              <w:rPr>
                <w:sz w:val="24"/>
                <w:szCs w:val="24"/>
                <w:color w:val="auto"/>
              </w:rPr>
            </w:pPr>
          </w:p>
        </w:tc>
        <w:tc>
          <w:tcPr>
            <w:tcW w:w="250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color w:val="0000FF"/>
                <w:w w:val="97"/>
              </w:rPr>
              <w:t>Item 1. Financial Statements</w:t>
            </w:r>
          </w:p>
        </w:tc>
        <w:tc>
          <w:tcPr>
            <w:tcW w:w="20" w:type="dxa"/>
            <w:vAlign w:val="bottom"/>
            <w:tcBorders>
              <w:bottom w:val="single" w:sz="8" w:color="0000EE"/>
            </w:tcBorders>
          </w:tcPr>
          <w:p>
            <w:pPr>
              <w:spacing w:after="0"/>
              <w:rPr>
                <w:sz w:val="24"/>
                <w:szCs w:val="24"/>
                <w:color w:val="auto"/>
              </w:rPr>
            </w:pPr>
          </w:p>
        </w:tc>
        <w:tc>
          <w:tcPr>
            <w:tcW w:w="790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20"/>
                <w:szCs w:val="20"/>
                <w:color w:val="0000FF"/>
              </w:rPr>
              <w:t>Consolidated Balance Sheets – March 31, 2026 and December 31, 2025</w:t>
            </w:r>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20"/>
                <w:szCs w:val="20"/>
                <w:color w:val="0000FF"/>
              </w:rPr>
              <w:t>Consolidated Statements of Earnings and Comprehensive Earnings – Three Months Ended March 31, 2026 and</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196"/>
        </w:trPr>
        <w:tc>
          <w:tcPr>
            <w:tcW w:w="480" w:type="dxa"/>
            <w:vAlign w:val="bottom"/>
            <w:gridSpan w:val="2"/>
          </w:tcPr>
          <w:p>
            <w:pPr>
              <w:spacing w:after="0"/>
              <w:rPr>
                <w:sz w:val="17"/>
                <w:szCs w:val="17"/>
                <w:color w:val="auto"/>
              </w:rPr>
            </w:pPr>
          </w:p>
        </w:tc>
        <w:tc>
          <w:tcPr>
            <w:tcW w:w="680" w:type="dxa"/>
            <w:vAlign w:val="bottom"/>
            <w:tcBorders>
              <w:top w:val="single" w:sz="8" w:color="0000EE"/>
            </w:tcBorders>
            <w:gridSpan w:val="3"/>
          </w:tcPr>
          <w:p>
            <w:pPr>
              <w:ind w:left="240"/>
              <w:spacing w:after="0" w:line="196" w:lineRule="exact"/>
              <w:rPr>
                <w:sz w:val="20"/>
                <w:szCs w:val="20"/>
                <w:color w:val="auto"/>
              </w:rPr>
            </w:pPr>
            <w:r>
              <w:rPr>
                <w:rFonts w:ascii="Arial" w:cs="Arial" w:eastAsia="Arial" w:hAnsi="Arial"/>
                <w:sz w:val="20"/>
                <w:szCs w:val="20"/>
                <w:color w:val="0000FF"/>
                <w:w w:val="94"/>
              </w:rPr>
              <w:t>2025</w:t>
            </w:r>
          </w:p>
        </w:tc>
        <w:tc>
          <w:tcPr>
            <w:tcW w:w="4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60" w:type="dxa"/>
            <w:vAlign w:val="bottom"/>
            <w:tcBorders>
              <w:bottom w:val="single" w:sz="8" w:color="0000EE"/>
            </w:tcBorders>
            <w:gridSpan w:val="20"/>
          </w:tcPr>
          <w:p>
            <w:pPr>
              <w:spacing w:after="0"/>
              <w:rPr>
                <w:sz w:val="20"/>
                <w:szCs w:val="20"/>
                <w:color w:val="auto"/>
              </w:rPr>
            </w:pPr>
            <w:r>
              <w:rPr>
                <w:rFonts w:ascii="Arial" w:cs="Arial" w:eastAsia="Arial" w:hAnsi="Arial"/>
                <w:sz w:val="20"/>
                <w:szCs w:val="20"/>
                <w:color w:val="0000FF"/>
                <w:w w:val="99"/>
              </w:rPr>
              <w:t>Consolidated Statements of Cash Flows – Three Months Ended March 31, 2026 and 2025</w:t>
            </w:r>
          </w:p>
        </w:tc>
        <w:tc>
          <w:tcPr>
            <w:tcW w:w="22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0" w:type="dxa"/>
            <w:vAlign w:val="bottom"/>
            <w:gridSpan w:val="23"/>
          </w:tcPr>
          <w:p>
            <w:pPr>
              <w:spacing w:after="0"/>
              <w:rPr>
                <w:sz w:val="20"/>
                <w:szCs w:val="20"/>
                <w:color w:val="auto"/>
              </w:rPr>
            </w:pPr>
            <w:r>
              <w:rPr>
                <w:rFonts w:ascii="Arial" w:cs="Arial" w:eastAsia="Arial" w:hAnsi="Arial"/>
                <w:sz w:val="20"/>
                <w:szCs w:val="20"/>
                <w:color w:val="0000FF"/>
              </w:rPr>
              <w:t>Consolidated Statements of Total Equity – Three Months Ended March 31, 2026 and 2025</w:t>
            </w: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color w:val="0000FF"/>
                <w:w w:val="98"/>
              </w:rPr>
              <w:t>Notes to Consolidated Financial Statements</w:t>
            </w:r>
          </w:p>
        </w:tc>
        <w:tc>
          <w:tcPr>
            <w:tcW w:w="20" w:type="dxa"/>
            <w:vAlign w:val="bottom"/>
            <w:tcBorders>
              <w:bottom w:val="single" w:sz="8" w:color="0000EE"/>
            </w:tcBorders>
          </w:tcPr>
          <w:p>
            <w:pPr>
              <w:spacing w:after="0"/>
              <w:rPr>
                <w:sz w:val="24"/>
                <w:szCs w:val="24"/>
                <w:color w:val="auto"/>
              </w:rPr>
            </w:pPr>
          </w:p>
        </w:tc>
        <w:tc>
          <w:tcPr>
            <w:tcW w:w="632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8440" w:type="dxa"/>
            <w:vAlign w:val="bottom"/>
            <w:tcBorders>
              <w:bottom w:val="single" w:sz="8" w:color="0000FF"/>
            </w:tcBorders>
            <w:gridSpan w:val="22"/>
          </w:tcPr>
          <w:p>
            <w:pPr>
              <w:spacing w:after="0"/>
              <w:rPr>
                <w:sz w:val="20"/>
                <w:szCs w:val="20"/>
                <w:color w:val="auto"/>
              </w:rPr>
            </w:pPr>
            <w:r>
              <w:rPr>
                <w:rFonts w:ascii="Arial" w:cs="Arial" w:eastAsia="Arial" w:hAnsi="Arial"/>
                <w:sz w:val="20"/>
                <w:szCs w:val="20"/>
                <w:color w:val="0000FF"/>
                <w:w w:val="98"/>
              </w:rPr>
              <w:t>Item 2. Management’s Discussion and Analysis of Financial Condition and Results of Operations</w:t>
            </w:r>
          </w:p>
        </w:tc>
        <w:tc>
          <w:tcPr>
            <w:tcW w:w="19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5840" w:type="dxa"/>
            <w:vAlign w:val="bottom"/>
            <w:tcBorders>
              <w:bottom w:val="single" w:sz="8" w:color="0000FF"/>
            </w:tcBorders>
            <w:gridSpan w:val="16"/>
          </w:tcPr>
          <w:p>
            <w:pPr>
              <w:spacing w:after="0"/>
              <w:rPr>
                <w:sz w:val="20"/>
                <w:szCs w:val="20"/>
                <w:color w:val="auto"/>
              </w:rPr>
            </w:pPr>
            <w:r>
              <w:rPr>
                <w:rFonts w:ascii="Arial" w:cs="Arial" w:eastAsia="Arial" w:hAnsi="Arial"/>
                <w:sz w:val="20"/>
                <w:szCs w:val="20"/>
                <w:color w:val="0000FF"/>
                <w:w w:val="98"/>
              </w:rPr>
              <w:t>Item 3. Quantitative and Qualitative Disclosures About Market Risk</w:t>
            </w:r>
          </w:p>
        </w:tc>
        <w:tc>
          <w:tcPr>
            <w:tcW w:w="458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317"/>
        </w:trPr>
        <w:tc>
          <w:tcPr>
            <w:tcW w:w="260" w:type="dxa"/>
            <w:vAlign w:val="bottom"/>
          </w:tcPr>
          <w:p>
            <w:pPr>
              <w:spacing w:after="0"/>
              <w:rPr>
                <w:sz w:val="24"/>
                <w:szCs w:val="24"/>
                <w:color w:val="auto"/>
              </w:rPr>
            </w:pPr>
          </w:p>
        </w:tc>
        <w:tc>
          <w:tcPr>
            <w:tcW w:w="2840" w:type="dxa"/>
            <w:vAlign w:val="bottom"/>
            <w:tcBorders>
              <w:bottom w:val="single" w:sz="8" w:color="0000FF"/>
            </w:tcBorders>
            <w:gridSpan w:val="12"/>
          </w:tcPr>
          <w:p>
            <w:pPr>
              <w:spacing w:after="0"/>
              <w:rPr>
                <w:sz w:val="20"/>
                <w:szCs w:val="20"/>
                <w:color w:val="auto"/>
              </w:rPr>
            </w:pPr>
            <w:r>
              <w:rPr>
                <w:rFonts w:ascii="Arial" w:cs="Arial" w:eastAsia="Arial" w:hAnsi="Arial"/>
                <w:sz w:val="20"/>
                <w:szCs w:val="20"/>
                <w:color w:val="0000FF"/>
                <w:w w:val="97"/>
              </w:rPr>
              <w:t>Item 4. Controls and Procedures</w:t>
            </w:r>
          </w:p>
        </w:tc>
        <w:tc>
          <w:tcPr>
            <w:tcW w:w="758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368"/>
        </w:trPr>
        <w:tc>
          <w:tcPr>
            <w:tcW w:w="10680" w:type="dxa"/>
            <w:vAlign w:val="bottom"/>
            <w:gridSpan w:val="25"/>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60" w:type="dxa"/>
            <w:vAlign w:val="bottom"/>
          </w:tcPr>
          <w:p>
            <w:pPr>
              <w:spacing w:after="0"/>
              <w:rPr>
                <w:sz w:val="24"/>
                <w:szCs w:val="24"/>
                <w:color w:val="auto"/>
              </w:rPr>
            </w:pPr>
          </w:p>
        </w:tc>
        <w:tc>
          <w:tcPr>
            <w:tcW w:w="10420" w:type="dxa"/>
            <w:vAlign w:val="bottom"/>
            <w:gridSpan w:val="24"/>
          </w:tcPr>
          <w:p>
            <w:pPr>
              <w:spacing w:after="0"/>
              <w:rPr>
                <w:sz w:val="20"/>
                <w:szCs w:val="20"/>
                <w:color w:val="auto"/>
              </w:rPr>
            </w:pPr>
            <w:r>
              <w:rPr>
                <w:rFonts w:ascii="Arial" w:cs="Arial" w:eastAsia="Arial" w:hAnsi="Arial"/>
                <w:sz w:val="20"/>
                <w:szCs w:val="20"/>
                <w:color w:val="0000FF"/>
              </w:rPr>
              <w:t>Item 1. Legal Proceedings</w:t>
            </w:r>
          </w:p>
        </w:tc>
        <w:tc>
          <w:tcPr>
            <w:tcW w:w="56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280" w:type="dxa"/>
            <w:vAlign w:val="bottom"/>
            <w:tcBorders>
              <w:top w:val="single" w:sz="8" w:color="0000FF"/>
            </w:tcBorders>
            <w:gridSpan w:val="8"/>
          </w:tcPr>
          <w:p>
            <w:pPr>
              <w:spacing w:after="0"/>
              <w:rPr>
                <w:sz w:val="20"/>
                <w:szCs w:val="20"/>
                <w:color w:val="auto"/>
              </w:rPr>
            </w:pPr>
            <w:r>
              <w:rPr>
                <w:rFonts w:ascii="Arial" w:cs="Arial" w:eastAsia="Arial" w:hAnsi="Arial"/>
                <w:sz w:val="20"/>
                <w:szCs w:val="20"/>
                <w:color w:val="0000FF"/>
              </w:rPr>
              <w:t>Item 1A. Risk Factors</w:t>
            </w:r>
          </w:p>
        </w:tc>
        <w:tc>
          <w:tcPr>
            <w:tcW w:w="814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10420" w:type="dxa"/>
            <w:vAlign w:val="bottom"/>
            <w:gridSpan w:val="24"/>
          </w:tcPr>
          <w:p>
            <w:pPr>
              <w:spacing w:after="0"/>
              <w:rPr>
                <w:sz w:val="20"/>
                <w:szCs w:val="20"/>
                <w:color w:val="auto"/>
              </w:rPr>
            </w:pPr>
            <w:r>
              <w:rPr>
                <w:rFonts w:ascii="Arial" w:cs="Arial" w:eastAsia="Arial" w:hAnsi="Arial"/>
                <w:sz w:val="20"/>
                <w:szCs w:val="20"/>
                <w:color w:val="0000FF"/>
              </w:rPr>
              <w:t>Item 2. 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7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20"/>
                <w:szCs w:val="20"/>
                <w:color w:val="0000FF"/>
                <w:w w:val="98"/>
              </w:rPr>
              <w:t>Item 4. Mine Safety Disclosures</w:t>
            </w:r>
          </w:p>
        </w:tc>
        <w:tc>
          <w:tcPr>
            <w:tcW w:w="3200" w:type="dxa"/>
            <w:vAlign w:val="bottom"/>
            <w:tcBorders>
              <w:top w:val="single" w:sz="8" w:color="0000FF"/>
            </w:tcBorders>
            <w:gridSpan w:val="6"/>
          </w:tcPr>
          <w:p>
            <w:pPr>
              <w:spacing w:after="0"/>
              <w:rPr>
                <w:sz w:val="24"/>
                <w:szCs w:val="24"/>
                <w:color w:val="auto"/>
              </w:rPr>
            </w:pPr>
          </w:p>
        </w:tc>
        <w:tc>
          <w:tcPr>
            <w:tcW w:w="44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20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8"/>
              </w:rPr>
              <w:t>Item 5. Other Information</w:t>
            </w:r>
          </w:p>
        </w:tc>
        <w:tc>
          <w:tcPr>
            <w:tcW w:w="822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10420" w:type="dxa"/>
            <w:vAlign w:val="bottom"/>
            <w:gridSpan w:val="24"/>
          </w:tcPr>
          <w:p>
            <w:pPr>
              <w:spacing w:after="0"/>
              <w:rPr>
                <w:sz w:val="20"/>
                <w:szCs w:val="20"/>
                <w:color w:val="auto"/>
              </w:rPr>
            </w:pPr>
            <w:r>
              <w:rPr>
                <w:rFonts w:ascii="Arial" w:cs="Arial" w:eastAsia="Arial" w:hAnsi="Arial"/>
                <w:sz w:val="20"/>
                <w:szCs w:val="20"/>
                <w:color w:val="0000FF"/>
              </w:rPr>
              <w:t>Item 6. Exhibits</w:t>
            </w:r>
          </w:p>
        </w:tc>
        <w:tc>
          <w:tcPr>
            <w:tcW w:w="5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908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680" w:type="dxa"/>
            <w:vAlign w:val="bottom"/>
            <w:gridSpan w:val="25"/>
          </w:tcPr>
          <w:p>
            <w:pPr>
              <w:spacing w:after="0"/>
              <w:rPr>
                <w:sz w:val="20"/>
                <w:szCs w:val="20"/>
                <w:color w:val="auto"/>
              </w:rPr>
            </w:pPr>
            <w:r>
              <w:rPr>
                <w:rFonts w:ascii="Arial" w:cs="Arial" w:eastAsia="Arial" w:hAnsi="Arial"/>
                <w:sz w:val="20"/>
                <w:szCs w:val="20"/>
                <w:color w:val="0000FF"/>
              </w:rPr>
              <w:t>Signatures</w:t>
            </w:r>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0"/>
        </w:trPr>
        <w:tc>
          <w:tcPr>
            <w:tcW w:w="2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20"/>
          <w:szCs w:val="20"/>
          <w:color w:val="auto"/>
        </w:rPr>
        <w:t>PART I. FINANCIAL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jc w:val="center"/>
        <w:ind w:right="-219"/>
        <w:spacing w:after="0" w:line="234" w:lineRule="auto"/>
        <w:rPr>
          <w:sz w:val="20"/>
          <w:szCs w:val="20"/>
          <w:color w:val="auto"/>
        </w:rPr>
      </w:pPr>
      <w:r>
        <w:rPr>
          <w:rFonts w:ascii="Arial" w:cs="Arial" w:eastAsia="Arial" w:hAnsi="Arial"/>
          <w:sz w:val="18"/>
          <w:szCs w:val="18"/>
          <w:color w:val="auto"/>
        </w:rPr>
        <w:t>MARTIN MARIETTA MATERIALS, INC. AND CONSOLIDATED SUBSIDIARIES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 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March 31,</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2026</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40" w:type="dxa"/>
            <w:vAlign w:val="bottom"/>
            <w:gridSpan w:val="7"/>
          </w:tcPr>
          <w:p>
            <w:pPr>
              <w:jc w:val="right"/>
              <w:ind w:right="460"/>
              <w:spacing w:after="0" w:line="155" w:lineRule="exact"/>
              <w:rPr>
                <w:sz w:val="20"/>
                <w:szCs w:val="20"/>
                <w:color w:val="auto"/>
              </w:rPr>
            </w:pPr>
            <w:r>
              <w:rPr>
                <w:rFonts w:ascii="Arial" w:cs="Arial" w:eastAsia="Arial" w:hAnsi="Arial"/>
                <w:sz w:val="14"/>
                <w:szCs w:val="14"/>
                <w:i w:val="1"/>
                <w:iCs w:val="1"/>
                <w:color w:val="auto"/>
              </w:rPr>
              <w:t>(In Millions, Except Share and Par Value Data)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Current Assets:</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206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w:t>
            </w:r>
          </w:p>
        </w:tc>
        <w:tc>
          <w:tcPr>
            <w:tcW w:w="1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780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Inventories, net</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Current assets held for sale</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current assets</w:t>
            </w:r>
          </w:p>
        </w:tc>
        <w:tc>
          <w:tcPr>
            <w:tcW w:w="8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tcPr>
          <w:p>
            <w:pPr>
              <w:ind w:left="100"/>
              <w:spacing w:after="0" w:line="155" w:lineRule="exact"/>
              <w:rPr>
                <w:sz w:val="20"/>
                <w:szCs w:val="20"/>
                <w:color w:val="auto"/>
              </w:rPr>
            </w:pPr>
            <w:r>
              <w:rPr>
                <w:rFonts w:ascii="Arial" w:cs="Arial" w:eastAsia="Arial" w:hAnsi="Arial"/>
                <w:sz w:val="14"/>
                <w:szCs w:val="14"/>
                <w:color w:val="auto"/>
              </w:rPr>
              <w:t>Total Current Assets</w:t>
            </w:r>
          </w:p>
        </w:tc>
        <w:tc>
          <w:tcPr>
            <w:tcW w:w="8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3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17,810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15,330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Allowances for depreciation, depletion and amortization</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(5,168)</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Net property, plant and equipment</w:t>
            </w:r>
          </w:p>
        </w:tc>
        <w:tc>
          <w:tcPr>
            <w:tcW w:w="880" w:type="dxa"/>
            <w:vAlign w:val="bottom"/>
            <w:tcBorders>
              <w:top w:val="single" w:sz="8" w:color="CFF0FC"/>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12,642</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10,290</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Goodwill</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Other intangibles, net</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right-of-use assets, net</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40" w:type="dxa"/>
            <w:vAlign w:val="bottom"/>
            <w:gridSpan w:val="2"/>
          </w:tcPr>
          <w:p>
            <w:pPr>
              <w:spacing w:after="0"/>
              <w:rPr>
                <w:sz w:val="20"/>
                <w:szCs w:val="20"/>
                <w:color w:val="auto"/>
              </w:rPr>
            </w:pPr>
            <w:r>
              <w:rPr>
                <w:rFonts w:ascii="Arial" w:cs="Arial" w:eastAsia="Arial" w:hAnsi="Arial"/>
                <w:sz w:val="14"/>
                <w:szCs w:val="14"/>
                <w:color w:val="auto"/>
              </w:rPr>
              <w:t>Other noncurrent assets</w:t>
            </w:r>
          </w:p>
        </w:tc>
        <w:tc>
          <w:tcPr>
            <w:tcW w:w="8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bottom w:val="single" w:sz="8" w:color="CFF0FC"/>
            </w:tcBorders>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Assets</w:t>
            </w:r>
          </w:p>
        </w:tc>
        <w:tc>
          <w:tcPr>
            <w:tcW w:w="8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02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20,497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18,711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EQUITY</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Current Liabilities:</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Accounts payable</w:t>
            </w:r>
          </w:p>
        </w:tc>
        <w:tc>
          <w:tcPr>
            <w:tcW w:w="2060" w:type="dxa"/>
            <w:vAlign w:val="bottom"/>
            <w:gridSpan w:val="2"/>
            <w:shd w:val="clear" w:color="auto" w:fill="CFF0FC"/>
          </w:tcPr>
          <w:p>
            <w:pPr>
              <w:jc w:val="right"/>
              <w:ind w:right="10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w:t>
            </w:r>
          </w:p>
        </w:tc>
        <w:tc>
          <w:tcPr>
            <w:tcW w:w="16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Accrued salaries, benefits and payroll taxes</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Accrued income taxes</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Accrued other taxes</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Accrued interest</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Current maturities of long-term debt</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Current operating lease liabilities</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Unpaid commitments to limited liability companies</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current liabilities</w:t>
            </w:r>
          </w:p>
        </w:tc>
        <w:tc>
          <w:tcPr>
            <w:tcW w:w="8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ind w:left="100"/>
              <w:spacing w:after="0" w:line="155" w:lineRule="exact"/>
              <w:rPr>
                <w:sz w:val="20"/>
                <w:szCs w:val="20"/>
                <w:color w:val="auto"/>
              </w:rPr>
            </w:pPr>
            <w:r>
              <w:rPr>
                <w:rFonts w:ascii="Arial" w:cs="Arial" w:eastAsia="Arial" w:hAnsi="Arial"/>
                <w:sz w:val="14"/>
                <w:szCs w:val="14"/>
                <w:color w:val="auto"/>
              </w:rPr>
              <w:t>Total Current Liabilities</w:t>
            </w:r>
          </w:p>
        </w:tc>
        <w:tc>
          <w:tcPr>
            <w:tcW w:w="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1,034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895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3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Long-term debt</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5,294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Deferred income taxes, net</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noncurrent liabilities</w:t>
            </w:r>
          </w:p>
        </w:tc>
        <w:tc>
          <w:tcPr>
            <w:tcW w:w="8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916</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ind w:left="100"/>
              <w:spacing w:after="0" w:line="155" w:lineRule="exact"/>
              <w:rPr>
                <w:sz w:val="20"/>
                <w:szCs w:val="20"/>
                <w:color w:val="auto"/>
              </w:rPr>
            </w:pPr>
            <w:r>
              <w:rPr>
                <w:rFonts w:ascii="Arial" w:cs="Arial" w:eastAsia="Arial" w:hAnsi="Arial"/>
                <w:sz w:val="14"/>
                <w:szCs w:val="14"/>
                <w:color w:val="auto"/>
              </w:rPr>
              <w:t>Total Liabilities</w:t>
            </w:r>
          </w:p>
        </w:tc>
        <w:tc>
          <w:tcPr>
            <w:tcW w:w="8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3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Commitments and contingent liabilities - Note 9</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3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Equity:</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2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Common stock, par value $0.01 per share (60,045,900 shares and 60,309,739 shares</w:t>
            </w:r>
          </w:p>
        </w:tc>
        <w:tc>
          <w:tcPr>
            <w:tcW w:w="8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outstanding at March 31, 2026 and December 31, 2025, respectively)</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Preferred stock, par value $0.01 per share</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Additional paid-in capital</w:t>
            </w:r>
          </w:p>
        </w:tc>
        <w:tc>
          <w:tcPr>
            <w:tcW w:w="8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Accumulated other comprehensive earnings</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Retained earnings</w:t>
            </w:r>
          </w:p>
        </w:tc>
        <w:tc>
          <w:tcPr>
            <w:tcW w:w="8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7,663</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6,402</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ind w:left="100"/>
              <w:spacing w:after="0" w:line="155" w:lineRule="exact"/>
              <w:rPr>
                <w:sz w:val="20"/>
                <w:szCs w:val="20"/>
                <w:color w:val="auto"/>
              </w:rPr>
            </w:pPr>
            <w:r>
              <w:rPr>
                <w:rFonts w:ascii="Arial" w:cs="Arial" w:eastAsia="Arial" w:hAnsi="Arial"/>
                <w:sz w:val="14"/>
                <w:szCs w:val="14"/>
                <w:color w:val="auto"/>
              </w:rPr>
              <w:t>Total Shareholders' Equity</w:t>
            </w:r>
          </w:p>
        </w:tc>
        <w:tc>
          <w:tcPr>
            <w:tcW w:w="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11,295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10,032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Noncontrolling interests</w:t>
            </w:r>
          </w:p>
        </w:tc>
        <w:tc>
          <w:tcPr>
            <w:tcW w:w="88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20" w:type="dxa"/>
            <w:vAlign w:val="bottom"/>
          </w:tcPr>
          <w:p>
            <w:pPr>
              <w:ind w:left="100"/>
              <w:spacing w:after="0" w:line="155" w:lineRule="exact"/>
              <w:rPr>
                <w:sz w:val="20"/>
                <w:szCs w:val="20"/>
                <w:color w:val="auto"/>
              </w:rPr>
            </w:pPr>
            <w:r>
              <w:rPr>
                <w:rFonts w:ascii="Arial" w:cs="Arial" w:eastAsia="Arial" w:hAnsi="Arial"/>
                <w:sz w:val="14"/>
                <w:szCs w:val="14"/>
                <w:color w:val="auto"/>
              </w:rPr>
              <w:t>Total Equity</w:t>
            </w:r>
          </w:p>
        </w:tc>
        <w:tc>
          <w:tcPr>
            <w:tcW w:w="8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11,297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Borders>
              <w:bottom w:val="single" w:sz="8" w:color="CFF0FC"/>
            </w:tcBorders>
            <w:shd w:val="clear" w:color="auto" w:fill="CFF0FC"/>
          </w:tcPr>
          <w:p>
            <w:pPr>
              <w:ind w:left="100"/>
              <w:spacing w:after="0" w:line="155" w:lineRule="exact"/>
              <w:rPr>
                <w:sz w:val="20"/>
                <w:szCs w:val="20"/>
                <w:color w:val="auto"/>
              </w:rPr>
            </w:pPr>
            <w:r>
              <w:rPr>
                <w:rFonts w:ascii="Arial" w:cs="Arial" w:eastAsia="Arial" w:hAnsi="Arial"/>
                <w:sz w:val="14"/>
                <w:szCs w:val="14"/>
                <w:color w:val="auto"/>
              </w:rPr>
              <w:t>Total Liabilities and Equity</w:t>
            </w:r>
          </w:p>
        </w:tc>
        <w:tc>
          <w:tcPr>
            <w:tcW w:w="8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028"/>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20,497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18,711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-4559935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-4559935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-4131310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-4131310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-3496945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-3479800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-3496945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-3479800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-2236470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-2236470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-1610995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-1610995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-462280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-462280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-248285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-248285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Page 3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25"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80" w:type="dxa"/>
            <w:vAlign w:val="bottom"/>
            <w:gridSpan w:val="4"/>
          </w:tcPr>
          <w:p>
            <w:pPr>
              <w:jc w:val="center"/>
              <w:ind w:right="495"/>
              <w:spacing w:after="0"/>
              <w:rPr>
                <w:sz w:val="20"/>
                <w:szCs w:val="20"/>
                <w:color w:val="auto"/>
              </w:rPr>
            </w:pPr>
            <w:r>
              <w:rPr>
                <w:rFonts w:ascii="Arial" w:cs="Arial" w:eastAsia="Arial" w:hAnsi="Arial"/>
                <w:sz w:val="17"/>
                <w:szCs w:val="17"/>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4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ind w:right="495"/>
              <w:spacing w:after="0"/>
              <w:rPr>
                <w:sz w:val="20"/>
                <w:szCs w:val="20"/>
                <w:color w:val="auto"/>
              </w:rPr>
            </w:pPr>
            <w:r>
              <w:rPr>
                <w:rFonts w:ascii="Arial" w:cs="Arial" w:eastAsia="Arial" w:hAnsi="Arial"/>
                <w:sz w:val="17"/>
                <w:szCs w:val="17"/>
                <w:color w:val="auto"/>
              </w:rPr>
              <w:t>March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2026</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2025</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440" w:type="dxa"/>
            <w:vAlign w:val="bottom"/>
          </w:tcPr>
          <w:p>
            <w:pPr>
              <w:spacing w:after="0"/>
              <w:rPr>
                <w:sz w:val="13"/>
                <w:szCs w:val="13"/>
                <w:color w:val="auto"/>
              </w:rPr>
            </w:pPr>
          </w:p>
        </w:tc>
        <w:tc>
          <w:tcPr>
            <w:tcW w:w="3220" w:type="dxa"/>
            <w:vAlign w:val="bottom"/>
            <w:gridSpan w:val="5"/>
          </w:tcPr>
          <w:p>
            <w:pPr>
              <w:jc w:val="center"/>
              <w:ind w:left="383"/>
              <w:spacing w:after="0" w:line="160" w:lineRule="exact"/>
              <w:rPr>
                <w:sz w:val="20"/>
                <w:szCs w:val="20"/>
                <w:color w:val="auto"/>
              </w:rPr>
            </w:pPr>
            <w:r>
              <w:rPr>
                <w:rFonts w:ascii="Arial" w:cs="Arial" w:eastAsia="Arial" w:hAnsi="Arial"/>
                <w:sz w:val="17"/>
                <w:szCs w:val="17"/>
                <w:i w:val="1"/>
                <w:iCs w:val="1"/>
                <w:color w:val="auto"/>
              </w:rPr>
              <w:t>(In Millions, Except Per Share Data)</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Revenues</w:t>
            </w: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1,362</w:t>
            </w:r>
          </w:p>
        </w:tc>
        <w:tc>
          <w:tcPr>
            <w:tcW w:w="160" w:type="dxa"/>
            <w:vAlign w:val="bottom"/>
          </w:tcPr>
          <w:p>
            <w:pPr>
              <w:spacing w:after="0"/>
              <w:rPr>
                <w:sz w:val="18"/>
                <w:szCs w:val="18"/>
                <w:color w:val="auto"/>
              </w:rPr>
            </w:pPr>
          </w:p>
        </w:tc>
        <w:tc>
          <w:tcPr>
            <w:tcW w:w="1360" w:type="dxa"/>
            <w:vAlign w:val="bottom"/>
            <w:gridSpan w:val="2"/>
          </w:tcPr>
          <w:p>
            <w:pPr>
              <w:jc w:val="right"/>
              <w:ind w:right="1055"/>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4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Cost of revenues</w:t>
            </w:r>
          </w:p>
        </w:tc>
        <w:tc>
          <w:tcPr>
            <w:tcW w:w="10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1,052</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847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Gross Profit</w:t>
            </w:r>
          </w:p>
        </w:tc>
        <w:tc>
          <w:tcPr>
            <w:tcW w:w="10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310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315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10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133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7"/>
                <w:szCs w:val="17"/>
                <w:color w:val="auto"/>
              </w:rPr>
              <w:t>Acquisition, divestiture and integration expenses</w:t>
            </w:r>
          </w:p>
        </w:tc>
        <w:tc>
          <w:tcPr>
            <w:tcW w:w="10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Other operating expense, net</w:t>
            </w:r>
          </w:p>
        </w:tc>
        <w:tc>
          <w:tcPr>
            <w:tcW w:w="10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10</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40" w:type="dxa"/>
            <w:vAlign w:val="bottom"/>
          </w:tcPr>
          <w:p>
            <w:pPr>
              <w:ind w:left="80"/>
              <w:spacing w:after="0" w:line="183" w:lineRule="exact"/>
              <w:rPr>
                <w:sz w:val="20"/>
                <w:szCs w:val="20"/>
                <w:color w:val="auto"/>
              </w:rPr>
            </w:pPr>
            <w:r>
              <w:rPr>
                <w:rFonts w:ascii="Arial" w:cs="Arial" w:eastAsia="Arial" w:hAnsi="Arial"/>
                <w:sz w:val="17"/>
                <w:szCs w:val="17"/>
                <w:color w:val="auto"/>
              </w:rPr>
              <w:t>Earnings from Operations</w:t>
            </w:r>
          </w:p>
        </w:tc>
        <w:tc>
          <w:tcPr>
            <w:tcW w:w="104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162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7"/>
                <w:szCs w:val="17"/>
                <w:color w:val="auto"/>
              </w:rPr>
              <w:t>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7"/>
                <w:szCs w:val="17"/>
                <w:color w:val="auto"/>
              </w:rPr>
              <w:t>Interest expense</w:t>
            </w:r>
          </w:p>
        </w:tc>
        <w:tc>
          <w:tcPr>
            <w:tcW w:w="10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56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Other nonoperating income, net</w:t>
            </w:r>
          </w:p>
        </w:tc>
        <w:tc>
          <w:tcPr>
            <w:tcW w:w="10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line="189" w:lineRule="exact"/>
              <w:rPr>
                <w:sz w:val="20"/>
                <w:szCs w:val="20"/>
                <w:color w:val="auto"/>
              </w:rPr>
            </w:pPr>
            <w:r>
              <w:rPr>
                <w:rFonts w:ascii="Arial" w:cs="Arial" w:eastAsia="Arial" w:hAnsi="Arial"/>
                <w:sz w:val="17"/>
                <w:szCs w:val="17"/>
                <w:color w:val="auto"/>
              </w:rPr>
              <w:t>(11)</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60"/>
        </w:trPr>
        <w:tc>
          <w:tcPr>
            <w:tcW w:w="7440" w:type="dxa"/>
            <w:vAlign w:val="bottom"/>
            <w:tcBorders>
              <w:top w:val="single" w:sz="8" w:color="CFF0FC"/>
            </w:tcBorders>
          </w:tcPr>
          <w:p>
            <w:pPr>
              <w:ind w:left="80"/>
              <w:spacing w:after="0" w:line="160" w:lineRule="exact"/>
              <w:rPr>
                <w:sz w:val="20"/>
                <w:szCs w:val="20"/>
                <w:color w:val="auto"/>
              </w:rPr>
            </w:pPr>
            <w:r>
              <w:rPr>
                <w:rFonts w:ascii="Arial" w:cs="Arial" w:eastAsia="Arial" w:hAnsi="Arial"/>
                <w:sz w:val="17"/>
                <w:szCs w:val="17"/>
                <w:color w:val="auto"/>
              </w:rPr>
              <w:t>Earnings from continuing operations before income tax</w:t>
            </w:r>
          </w:p>
        </w:tc>
        <w:tc>
          <w:tcPr>
            <w:tcW w:w="10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440" w:type="dxa"/>
            <w:vAlign w:val="bottom"/>
          </w:tcPr>
          <w:p>
            <w:pPr>
              <w:ind w:left="220"/>
              <w:spacing w:after="0"/>
              <w:rPr>
                <w:sz w:val="20"/>
                <w:szCs w:val="20"/>
                <w:color w:val="auto"/>
              </w:rPr>
            </w:pPr>
            <w:r>
              <w:rPr>
                <w:rFonts w:ascii="Arial" w:cs="Arial" w:eastAsia="Arial" w:hAnsi="Arial"/>
                <w:sz w:val="17"/>
                <w:szCs w:val="17"/>
                <w:color w:val="auto"/>
              </w:rPr>
              <w:t>expense</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4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Income tax expense</w:t>
            </w:r>
          </w:p>
        </w:tc>
        <w:tc>
          <w:tcPr>
            <w:tcW w:w="10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38</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28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40" w:type="dxa"/>
            <w:vAlign w:val="bottom"/>
          </w:tcPr>
          <w:p>
            <w:pPr>
              <w:ind w:left="140"/>
              <w:spacing w:after="0" w:line="183" w:lineRule="exact"/>
              <w:rPr>
                <w:sz w:val="20"/>
                <w:szCs w:val="20"/>
                <w:color w:val="auto"/>
              </w:rPr>
            </w:pPr>
            <w:r>
              <w:rPr>
                <w:rFonts w:ascii="Arial" w:cs="Arial" w:eastAsia="Arial" w:hAnsi="Arial"/>
                <w:sz w:val="17"/>
                <w:szCs w:val="17"/>
                <w:color w:val="auto"/>
              </w:rPr>
              <w:t>Earnings from continuing operations</w:t>
            </w:r>
          </w:p>
        </w:tc>
        <w:tc>
          <w:tcPr>
            <w:tcW w:w="104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79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440" w:type="dxa"/>
            <w:vAlign w:val="bottom"/>
            <w:shd w:val="clear" w:color="auto" w:fill="CFF0FC"/>
          </w:tcPr>
          <w:p>
            <w:pPr>
              <w:spacing w:after="0" w:line="167" w:lineRule="exact"/>
              <w:rPr>
                <w:sz w:val="20"/>
                <w:szCs w:val="20"/>
                <w:color w:val="auto"/>
              </w:rPr>
            </w:pPr>
            <w:r>
              <w:rPr>
                <w:rFonts w:ascii="Arial" w:cs="Arial" w:eastAsia="Arial" w:hAnsi="Arial"/>
                <w:sz w:val="17"/>
                <w:szCs w:val="17"/>
                <w:color w:val="auto"/>
              </w:rPr>
              <w:t>Earnings from discontinued operations, net of income tax</w:t>
            </w:r>
          </w:p>
        </w:tc>
        <w:tc>
          <w:tcPr>
            <w:tcW w:w="104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1,434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4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7"/>
                <w:szCs w:val="17"/>
                <w:color w:val="auto"/>
              </w:rPr>
              <w:t>expense</w:t>
            </w: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40" w:type="dxa"/>
            <w:vAlign w:val="bottom"/>
          </w:tcPr>
          <w:p>
            <w:pPr>
              <w:spacing w:after="0" w:line="183" w:lineRule="exact"/>
              <w:rPr>
                <w:sz w:val="20"/>
                <w:szCs w:val="20"/>
                <w:color w:val="auto"/>
              </w:rPr>
            </w:pPr>
            <w:r>
              <w:rPr>
                <w:rFonts w:ascii="Arial" w:cs="Arial" w:eastAsia="Arial" w:hAnsi="Arial"/>
                <w:sz w:val="17"/>
                <w:szCs w:val="17"/>
                <w:color w:val="auto"/>
              </w:rPr>
              <w:t>Consolidated net earnings</w:t>
            </w:r>
          </w:p>
        </w:tc>
        <w:tc>
          <w:tcPr>
            <w:tcW w:w="104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1,513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7"/>
                <w:szCs w:val="17"/>
                <w:color w:val="auto"/>
              </w:rPr>
              <w:t>116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7"/>
                <w:szCs w:val="17"/>
                <w:color w:val="auto"/>
              </w:rPr>
              <w:t>Less: Net earnings attributable to noncontrolling interests</w:t>
            </w:r>
          </w:p>
        </w:tc>
        <w:tc>
          <w:tcPr>
            <w:tcW w:w="10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40" w:type="dxa"/>
            <w:vAlign w:val="bottom"/>
          </w:tcPr>
          <w:p>
            <w:pPr>
              <w:spacing w:after="0" w:line="169" w:lineRule="exact"/>
              <w:rPr>
                <w:sz w:val="20"/>
                <w:szCs w:val="20"/>
                <w:color w:val="auto"/>
              </w:rPr>
            </w:pPr>
            <w:r>
              <w:rPr>
                <w:rFonts w:ascii="Arial" w:cs="Arial" w:eastAsia="Arial" w:hAnsi="Arial"/>
                <w:sz w:val="17"/>
                <w:szCs w:val="17"/>
                <w:color w:val="auto"/>
              </w:rPr>
              <w:t>Net Earnings Attributable to Martin Marietta</w:t>
            </w:r>
          </w:p>
        </w:tc>
        <w:tc>
          <w:tcPr>
            <w:tcW w:w="1040" w:type="dxa"/>
            <w:vAlign w:val="bottom"/>
          </w:tcPr>
          <w:p>
            <w:pPr>
              <w:jc w:val="right"/>
              <w:ind w:right="883"/>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7"/>
                <w:szCs w:val="17"/>
                <w:color w:val="auto"/>
              </w:rPr>
              <w:t>1,513</w:t>
            </w:r>
          </w:p>
        </w:tc>
        <w:tc>
          <w:tcPr>
            <w:tcW w:w="160" w:type="dxa"/>
            <w:vAlign w:val="bottom"/>
          </w:tcPr>
          <w:p>
            <w:pPr>
              <w:spacing w:after="0"/>
              <w:rPr>
                <w:sz w:val="15"/>
                <w:szCs w:val="15"/>
                <w:color w:val="auto"/>
              </w:rPr>
            </w:pPr>
          </w:p>
        </w:tc>
        <w:tc>
          <w:tcPr>
            <w:tcW w:w="1360" w:type="dxa"/>
            <w:vAlign w:val="bottom"/>
            <w:gridSpan w:val="2"/>
          </w:tcPr>
          <w:p>
            <w:pPr>
              <w:jc w:val="right"/>
              <w:ind w:right="1055"/>
              <w:spacing w:after="0" w:line="169"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69" w:lineRule="exact"/>
              <w:rPr>
                <w:sz w:val="20"/>
                <w:szCs w:val="20"/>
                <w:color w:val="auto"/>
              </w:rPr>
            </w:pPr>
            <w:r>
              <w:rPr>
                <w:rFonts w:ascii="Arial" w:cs="Arial" w:eastAsia="Arial" w:hAnsi="Arial"/>
                <w:sz w:val="17"/>
                <w:szCs w:val="17"/>
                <w:color w:val="auto"/>
              </w:rPr>
              <w:t>116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7"/>
                <w:szCs w:val="17"/>
                <w:color w:val="auto"/>
              </w:rPr>
              <w:t>Consolidated Comprehensive Earnings (See Note 1):</w:t>
            </w: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440" w:type="dxa"/>
            <w:vAlign w:val="bottom"/>
            <w:shd w:val="clear" w:color="auto" w:fill="CFF0FC"/>
          </w:tcPr>
          <w:p>
            <w:pPr>
              <w:ind w:left="80"/>
              <w:spacing w:after="0" w:line="167" w:lineRule="exact"/>
              <w:rPr>
                <w:sz w:val="20"/>
                <w:szCs w:val="20"/>
                <w:color w:val="auto"/>
              </w:rPr>
            </w:pPr>
            <w:r>
              <w:rPr>
                <w:rFonts w:ascii="Arial" w:cs="Arial" w:eastAsia="Arial" w:hAnsi="Arial"/>
                <w:sz w:val="17"/>
                <w:szCs w:val="17"/>
                <w:color w:val="auto"/>
              </w:rPr>
              <w:t>Consolidated comprehensive earnings attributable to</w:t>
            </w: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Martin Marietta</w:t>
            </w:r>
          </w:p>
        </w:tc>
        <w:tc>
          <w:tcPr>
            <w:tcW w:w="1040" w:type="dxa"/>
            <w:vAlign w:val="bottom"/>
            <w:shd w:val="clear" w:color="auto" w:fill="CFF0FC"/>
          </w:tcPr>
          <w:p>
            <w:pPr>
              <w:jc w:val="right"/>
              <w:ind w:right="88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1,506</w:t>
            </w: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55"/>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440" w:type="dxa"/>
            <w:vAlign w:val="bottom"/>
          </w:tcPr>
          <w:p>
            <w:pPr>
              <w:ind w:left="80"/>
              <w:spacing w:after="0" w:line="167" w:lineRule="exact"/>
              <w:rPr>
                <w:sz w:val="20"/>
                <w:szCs w:val="20"/>
                <w:color w:val="auto"/>
              </w:rPr>
            </w:pPr>
            <w:r>
              <w:rPr>
                <w:rFonts w:ascii="Arial" w:cs="Arial" w:eastAsia="Arial" w:hAnsi="Arial"/>
                <w:sz w:val="17"/>
                <w:szCs w:val="17"/>
                <w:color w:val="auto"/>
              </w:rPr>
              <w:t>Comprehensive earnings attributable to noncontrolling</w:t>
            </w:r>
          </w:p>
        </w:tc>
        <w:tc>
          <w:tcPr>
            <w:tcW w:w="10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220"/>
              <w:spacing w:after="0"/>
              <w:rPr>
                <w:sz w:val="20"/>
                <w:szCs w:val="20"/>
                <w:color w:val="auto"/>
              </w:rPr>
            </w:pPr>
            <w:r>
              <w:rPr>
                <w:rFonts w:ascii="Arial" w:cs="Arial" w:eastAsia="Arial" w:hAnsi="Arial"/>
                <w:sz w:val="17"/>
                <w:szCs w:val="17"/>
                <w:color w:val="auto"/>
              </w:rPr>
              <w:t>interests</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1,506</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55"/>
              <w:spacing w:after="0" w:line="183" w:lineRule="exact"/>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440" w:type="dxa"/>
            <w:vAlign w:val="bottom"/>
            <w:tcBorders>
              <w:top w:val="single" w:sz="8" w:color="CFF0FC"/>
            </w:tcBorders>
          </w:tcPr>
          <w:p>
            <w:pPr>
              <w:spacing w:after="0" w:line="170" w:lineRule="exact"/>
              <w:rPr>
                <w:sz w:val="20"/>
                <w:szCs w:val="20"/>
                <w:color w:val="auto"/>
              </w:rPr>
            </w:pPr>
            <w:r>
              <w:rPr>
                <w:rFonts w:ascii="Arial" w:cs="Arial" w:eastAsia="Arial" w:hAnsi="Arial"/>
                <w:sz w:val="17"/>
                <w:szCs w:val="17"/>
                <w:color w:val="auto"/>
              </w:rPr>
              <w:t>Net Earnings Attributable to Martin Marietta</w:t>
            </w:r>
          </w:p>
        </w:tc>
        <w:tc>
          <w:tcPr>
            <w:tcW w:w="10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80"/>
              <w:spacing w:after="0" w:line="189" w:lineRule="exact"/>
              <w:rPr>
                <w:sz w:val="20"/>
                <w:szCs w:val="20"/>
                <w:color w:val="auto"/>
              </w:rPr>
            </w:pPr>
            <w:r>
              <w:rPr>
                <w:rFonts w:ascii="Arial" w:cs="Arial" w:eastAsia="Arial" w:hAnsi="Arial"/>
                <w:sz w:val="17"/>
                <w:szCs w:val="17"/>
                <w:color w:val="auto"/>
              </w:rPr>
              <w:t>Per Common Share:</w:t>
            </w:r>
          </w:p>
        </w:tc>
        <w:tc>
          <w:tcPr>
            <w:tcW w:w="10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440" w:type="dxa"/>
            <w:vAlign w:val="bottom"/>
          </w:tcPr>
          <w:p>
            <w:pPr>
              <w:ind w:left="200"/>
              <w:spacing w:after="0" w:line="167" w:lineRule="exact"/>
              <w:rPr>
                <w:sz w:val="20"/>
                <w:szCs w:val="20"/>
                <w:color w:val="auto"/>
              </w:rPr>
            </w:pPr>
            <w:r>
              <w:rPr>
                <w:rFonts w:ascii="Arial" w:cs="Arial" w:eastAsia="Arial" w:hAnsi="Arial"/>
                <w:sz w:val="17"/>
                <w:szCs w:val="17"/>
                <w:color w:val="auto"/>
              </w:rPr>
              <w:t>Basic from continuing operations attributable to common</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440" w:type="dxa"/>
            <w:vAlign w:val="bottom"/>
          </w:tcPr>
          <w:p>
            <w:pPr>
              <w:ind w:left="360"/>
              <w:spacing w:after="0"/>
              <w:rPr>
                <w:sz w:val="20"/>
                <w:szCs w:val="20"/>
                <w:color w:val="auto"/>
              </w:rPr>
            </w:pPr>
            <w:r>
              <w:rPr>
                <w:rFonts w:ascii="Arial" w:cs="Arial" w:eastAsia="Arial" w:hAnsi="Arial"/>
                <w:sz w:val="17"/>
                <w:szCs w:val="17"/>
                <w:color w:val="auto"/>
              </w:rPr>
              <w:t>shareholders</w:t>
            </w: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1.32</w:t>
            </w:r>
          </w:p>
        </w:tc>
        <w:tc>
          <w:tcPr>
            <w:tcW w:w="160" w:type="dxa"/>
            <w:vAlign w:val="bottom"/>
          </w:tcPr>
          <w:p>
            <w:pPr>
              <w:spacing w:after="0"/>
              <w:rPr>
                <w:sz w:val="18"/>
                <w:szCs w:val="18"/>
                <w:color w:val="auto"/>
              </w:rPr>
            </w:pPr>
          </w:p>
        </w:tc>
        <w:tc>
          <w:tcPr>
            <w:tcW w:w="1360" w:type="dxa"/>
            <w:vAlign w:val="bottom"/>
            <w:gridSpan w:val="2"/>
          </w:tcPr>
          <w:p>
            <w:pPr>
              <w:jc w:val="right"/>
              <w:ind w:right="1055"/>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440" w:type="dxa"/>
            <w:vAlign w:val="bottom"/>
            <w:shd w:val="clear" w:color="auto" w:fill="CFF0FC"/>
          </w:tcPr>
          <w:p>
            <w:pPr>
              <w:ind w:left="200"/>
              <w:spacing w:after="0" w:line="167" w:lineRule="exact"/>
              <w:rPr>
                <w:sz w:val="20"/>
                <w:szCs w:val="20"/>
                <w:color w:val="auto"/>
              </w:rPr>
            </w:pPr>
            <w:r>
              <w:rPr>
                <w:rFonts w:ascii="Arial" w:cs="Arial" w:eastAsia="Arial" w:hAnsi="Arial"/>
                <w:sz w:val="17"/>
                <w:szCs w:val="17"/>
                <w:color w:val="auto"/>
              </w:rPr>
              <w:t>Basic from discontinued operations attributable to common</w:t>
            </w:r>
          </w:p>
        </w:tc>
        <w:tc>
          <w:tcPr>
            <w:tcW w:w="104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23.79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4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shareholders</w:t>
            </w: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40" w:type="dxa"/>
            <w:vAlign w:val="bottom"/>
          </w:tcPr>
          <w:p>
            <w:pPr>
              <w:ind w:left="280"/>
              <w:spacing w:after="0" w:line="169" w:lineRule="exact"/>
              <w:rPr>
                <w:sz w:val="20"/>
                <w:szCs w:val="20"/>
                <w:color w:val="auto"/>
              </w:rPr>
            </w:pPr>
            <w:r>
              <w:rPr>
                <w:rFonts w:ascii="Arial" w:cs="Arial" w:eastAsia="Arial" w:hAnsi="Arial"/>
                <w:sz w:val="17"/>
                <w:szCs w:val="17"/>
                <w:color w:val="auto"/>
              </w:rPr>
              <w:t>Total basic attributable to common shareholders</w:t>
            </w:r>
          </w:p>
        </w:tc>
        <w:tc>
          <w:tcPr>
            <w:tcW w:w="1040" w:type="dxa"/>
            <w:vAlign w:val="bottom"/>
          </w:tcPr>
          <w:p>
            <w:pPr>
              <w:jc w:val="right"/>
              <w:ind w:right="883"/>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7"/>
                <w:szCs w:val="17"/>
                <w:color w:val="auto"/>
              </w:rPr>
              <w:t>25.11</w:t>
            </w:r>
          </w:p>
        </w:tc>
        <w:tc>
          <w:tcPr>
            <w:tcW w:w="160" w:type="dxa"/>
            <w:vAlign w:val="bottom"/>
          </w:tcPr>
          <w:p>
            <w:pPr>
              <w:spacing w:after="0"/>
              <w:rPr>
                <w:sz w:val="15"/>
                <w:szCs w:val="15"/>
                <w:color w:val="auto"/>
              </w:rPr>
            </w:pPr>
          </w:p>
        </w:tc>
        <w:tc>
          <w:tcPr>
            <w:tcW w:w="1360" w:type="dxa"/>
            <w:vAlign w:val="bottom"/>
            <w:gridSpan w:val="2"/>
          </w:tcPr>
          <w:p>
            <w:pPr>
              <w:jc w:val="right"/>
              <w:ind w:right="1055"/>
              <w:spacing w:after="0" w:line="169"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69" w:lineRule="exact"/>
              <w:rPr>
                <w:sz w:val="20"/>
                <w:szCs w:val="20"/>
                <w:color w:val="auto"/>
              </w:rPr>
            </w:pPr>
            <w:r>
              <w:rPr>
                <w:rFonts w:ascii="Arial" w:cs="Arial" w:eastAsia="Arial" w:hAnsi="Arial"/>
                <w:sz w:val="17"/>
                <w:szCs w:val="17"/>
                <w:color w:val="auto"/>
              </w:rPr>
              <w:t>1.91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40" w:type="dxa"/>
            <w:vAlign w:val="bottom"/>
          </w:tcPr>
          <w:p>
            <w:pPr>
              <w:ind w:left="200"/>
              <w:spacing w:after="0" w:line="167" w:lineRule="exact"/>
              <w:rPr>
                <w:sz w:val="20"/>
                <w:szCs w:val="20"/>
                <w:color w:val="auto"/>
              </w:rPr>
            </w:pPr>
            <w:r>
              <w:rPr>
                <w:rFonts w:ascii="Arial" w:cs="Arial" w:eastAsia="Arial" w:hAnsi="Arial"/>
                <w:sz w:val="17"/>
                <w:szCs w:val="17"/>
                <w:color w:val="auto"/>
              </w:rPr>
              <w:t>Diluted from continuing operations attributable to</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440" w:type="dxa"/>
            <w:vAlign w:val="bottom"/>
          </w:tcPr>
          <w:p>
            <w:pPr>
              <w:ind w:left="360"/>
              <w:spacing w:after="0"/>
              <w:rPr>
                <w:sz w:val="20"/>
                <w:szCs w:val="20"/>
                <w:color w:val="auto"/>
              </w:rPr>
            </w:pPr>
            <w:r>
              <w:rPr>
                <w:rFonts w:ascii="Arial" w:cs="Arial" w:eastAsia="Arial" w:hAnsi="Arial"/>
                <w:sz w:val="17"/>
                <w:szCs w:val="17"/>
                <w:color w:val="auto"/>
              </w:rPr>
              <w:t>common shareholders</w:t>
            </w: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c>
          <w:tcPr>
            <w:tcW w:w="1360" w:type="dxa"/>
            <w:vAlign w:val="bottom"/>
            <w:gridSpan w:val="2"/>
          </w:tcPr>
          <w:p>
            <w:pPr>
              <w:jc w:val="right"/>
              <w:ind w:right="1055"/>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440" w:type="dxa"/>
            <w:vAlign w:val="bottom"/>
            <w:shd w:val="clear" w:color="auto" w:fill="CFF0FC"/>
          </w:tcPr>
          <w:p>
            <w:pPr>
              <w:ind w:left="200"/>
              <w:spacing w:after="0" w:line="167" w:lineRule="exact"/>
              <w:rPr>
                <w:sz w:val="20"/>
                <w:szCs w:val="20"/>
                <w:color w:val="auto"/>
              </w:rPr>
            </w:pPr>
            <w:r>
              <w:rPr>
                <w:rFonts w:ascii="Arial" w:cs="Arial" w:eastAsia="Arial" w:hAnsi="Arial"/>
                <w:sz w:val="17"/>
                <w:szCs w:val="17"/>
                <w:color w:val="auto"/>
              </w:rPr>
              <w:t>Diluted from discontinued operations attributable to</w:t>
            </w:r>
          </w:p>
        </w:tc>
        <w:tc>
          <w:tcPr>
            <w:tcW w:w="104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23.75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4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common shareholders</w:t>
            </w:r>
          </w:p>
        </w:tc>
        <w:tc>
          <w:tcPr>
            <w:tcW w:w="10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440" w:type="dxa"/>
            <w:vAlign w:val="bottom"/>
          </w:tcPr>
          <w:p>
            <w:pPr>
              <w:ind w:left="280"/>
              <w:spacing w:after="0" w:line="169" w:lineRule="exact"/>
              <w:rPr>
                <w:sz w:val="20"/>
                <w:szCs w:val="20"/>
                <w:color w:val="auto"/>
              </w:rPr>
            </w:pPr>
            <w:r>
              <w:rPr>
                <w:rFonts w:ascii="Arial" w:cs="Arial" w:eastAsia="Arial" w:hAnsi="Arial"/>
                <w:sz w:val="17"/>
                <w:szCs w:val="17"/>
                <w:color w:val="auto"/>
              </w:rPr>
              <w:t>Total diluted attributable to common shareholders</w:t>
            </w:r>
          </w:p>
        </w:tc>
        <w:tc>
          <w:tcPr>
            <w:tcW w:w="1040" w:type="dxa"/>
            <w:vAlign w:val="bottom"/>
          </w:tcPr>
          <w:p>
            <w:pPr>
              <w:jc w:val="right"/>
              <w:ind w:right="883"/>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7"/>
                <w:szCs w:val="17"/>
                <w:color w:val="auto"/>
              </w:rPr>
              <w:t>25.06</w:t>
            </w:r>
          </w:p>
        </w:tc>
        <w:tc>
          <w:tcPr>
            <w:tcW w:w="160" w:type="dxa"/>
            <w:vAlign w:val="bottom"/>
          </w:tcPr>
          <w:p>
            <w:pPr>
              <w:spacing w:after="0"/>
              <w:rPr>
                <w:sz w:val="15"/>
                <w:szCs w:val="15"/>
                <w:color w:val="auto"/>
              </w:rPr>
            </w:pPr>
          </w:p>
        </w:tc>
        <w:tc>
          <w:tcPr>
            <w:tcW w:w="1360" w:type="dxa"/>
            <w:vAlign w:val="bottom"/>
            <w:gridSpan w:val="2"/>
          </w:tcPr>
          <w:p>
            <w:pPr>
              <w:jc w:val="right"/>
              <w:ind w:right="1055"/>
              <w:spacing w:after="0" w:line="169"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69" w:lineRule="exact"/>
              <w:rPr>
                <w:sz w:val="20"/>
                <w:szCs w:val="20"/>
                <w:color w:val="auto"/>
              </w:rPr>
            </w:pPr>
            <w:r>
              <w:rPr>
                <w:rFonts w:ascii="Arial" w:cs="Arial" w:eastAsia="Arial" w:hAnsi="Arial"/>
                <w:sz w:val="17"/>
                <w:szCs w:val="17"/>
                <w:color w:val="auto"/>
              </w:rPr>
              <w:t>1.90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7"/>
                <w:szCs w:val="17"/>
                <w:color w:val="auto"/>
              </w:rPr>
              <w:t>Weighted-Average Common Shares Outstanding:</w:t>
            </w: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FF0FC"/>
            </w:tcBorders>
            <w:shd w:val="clear" w:color="auto" w:fill="CFF0FC"/>
          </w:tcPr>
          <w:p>
            <w:pPr>
              <w:ind w:left="140"/>
              <w:spacing w:after="0" w:line="169" w:lineRule="exact"/>
              <w:rPr>
                <w:sz w:val="20"/>
                <w:szCs w:val="20"/>
                <w:color w:val="auto"/>
              </w:rPr>
            </w:pPr>
            <w:r>
              <w:rPr>
                <w:rFonts w:ascii="Arial" w:cs="Arial" w:eastAsia="Arial" w:hAnsi="Arial"/>
                <w:sz w:val="17"/>
                <w:szCs w:val="17"/>
                <w:color w:val="auto"/>
              </w:rPr>
              <w:t>Basic</w:t>
            </w:r>
          </w:p>
        </w:tc>
        <w:tc>
          <w:tcPr>
            <w:tcW w:w="10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7"/>
                <w:szCs w:val="17"/>
                <w:color w:val="auto"/>
              </w:rPr>
              <w:t>60.3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7"/>
                <w:szCs w:val="17"/>
                <w:color w:val="auto"/>
              </w:rPr>
              <w:t>60.9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440" w:type="dxa"/>
            <w:vAlign w:val="bottom"/>
          </w:tcPr>
          <w:p>
            <w:pPr>
              <w:ind w:left="140"/>
              <w:spacing w:after="0" w:line="169" w:lineRule="exact"/>
              <w:rPr>
                <w:sz w:val="20"/>
                <w:szCs w:val="20"/>
                <w:color w:val="auto"/>
              </w:rPr>
            </w:pPr>
            <w:r>
              <w:rPr>
                <w:rFonts w:ascii="Arial" w:cs="Arial" w:eastAsia="Arial" w:hAnsi="Arial"/>
                <w:sz w:val="17"/>
                <w:szCs w:val="17"/>
                <w:color w:val="auto"/>
              </w:rPr>
              <w:t>Diluted</w:t>
            </w: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60.4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7"/>
                <w:szCs w:val="17"/>
                <w:color w:val="auto"/>
              </w:rPr>
              <w:t>61.0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-5356860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-5356860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-4628515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-4139565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-3771265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-3411220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-3162300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-2167890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-2150745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-1430655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-685165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-153670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Page 4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3200" w:type="dxa"/>
            <w:vAlign w:val="bottom"/>
            <w:gridSpan w:val="4"/>
          </w:tcPr>
          <w:p>
            <w:pPr>
              <w:jc w:val="center"/>
              <w:ind w:left="430"/>
              <w:spacing w:after="0"/>
              <w:rPr>
                <w:sz w:val="20"/>
                <w:szCs w:val="20"/>
                <w:color w:val="auto"/>
              </w:rPr>
            </w:pPr>
            <w:r>
              <w:rPr>
                <w:rFonts w:ascii="Arial" w:cs="Arial" w:eastAsia="Arial" w:hAnsi="Arial"/>
                <w:sz w:val="18"/>
                <w:szCs w:val="18"/>
                <w:color w:val="auto"/>
                <w:w w:val="99"/>
              </w:rPr>
              <w:t>Three Months Ended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4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8"/>
                <w:szCs w:val="18"/>
                <w:color w:val="auto"/>
                <w:w w:val="99"/>
              </w:rPr>
              <w:t>March 31,</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2026</w:t>
            </w:r>
          </w:p>
        </w:tc>
        <w:tc>
          <w:tcPr>
            <w:tcW w:w="660" w:type="dxa"/>
            <w:vAlign w:val="bottom"/>
            <w:tcBorders>
              <w:bottom w:val="single" w:sz="8" w:color="auto"/>
            </w:tcBorders>
          </w:tcPr>
          <w:p>
            <w:pPr>
              <w:spacing w:after="0"/>
              <w:rPr>
                <w:sz w:val="17"/>
                <w:szCs w:val="17"/>
                <w:color w:val="auto"/>
              </w:rPr>
            </w:pPr>
          </w:p>
        </w:tc>
        <w:tc>
          <w:tcPr>
            <w:tcW w:w="2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in</w:t>
            </w:r>
          </w:p>
        </w:tc>
        <w:tc>
          <w:tcPr>
            <w:tcW w:w="12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99"/>
              </w:rPr>
              <w:t>(Dollars</w:t>
            </w:r>
          </w:p>
        </w:tc>
        <w:tc>
          <w:tcPr>
            <w:tcW w:w="260" w:type="dxa"/>
            <w:vAlign w:val="bottom"/>
            <w:vMerge w:val="continue"/>
          </w:tcPr>
          <w:p>
            <w:pPr>
              <w:spacing w:after="0"/>
              <w:rPr>
                <w:sz w:val="17"/>
                <w:szCs w:val="17"/>
                <w:color w:val="auto"/>
              </w:rPr>
            </w:pPr>
          </w:p>
        </w:tc>
        <w:tc>
          <w:tcPr>
            <w:tcW w:w="1200" w:type="dxa"/>
            <w:vAlign w:val="bottom"/>
          </w:tcPr>
          <w:p>
            <w:pPr>
              <w:spacing w:after="0" w:line="196" w:lineRule="exact"/>
              <w:rPr>
                <w:sz w:val="20"/>
                <w:szCs w:val="20"/>
                <w:color w:val="auto"/>
              </w:rPr>
            </w:pPr>
            <w:r>
              <w:rPr>
                <w:rFonts w:ascii="Arial" w:cs="Arial" w:eastAsia="Arial" w:hAnsi="Arial"/>
                <w:sz w:val="18"/>
                <w:szCs w:val="18"/>
                <w:i w:val="1"/>
                <w:iCs w:val="1"/>
                <w:color w:val="auto"/>
              </w:rPr>
              <w:t>Millions)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Consolidated net earnings</w:t>
            </w:r>
          </w:p>
        </w:tc>
        <w:tc>
          <w:tcPr>
            <w:tcW w:w="1080" w:type="dxa"/>
            <w:vAlign w:val="bottom"/>
          </w:tcPr>
          <w:p>
            <w:pPr>
              <w:jc w:val="right"/>
              <w:ind w:right="89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1,513</w:t>
            </w:r>
          </w:p>
        </w:tc>
        <w:tc>
          <w:tcPr>
            <w:tcW w:w="260" w:type="dxa"/>
            <w:vAlign w:val="bottom"/>
          </w:tcPr>
          <w:p>
            <w:pPr>
              <w:spacing w:after="0"/>
              <w:rPr>
                <w:sz w:val="17"/>
                <w:szCs w:val="17"/>
                <w:color w:val="auto"/>
              </w:rPr>
            </w:pPr>
          </w:p>
        </w:tc>
        <w:tc>
          <w:tcPr>
            <w:tcW w:w="1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4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Adjustments to reconcile consolidated net earnings to net cash</w:t>
            </w: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4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provided by operating activities:</w:t>
            </w: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Depreciation, depletion and amortization</w:t>
            </w:r>
          </w:p>
        </w:tc>
        <w:tc>
          <w:tcPr>
            <w:tcW w:w="10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167</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Stock-based compensation expense</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(Gain) Loss on divestitures and sales of assets</w:t>
            </w:r>
          </w:p>
        </w:tc>
        <w:tc>
          <w:tcPr>
            <w:tcW w:w="1080" w:type="dxa"/>
            <w:vAlign w:val="bottom"/>
          </w:tcPr>
          <w:p>
            <w:pPr>
              <w:spacing w:after="0"/>
              <w:rPr>
                <w:sz w:val="17"/>
                <w:szCs w:val="17"/>
                <w:color w:val="auto"/>
              </w:rPr>
            </w:pPr>
          </w:p>
        </w:tc>
        <w:tc>
          <w:tcPr>
            <w:tcW w:w="9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(1,965)</w:t>
            </w:r>
          </w:p>
        </w:tc>
        <w:tc>
          <w:tcPr>
            <w:tcW w:w="1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Deferred income taxes, net</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Other items, net</w:t>
            </w:r>
          </w:p>
        </w:tc>
        <w:tc>
          <w:tcPr>
            <w:tcW w:w="10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7400" w:type="dxa"/>
            <w:vAlign w:val="bottom"/>
            <w:shd w:val="clear" w:color="auto" w:fill="CFF0FC"/>
          </w:tcPr>
          <w:p>
            <w:pPr>
              <w:ind w:left="140"/>
              <w:spacing w:after="0" w:line="183" w:lineRule="exact"/>
              <w:rPr>
                <w:sz w:val="20"/>
                <w:szCs w:val="20"/>
                <w:color w:val="auto"/>
              </w:rPr>
            </w:pPr>
            <w:r>
              <w:rPr>
                <w:rFonts w:ascii="Arial" w:cs="Arial" w:eastAsia="Arial" w:hAnsi="Arial"/>
                <w:sz w:val="18"/>
                <w:szCs w:val="18"/>
                <w:color w:val="auto"/>
              </w:rPr>
              <w:t>Changes in operating assets and liabilities, net of effects of</w:t>
            </w: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4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acquisitions and divestitures:</w:t>
            </w: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17"/>
                <w:szCs w:val="17"/>
                <w:color w:val="auto"/>
              </w:rPr>
            </w:pPr>
          </w:p>
        </w:tc>
        <w:tc>
          <w:tcPr>
            <w:tcW w:w="9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(57)</w:t>
            </w:r>
          </w:p>
        </w:tc>
        <w:tc>
          <w:tcPr>
            <w:tcW w:w="12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Inventories, net</w:t>
            </w:r>
          </w:p>
        </w:tc>
        <w:tc>
          <w:tcPr>
            <w:tcW w:w="10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(22)</w:t>
            </w:r>
          </w:p>
        </w:tc>
        <w:tc>
          <w:tcPr>
            <w:tcW w:w="12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7400" w:type="dxa"/>
            <w:vAlign w:val="bottom"/>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assets and liabilities, net</w:t>
            </w: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w:t>
            </w:r>
          </w:p>
        </w:tc>
        <w:tc>
          <w:tcPr>
            <w:tcW w:w="2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0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(186)</w:t>
            </w:r>
          </w:p>
        </w:tc>
        <w:tc>
          <w:tcPr>
            <w:tcW w:w="12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Acquisitions, net of cash acquired</w:t>
            </w:r>
          </w:p>
        </w:tc>
        <w:tc>
          <w:tcPr>
            <w:tcW w:w="10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Proceeds from divestitures and sales of assets</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452</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Investments in limited liability company</w:t>
            </w:r>
          </w:p>
        </w:tc>
        <w:tc>
          <w:tcPr>
            <w:tcW w:w="1080" w:type="dxa"/>
            <w:vAlign w:val="bottom"/>
          </w:tcPr>
          <w:p>
            <w:pPr>
              <w:spacing w:after="0"/>
              <w:rPr>
                <w:sz w:val="17"/>
                <w:szCs w:val="17"/>
                <w:color w:val="auto"/>
              </w:rPr>
            </w:pPr>
          </w:p>
        </w:tc>
        <w:tc>
          <w:tcPr>
            <w:tcW w:w="92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investing activities, net</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Net Cash Provided by (Used for) Investing Activities</w:t>
            </w:r>
          </w:p>
        </w:tc>
        <w:tc>
          <w:tcPr>
            <w:tcW w:w="10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293</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96"/>
        </w:trPr>
        <w:tc>
          <w:tcPr>
            <w:tcW w:w="740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Proceeds from borrowings</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Repayments of debt</w:t>
            </w:r>
          </w:p>
        </w:tc>
        <w:tc>
          <w:tcPr>
            <w:tcW w:w="1080" w:type="dxa"/>
            <w:vAlign w:val="bottom"/>
          </w:tcPr>
          <w:p>
            <w:pPr>
              <w:spacing w:after="0"/>
              <w:rPr>
                <w:sz w:val="17"/>
                <w:szCs w:val="17"/>
                <w:color w:val="auto"/>
              </w:rPr>
            </w:pPr>
          </w:p>
        </w:tc>
        <w:tc>
          <w:tcPr>
            <w:tcW w:w="9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(205)</w:t>
            </w:r>
          </w:p>
        </w:tc>
        <w:tc>
          <w:tcPr>
            <w:tcW w:w="120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Payments on finance lease obligations</w:t>
            </w:r>
          </w:p>
        </w:tc>
        <w:tc>
          <w:tcPr>
            <w:tcW w:w="10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w:t>
            </w:r>
          </w:p>
        </w:tc>
        <w:tc>
          <w:tcPr>
            <w:tcW w:w="12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Dividends paid</w:t>
            </w:r>
          </w:p>
        </w:tc>
        <w:tc>
          <w:tcPr>
            <w:tcW w:w="1080" w:type="dxa"/>
            <w:vAlign w:val="bottom"/>
          </w:tcPr>
          <w:p>
            <w:pPr>
              <w:spacing w:after="0"/>
              <w:rPr>
                <w:sz w:val="17"/>
                <w:szCs w:val="17"/>
                <w:color w:val="auto"/>
              </w:rPr>
            </w:pPr>
          </w:p>
        </w:tc>
        <w:tc>
          <w:tcPr>
            <w:tcW w:w="9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(51)</w:t>
            </w:r>
          </w:p>
        </w:tc>
        <w:tc>
          <w:tcPr>
            <w:tcW w:w="12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Repurchases of common stock</w:t>
            </w:r>
          </w:p>
        </w:tc>
        <w:tc>
          <w:tcPr>
            <w:tcW w:w="10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(200)</w:t>
            </w:r>
          </w:p>
        </w:tc>
        <w:tc>
          <w:tcPr>
            <w:tcW w:w="12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3"/>
        </w:trPr>
        <w:tc>
          <w:tcPr>
            <w:tcW w:w="7400" w:type="dxa"/>
            <w:vAlign w:val="bottom"/>
          </w:tcPr>
          <w:p>
            <w:pPr>
              <w:ind w:left="140"/>
              <w:spacing w:after="0" w:line="202" w:lineRule="exact"/>
              <w:rPr>
                <w:sz w:val="20"/>
                <w:szCs w:val="20"/>
                <w:color w:val="auto"/>
              </w:rPr>
            </w:pPr>
            <w:r>
              <w:rPr>
                <w:rFonts w:ascii="Arial" w:cs="Arial" w:eastAsia="Arial" w:hAnsi="Arial"/>
                <w:sz w:val="18"/>
                <w:szCs w:val="18"/>
                <w:color w:val="auto"/>
              </w:rPr>
              <w:t>Shares withheld for employees’ income tax obligations</w:t>
            </w:r>
          </w:p>
        </w:tc>
        <w:tc>
          <w:tcPr>
            <w:tcW w:w="1080" w:type="dxa"/>
            <w:vAlign w:val="bottom"/>
          </w:tcPr>
          <w:p>
            <w:pPr>
              <w:spacing w:after="0"/>
              <w:rPr>
                <w:sz w:val="17"/>
                <w:szCs w:val="17"/>
                <w:color w:val="auto"/>
              </w:rPr>
            </w:pPr>
          </w:p>
        </w:tc>
        <w:tc>
          <w:tcPr>
            <w:tcW w:w="9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(26)</w:t>
            </w:r>
          </w:p>
        </w:tc>
        <w:tc>
          <w:tcPr>
            <w:tcW w:w="12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74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financing activities, net</w:t>
            </w:r>
          </w:p>
        </w:tc>
        <w:tc>
          <w:tcPr>
            <w:tcW w:w="10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2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tcPr>
          <w:p>
            <w:pPr>
              <w:spacing w:after="0" w:line="196" w:lineRule="exact"/>
              <w:rPr>
                <w:sz w:val="20"/>
                <w:szCs w:val="20"/>
                <w:color w:val="auto"/>
              </w:rPr>
            </w:pPr>
            <w:r>
              <w:rPr>
                <w:rFonts w:ascii="Arial" w:cs="Arial" w:eastAsia="Arial" w:hAnsi="Arial"/>
                <w:sz w:val="18"/>
                <w:szCs w:val="18"/>
                <w:color w:val="auto"/>
              </w:rPr>
              <w:t>Net Cash Used for Financing Activities</w:t>
            </w:r>
          </w:p>
        </w:tc>
        <w:tc>
          <w:tcPr>
            <w:tcW w:w="1080" w:type="dxa"/>
            <w:vAlign w:val="bottom"/>
          </w:tcPr>
          <w:p>
            <w:pPr>
              <w:spacing w:after="0"/>
              <w:rPr>
                <w:sz w:val="17"/>
                <w:szCs w:val="17"/>
                <w:color w:val="auto"/>
              </w:rPr>
            </w:pPr>
          </w:p>
        </w:tc>
        <w:tc>
          <w:tcPr>
            <w:tcW w:w="9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(314)</w:t>
            </w:r>
          </w:p>
        </w:tc>
        <w:tc>
          <w:tcPr>
            <w:tcW w:w="1200" w:type="dxa"/>
            <w:vAlign w:val="bottom"/>
          </w:tcPr>
          <w:p>
            <w:pPr>
              <w:spacing w:after="0"/>
              <w:rPr>
                <w:sz w:val="17"/>
                <w:szCs w:val="17"/>
                <w:color w:val="auto"/>
              </w:rPr>
            </w:pPr>
          </w:p>
        </w:tc>
        <w:tc>
          <w:tcPr>
            <w:tcW w:w="6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2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end of period</w:t>
            </w:r>
          </w:p>
        </w:tc>
        <w:tc>
          <w:tcPr>
            <w:tcW w:w="1080" w:type="dxa"/>
            <w:vAlign w:val="bottom"/>
            <w:tcBorders>
              <w:bottom w:val="single" w:sz="8" w:color="auto"/>
            </w:tcBorders>
            <w:shd w:val="clear" w:color="auto" w:fill="CFF0FC"/>
          </w:tcPr>
          <w:p>
            <w:pPr>
              <w:jc w:val="right"/>
              <w:ind w:right="89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273</w:t>
            </w:r>
          </w:p>
        </w:tc>
        <w:tc>
          <w:tcPr>
            <w:tcW w:w="2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101</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-2914015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-2914015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-1868170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-565150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Page 5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color w:val="auto"/>
                <w:w w:val="95"/>
              </w:rPr>
              <w:t>Accumulated</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6"/>
              </w:rPr>
              <w:t>Shares of</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3"/>
                <w:szCs w:val="13"/>
                <w:color w:val="auto"/>
                <w:w w:val="98"/>
              </w:rPr>
              <w:t>Other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440"/>
              <w:spacing w:after="0" w:line="135" w:lineRule="exact"/>
              <w:rPr>
                <w:sz w:val="20"/>
                <w:szCs w:val="20"/>
                <w:color w:val="auto"/>
              </w:rPr>
            </w:pPr>
            <w:r>
              <w:rPr>
                <w:rFonts w:ascii="Arial" w:cs="Arial" w:eastAsia="Arial" w:hAnsi="Arial"/>
                <w:sz w:val="13"/>
                <w:szCs w:val="13"/>
                <w:color w:val="auto"/>
              </w:rPr>
              <w:t>Total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94"/>
              </w:rPr>
              <w:t>Common</w:t>
            </w:r>
          </w:p>
        </w:tc>
        <w:tc>
          <w:tcPr>
            <w:tcW w:w="100" w:type="dxa"/>
            <w:vAlign w:val="bottom"/>
          </w:tcPr>
          <w:p>
            <w:pPr>
              <w:spacing w:after="0"/>
              <w:rPr>
                <w:sz w:val="11"/>
                <w:szCs w:val="11"/>
                <w:color w:val="auto"/>
              </w:rPr>
            </w:pPr>
          </w:p>
        </w:tc>
        <w:tc>
          <w:tcPr>
            <w:tcW w:w="72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98"/>
              </w:rPr>
              <w:t>Common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w w:val="98"/>
              </w:rPr>
              <w:t>Additional</w:t>
            </w:r>
          </w:p>
        </w:tc>
        <w:tc>
          <w:tcPr>
            <w:tcW w:w="100" w:type="dxa"/>
            <w:vAlign w:val="bottom"/>
          </w:tcPr>
          <w:p>
            <w:pPr>
              <w:spacing w:after="0"/>
              <w:rPr>
                <w:sz w:val="11"/>
                <w:szCs w:val="11"/>
                <w:color w:val="auto"/>
              </w:rPr>
            </w:pPr>
          </w:p>
        </w:tc>
        <w:tc>
          <w:tcPr>
            <w:tcW w:w="1220" w:type="dxa"/>
            <w:vAlign w:val="bottom"/>
            <w:gridSpan w:val="3"/>
          </w:tcPr>
          <w:p>
            <w:pPr>
              <w:jc w:val="center"/>
              <w:ind w:right="260"/>
              <w:spacing w:after="0" w:line="135" w:lineRule="exact"/>
              <w:rPr>
                <w:sz w:val="20"/>
                <w:szCs w:val="20"/>
                <w:color w:val="auto"/>
              </w:rPr>
            </w:pPr>
            <w:r>
              <w:rPr>
                <w:rFonts w:ascii="Arial" w:cs="Arial" w:eastAsia="Arial" w:hAnsi="Arial"/>
                <w:sz w:val="13"/>
                <w:szCs w:val="13"/>
                <w:color w:val="auto"/>
                <w:w w:val="96"/>
              </w:rPr>
              <w:t>Comprehensive</w:t>
            </w:r>
          </w:p>
        </w:tc>
        <w:tc>
          <w:tcPr>
            <w:tcW w:w="8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2"/>
              </w:rPr>
              <w:t>Retained</w:t>
            </w:r>
          </w:p>
        </w:tc>
        <w:tc>
          <w:tcPr>
            <w:tcW w:w="10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3"/>
                <w:szCs w:val="13"/>
                <w:color w:val="auto"/>
              </w:rPr>
              <w:t>Shareholders'</w:t>
            </w:r>
          </w:p>
        </w:tc>
        <w:tc>
          <w:tcPr>
            <w:tcW w:w="80" w:type="dxa"/>
            <w:vAlign w:val="bottom"/>
          </w:tcPr>
          <w:p>
            <w:pPr>
              <w:spacing w:after="0"/>
              <w:rPr>
                <w:sz w:val="11"/>
                <w:szCs w:val="11"/>
                <w:color w:val="auto"/>
              </w:rPr>
            </w:pPr>
          </w:p>
        </w:tc>
        <w:tc>
          <w:tcPr>
            <w:tcW w:w="96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Noncontrolling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7"/>
              </w:rPr>
              <w:t>(In Millions, Except Share and Per Share Data)</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Stock</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Stock</w:t>
            </w:r>
          </w:p>
        </w:tc>
        <w:tc>
          <w:tcPr>
            <w:tcW w:w="220" w:type="dxa"/>
            <w:vAlign w:val="bottom"/>
          </w:tcPr>
          <w:p>
            <w:pPr>
              <w:spacing w:after="0"/>
              <w:rPr>
                <w:sz w:val="13"/>
                <w:szCs w:val="13"/>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6"/>
              </w:rPr>
              <w:t>Paid-in 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6"/>
              </w:rPr>
              <w:t>(Loss) Earnings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7"/>
              </w:rPr>
              <w:t>Earnings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Equity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Interests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6"/>
              </w:rPr>
              <w:t>Total 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Balance at December 31, 2024</w:t>
            </w:r>
          </w:p>
        </w:tc>
        <w:tc>
          <w:tcPr>
            <w:tcW w:w="8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61,126,646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w:t>
            </w:r>
          </w:p>
        </w:tc>
        <w:tc>
          <w:tcPr>
            <w:tcW w:w="320" w:type="dxa"/>
            <w:vAlign w:val="bottom"/>
            <w:gridSpan w:val="2"/>
            <w:shd w:val="clear" w:color="auto" w:fill="CFF0FC"/>
          </w:tcPr>
          <w:p>
            <w:pPr>
              <w:ind w:left="220"/>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3,550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FF0FC"/>
          </w:tcPr>
          <w:p>
            <w:pPr>
              <w:jc w:val="right"/>
              <w:ind w:right="180"/>
              <w:spacing w:after="0" w:line="129" w:lineRule="exact"/>
              <w:rPr>
                <w:sz w:val="20"/>
                <w:szCs w:val="20"/>
                <w:color w:val="auto"/>
              </w:rPr>
            </w:pPr>
            <w:r>
              <w:rPr>
                <w:rFonts w:ascii="Arial" w:cs="Arial" w:eastAsia="Arial" w:hAnsi="Arial"/>
                <w:sz w:val="13"/>
                <w:szCs w:val="13"/>
                <w:color w:val="auto"/>
              </w:rPr>
              <w:t>(13)</w:t>
            </w:r>
          </w:p>
        </w:tc>
        <w:tc>
          <w:tcPr>
            <w:tcW w:w="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5,915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ind w:left="100"/>
              <w:spacing w:after="0" w:line="129"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9,453</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w:t>
            </w:r>
          </w:p>
        </w:tc>
        <w:tc>
          <w:tcPr>
            <w:tcW w:w="3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9,456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60"/>
              <w:spacing w:after="0" w:line="135" w:lineRule="exact"/>
              <w:rPr>
                <w:sz w:val="20"/>
                <w:szCs w:val="20"/>
                <w:color w:val="auto"/>
              </w:rPr>
            </w:pPr>
            <w:r>
              <w:rPr>
                <w:rFonts w:ascii="Arial" w:cs="Arial" w:eastAsia="Arial" w:hAnsi="Arial"/>
                <w:sz w:val="13"/>
                <w:szCs w:val="13"/>
                <w:color w:val="auto"/>
              </w:rPr>
              <w:t>Consolidated net earnings</w:t>
            </w: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Other comprehensive earnings,</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of tax</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Dividends declared ($0.79 per</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20"/>
              <w:spacing w:after="0"/>
              <w:rPr>
                <w:sz w:val="20"/>
                <w:szCs w:val="20"/>
                <w:color w:val="auto"/>
              </w:rPr>
            </w:pPr>
            <w:r>
              <w:rPr>
                <w:rFonts w:ascii="Arial" w:cs="Arial" w:eastAsia="Arial" w:hAnsi="Arial"/>
                <w:sz w:val="13"/>
                <w:szCs w:val="13"/>
                <w:color w:val="auto"/>
              </w:rPr>
              <w:t>common share)</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Issuances of common stock for</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 award plans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62,975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Shares withheld for employees'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60"/>
              <w:spacing w:after="0"/>
              <w:rPr>
                <w:sz w:val="20"/>
                <w:szCs w:val="20"/>
                <w:color w:val="auto"/>
              </w:rPr>
            </w:pPr>
            <w:r>
              <w:rPr>
                <w:rFonts w:ascii="Arial" w:cs="Arial" w:eastAsia="Arial" w:hAnsi="Arial"/>
                <w:sz w:val="13"/>
                <w:szCs w:val="13"/>
                <w:color w:val="auto"/>
              </w:rPr>
              <w:t>income tax obligations</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Repurchases of common stock</w:t>
            </w:r>
          </w:p>
        </w:tc>
        <w:tc>
          <w:tcPr>
            <w:tcW w:w="1100" w:type="dxa"/>
            <w:vAlign w:val="bottom"/>
            <w:gridSpan w:val="3"/>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(910,831)</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(454)</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(454)</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60"/>
              <w:spacing w:after="0"/>
              <w:rPr>
                <w:sz w:val="20"/>
                <w:szCs w:val="20"/>
                <w:color w:val="auto"/>
              </w:rPr>
            </w:pPr>
            <w:r>
              <w:rPr>
                <w:rFonts w:ascii="Arial" w:cs="Arial" w:eastAsia="Arial" w:hAnsi="Arial"/>
                <w:sz w:val="13"/>
                <w:szCs w:val="13"/>
                <w:color w:val="auto"/>
              </w:rPr>
              <w:t>expense</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60" w:type="dxa"/>
            <w:vAlign w:val="bottom"/>
            <w:tcBorders>
              <w:top w:val="single" w:sz="8" w:color="CFF0FC"/>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Balance at March 31, 2025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60,278,790</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3,563</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(12)</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5,529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9,081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9,084</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Balance at December 31, 2025</w:t>
            </w:r>
          </w:p>
        </w:tc>
        <w:tc>
          <w:tcPr>
            <w:tcW w:w="8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60,309,739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w:t>
            </w:r>
          </w:p>
        </w:tc>
        <w:tc>
          <w:tcPr>
            <w:tcW w:w="320" w:type="dxa"/>
            <w:vAlign w:val="bottom"/>
            <w:gridSpan w:val="2"/>
            <w:shd w:val="clear" w:color="auto" w:fill="CFF0FC"/>
          </w:tcPr>
          <w:p>
            <w:pPr>
              <w:ind w:left="22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3,569</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6,402</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10,032</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w:t>
            </w:r>
          </w:p>
        </w:tc>
        <w:tc>
          <w:tcPr>
            <w:tcW w:w="30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10,034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60"/>
              <w:spacing w:after="0" w:line="135" w:lineRule="exact"/>
              <w:rPr>
                <w:sz w:val="20"/>
                <w:szCs w:val="20"/>
                <w:color w:val="auto"/>
              </w:rPr>
            </w:pPr>
            <w:r>
              <w:rPr>
                <w:rFonts w:ascii="Arial" w:cs="Arial" w:eastAsia="Arial" w:hAnsi="Arial"/>
                <w:sz w:val="13"/>
                <w:szCs w:val="13"/>
                <w:color w:val="auto"/>
              </w:rPr>
              <w:t>Consolidated net earnings</w:t>
            </w:r>
          </w:p>
        </w:tc>
        <w:tc>
          <w:tcPr>
            <w:tcW w:w="10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1,513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1,513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1,513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Other comprehensive loss,</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of tax</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Dividends declared ($0.83 per</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20"/>
              <w:spacing w:after="0"/>
              <w:rPr>
                <w:sz w:val="20"/>
                <w:szCs w:val="20"/>
                <w:color w:val="auto"/>
              </w:rPr>
            </w:pPr>
            <w:r>
              <w:rPr>
                <w:rFonts w:ascii="Arial" w:cs="Arial" w:eastAsia="Arial" w:hAnsi="Arial"/>
                <w:sz w:val="13"/>
                <w:szCs w:val="13"/>
                <w:color w:val="auto"/>
              </w:rPr>
              <w:t>common share)</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ind w:left="60"/>
              <w:spacing w:after="0" w:line="117" w:lineRule="exact"/>
              <w:rPr>
                <w:sz w:val="20"/>
                <w:szCs w:val="20"/>
                <w:color w:val="auto"/>
              </w:rPr>
            </w:pPr>
            <w:r>
              <w:rPr>
                <w:rFonts w:ascii="Arial" w:cs="Arial" w:eastAsia="Arial" w:hAnsi="Arial"/>
                <w:sz w:val="13"/>
                <w:szCs w:val="13"/>
                <w:color w:val="auto"/>
              </w:rPr>
              <w:t>Issuances of common stock for</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stock award plans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61,616</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Shares withheld for employees'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160"/>
              <w:spacing w:after="0"/>
              <w:rPr>
                <w:sz w:val="20"/>
                <w:szCs w:val="20"/>
                <w:color w:val="auto"/>
              </w:rPr>
            </w:pPr>
            <w:r>
              <w:rPr>
                <w:rFonts w:ascii="Arial" w:cs="Arial" w:eastAsia="Arial" w:hAnsi="Arial"/>
                <w:sz w:val="13"/>
                <w:szCs w:val="13"/>
                <w:color w:val="auto"/>
              </w:rPr>
              <w:t>income tax obligations</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60"/>
              <w:spacing w:after="0" w:line="135" w:lineRule="exact"/>
              <w:rPr>
                <w:sz w:val="20"/>
                <w:szCs w:val="20"/>
                <w:color w:val="auto"/>
              </w:rPr>
            </w:pPr>
            <w:r>
              <w:rPr>
                <w:rFonts w:ascii="Arial" w:cs="Arial" w:eastAsia="Arial" w:hAnsi="Arial"/>
                <w:sz w:val="13"/>
                <w:szCs w:val="13"/>
                <w:color w:val="auto"/>
              </w:rPr>
              <w:t>Repurchases of common stock</w:t>
            </w:r>
          </w:p>
        </w:tc>
        <w:tc>
          <w:tcPr>
            <w:tcW w:w="1100" w:type="dxa"/>
            <w:vAlign w:val="bottom"/>
            <w:gridSpan w:val="3"/>
            <w:shd w:val="clear" w:color="auto" w:fill="CFF0FC"/>
          </w:tcPr>
          <w:p>
            <w:pPr>
              <w:jc w:val="right"/>
              <w:ind w:right="180"/>
              <w:spacing w:after="0" w:line="135" w:lineRule="exact"/>
              <w:rPr>
                <w:sz w:val="20"/>
                <w:szCs w:val="20"/>
                <w:color w:val="auto"/>
              </w:rPr>
            </w:pPr>
            <w:r>
              <w:rPr>
                <w:rFonts w:ascii="Arial" w:cs="Arial" w:eastAsia="Arial" w:hAnsi="Arial"/>
                <w:sz w:val="13"/>
                <w:szCs w:val="13"/>
                <w:color w:val="auto"/>
              </w:rPr>
              <w:t>(325,455)</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(202)</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(202)</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line="135" w:lineRule="exact"/>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17"/>
        </w:trPr>
        <w:tc>
          <w:tcPr>
            <w:tcW w:w="2660" w:type="dxa"/>
            <w:vAlign w:val="bottom"/>
          </w:tcPr>
          <w:p>
            <w:pPr>
              <w:ind w:left="60"/>
              <w:spacing w:after="0" w:line="117" w:lineRule="exact"/>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60" w:type="dxa"/>
            <w:vAlign w:val="bottom"/>
          </w:tcPr>
          <w:p>
            <w:pPr>
              <w:ind w:left="160"/>
              <w:spacing w:after="0" w:line="139" w:lineRule="exact"/>
              <w:rPr>
                <w:sz w:val="20"/>
                <w:szCs w:val="20"/>
                <w:color w:val="auto"/>
              </w:rPr>
            </w:pPr>
            <w:r>
              <w:rPr>
                <w:rFonts w:ascii="Arial" w:cs="Arial" w:eastAsia="Arial" w:hAnsi="Arial"/>
                <w:sz w:val="13"/>
                <w:szCs w:val="13"/>
                <w:color w:val="auto"/>
              </w:rPr>
              <w:t>expense</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Balance at March 31, 2026</w:t>
            </w:r>
          </w:p>
        </w:tc>
        <w:tc>
          <w:tcPr>
            <w:tcW w:w="10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60,045,900</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3,578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53</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7,663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11,295</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2</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11,297</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-1336675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-1319530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-1431290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-1336675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-1319530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-1431290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-1336675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-1319530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-1431290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-1336675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-1319530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-1431290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-1336675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-1319530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-1431290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-1336675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-1319530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-1431290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-1336675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-1319530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-1431290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-1431290</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-25400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8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Page 6 of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NOTES TO CONSOLIDATED FINANCIAL STATEMENTS</w:t>
      </w:r>
    </w:p>
    <w:p>
      <w:pPr>
        <w:spacing w:after="0" w:line="308" w:lineRule="exact"/>
        <w:rPr>
          <w:sz w:val="20"/>
          <w:szCs w:val="20"/>
          <w:color w:val="auto"/>
        </w:rPr>
      </w:pPr>
    </w:p>
    <w:p>
      <w:pPr>
        <w:ind w:left="380" w:hanging="372"/>
        <w:spacing w:after="0"/>
        <w:tabs>
          <w:tab w:leader="none" w:pos="380" w:val="left"/>
        </w:tabs>
        <w:numPr>
          <w:ilvl w:val="0"/>
          <w:numId w:val="3"/>
        </w:numPr>
        <w:rPr>
          <w:rFonts w:ascii="Calibri" w:cs="Calibri" w:eastAsia="Calibri" w:hAnsi="Calibri"/>
          <w:sz w:val="20"/>
          <w:szCs w:val="20"/>
          <w:b w:val="1"/>
          <w:bCs w:val="1"/>
          <w:color w:val="auto"/>
        </w:rPr>
      </w:pPr>
      <w:r>
        <w:rPr>
          <w:rFonts w:ascii="Arial" w:cs="Arial" w:eastAsia="Arial" w:hAnsi="Arial"/>
          <w:sz w:val="20"/>
          <w:szCs w:val="20"/>
          <w:b w:val="1"/>
          <w:bCs w:val="1"/>
          <w:color w:val="auto"/>
        </w:rPr>
        <w:t>Significant Accounting Policies</w:t>
      </w:r>
    </w:p>
    <w:p>
      <w:pPr>
        <w:spacing w:after="0" w:line="228"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b w:val="1"/>
          <w:bCs w:val="1"/>
          <w:color w:val="auto"/>
        </w:rPr>
        <w:t>Organization</w:t>
      </w:r>
    </w:p>
    <w:p>
      <w:pPr>
        <w:spacing w:after="0" w:line="96" w:lineRule="exact"/>
        <w:rPr>
          <w:rFonts w:ascii="Calibri" w:cs="Calibri" w:eastAsia="Calibri" w:hAnsi="Calibri"/>
          <w:sz w:val="20"/>
          <w:szCs w:val="20"/>
          <w:b w:val="1"/>
          <w:bCs w:val="1"/>
          <w:color w:val="auto"/>
        </w:rPr>
      </w:pPr>
    </w:p>
    <w:p>
      <w:pPr>
        <w:jc w:val="both"/>
        <w:ind w:left="380"/>
        <w:spacing w:after="0" w:line="234" w:lineRule="auto"/>
        <w:rPr>
          <w:rFonts w:ascii="Calibri" w:cs="Calibri" w:eastAsia="Calibri" w:hAnsi="Calibri"/>
          <w:sz w:val="20"/>
          <w:szCs w:val="20"/>
          <w:b w:val="1"/>
          <w:bCs w:val="1"/>
          <w:color w:val="auto"/>
        </w:rPr>
      </w:pPr>
      <w:r>
        <w:rPr>
          <w:rFonts w:ascii="Arial" w:cs="Arial" w:eastAsia="Arial" w:hAnsi="Arial"/>
          <w:sz w:val="20"/>
          <w:szCs w:val="20"/>
          <w:color w:val="auto"/>
        </w:rPr>
        <w:t>Martin Marietta Materials, Inc. (the Company or Martin Marietta) is a natural resource-based building materials company. As of March 31, 2026, the Company supplies aggregates (crushed stone, sand and gravel) through its network of approximately 480 quarries, mines and distribution yards in 28 states, Canada and The Bahamas. Martin Marietta also provides other building materials, namely, ready mixed concrete, asphalt and paving services, in vertically-integrated structured markets where the Company also has a notable aggregates position.</w:t>
      </w:r>
    </w:p>
    <w:p>
      <w:pPr>
        <w:spacing w:after="0" w:line="66" w:lineRule="exact"/>
        <w:rPr>
          <w:rFonts w:ascii="Calibri" w:cs="Calibri" w:eastAsia="Calibri" w:hAnsi="Calibri"/>
          <w:sz w:val="20"/>
          <w:szCs w:val="20"/>
          <w:b w:val="1"/>
          <w:bCs w:val="1"/>
          <w:color w:val="auto"/>
        </w:rPr>
      </w:pPr>
    </w:p>
    <w:p>
      <w:pPr>
        <w:jc w:val="both"/>
        <w:ind w:left="380"/>
        <w:spacing w:after="0" w:line="241" w:lineRule="auto"/>
        <w:rPr>
          <w:rFonts w:ascii="Calibri" w:cs="Calibri" w:eastAsia="Calibri" w:hAnsi="Calibri"/>
          <w:sz w:val="20"/>
          <w:szCs w:val="20"/>
          <w:b w:val="1"/>
          <w:bCs w:val="1"/>
          <w:color w:val="auto"/>
        </w:rPr>
      </w:pPr>
      <w:r>
        <w:rPr>
          <w:rFonts w:ascii="Arial" w:cs="Arial" w:eastAsia="Arial" w:hAnsi="Arial"/>
          <w:sz w:val="20"/>
          <w:szCs w:val="20"/>
          <w:color w:val="auto"/>
        </w:rPr>
        <w:t>The Company’s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w:t>
      </w:r>
    </w:p>
    <w:p>
      <w:pPr>
        <w:spacing w:after="0" w:line="63"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color w:val="auto"/>
        </w:rPr>
        <w:t>In connection with closing an asset exchange during the quarter ended March 31, 2026 (see Note 2), the Company updated its reportable segments. As of March 31, 2026, the Building Materials business includes two reportable segments: East Group (comprised of the East and Southwest divisions) and West Group (comprised of the Central and West divisions). The Company has recast all comparative prior-period information presented in the related notes to the financial statements to reflect the updated reportable segments.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4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Reportable Segments</w:t>
            </w:r>
          </w:p>
        </w:tc>
        <w:tc>
          <w:tcPr>
            <w:tcW w:w="220" w:type="dxa"/>
            <w:vAlign w:val="bottom"/>
            <w:tcBorders>
              <w:top w:val="single" w:sz="8" w:color="auto"/>
            </w:tcBorders>
          </w:tcPr>
          <w:p>
            <w:pPr>
              <w:spacing w:after="0"/>
              <w:rPr>
                <w:sz w:val="19"/>
                <w:szCs w:val="19"/>
                <w:color w:val="auto"/>
              </w:rPr>
            </w:pPr>
          </w:p>
        </w:tc>
        <w:tc>
          <w:tcPr>
            <w:tcW w:w="390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East Group</w:t>
            </w:r>
          </w:p>
        </w:tc>
        <w:tc>
          <w:tcPr>
            <w:tcW w:w="180" w:type="dxa"/>
            <w:vAlign w:val="bottom"/>
            <w:tcBorders>
              <w:top w:val="single" w:sz="8" w:color="auto"/>
            </w:tcBorders>
          </w:tcPr>
          <w:p>
            <w:pPr>
              <w:spacing w:after="0"/>
              <w:rPr>
                <w:sz w:val="19"/>
                <w:szCs w:val="19"/>
                <w:color w:val="auto"/>
              </w:rPr>
            </w:pPr>
          </w:p>
        </w:tc>
        <w:tc>
          <w:tcPr>
            <w:tcW w:w="4000" w:type="dxa"/>
            <w:vAlign w:val="bottom"/>
            <w:tcBorders>
              <w:top w:val="single" w:sz="8" w:color="auto"/>
              <w:bottom w:val="single" w:sz="8" w:color="auto"/>
            </w:tcBorders>
          </w:tcPr>
          <w:p>
            <w:pPr>
              <w:ind w:left="1480"/>
              <w:spacing w:after="0" w:line="223" w:lineRule="exact"/>
              <w:rPr>
                <w:sz w:val="20"/>
                <w:szCs w:val="20"/>
                <w:color w:val="auto"/>
              </w:rPr>
            </w:pPr>
            <w:r>
              <w:rPr>
                <w:rFonts w:ascii="Arial" w:cs="Arial" w:eastAsia="Arial" w:hAnsi="Arial"/>
                <w:sz w:val="20"/>
                <w:szCs w:val="20"/>
                <w:color w:val="auto"/>
              </w:rPr>
              <w:t>West Group</w:t>
            </w:r>
          </w:p>
        </w:tc>
      </w:tr>
      <w:tr>
        <w:trPr>
          <w:trHeight w:val="188"/>
        </w:trPr>
        <w:tc>
          <w:tcPr>
            <w:tcW w:w="2940" w:type="dxa"/>
            <w:vAlign w:val="bottom"/>
          </w:tcPr>
          <w:p>
            <w:pPr>
              <w:jc w:val="center"/>
              <w:spacing w:after="0" w:line="188" w:lineRule="exact"/>
              <w:rPr>
                <w:sz w:val="20"/>
                <w:szCs w:val="20"/>
                <w:color w:val="auto"/>
              </w:rPr>
            </w:pPr>
            <w:r>
              <w:rPr>
                <w:rFonts w:ascii="Arial" w:cs="Arial" w:eastAsia="Arial" w:hAnsi="Arial"/>
                <w:sz w:val="20"/>
                <w:szCs w:val="20"/>
                <w:color w:val="auto"/>
                <w:w w:val="99"/>
              </w:rPr>
              <w:t>Operating Locations</w:t>
            </w:r>
          </w:p>
        </w:tc>
        <w:tc>
          <w:tcPr>
            <w:tcW w:w="220" w:type="dxa"/>
            <w:vAlign w:val="bottom"/>
          </w:tcPr>
          <w:p>
            <w:pPr>
              <w:spacing w:after="0"/>
              <w:rPr>
                <w:sz w:val="16"/>
                <w:szCs w:val="16"/>
                <w:color w:val="auto"/>
              </w:rPr>
            </w:pPr>
          </w:p>
        </w:tc>
        <w:tc>
          <w:tcPr>
            <w:tcW w:w="3900" w:type="dxa"/>
            <w:vAlign w:val="bottom"/>
          </w:tcPr>
          <w:p>
            <w:pPr>
              <w:jc w:val="center"/>
              <w:spacing w:after="0" w:line="188" w:lineRule="exact"/>
              <w:rPr>
                <w:sz w:val="20"/>
                <w:szCs w:val="20"/>
                <w:color w:val="auto"/>
              </w:rPr>
            </w:pPr>
            <w:r>
              <w:rPr>
                <w:rFonts w:ascii="Arial" w:cs="Arial" w:eastAsia="Arial" w:hAnsi="Arial"/>
                <w:sz w:val="20"/>
                <w:szCs w:val="20"/>
                <w:color w:val="auto"/>
                <w:w w:val="98"/>
              </w:rPr>
              <w:t>Alabama, Arkansas, Florida, Georgia,</w:t>
            </w:r>
          </w:p>
        </w:tc>
        <w:tc>
          <w:tcPr>
            <w:tcW w:w="180" w:type="dxa"/>
            <w:vAlign w:val="bottom"/>
          </w:tcPr>
          <w:p>
            <w:pPr>
              <w:spacing w:after="0"/>
              <w:rPr>
                <w:sz w:val="16"/>
                <w:szCs w:val="16"/>
                <w:color w:val="auto"/>
              </w:rPr>
            </w:pPr>
          </w:p>
        </w:tc>
        <w:tc>
          <w:tcPr>
            <w:tcW w:w="4000" w:type="dxa"/>
            <w:vAlign w:val="bottom"/>
          </w:tcPr>
          <w:p>
            <w:pPr>
              <w:jc w:val="center"/>
              <w:spacing w:after="0" w:line="188" w:lineRule="exact"/>
              <w:rPr>
                <w:sz w:val="20"/>
                <w:szCs w:val="20"/>
                <w:color w:val="auto"/>
              </w:rPr>
            </w:pPr>
            <w:r>
              <w:rPr>
                <w:rFonts w:ascii="Arial" w:cs="Arial" w:eastAsia="Arial" w:hAnsi="Arial"/>
                <w:sz w:val="20"/>
                <w:szCs w:val="20"/>
                <w:color w:val="auto"/>
                <w:w w:val="98"/>
              </w:rPr>
              <w:t>Arizona, California, Colorado, Indiana,</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Pr>
          <w:p>
            <w:pPr>
              <w:jc w:val="center"/>
              <w:spacing w:after="0" w:line="216" w:lineRule="exact"/>
              <w:rPr>
                <w:sz w:val="20"/>
                <w:szCs w:val="20"/>
                <w:color w:val="auto"/>
              </w:rPr>
            </w:pPr>
            <w:r>
              <w:rPr>
                <w:rFonts w:ascii="Arial" w:cs="Arial" w:eastAsia="Arial" w:hAnsi="Arial"/>
                <w:sz w:val="20"/>
                <w:szCs w:val="20"/>
                <w:color w:val="auto"/>
                <w:w w:val="98"/>
              </w:rPr>
              <w:t>Louisiana, Maryland, North Carolina,</w:t>
            </w:r>
          </w:p>
        </w:tc>
        <w:tc>
          <w:tcPr>
            <w:tcW w:w="180" w:type="dxa"/>
            <w:vAlign w:val="bottom"/>
          </w:tcPr>
          <w:p>
            <w:pPr>
              <w:spacing w:after="0"/>
              <w:rPr>
                <w:sz w:val="18"/>
                <w:szCs w:val="18"/>
                <w:color w:val="auto"/>
              </w:rPr>
            </w:pPr>
          </w:p>
        </w:tc>
        <w:tc>
          <w:tcPr>
            <w:tcW w:w="4000" w:type="dxa"/>
            <w:vAlign w:val="bottom"/>
          </w:tcPr>
          <w:p>
            <w:pPr>
              <w:jc w:val="center"/>
              <w:spacing w:after="0" w:line="216" w:lineRule="exact"/>
              <w:rPr>
                <w:sz w:val="20"/>
                <w:szCs w:val="20"/>
                <w:color w:val="auto"/>
              </w:rPr>
            </w:pPr>
            <w:r>
              <w:rPr>
                <w:rFonts w:ascii="Arial" w:cs="Arial" w:eastAsia="Arial" w:hAnsi="Arial"/>
                <w:sz w:val="20"/>
                <w:szCs w:val="20"/>
                <w:color w:val="auto"/>
                <w:w w:val="98"/>
              </w:rPr>
              <w:t>Iowa, Kansas, Kentucky, Minnesota,</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Pr>
          <w:p>
            <w:pPr>
              <w:jc w:val="center"/>
              <w:spacing w:after="0" w:line="216" w:lineRule="exact"/>
              <w:rPr>
                <w:sz w:val="20"/>
                <w:szCs w:val="20"/>
                <w:color w:val="auto"/>
              </w:rPr>
            </w:pPr>
            <w:r>
              <w:rPr>
                <w:rFonts w:ascii="Arial" w:cs="Arial" w:eastAsia="Arial" w:hAnsi="Arial"/>
                <w:sz w:val="20"/>
                <w:szCs w:val="20"/>
                <w:color w:val="auto"/>
                <w:w w:val="98"/>
              </w:rPr>
              <w:t>Oklahoma, Pennsylvania, South Carolina,</w:t>
            </w:r>
          </w:p>
        </w:tc>
        <w:tc>
          <w:tcPr>
            <w:tcW w:w="180" w:type="dxa"/>
            <w:vAlign w:val="bottom"/>
          </w:tcPr>
          <w:p>
            <w:pPr>
              <w:spacing w:after="0"/>
              <w:rPr>
                <w:sz w:val="18"/>
                <w:szCs w:val="18"/>
                <w:color w:val="auto"/>
              </w:rPr>
            </w:pPr>
          </w:p>
        </w:tc>
        <w:tc>
          <w:tcPr>
            <w:tcW w:w="4000" w:type="dxa"/>
            <w:vAlign w:val="bottom"/>
          </w:tcPr>
          <w:p>
            <w:pPr>
              <w:jc w:val="center"/>
              <w:spacing w:after="0" w:line="216" w:lineRule="exact"/>
              <w:rPr>
                <w:sz w:val="20"/>
                <w:szCs w:val="20"/>
                <w:color w:val="auto"/>
              </w:rPr>
            </w:pPr>
            <w:r>
              <w:rPr>
                <w:rFonts w:ascii="Arial" w:cs="Arial" w:eastAsia="Arial" w:hAnsi="Arial"/>
                <w:sz w:val="20"/>
                <w:szCs w:val="20"/>
                <w:color w:val="auto"/>
                <w:w w:val="99"/>
              </w:rPr>
              <w:t>Missouri, Ohio, Nebraska, Tennessee, Utah,</w:t>
            </w: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00" w:type="dxa"/>
            <w:vAlign w:val="bottom"/>
          </w:tcPr>
          <w:p>
            <w:pPr>
              <w:jc w:val="center"/>
              <w:spacing w:after="0" w:line="216" w:lineRule="exact"/>
              <w:rPr>
                <w:sz w:val="20"/>
                <w:szCs w:val="20"/>
                <w:color w:val="auto"/>
              </w:rPr>
            </w:pPr>
            <w:r>
              <w:rPr>
                <w:rFonts w:ascii="Arial" w:cs="Arial" w:eastAsia="Arial" w:hAnsi="Arial"/>
                <w:sz w:val="20"/>
                <w:szCs w:val="20"/>
                <w:color w:val="auto"/>
                <w:w w:val="99"/>
              </w:rPr>
              <w:t>Tennessee, Texas, Virginia,</w:t>
            </w:r>
          </w:p>
        </w:tc>
        <w:tc>
          <w:tcPr>
            <w:tcW w:w="180" w:type="dxa"/>
            <w:vAlign w:val="bottom"/>
          </w:tcPr>
          <w:p>
            <w:pPr>
              <w:spacing w:after="0"/>
              <w:rPr>
                <w:sz w:val="18"/>
                <w:szCs w:val="18"/>
                <w:color w:val="auto"/>
              </w:rPr>
            </w:pPr>
          </w:p>
        </w:tc>
        <w:tc>
          <w:tcPr>
            <w:tcW w:w="4000" w:type="dxa"/>
            <w:vAlign w:val="bottom"/>
          </w:tcPr>
          <w:p>
            <w:pPr>
              <w:jc w:val="center"/>
              <w:spacing w:after="0" w:line="216" w:lineRule="exact"/>
              <w:rPr>
                <w:sz w:val="20"/>
                <w:szCs w:val="20"/>
                <w:color w:val="auto"/>
              </w:rPr>
            </w:pPr>
            <w:r>
              <w:rPr>
                <w:rFonts w:ascii="Arial" w:cs="Arial" w:eastAsia="Arial" w:hAnsi="Arial"/>
                <w:sz w:val="20"/>
                <w:szCs w:val="20"/>
                <w:color w:val="auto"/>
                <w:w w:val="99"/>
              </w:rPr>
              <w:t>Washington, West Virginia, Wyoming, and</w:t>
            </w:r>
          </w:p>
        </w:tc>
      </w:tr>
      <w:tr>
        <w:trPr>
          <w:trHeight w:val="261"/>
        </w:trPr>
        <w:tc>
          <w:tcPr>
            <w:tcW w:w="2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00" w:type="dxa"/>
            <w:vAlign w:val="bottom"/>
          </w:tcPr>
          <w:p>
            <w:pPr>
              <w:jc w:val="center"/>
              <w:spacing w:after="0"/>
              <w:rPr>
                <w:sz w:val="20"/>
                <w:szCs w:val="20"/>
                <w:color w:val="auto"/>
              </w:rPr>
            </w:pPr>
            <w:r>
              <w:rPr>
                <w:rFonts w:ascii="Arial" w:cs="Arial" w:eastAsia="Arial" w:hAnsi="Arial"/>
                <w:sz w:val="20"/>
                <w:szCs w:val="20"/>
                <w:color w:val="auto"/>
                <w:w w:val="98"/>
              </w:rPr>
              <w:t>Nova Scotia and The Bahamas</w:t>
            </w:r>
          </w:p>
        </w:tc>
        <w:tc>
          <w:tcPr>
            <w:tcW w:w="18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8"/>
              </w:rPr>
              <w:t>British Columbia</w:t>
            </w:r>
          </w:p>
        </w:tc>
      </w:tr>
      <w:tr>
        <w:trPr>
          <w:trHeight w:val="603"/>
        </w:trPr>
        <w:tc>
          <w:tcPr>
            <w:tcW w:w="2940" w:type="dxa"/>
            <w:vAlign w:val="bottom"/>
          </w:tcPr>
          <w:p>
            <w:pPr>
              <w:jc w:val="center"/>
              <w:spacing w:after="0"/>
              <w:rPr>
                <w:sz w:val="20"/>
                <w:szCs w:val="20"/>
                <w:color w:val="auto"/>
              </w:rPr>
            </w:pPr>
            <w:r>
              <w:rPr>
                <w:rFonts w:ascii="Arial" w:cs="Arial" w:eastAsia="Arial" w:hAnsi="Arial"/>
                <w:sz w:val="20"/>
                <w:szCs w:val="20"/>
                <w:color w:val="auto"/>
                <w:w w:val="98"/>
              </w:rPr>
              <w:t>Products and Services</w:t>
            </w:r>
          </w:p>
        </w:tc>
        <w:tc>
          <w:tcPr>
            <w:tcW w:w="22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20"/>
                <w:szCs w:val="20"/>
                <w:color w:val="auto"/>
                <w:w w:val="99"/>
              </w:rPr>
              <w:t>Aggregates</w:t>
            </w:r>
          </w:p>
        </w:tc>
        <w:tc>
          <w:tcPr>
            <w:tcW w:w="18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8"/>
              </w:rPr>
              <w:t>Aggregates, Ready Mixed Concrete, Asphalt</w:t>
            </w:r>
          </w:p>
        </w:tc>
      </w:tr>
      <w:tr>
        <w:trPr>
          <w:trHeight w:val="261"/>
        </w:trPr>
        <w:tc>
          <w:tcPr>
            <w:tcW w:w="2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8"/>
              </w:rPr>
              <w:t>and Paving Services</w:t>
            </w:r>
          </w:p>
        </w:tc>
      </w:tr>
    </w:tbl>
    <w:p>
      <w:pPr>
        <w:spacing w:after="0" w:line="144" w:lineRule="exact"/>
        <w:rPr>
          <w:sz w:val="20"/>
          <w:szCs w:val="20"/>
          <w:color w:val="auto"/>
        </w:rPr>
      </w:pPr>
    </w:p>
    <w:p>
      <w:pPr>
        <w:jc w:val="both"/>
        <w:ind w:left="380"/>
        <w:spacing w:after="0" w:line="228" w:lineRule="auto"/>
        <w:rPr>
          <w:sz w:val="20"/>
          <w:szCs w:val="20"/>
          <w:color w:val="auto"/>
        </w:rPr>
      </w:pPr>
      <w:r>
        <w:rPr>
          <w:rFonts w:ascii="Arial" w:cs="Arial" w:eastAsia="Arial" w:hAnsi="Arial"/>
          <w:sz w:val="20"/>
          <w:szCs w:val="20"/>
          <w:color w:val="auto"/>
        </w:rPr>
        <w:t>The Company also operates a Specialties business (formerly known as the Magnesia Specialties business), which represents a separate reportable segment. The Specialties business produces high-purity natural and synthetic magnesia-based products, including magnesium sulfate, magnesium oxide and magnesium hydroxide, used in environmental, industrial, agricultural, construction, consumer and specialty applications. The Specialties business also produces dolomitic lime, which is sold primarily to external customers for use in steel production and soil stabilization, and is used internally as a raw material input in synthetic magnesia production. Specialties' production facilities are located in Michigan, Ohio, Nevada, North Carolina, Indiana and Pennsylvania.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 and Use of Estimates</w:t>
      </w:r>
    </w:p>
    <w:p>
      <w:pPr>
        <w:spacing w:after="0" w:line="96" w:lineRule="exact"/>
        <w:rPr>
          <w:sz w:val="20"/>
          <w:szCs w:val="20"/>
          <w:color w:val="auto"/>
        </w:rPr>
      </w:pPr>
    </w:p>
    <w:p>
      <w:pPr>
        <w:jc w:val="both"/>
        <w:ind w:left="380"/>
        <w:spacing w:after="0" w:line="229" w:lineRule="auto"/>
        <w:rPr>
          <w:sz w:val="20"/>
          <w:szCs w:val="20"/>
          <w:color w:val="auto"/>
        </w:rPr>
      </w:pPr>
      <w:r>
        <w:rPr>
          <w:rFonts w:ascii="Arial" w:cs="Arial" w:eastAsia="Arial" w:hAnsi="Arial"/>
          <w:sz w:val="20"/>
          <w:szCs w:val="20"/>
          <w:color w:val="auto"/>
        </w:rPr>
        <w:t>The accompanying unaudited consolidated financial statements of the Company have been prepared in accordance with accounting principles generally accepted in the United States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2025.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months ended March 31, 2026 are not necessarily indicative of the results expected for other interim periods or the full year. The consolidated balance sheet at December 31, 2025 has been derived from the audited consolidated financial statements at that date but does not include all of the information and notes required by GAAP for complete financial statements. These consolidated financial statements should be read in conjunction with the audited consolidated financial statements and notes thereto included in the Company’s Annual Report on Form 10-K for the year ended December 31, 2025.</w:t>
      </w:r>
    </w:p>
    <w:p>
      <w:pPr>
        <w:spacing w:after="0" w:line="63"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Consolidated Comprehensive Earnings and Accumulated Other Comprehensive Earnings (Loss)</w:t>
      </w:r>
    </w:p>
    <w:p>
      <w:pPr>
        <w:spacing w:after="0" w:line="96"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Consolidated comprehensive earnings consist of consolidated net earnings, adjustments for the funded status of pension and postretirement benefit plans and foreign currency translation adjustments and are presented in the Company’s consolidated statements of earnings and comprehensive earnings.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Consolidated comprehensive earnings attributable to Martin Marietta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3440" w:type="dxa"/>
            <w:vAlign w:val="bottom"/>
            <w:gridSpan w:val="5"/>
          </w:tcPr>
          <w:p>
            <w:pPr>
              <w:jc w:val="center"/>
              <w:ind w:left="421"/>
              <w:spacing w:after="0"/>
              <w:rPr>
                <w:sz w:val="20"/>
                <w:szCs w:val="20"/>
                <w:color w:val="auto"/>
              </w:rPr>
            </w:pPr>
            <w:r>
              <w:rPr>
                <w:rFonts w:ascii="Arial" w:cs="Arial" w:eastAsia="Arial" w:hAnsi="Arial"/>
                <w:sz w:val="20"/>
                <w:szCs w:val="20"/>
                <w:color w:val="auto"/>
                <w:w w:val="98"/>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521"/>
              <w:spacing w:after="0"/>
              <w:rPr>
                <w:sz w:val="20"/>
                <w:szCs w:val="20"/>
                <w:color w:val="auto"/>
              </w:rPr>
            </w:pPr>
            <w:r>
              <w:rPr>
                <w:rFonts w:ascii="Arial" w:cs="Arial" w:eastAsia="Arial" w:hAnsi="Arial"/>
                <w:sz w:val="20"/>
                <w:szCs w:val="20"/>
                <w:color w:val="auto"/>
                <w:w w:val="98"/>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Arial" w:cs="Arial" w:eastAsia="Arial" w:hAnsi="Arial"/>
                <w:sz w:val="20"/>
                <w:szCs w:val="20"/>
                <w:color w:val="auto"/>
              </w:rPr>
              <w:t>2026</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1"/>
              <w:spacing w:after="0" w:line="209" w:lineRule="exact"/>
              <w:rPr>
                <w:sz w:val="20"/>
                <w:szCs w:val="20"/>
                <w:color w:val="auto"/>
              </w:rPr>
            </w:pPr>
            <w:r>
              <w:rPr>
                <w:rFonts w:ascii="Arial" w:cs="Arial" w:eastAsia="Arial" w:hAnsi="Arial"/>
                <w:sz w:val="20"/>
                <w:szCs w:val="20"/>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i w:val="1"/>
                <w:iCs w:val="1"/>
                <w:color w:val="auto"/>
                <w:w w:val="95"/>
              </w:rPr>
              <w:t>(Dollars</w:t>
            </w:r>
          </w:p>
        </w:tc>
        <w:tc>
          <w:tcPr>
            <w:tcW w:w="280" w:type="dxa"/>
            <w:vAlign w:val="bottom"/>
            <w:gridSpan w:val="2"/>
          </w:tcPr>
          <w:p>
            <w:pPr>
              <w:jc w:val="center"/>
              <w:spacing w:after="0" w:line="209" w:lineRule="exact"/>
              <w:rPr>
                <w:sz w:val="20"/>
                <w:szCs w:val="20"/>
                <w:color w:val="auto"/>
              </w:rPr>
            </w:pPr>
            <w:r>
              <w:rPr>
                <w:rFonts w:ascii="Arial" w:cs="Arial" w:eastAsia="Arial" w:hAnsi="Arial"/>
                <w:sz w:val="20"/>
                <w:szCs w:val="20"/>
                <w:i w:val="1"/>
                <w:iCs w:val="1"/>
                <w:color w:val="auto"/>
                <w:w w:val="89"/>
              </w:rPr>
              <w:t>in</w:t>
            </w:r>
          </w:p>
        </w:tc>
        <w:tc>
          <w:tcPr>
            <w:tcW w:w="1320" w:type="dxa"/>
            <w:vAlign w:val="bottom"/>
            <w:tcBorders>
              <w:top w:val="single" w:sz="8" w:color="auto"/>
            </w:tcBorders>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Net earnings attributable to Martin Marietta</w:t>
            </w:r>
          </w:p>
        </w:tc>
        <w:tc>
          <w:tcPr>
            <w:tcW w:w="1140" w:type="dxa"/>
            <w:vAlign w:val="bottom"/>
            <w:shd w:val="clear" w:color="auto" w:fill="CFF0FC"/>
          </w:tcPr>
          <w:p>
            <w:pPr>
              <w:jc w:val="right"/>
              <w:ind w:right="921"/>
              <w:spacing w:after="0" w:line="216" w:lineRule="exact"/>
              <w:rPr>
                <w:sz w:val="20"/>
                <w:szCs w:val="20"/>
                <w:color w:val="auto"/>
              </w:rPr>
            </w:pPr>
            <w:r>
              <w:rPr>
                <w:rFonts w:ascii="Arial" w:cs="Arial" w:eastAsia="Arial" w:hAnsi="Arial"/>
                <w:sz w:val="20"/>
                <w:szCs w:val="20"/>
                <w:color w:val="auto"/>
                <w:w w:val="89"/>
              </w:rPr>
              <w:t>$</w:t>
            </w:r>
          </w:p>
        </w:tc>
        <w:tc>
          <w:tcPr>
            <w:tcW w:w="7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1,513</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ind w:left="100"/>
              <w:spacing w:after="0" w:line="216" w:lineRule="exact"/>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line="216" w:lineRule="exact"/>
              <w:rPr>
                <w:sz w:val="20"/>
                <w:szCs w:val="20"/>
                <w:color w:val="auto"/>
              </w:rPr>
            </w:pPr>
            <w:r>
              <w:rPr>
                <w:rFonts w:ascii="Arial" w:cs="Arial" w:eastAsia="Arial" w:hAnsi="Arial"/>
                <w:sz w:val="20"/>
                <w:szCs w:val="20"/>
                <w:color w:val="auto"/>
              </w:rPr>
              <w:t>Other comprehensive (loss) earnings, net of tax</w:t>
            </w:r>
          </w:p>
        </w:tc>
        <w:tc>
          <w:tcPr>
            <w:tcW w:w="1140" w:type="dxa"/>
            <w:vAlign w:val="bottom"/>
          </w:tcPr>
          <w:p>
            <w:pPr>
              <w:spacing w:after="0"/>
              <w:rPr>
                <w:sz w:val="18"/>
                <w:szCs w:val="18"/>
                <w:color w:val="auto"/>
              </w:rPr>
            </w:pPr>
          </w:p>
        </w:tc>
        <w:tc>
          <w:tcPr>
            <w:tcW w:w="880" w:type="dxa"/>
            <w:vAlign w:val="bottom"/>
            <w:gridSpan w:val="2"/>
          </w:tcPr>
          <w:p>
            <w:pPr>
              <w:jc w:val="right"/>
              <w:ind w:right="21"/>
              <w:spacing w:after="0" w:line="216" w:lineRule="exact"/>
              <w:rPr>
                <w:sz w:val="20"/>
                <w:szCs w:val="20"/>
                <w:color w:val="auto"/>
              </w:rPr>
            </w:pPr>
            <w:r>
              <w:rPr>
                <w:rFonts w:ascii="Arial" w:cs="Arial" w:eastAsia="Arial" w:hAnsi="Arial"/>
                <w:sz w:val="20"/>
                <w:szCs w:val="20"/>
                <w:color w:val="auto"/>
              </w:rPr>
              <w:t>(7)</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FF0FC"/>
          </w:tcPr>
          <w:p>
            <w:pPr>
              <w:spacing w:after="0" w:line="188" w:lineRule="exact"/>
              <w:rPr>
                <w:sz w:val="20"/>
                <w:szCs w:val="20"/>
                <w:color w:val="auto"/>
              </w:rPr>
            </w:pPr>
            <w:r>
              <w:rPr>
                <w:rFonts w:ascii="Arial" w:cs="Arial" w:eastAsia="Arial" w:hAnsi="Arial"/>
                <w:sz w:val="20"/>
                <w:szCs w:val="20"/>
                <w:color w:val="auto"/>
              </w:rPr>
              <w:t>Consolidated comprehensive earnings</w:t>
            </w:r>
          </w:p>
        </w:tc>
        <w:tc>
          <w:tcPr>
            <w:tcW w:w="1140" w:type="dxa"/>
            <w:vAlign w:val="bottom"/>
            <w:tcBorders>
              <w:top w:val="single" w:sz="8" w:color="auto"/>
            </w:tcBorders>
            <w:vMerge w:val="restart"/>
            <w:shd w:val="clear" w:color="auto" w:fill="CFF0FC"/>
          </w:tcPr>
          <w:p>
            <w:pPr>
              <w:jc w:val="right"/>
              <w:ind w:right="921"/>
              <w:spacing w:after="0"/>
              <w:rPr>
                <w:sz w:val="20"/>
                <w:szCs w:val="20"/>
                <w:color w:val="auto"/>
              </w:rPr>
            </w:pPr>
            <w:r>
              <w:rPr>
                <w:rFonts w:ascii="Arial" w:cs="Arial" w:eastAsia="Arial" w:hAnsi="Arial"/>
                <w:sz w:val="20"/>
                <w:szCs w:val="20"/>
                <w:color w:val="auto"/>
                <w:w w:val="89"/>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1,506</w:t>
            </w:r>
          </w:p>
        </w:tc>
        <w:tc>
          <w:tcPr>
            <w:tcW w:w="18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spacing w:after="0"/>
              <w:rPr>
                <w:sz w:val="16"/>
                <w:szCs w:val="16"/>
                <w:color w:val="auto"/>
              </w:rPr>
            </w:pPr>
          </w:p>
        </w:tc>
        <w:tc>
          <w:tcPr>
            <w:tcW w:w="132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20"/>
                <w:szCs w:val="20"/>
                <w:color w:val="auto"/>
              </w:rPr>
              <w:t>$</w:t>
            </w:r>
          </w:p>
        </w:tc>
        <w:tc>
          <w:tcPr>
            <w:tcW w:w="5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20"/>
                <w:szCs w:val="20"/>
                <w:color w:val="auto"/>
              </w:rPr>
              <w:t>117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180" w:type="dxa"/>
            <w:vAlign w:val="bottom"/>
            <w:tcBorders>
              <w:bottom w:val="single" w:sz="8" w:color="CFF0FC"/>
            </w:tcBorders>
            <w:shd w:val="clear" w:color="auto" w:fill="CFF0FC"/>
          </w:tcPr>
          <w:p>
            <w:pPr>
              <w:ind w:left="180"/>
              <w:spacing w:after="0" w:line="177" w:lineRule="exact"/>
              <w:rPr>
                <w:sz w:val="20"/>
                <w:szCs w:val="20"/>
                <w:color w:val="auto"/>
              </w:rPr>
            </w:pPr>
            <w:r>
              <w:rPr>
                <w:rFonts w:ascii="Arial" w:cs="Arial" w:eastAsia="Arial" w:hAnsi="Arial"/>
                <w:sz w:val="20"/>
                <w:szCs w:val="20"/>
                <w:color w:val="auto"/>
              </w:rPr>
              <w:t>attributable to Martin Marietta</w:t>
            </w: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ind w:left="380"/>
        <w:spacing w:after="0" w:line="231" w:lineRule="auto"/>
        <w:rPr>
          <w:sz w:val="20"/>
          <w:szCs w:val="20"/>
          <w:color w:val="auto"/>
        </w:rPr>
      </w:pPr>
      <w:r>
        <w:rPr>
          <w:rFonts w:ascii="Arial" w:cs="Arial" w:eastAsia="Arial" w:hAnsi="Arial"/>
          <w:sz w:val="20"/>
          <w:szCs w:val="20"/>
          <w:color w:val="auto"/>
        </w:rPr>
        <w:t>Accumulated other comprehensive earnings (loss) consists of unrecognized gains and losses related to the funded status of the pension and postretirement benefit plans and foreign currency translation adjustments and is presented on the Company’s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components of the changes in accumulated other comprehensive earnings (loss), net of tax,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9"/>
                <w:szCs w:val="19"/>
                <w:i w:val="1"/>
                <w:iCs w:val="1"/>
                <w:color w:val="auto"/>
              </w:rPr>
              <w:t>(Dollars in Millions)</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center"/>
              <w:spacing w:after="0" w:line="196" w:lineRule="exact"/>
              <w:rPr>
                <w:sz w:val="20"/>
                <w:szCs w:val="20"/>
                <w:color w:val="auto"/>
              </w:rPr>
            </w:pPr>
            <w:r>
              <w:rPr>
                <w:rFonts w:ascii="Arial" w:cs="Arial" w:eastAsia="Arial" w:hAnsi="Arial"/>
                <w:sz w:val="19"/>
                <w:szCs w:val="19"/>
                <w:color w:val="auto"/>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66"/>
              <w:spacing w:after="0" w:line="216" w:lineRule="exact"/>
              <w:rPr>
                <w:sz w:val="20"/>
                <w:szCs w:val="20"/>
                <w:color w:val="auto"/>
              </w:rPr>
            </w:pPr>
            <w:r>
              <w:rPr>
                <w:rFonts w:ascii="Arial" w:cs="Arial" w:eastAsia="Arial" w:hAnsi="Arial"/>
                <w:sz w:val="19"/>
                <w:szCs w:val="19"/>
                <w:color w:val="auto"/>
              </w:rPr>
              <w:t>Pension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left="246"/>
              <w:spacing w:after="0" w:line="216" w:lineRule="exact"/>
              <w:rPr>
                <w:sz w:val="20"/>
                <w:szCs w:val="20"/>
                <w:color w:val="auto"/>
              </w:rPr>
            </w:pPr>
            <w:r>
              <w:rPr>
                <w:rFonts w:ascii="Arial" w:cs="Arial" w:eastAsia="Arial" w:hAnsi="Arial"/>
                <w:sz w:val="19"/>
                <w:szCs w:val="19"/>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26"/>
              <w:spacing w:after="0" w:line="216" w:lineRule="exact"/>
              <w:rPr>
                <w:sz w:val="20"/>
                <w:szCs w:val="20"/>
                <w:color w:val="auto"/>
              </w:rPr>
            </w:pPr>
            <w:r>
              <w:rPr>
                <w:rFonts w:ascii="Arial" w:cs="Arial" w:eastAsia="Arial" w:hAnsi="Arial"/>
                <w:sz w:val="19"/>
                <w:szCs w:val="19"/>
                <w:color w:val="auto"/>
              </w:rPr>
              <w:t>Postretirement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3"/>
          </w:tcPr>
          <w:p>
            <w:pPr>
              <w:jc w:val="right"/>
              <w:ind w:right="240"/>
              <w:spacing w:after="0" w:line="216" w:lineRule="exact"/>
              <w:rPr>
                <w:sz w:val="20"/>
                <w:szCs w:val="20"/>
                <w:color w:val="auto"/>
              </w:rPr>
            </w:pPr>
            <w:r>
              <w:rPr>
                <w:rFonts w:ascii="Arial" w:cs="Arial" w:eastAsia="Arial" w:hAnsi="Arial"/>
                <w:sz w:val="19"/>
                <w:szCs w:val="19"/>
                <w:color w:val="auto"/>
              </w:rPr>
              <w:t>Comprehensive</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6"/>
              <w:spacing w:after="0"/>
              <w:rPr>
                <w:sz w:val="20"/>
                <w:szCs w:val="20"/>
                <w:color w:val="auto"/>
              </w:rPr>
            </w:pPr>
            <w:r>
              <w:rPr>
                <w:rFonts w:ascii="Arial" w:cs="Arial" w:eastAsia="Arial" w:hAnsi="Arial"/>
                <w:sz w:val="19"/>
                <w:szCs w:val="19"/>
                <w:color w:val="auto"/>
              </w:rPr>
              <w:t>Benefit Plans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9"/>
                <w:szCs w:val="19"/>
                <w:color w:val="auto"/>
                <w:w w:val="99"/>
              </w:rPr>
              <w:t>Foreign Currency</w:t>
            </w:r>
          </w:p>
        </w:tc>
        <w:tc>
          <w:tcPr>
            <w:tcW w:w="280" w:type="dxa"/>
            <w:vAlign w:val="bottom"/>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color w:val="auto"/>
              </w:rPr>
              <w:t>Earnings (Loss)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Three</w:t>
            </w:r>
          </w:p>
        </w:tc>
        <w:tc>
          <w:tcPr>
            <w:tcW w:w="1780" w:type="dxa"/>
            <w:vAlign w:val="bottom"/>
            <w:tcBorders>
              <w:bottom w:val="single" w:sz="8" w:color="auto"/>
            </w:tcBorders>
            <w:gridSpan w:val="4"/>
          </w:tcPr>
          <w:p>
            <w:pPr>
              <w:jc w:val="right"/>
              <w:spacing w:after="0" w:line="210" w:lineRule="exact"/>
              <w:rPr>
                <w:sz w:val="20"/>
                <w:szCs w:val="20"/>
                <w:color w:val="auto"/>
              </w:rPr>
            </w:pPr>
            <w:r>
              <w:rPr>
                <w:rFonts w:ascii="Arial" w:cs="Arial" w:eastAsia="Arial" w:hAnsi="Arial"/>
                <w:sz w:val="19"/>
                <w:szCs w:val="19"/>
                <w:color w:val="auto"/>
                <w:w w:val="97"/>
              </w:rPr>
              <w:t>Months Ended March</w:t>
            </w:r>
          </w:p>
        </w:tc>
        <w:tc>
          <w:tcPr>
            <w:tcW w:w="2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w w:val="98"/>
              </w:rPr>
              <w:t>31,</w:t>
            </w:r>
          </w:p>
        </w:tc>
        <w:tc>
          <w:tcPr>
            <w:tcW w:w="1100" w:type="dxa"/>
            <w:vAlign w:val="bottom"/>
            <w:tcBorders>
              <w:bottom w:val="single" w:sz="8" w:color="auto"/>
            </w:tcBorders>
          </w:tcPr>
          <w:p>
            <w:pPr>
              <w:jc w:val="right"/>
              <w:ind w:right="466"/>
              <w:spacing w:after="0" w:line="210" w:lineRule="exact"/>
              <w:rPr>
                <w:sz w:val="20"/>
                <w:szCs w:val="20"/>
                <w:color w:val="auto"/>
              </w:rPr>
            </w:pPr>
            <w:r>
              <w:rPr>
                <w:rFonts w:ascii="Arial" w:cs="Arial" w:eastAsia="Arial" w:hAnsi="Arial"/>
                <w:sz w:val="19"/>
                <w:szCs w:val="19"/>
                <w:color w:val="auto"/>
              </w:rPr>
              <w:t>2026</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line="210" w:lineRule="exact"/>
              <w:rPr>
                <w:sz w:val="20"/>
                <w:szCs w:val="20"/>
                <w:color w:val="auto"/>
              </w:rPr>
            </w:pPr>
            <w:r>
              <w:rPr>
                <w:rFonts w:ascii="Arial" w:cs="Arial" w:eastAsia="Arial" w:hAnsi="Arial"/>
                <w:sz w:val="19"/>
                <w:szCs w:val="19"/>
                <w:color w:val="auto"/>
              </w:rPr>
              <w:t>Balance at beginning of period</w:t>
            </w:r>
          </w:p>
        </w:tc>
        <w:tc>
          <w:tcPr>
            <w:tcW w:w="100" w:type="dxa"/>
            <w:vAlign w:val="bottom"/>
            <w:shd w:val="clear" w:color="auto" w:fill="CFF0FC"/>
          </w:tcPr>
          <w:p>
            <w:pPr>
              <w:jc w:val="right"/>
              <w:spacing w:after="0" w:line="210" w:lineRule="exact"/>
              <w:rPr>
                <w:sz w:val="20"/>
                <w:szCs w:val="20"/>
                <w:color w:val="auto"/>
              </w:rPr>
            </w:pPr>
            <w:r>
              <w:rPr>
                <w:rFonts w:ascii="Arial" w:cs="Arial" w:eastAsia="Arial" w:hAnsi="Arial"/>
                <w:sz w:val="19"/>
                <w:szCs w:val="19"/>
                <w:color w:val="auto"/>
                <w:w w:val="75"/>
              </w:rPr>
              <w:t>$</w:t>
            </w:r>
          </w:p>
        </w:tc>
        <w:tc>
          <w:tcPr>
            <w:tcW w:w="1400" w:type="dxa"/>
            <w:vAlign w:val="bottom"/>
            <w:shd w:val="clear" w:color="auto" w:fill="CFF0FC"/>
          </w:tcPr>
          <w:p>
            <w:pPr>
              <w:jc w:val="right"/>
              <w:spacing w:after="0" w:line="210" w:lineRule="exact"/>
              <w:rPr>
                <w:sz w:val="20"/>
                <w:szCs w:val="20"/>
                <w:color w:val="auto"/>
              </w:rPr>
            </w:pPr>
            <w:r>
              <w:rPr>
                <w:rFonts w:ascii="Arial" w:cs="Arial" w:eastAsia="Arial" w:hAnsi="Arial"/>
                <w:sz w:val="19"/>
                <w:szCs w:val="19"/>
                <w:color w:val="auto"/>
              </w:rPr>
              <w:t>62</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120"/>
              <w:spacing w:after="0" w:line="210" w:lineRule="exact"/>
              <w:rPr>
                <w:sz w:val="20"/>
                <w:szCs w:val="20"/>
                <w:color w:val="auto"/>
              </w:rPr>
            </w:pPr>
            <w:r>
              <w:rPr>
                <w:rFonts w:ascii="Arial" w:cs="Arial" w:eastAsia="Arial" w:hAnsi="Arial"/>
                <w:sz w:val="19"/>
                <w:szCs w:val="19"/>
                <w:color w:val="auto"/>
              </w:rPr>
              <w:t>$</w:t>
            </w:r>
          </w:p>
        </w:tc>
        <w:tc>
          <w:tcPr>
            <w:tcW w:w="1120" w:type="dxa"/>
            <w:vAlign w:val="bottom"/>
            <w:gridSpan w:val="2"/>
            <w:shd w:val="clear" w:color="auto" w:fill="CFF0FC"/>
          </w:tcPr>
          <w:p>
            <w:pPr>
              <w:jc w:val="right"/>
              <w:ind w:right="106"/>
              <w:spacing w:after="0" w:line="210" w:lineRule="exact"/>
              <w:rPr>
                <w:sz w:val="20"/>
                <w:szCs w:val="20"/>
                <w:color w:val="auto"/>
              </w:rPr>
            </w:pPr>
            <w:r>
              <w:rPr>
                <w:rFonts w:ascii="Arial" w:cs="Arial" w:eastAsia="Arial" w:hAnsi="Arial"/>
                <w:sz w:val="19"/>
                <w:szCs w:val="19"/>
                <w:color w:val="auto"/>
              </w:rPr>
              <w:t>(2)</w:t>
            </w:r>
          </w:p>
        </w:tc>
        <w:tc>
          <w:tcPr>
            <w:tcW w:w="1100" w:type="dxa"/>
            <w:vAlign w:val="bottom"/>
            <w:shd w:val="clear" w:color="auto" w:fill="CFF0FC"/>
          </w:tcPr>
          <w:p>
            <w:pPr>
              <w:jc w:val="right"/>
              <w:ind w:right="906"/>
              <w:spacing w:after="0" w:line="210" w:lineRule="exact"/>
              <w:rPr>
                <w:sz w:val="20"/>
                <w:szCs w:val="20"/>
                <w:color w:val="auto"/>
              </w:rPr>
            </w:pPr>
            <w:r>
              <w:rPr>
                <w:rFonts w:ascii="Arial" w:cs="Arial" w:eastAsia="Arial" w:hAnsi="Arial"/>
                <w:sz w:val="19"/>
                <w:szCs w:val="19"/>
                <w:color w:val="auto"/>
                <w:w w:val="75"/>
              </w:rPr>
              <w:t>$</w:t>
            </w:r>
          </w:p>
        </w:tc>
        <w:tc>
          <w:tcPr>
            <w:tcW w:w="420" w:type="dxa"/>
            <w:vAlign w:val="bottom"/>
            <w:shd w:val="clear" w:color="auto" w:fill="CFF0FC"/>
          </w:tcPr>
          <w:p>
            <w:pPr>
              <w:jc w:val="right"/>
              <w:spacing w:after="0" w:line="210" w:lineRule="exact"/>
              <w:rPr>
                <w:sz w:val="20"/>
                <w:szCs w:val="20"/>
                <w:color w:val="auto"/>
              </w:rPr>
            </w:pPr>
            <w:r>
              <w:rPr>
                <w:rFonts w:ascii="Arial" w:cs="Arial" w:eastAsia="Arial" w:hAnsi="Arial"/>
                <w:sz w:val="19"/>
                <w:szCs w:val="19"/>
                <w:color w:val="auto"/>
              </w:rPr>
              <w:t>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CFF0FC"/>
            </w:tcBorders>
          </w:tcPr>
          <w:p>
            <w:pPr>
              <w:spacing w:after="0" w:line="196" w:lineRule="exact"/>
              <w:rPr>
                <w:sz w:val="20"/>
                <w:szCs w:val="20"/>
                <w:color w:val="auto"/>
              </w:rPr>
            </w:pPr>
            <w:r>
              <w:rPr>
                <w:rFonts w:ascii="Arial" w:cs="Arial" w:eastAsia="Arial" w:hAnsi="Arial"/>
                <w:sz w:val="19"/>
                <w:szCs w:val="19"/>
                <w:color w:val="auto"/>
              </w:rPr>
              <w:t>Other comprehensive loss before reclassifications,</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60"/>
              <w:spacing w:after="0"/>
              <w:rPr>
                <w:sz w:val="20"/>
                <w:szCs w:val="20"/>
                <w:color w:val="auto"/>
              </w:rPr>
            </w:pPr>
            <w:r>
              <w:rPr>
                <w:rFonts w:ascii="Arial" w:cs="Arial" w:eastAsia="Arial" w:hAnsi="Arial"/>
                <w:sz w:val="19"/>
                <w:szCs w:val="19"/>
                <w:color w:val="auto"/>
              </w:rPr>
              <w:t>net of tax</w:t>
            </w:r>
          </w:p>
        </w:tc>
        <w:tc>
          <w:tcPr>
            <w:tcW w:w="100" w:type="dxa"/>
            <w:vAlign w:val="bottom"/>
          </w:tcPr>
          <w:p>
            <w:pPr>
              <w:spacing w:after="0"/>
              <w:rPr>
                <w:sz w:val="19"/>
                <w:szCs w:val="19"/>
                <w:color w:val="auto"/>
              </w:rPr>
            </w:pPr>
          </w:p>
        </w:tc>
        <w:tc>
          <w:tcPr>
            <w:tcW w:w="1560" w:type="dxa"/>
            <w:vAlign w:val="bottom"/>
            <w:gridSpan w:val="2"/>
          </w:tcPr>
          <w:p>
            <w:pPr>
              <w:jc w:val="right"/>
              <w:ind w:right="66"/>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gridSpan w:val="2"/>
          </w:tcPr>
          <w:p>
            <w:pPr>
              <w:jc w:val="right"/>
              <w:ind w:right="106"/>
              <w:spacing w:after="0"/>
              <w:rPr>
                <w:sz w:val="20"/>
                <w:szCs w:val="20"/>
                <w:color w:val="auto"/>
              </w:rPr>
            </w:pPr>
            <w:r>
              <w:rPr>
                <w:rFonts w:ascii="Arial" w:cs="Arial" w:eastAsia="Arial" w:hAnsi="Arial"/>
                <w:sz w:val="19"/>
                <w:szCs w:val="19"/>
                <w:color w:val="auto"/>
              </w:rPr>
              <w:t>(8)</w:t>
            </w:r>
          </w:p>
        </w:tc>
        <w:tc>
          <w:tcPr>
            <w:tcW w:w="1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02"/>
        </w:trPr>
        <w:tc>
          <w:tcPr>
            <w:tcW w:w="6060" w:type="dxa"/>
            <w:vAlign w:val="bottom"/>
            <w:shd w:val="clear" w:color="auto" w:fill="CFF0FC"/>
          </w:tcPr>
          <w:p>
            <w:pPr>
              <w:spacing w:after="0" w:line="203" w:lineRule="exact"/>
              <w:rPr>
                <w:sz w:val="20"/>
                <w:szCs w:val="20"/>
                <w:color w:val="auto"/>
              </w:rPr>
            </w:pPr>
            <w:r>
              <w:rPr>
                <w:rFonts w:ascii="Arial" w:cs="Arial" w:eastAsia="Arial" w:hAnsi="Arial"/>
                <w:sz w:val="19"/>
                <w:szCs w:val="19"/>
                <w:color w:val="auto"/>
              </w:rPr>
              <w:t>Amounts reclassified from accumulated other</w:t>
            </w:r>
          </w:p>
        </w:tc>
        <w:tc>
          <w:tcPr>
            <w:tcW w:w="10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80" w:type="dxa"/>
            <w:vAlign w:val="bottom"/>
            <w:vMerge w:val="restart"/>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9"/>
                <w:szCs w:val="19"/>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FF0FC"/>
            </w:tcBorders>
            <w:shd w:val="clear" w:color="auto" w:fill="CFF0FC"/>
          </w:tcPr>
          <w:p>
            <w:pPr>
              <w:ind w:left="160"/>
              <w:spacing w:after="0" w:line="216" w:lineRule="exact"/>
              <w:rPr>
                <w:sz w:val="20"/>
                <w:szCs w:val="20"/>
                <w:color w:val="auto"/>
              </w:rPr>
            </w:pPr>
            <w:r>
              <w:rPr>
                <w:rFonts w:ascii="Arial" w:cs="Arial" w:eastAsia="Arial" w:hAnsi="Arial"/>
                <w:sz w:val="19"/>
                <w:szCs w:val="19"/>
                <w:color w:val="auto"/>
              </w:rPr>
              <w:t>comprehensive earnings, net of tax</w:t>
            </w: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vMerge w:val="continue"/>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line="210" w:lineRule="exact"/>
              <w:rPr>
                <w:sz w:val="20"/>
                <w:szCs w:val="20"/>
                <w:color w:val="auto"/>
              </w:rPr>
            </w:pPr>
            <w:r>
              <w:rPr>
                <w:rFonts w:ascii="Arial" w:cs="Arial" w:eastAsia="Arial" w:hAnsi="Arial"/>
                <w:sz w:val="19"/>
                <w:szCs w:val="19"/>
                <w:color w:val="auto"/>
              </w:rPr>
              <w:t>Other comprehensive earnings (loss), net of tax</w:t>
            </w:r>
          </w:p>
        </w:tc>
        <w:tc>
          <w:tcPr>
            <w:tcW w:w="100" w:type="dxa"/>
            <w:vAlign w:val="bottom"/>
          </w:tcPr>
          <w:p>
            <w:pPr>
              <w:spacing w:after="0"/>
              <w:rPr>
                <w:sz w:val="18"/>
                <w:szCs w:val="18"/>
                <w:color w:val="auto"/>
              </w:rPr>
            </w:pPr>
          </w:p>
        </w:tc>
        <w:tc>
          <w:tcPr>
            <w:tcW w:w="1400" w:type="dxa"/>
            <w:vAlign w:val="bottom"/>
          </w:tcPr>
          <w:p>
            <w:pPr>
              <w:jc w:val="right"/>
              <w:spacing w:after="0" w:line="210" w:lineRule="exact"/>
              <w:rPr>
                <w:sz w:val="20"/>
                <w:szCs w:val="20"/>
                <w:color w:val="auto"/>
              </w:rPr>
            </w:pPr>
            <w:r>
              <w:rPr>
                <w:rFonts w:ascii="Arial" w:cs="Arial" w:eastAsia="Arial" w:hAnsi="Arial"/>
                <w:sz w:val="19"/>
                <w:szCs w:val="19"/>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right"/>
              <w:ind w:right="106"/>
              <w:spacing w:after="0" w:line="210" w:lineRule="exact"/>
              <w:rPr>
                <w:sz w:val="20"/>
                <w:szCs w:val="20"/>
                <w:color w:val="auto"/>
              </w:rPr>
            </w:pPr>
            <w:r>
              <w:rPr>
                <w:rFonts w:ascii="Arial" w:cs="Arial" w:eastAsia="Arial" w:hAnsi="Arial"/>
                <w:sz w:val="19"/>
                <w:szCs w:val="19"/>
                <w:color w:val="auto"/>
              </w:rPr>
              <w:t>(8)</w:t>
            </w:r>
          </w:p>
        </w:tc>
        <w:tc>
          <w:tcPr>
            <w:tcW w:w="1100" w:type="dxa"/>
            <w:vAlign w:val="bottom"/>
          </w:tcPr>
          <w:p>
            <w:pPr>
              <w:spacing w:after="0"/>
              <w:rPr>
                <w:sz w:val="18"/>
                <w:szCs w:val="18"/>
                <w:color w:val="auto"/>
              </w:rPr>
            </w:pPr>
          </w:p>
        </w:tc>
        <w:tc>
          <w:tcPr>
            <w:tcW w:w="520" w:type="dxa"/>
            <w:vAlign w:val="bottom"/>
            <w:gridSpan w:val="2"/>
          </w:tcPr>
          <w:p>
            <w:pPr>
              <w:jc w:val="right"/>
              <w:ind w:right="40"/>
              <w:spacing w:after="0" w:line="210" w:lineRule="exact"/>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FF0FC"/>
          </w:tcPr>
          <w:p>
            <w:pPr>
              <w:spacing w:after="0" w:line="196" w:lineRule="exact"/>
              <w:rPr>
                <w:sz w:val="20"/>
                <w:szCs w:val="20"/>
                <w:color w:val="auto"/>
              </w:rPr>
            </w:pPr>
            <w:r>
              <w:rPr>
                <w:rFonts w:ascii="Arial" w:cs="Arial" w:eastAsia="Arial" w:hAnsi="Arial"/>
                <w:sz w:val="19"/>
                <w:szCs w:val="19"/>
                <w:color w:val="auto"/>
              </w:rPr>
              <w:t>Balance at end of period</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9"/>
                <w:szCs w:val="19"/>
                <w:color w:val="auto"/>
                <w:w w:val="75"/>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9"/>
                <w:szCs w:val="19"/>
                <w:color w:val="auto"/>
              </w:rPr>
              <w:t>63</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9"/>
                <w:szCs w:val="19"/>
                <w:color w:val="auto"/>
              </w:rPr>
              <w:t>$</w:t>
            </w:r>
          </w:p>
        </w:tc>
        <w:tc>
          <w:tcPr>
            <w:tcW w:w="1120" w:type="dxa"/>
            <w:vAlign w:val="bottom"/>
            <w:gridSpan w:val="2"/>
            <w:shd w:val="clear" w:color="auto" w:fill="CFF0FC"/>
          </w:tcPr>
          <w:p>
            <w:pPr>
              <w:jc w:val="right"/>
              <w:ind w:right="106"/>
              <w:spacing w:after="0" w:line="196" w:lineRule="exact"/>
              <w:rPr>
                <w:sz w:val="20"/>
                <w:szCs w:val="20"/>
                <w:color w:val="auto"/>
              </w:rPr>
            </w:pPr>
            <w:r>
              <w:rPr>
                <w:rFonts w:ascii="Arial" w:cs="Arial" w:eastAsia="Arial" w:hAnsi="Arial"/>
                <w:sz w:val="19"/>
                <w:szCs w:val="19"/>
                <w:color w:val="auto"/>
              </w:rPr>
              <w:t>(10)</w:t>
            </w:r>
          </w:p>
        </w:tc>
        <w:tc>
          <w:tcPr>
            <w:tcW w:w="1100" w:type="dxa"/>
            <w:vAlign w:val="bottom"/>
            <w:shd w:val="clear" w:color="auto" w:fill="CFF0FC"/>
          </w:tcPr>
          <w:p>
            <w:pPr>
              <w:jc w:val="right"/>
              <w:ind w:right="906"/>
              <w:spacing w:after="0" w:line="196" w:lineRule="exact"/>
              <w:rPr>
                <w:sz w:val="20"/>
                <w:szCs w:val="20"/>
                <w:color w:val="auto"/>
              </w:rPr>
            </w:pPr>
            <w:r>
              <w:rPr>
                <w:rFonts w:ascii="Arial" w:cs="Arial" w:eastAsia="Arial" w:hAnsi="Arial"/>
                <w:sz w:val="19"/>
                <w:szCs w:val="19"/>
                <w:color w:val="auto"/>
                <w:w w:val="75"/>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9"/>
                <w:szCs w:val="19"/>
                <w:color w:val="auto"/>
              </w:rPr>
              <w:t>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7"/>
          </w:tcPr>
          <w:p>
            <w:pPr>
              <w:jc w:val="right"/>
              <w:ind w:right="466"/>
              <w:spacing w:after="0"/>
              <w:rPr>
                <w:sz w:val="20"/>
                <w:szCs w:val="20"/>
                <w:color w:val="auto"/>
              </w:rPr>
            </w:pPr>
            <w:r>
              <w:rPr>
                <w:rFonts w:ascii="Arial" w:cs="Arial" w:eastAsia="Arial" w:hAnsi="Arial"/>
                <w:sz w:val="19"/>
                <w:szCs w:val="19"/>
                <w:color w:val="auto"/>
              </w:rPr>
              <w:t>Three Months Ended March 31, 2025</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FF0FC"/>
          </w:tcPr>
          <w:p>
            <w:pPr>
              <w:spacing w:after="0" w:line="210" w:lineRule="exact"/>
              <w:rPr>
                <w:sz w:val="20"/>
                <w:szCs w:val="20"/>
                <w:color w:val="auto"/>
              </w:rPr>
            </w:pPr>
            <w:r>
              <w:rPr>
                <w:rFonts w:ascii="Arial" w:cs="Arial" w:eastAsia="Arial" w:hAnsi="Arial"/>
                <w:sz w:val="19"/>
                <w:szCs w:val="19"/>
                <w:color w:val="auto"/>
              </w:rPr>
              <w:t>Balance at beginning of period</w:t>
            </w:r>
          </w:p>
        </w:tc>
        <w:tc>
          <w:tcPr>
            <w:tcW w:w="100" w:type="dxa"/>
            <w:vAlign w:val="bottom"/>
            <w:shd w:val="clear" w:color="auto" w:fill="CFF0FC"/>
          </w:tcPr>
          <w:p>
            <w:pPr>
              <w:jc w:val="right"/>
              <w:spacing w:after="0" w:line="210" w:lineRule="exact"/>
              <w:rPr>
                <w:sz w:val="20"/>
                <w:szCs w:val="20"/>
                <w:color w:val="auto"/>
              </w:rPr>
            </w:pPr>
            <w:r>
              <w:rPr>
                <w:rFonts w:ascii="Arial" w:cs="Arial" w:eastAsia="Arial" w:hAnsi="Arial"/>
                <w:sz w:val="19"/>
                <w:szCs w:val="19"/>
                <w:color w:val="auto"/>
                <w:w w:val="75"/>
              </w:rPr>
              <w:t>$</w:t>
            </w:r>
          </w:p>
        </w:tc>
        <w:tc>
          <w:tcPr>
            <w:tcW w:w="1560" w:type="dxa"/>
            <w:vAlign w:val="bottom"/>
            <w:gridSpan w:val="2"/>
            <w:shd w:val="clear" w:color="auto" w:fill="CFF0FC"/>
          </w:tcPr>
          <w:p>
            <w:pPr>
              <w:jc w:val="right"/>
              <w:spacing w:after="0" w:line="210" w:lineRule="exact"/>
              <w:rPr>
                <w:sz w:val="20"/>
                <w:szCs w:val="20"/>
                <w:color w:val="auto"/>
              </w:rPr>
            </w:pPr>
            <w:r>
              <w:rPr>
                <w:rFonts w:ascii="Arial" w:cs="Arial" w:eastAsia="Arial" w:hAnsi="Arial"/>
                <w:sz w:val="19"/>
                <w:szCs w:val="19"/>
                <w:color w:val="auto"/>
              </w:rPr>
              <w:t>(9)</w:t>
            </w:r>
          </w:p>
        </w:tc>
        <w:tc>
          <w:tcPr>
            <w:tcW w:w="780" w:type="dxa"/>
            <w:vAlign w:val="bottom"/>
            <w:gridSpan w:val="2"/>
            <w:shd w:val="clear" w:color="auto" w:fill="CFF0FC"/>
          </w:tcPr>
          <w:p>
            <w:pPr>
              <w:ind w:left="120"/>
              <w:spacing w:after="0" w:line="210" w:lineRule="exact"/>
              <w:rPr>
                <w:sz w:val="20"/>
                <w:szCs w:val="20"/>
                <w:color w:val="auto"/>
              </w:rPr>
            </w:pPr>
            <w:r>
              <w:rPr>
                <w:rFonts w:ascii="Arial" w:cs="Arial" w:eastAsia="Arial" w:hAnsi="Arial"/>
                <w:sz w:val="19"/>
                <w:szCs w:val="19"/>
                <w:color w:val="auto"/>
              </w:rPr>
              <w:t>$</w:t>
            </w:r>
          </w:p>
        </w:tc>
        <w:tc>
          <w:tcPr>
            <w:tcW w:w="1120" w:type="dxa"/>
            <w:vAlign w:val="bottom"/>
            <w:gridSpan w:val="2"/>
            <w:shd w:val="clear" w:color="auto" w:fill="CFF0FC"/>
          </w:tcPr>
          <w:p>
            <w:pPr>
              <w:jc w:val="right"/>
              <w:ind w:right="106"/>
              <w:spacing w:after="0" w:line="210" w:lineRule="exact"/>
              <w:rPr>
                <w:sz w:val="20"/>
                <w:szCs w:val="20"/>
                <w:color w:val="auto"/>
              </w:rPr>
            </w:pPr>
            <w:r>
              <w:rPr>
                <w:rFonts w:ascii="Arial" w:cs="Arial" w:eastAsia="Arial" w:hAnsi="Arial"/>
                <w:sz w:val="19"/>
                <w:szCs w:val="19"/>
                <w:color w:val="auto"/>
              </w:rPr>
              <w:t>(4)</w:t>
            </w:r>
          </w:p>
        </w:tc>
        <w:tc>
          <w:tcPr>
            <w:tcW w:w="1100" w:type="dxa"/>
            <w:vAlign w:val="bottom"/>
            <w:shd w:val="clear" w:color="auto" w:fill="CFF0FC"/>
          </w:tcPr>
          <w:p>
            <w:pPr>
              <w:jc w:val="right"/>
              <w:ind w:right="906"/>
              <w:spacing w:after="0" w:line="210" w:lineRule="exact"/>
              <w:rPr>
                <w:sz w:val="20"/>
                <w:szCs w:val="20"/>
                <w:color w:val="auto"/>
              </w:rPr>
            </w:pPr>
            <w:r>
              <w:rPr>
                <w:rFonts w:ascii="Arial" w:cs="Arial" w:eastAsia="Arial" w:hAnsi="Arial"/>
                <w:sz w:val="19"/>
                <w:szCs w:val="19"/>
                <w:color w:val="auto"/>
                <w:w w:val="75"/>
              </w:rPr>
              <w:t>$</w:t>
            </w:r>
          </w:p>
        </w:tc>
        <w:tc>
          <w:tcPr>
            <w:tcW w:w="520" w:type="dxa"/>
            <w:vAlign w:val="bottom"/>
            <w:gridSpan w:val="2"/>
            <w:shd w:val="clear" w:color="auto" w:fill="CFF0FC"/>
          </w:tcPr>
          <w:p>
            <w:pPr>
              <w:jc w:val="right"/>
              <w:ind w:right="40"/>
              <w:spacing w:after="0" w:line="210" w:lineRule="exact"/>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196"/>
        </w:trPr>
        <w:tc>
          <w:tcPr>
            <w:tcW w:w="6060" w:type="dxa"/>
            <w:vAlign w:val="bottom"/>
            <w:tcBorders>
              <w:top w:val="single" w:sz="8" w:color="CFF0FC"/>
            </w:tcBorders>
          </w:tcPr>
          <w:p>
            <w:pPr>
              <w:spacing w:after="0" w:line="196" w:lineRule="exact"/>
              <w:rPr>
                <w:sz w:val="20"/>
                <w:szCs w:val="20"/>
                <w:color w:val="auto"/>
              </w:rPr>
            </w:pPr>
            <w:r>
              <w:rPr>
                <w:rFonts w:ascii="Arial" w:cs="Arial" w:eastAsia="Arial" w:hAnsi="Arial"/>
                <w:sz w:val="19"/>
                <w:szCs w:val="19"/>
                <w:color w:val="auto"/>
              </w:rPr>
              <w:t>Amounts reclassified from accumulated other</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9"/>
                <w:szCs w:val="19"/>
                <w:color w:val="auto"/>
              </w:rPr>
              <w:t>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9"/>
                <w:szCs w:val="19"/>
                <w:color w:val="auto"/>
              </w:rPr>
              <w:t>—</w:t>
            </w:r>
          </w:p>
        </w:tc>
        <w:tc>
          <w:tcPr>
            <w:tcW w:w="280" w:type="dxa"/>
            <w:vAlign w:val="bottom"/>
            <w:tcBorders>
              <w:top w:val="single" w:sz="8" w:color="CFF0FC"/>
            </w:tcBorders>
            <w:vMerge w:val="restart"/>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9"/>
                <w:szCs w:val="19"/>
                <w:color w:val="auto"/>
              </w:rPr>
              <w:t>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line="216" w:lineRule="exact"/>
              <w:rPr>
                <w:sz w:val="20"/>
                <w:szCs w:val="20"/>
                <w:color w:val="auto"/>
              </w:rPr>
            </w:pPr>
            <w:r>
              <w:rPr>
                <w:rFonts w:ascii="Arial" w:cs="Arial" w:eastAsia="Arial" w:hAnsi="Arial"/>
                <w:sz w:val="19"/>
                <w:szCs w:val="19"/>
                <w:color w:val="auto"/>
              </w:rPr>
              <w:t>comprehensive loss, net of tax</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FF0FC"/>
            </w:tcBorders>
            <w:shd w:val="clear" w:color="auto" w:fill="CFF0FC"/>
          </w:tcPr>
          <w:p>
            <w:pPr>
              <w:spacing w:after="0" w:line="210" w:lineRule="exact"/>
              <w:rPr>
                <w:sz w:val="20"/>
                <w:szCs w:val="20"/>
                <w:color w:val="auto"/>
              </w:rPr>
            </w:pPr>
            <w:r>
              <w:rPr>
                <w:rFonts w:ascii="Arial" w:cs="Arial" w:eastAsia="Arial" w:hAnsi="Arial"/>
                <w:sz w:val="19"/>
                <w:szCs w:val="19"/>
                <w:color w:val="auto"/>
              </w:rPr>
              <w:t>Other comprehensive earnings, net of tax</w:t>
            </w: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line="210" w:lineRule="exact"/>
              <w:rPr>
                <w:sz w:val="20"/>
                <w:szCs w:val="20"/>
                <w:color w:val="auto"/>
              </w:rPr>
            </w:pPr>
            <w:r>
              <w:rPr>
                <w:rFonts w:ascii="Arial" w:cs="Arial" w:eastAsia="Arial" w:hAnsi="Arial"/>
                <w:sz w:val="19"/>
                <w:szCs w:val="19"/>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line="210" w:lineRule="exact"/>
              <w:rPr>
                <w:sz w:val="20"/>
                <w:szCs w:val="20"/>
                <w:color w:val="auto"/>
              </w:rPr>
            </w:pPr>
            <w:r>
              <w:rPr>
                <w:rFonts w:ascii="Arial" w:cs="Arial" w:eastAsia="Arial" w:hAnsi="Arial"/>
                <w:sz w:val="19"/>
                <w:szCs w:val="19"/>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210" w:lineRule="exact"/>
              <w:rPr>
                <w:sz w:val="20"/>
                <w:szCs w:val="20"/>
                <w:color w:val="auto"/>
              </w:rPr>
            </w:pPr>
            <w:r>
              <w:rPr>
                <w:rFonts w:ascii="Arial" w:cs="Arial" w:eastAsia="Arial" w:hAnsi="Arial"/>
                <w:sz w:val="19"/>
                <w:szCs w:val="19"/>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line="196" w:lineRule="exact"/>
              <w:rPr>
                <w:sz w:val="20"/>
                <w:szCs w:val="20"/>
                <w:color w:val="auto"/>
              </w:rPr>
            </w:pPr>
            <w:r>
              <w:rPr>
                <w:rFonts w:ascii="Arial" w:cs="Arial" w:eastAsia="Arial" w:hAnsi="Arial"/>
                <w:sz w:val="19"/>
                <w:szCs w:val="19"/>
                <w:color w:val="auto"/>
              </w:rPr>
              <w:t>Balance at end of period</w:t>
            </w:r>
          </w:p>
        </w:tc>
        <w:tc>
          <w:tcPr>
            <w:tcW w:w="100" w:type="dxa"/>
            <w:vAlign w:val="bottom"/>
          </w:tcPr>
          <w:p>
            <w:pPr>
              <w:jc w:val="right"/>
              <w:spacing w:after="0" w:line="196" w:lineRule="exact"/>
              <w:rPr>
                <w:sz w:val="20"/>
                <w:szCs w:val="20"/>
                <w:color w:val="auto"/>
              </w:rPr>
            </w:pPr>
            <w:r>
              <w:rPr>
                <w:rFonts w:ascii="Arial" w:cs="Arial" w:eastAsia="Arial" w:hAnsi="Arial"/>
                <w:sz w:val="19"/>
                <w:szCs w:val="19"/>
                <w:color w:val="auto"/>
                <w:w w:val="75"/>
              </w:rPr>
              <w:t>$</w:t>
            </w:r>
          </w:p>
        </w:tc>
        <w:tc>
          <w:tcPr>
            <w:tcW w:w="1560" w:type="dxa"/>
            <w:vAlign w:val="bottom"/>
            <w:gridSpan w:val="2"/>
          </w:tcPr>
          <w:p>
            <w:pPr>
              <w:jc w:val="right"/>
              <w:spacing w:after="0" w:line="196" w:lineRule="exact"/>
              <w:rPr>
                <w:sz w:val="20"/>
                <w:szCs w:val="20"/>
                <w:color w:val="auto"/>
              </w:rPr>
            </w:pPr>
            <w:r>
              <w:rPr>
                <w:rFonts w:ascii="Arial" w:cs="Arial" w:eastAsia="Arial" w:hAnsi="Arial"/>
                <w:sz w:val="19"/>
                <w:szCs w:val="19"/>
                <w:color w:val="auto"/>
              </w:rPr>
              <w:t>(8)</w:t>
            </w:r>
          </w:p>
        </w:tc>
        <w:tc>
          <w:tcPr>
            <w:tcW w:w="780" w:type="dxa"/>
            <w:vAlign w:val="bottom"/>
            <w:gridSpan w:val="2"/>
          </w:tcPr>
          <w:p>
            <w:pPr>
              <w:ind w:left="120"/>
              <w:spacing w:after="0" w:line="196" w:lineRule="exact"/>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106"/>
              <w:spacing w:after="0" w:line="196" w:lineRule="exact"/>
              <w:rPr>
                <w:sz w:val="20"/>
                <w:szCs w:val="20"/>
                <w:color w:val="auto"/>
              </w:rPr>
            </w:pPr>
            <w:r>
              <w:rPr>
                <w:rFonts w:ascii="Arial" w:cs="Arial" w:eastAsia="Arial" w:hAnsi="Arial"/>
                <w:sz w:val="19"/>
                <w:szCs w:val="19"/>
                <w:color w:val="auto"/>
              </w:rPr>
              <w:t>(4)</w:t>
            </w:r>
          </w:p>
        </w:tc>
        <w:tc>
          <w:tcPr>
            <w:tcW w:w="1100" w:type="dxa"/>
            <w:vAlign w:val="bottom"/>
          </w:tcPr>
          <w:p>
            <w:pPr>
              <w:jc w:val="right"/>
              <w:ind w:right="906"/>
              <w:spacing w:after="0" w:line="196" w:lineRule="exact"/>
              <w:rPr>
                <w:sz w:val="20"/>
                <w:szCs w:val="20"/>
                <w:color w:val="auto"/>
              </w:rPr>
            </w:pPr>
            <w:r>
              <w:rPr>
                <w:rFonts w:ascii="Arial" w:cs="Arial" w:eastAsia="Arial" w:hAnsi="Arial"/>
                <w:sz w:val="19"/>
                <w:szCs w:val="19"/>
                <w:color w:val="auto"/>
                <w:w w:val="75"/>
              </w:rPr>
              <w:t>$</w:t>
            </w:r>
          </w:p>
        </w:tc>
        <w:tc>
          <w:tcPr>
            <w:tcW w:w="520" w:type="dxa"/>
            <w:vAlign w:val="bottom"/>
            <w:gridSpan w:val="2"/>
          </w:tcPr>
          <w:p>
            <w:pPr>
              <w:jc w:val="right"/>
              <w:ind w:right="40"/>
              <w:spacing w:after="0" w:line="196" w:lineRule="exact"/>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-1876425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-1876425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-1328420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-1328420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-1036320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-1019810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-1036320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-1019810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-591185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-591185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net noncurrent deferred tax assets related to accumulated other comprehensive earnings (loss)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40" w:type="dxa"/>
            <w:vAlign w:val="bottom"/>
            <w:tcBorders>
              <w:bottom w:val="single" w:sz="8" w:color="auto"/>
            </w:tcBorders>
            <w:gridSpan w:val="5"/>
          </w:tcPr>
          <w:p>
            <w:pPr>
              <w:jc w:val="center"/>
              <w:ind w:left="181"/>
              <w:spacing w:after="0"/>
              <w:rPr>
                <w:sz w:val="20"/>
                <w:szCs w:val="20"/>
                <w:color w:val="auto"/>
              </w:rPr>
            </w:pPr>
            <w:r>
              <w:rPr>
                <w:rFonts w:ascii="Arial" w:cs="Arial" w:eastAsia="Arial" w:hAnsi="Arial"/>
                <w:sz w:val="20"/>
                <w:szCs w:val="20"/>
                <w:color w:val="auto"/>
                <w:w w:val="99"/>
              </w:rPr>
              <w:t>Pension and Postretirement Benefit Plans</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8"/>
        </w:trPr>
        <w:tc>
          <w:tcPr>
            <w:tcW w:w="5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20" w:type="dxa"/>
            <w:vAlign w:val="bottom"/>
            <w:gridSpan w:val="4"/>
          </w:tcPr>
          <w:p>
            <w:pPr>
              <w:jc w:val="center"/>
              <w:ind w:right="841"/>
              <w:spacing w:after="0" w:line="188" w:lineRule="exact"/>
              <w:rPr>
                <w:sz w:val="20"/>
                <w:szCs w:val="20"/>
                <w:color w:val="auto"/>
              </w:rPr>
            </w:pPr>
            <w:r>
              <w:rPr>
                <w:rFonts w:ascii="Arial" w:cs="Arial" w:eastAsia="Arial" w:hAnsi="Arial"/>
                <w:sz w:val="20"/>
                <w:szCs w:val="20"/>
                <w:color w:val="auto"/>
                <w:w w:val="98"/>
              </w:rPr>
              <w:t>Three Months Ended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right="841"/>
              <w:spacing w:after="0"/>
              <w:rPr>
                <w:sz w:val="20"/>
                <w:szCs w:val="20"/>
                <w:color w:val="auto"/>
              </w:rPr>
            </w:pPr>
            <w:r>
              <w:rPr>
                <w:rFonts w:ascii="Arial" w:cs="Arial" w:eastAsia="Arial" w:hAnsi="Arial"/>
                <w:sz w:val="20"/>
                <w:szCs w:val="20"/>
                <w:color w:val="auto"/>
                <w:w w:val="98"/>
              </w:rPr>
              <w:t>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jc w:val="right"/>
              <w:spacing w:after="0" w:line="209" w:lineRule="exact"/>
              <w:rPr>
                <w:sz w:val="20"/>
                <w:szCs w:val="20"/>
                <w:color w:val="auto"/>
              </w:rPr>
            </w:pPr>
            <w:r>
              <w:rPr>
                <w:rFonts w:ascii="Arial" w:cs="Arial" w:eastAsia="Arial" w:hAnsi="Arial"/>
                <w:sz w:val="20"/>
                <w:szCs w:val="20"/>
                <w:color w:val="auto"/>
              </w:rPr>
              <w:t>2026</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401"/>
              <w:spacing w:after="0" w:line="209" w:lineRule="exact"/>
              <w:rPr>
                <w:sz w:val="20"/>
                <w:szCs w:val="20"/>
                <w:color w:val="auto"/>
              </w:rPr>
            </w:pPr>
            <w:r>
              <w:rPr>
                <w:rFonts w:ascii="Arial" w:cs="Arial" w:eastAsia="Arial" w:hAnsi="Arial"/>
                <w:sz w:val="20"/>
                <w:szCs w:val="20"/>
                <w:color w:val="auto"/>
              </w:rPr>
              <w:t>2025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20" w:type="dxa"/>
            <w:vAlign w:val="bottom"/>
            <w:gridSpan w:val="2"/>
          </w:tcPr>
          <w:p>
            <w:pPr>
              <w:jc w:val="center"/>
              <w:spacing w:after="0" w:line="209" w:lineRule="exact"/>
              <w:rPr>
                <w:sz w:val="20"/>
                <w:szCs w:val="20"/>
                <w:color w:val="auto"/>
              </w:rPr>
            </w:pPr>
            <w:r>
              <w:rPr>
                <w:rFonts w:ascii="Arial" w:cs="Arial" w:eastAsia="Arial" w:hAnsi="Arial"/>
                <w:sz w:val="20"/>
                <w:szCs w:val="20"/>
                <w:i w:val="1"/>
                <w:iCs w:val="1"/>
                <w:color w:val="auto"/>
              </w:rPr>
              <w:t>in</w:t>
            </w:r>
          </w:p>
        </w:tc>
        <w:tc>
          <w:tcPr>
            <w:tcW w:w="1720" w:type="dxa"/>
            <w:vAlign w:val="bottom"/>
            <w:tcBorders>
              <w:top w:val="single" w:sz="8" w:color="auto"/>
            </w:tcBorders>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Balance at beginning of period</w:t>
            </w:r>
          </w:p>
        </w:tc>
        <w:tc>
          <w:tcPr>
            <w:tcW w:w="2720" w:type="dxa"/>
            <w:vAlign w:val="bottom"/>
            <w:gridSpan w:val="2"/>
            <w:shd w:val="clear" w:color="auto" w:fill="CFF0FC"/>
          </w:tcPr>
          <w:p>
            <w:pPr>
              <w:jc w:val="right"/>
              <w:ind w:right="1021"/>
              <w:spacing w:after="0" w:line="216" w:lineRule="exact"/>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18</w:t>
            </w:r>
          </w:p>
        </w:tc>
        <w:tc>
          <w:tcPr>
            <w:tcW w:w="20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ind w:left="120"/>
              <w:spacing w:after="0" w:line="216" w:lineRule="exact"/>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41</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line="216" w:lineRule="exact"/>
              <w:rPr>
                <w:sz w:val="20"/>
                <w:szCs w:val="20"/>
                <w:color w:val="auto"/>
              </w:rPr>
            </w:pPr>
            <w:r>
              <w:rPr>
                <w:rFonts w:ascii="Arial" w:cs="Arial" w:eastAsia="Arial" w:hAnsi="Arial"/>
                <w:sz w:val="20"/>
                <w:szCs w:val="20"/>
                <w:color w:val="auto"/>
              </w:rPr>
              <w:t>Tax effect of other comprehensive earnings</w:t>
            </w: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gridSpan w:val="2"/>
          </w:tcPr>
          <w:p>
            <w:pPr>
              <w:jc w:val="right"/>
              <w:ind w:right="21"/>
              <w:spacing w:after="0" w:line="216" w:lineRule="exact"/>
              <w:rPr>
                <w:sz w:val="20"/>
                <w:szCs w:val="20"/>
                <w:color w:val="auto"/>
              </w:rPr>
            </w:pPr>
            <w:r>
              <w:rPr>
                <w:rFonts w:ascii="Arial" w:cs="Arial" w:eastAsia="Arial" w:hAnsi="Arial"/>
                <w:sz w:val="20"/>
                <w:szCs w:val="20"/>
                <w:color w:val="auto"/>
              </w:rPr>
              <w:t>(1)</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(1)</w:t>
            </w:r>
          </w:p>
        </w:tc>
      </w:tr>
      <w:tr>
        <w:trPr>
          <w:trHeight w:val="20"/>
        </w:trPr>
        <w:tc>
          <w:tcPr>
            <w:tcW w:w="5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Balance at end of period</w:t>
            </w:r>
          </w:p>
        </w:tc>
        <w:tc>
          <w:tcPr>
            <w:tcW w:w="2720" w:type="dxa"/>
            <w:vAlign w:val="bottom"/>
            <w:gridSpan w:val="2"/>
            <w:shd w:val="clear" w:color="auto" w:fill="CFF0FC"/>
          </w:tcPr>
          <w:p>
            <w:pPr>
              <w:jc w:val="right"/>
              <w:ind w:right="1021"/>
              <w:spacing w:after="0" w:line="209" w:lineRule="exact"/>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17</w:t>
            </w:r>
          </w:p>
        </w:tc>
        <w:tc>
          <w:tcPr>
            <w:tcW w:w="2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ind w:left="120"/>
              <w:spacing w:after="0" w:line="209" w:lineRule="exact"/>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40</w:t>
            </w:r>
          </w:p>
        </w:tc>
        <w:tc>
          <w:tcPr>
            <w:tcW w:w="100" w:type="dxa"/>
            <w:vAlign w:val="bottom"/>
            <w:shd w:val="clear" w:color="auto" w:fill="CFF0FC"/>
          </w:tcPr>
          <w:p>
            <w:pPr>
              <w:spacing w:after="0"/>
              <w:rPr>
                <w:sz w:val="19"/>
                <w:szCs w:val="19"/>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Reclassifications out of accumulated other comprehensive earnings (loss)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2780" w:type="dxa"/>
            <w:vAlign w:val="bottom"/>
            <w:gridSpan w:val="4"/>
          </w:tcPr>
          <w:p>
            <w:pPr>
              <w:jc w:val="right"/>
              <w:ind w:right="201"/>
              <w:spacing w:after="0"/>
              <w:rPr>
                <w:sz w:val="20"/>
                <w:szCs w:val="20"/>
                <w:color w:val="auto"/>
              </w:rPr>
            </w:pPr>
            <w:r>
              <w:rPr>
                <w:rFonts w:ascii="Arial" w:cs="Arial" w:eastAsia="Arial" w:hAnsi="Arial"/>
                <w:sz w:val="20"/>
                <w:szCs w:val="20"/>
                <w:color w:val="auto"/>
              </w:rPr>
              <w:t>Three Months Ended</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60" w:type="dxa"/>
            <w:vAlign w:val="bottom"/>
          </w:tcPr>
          <w:p>
            <w:pPr>
              <w:jc w:val="center"/>
              <w:spacing w:after="0"/>
              <w:rPr>
                <w:sz w:val="20"/>
                <w:szCs w:val="20"/>
                <w:color w:val="auto"/>
              </w:rPr>
            </w:pPr>
            <w:r>
              <w:rPr>
                <w:rFonts w:ascii="Arial" w:cs="Arial" w:eastAsia="Arial" w:hAnsi="Arial"/>
                <w:sz w:val="20"/>
                <w:szCs w:val="20"/>
                <w:color w:val="auto"/>
                <w:w w:val="98"/>
              </w:rPr>
              <w:t>Affected line items in the consolidated</w:t>
            </w:r>
          </w:p>
        </w:tc>
      </w:tr>
      <w:tr>
        <w:trPr>
          <w:trHeight w:val="238"/>
        </w:trPr>
        <w:tc>
          <w:tcPr>
            <w:tcW w:w="3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20"/>
                <w:szCs w:val="20"/>
                <w:color w:val="auto"/>
              </w:rPr>
              <w:t>March 31,</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20"/>
                <w:szCs w:val="20"/>
                <w:color w:val="auto"/>
                <w:w w:val="98"/>
              </w:rPr>
              <w:t>statements of earnings</w:t>
            </w:r>
          </w:p>
        </w:tc>
      </w:tr>
      <w:tr>
        <w:trPr>
          <w:trHeight w:val="210"/>
        </w:trPr>
        <w:tc>
          <w:tcPr>
            <w:tcW w:w="37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2026</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2025</w:t>
            </w:r>
          </w:p>
        </w:tc>
        <w:tc>
          <w:tcPr>
            <w:tcW w:w="3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Borders>
              <w:bottom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and comprehensive earnings</w:t>
            </w:r>
          </w:p>
        </w:tc>
      </w:tr>
      <w:tr>
        <w:trPr>
          <w:trHeight w:val="209"/>
        </w:trPr>
        <w:tc>
          <w:tcPr>
            <w:tcW w:w="3780" w:type="dxa"/>
            <w:vAlign w:val="bottom"/>
          </w:tcPr>
          <w:p>
            <w:pPr>
              <w:spacing w:after="0"/>
              <w:rPr>
                <w:sz w:val="18"/>
                <w:szCs w:val="18"/>
                <w:color w:val="auto"/>
              </w:rPr>
            </w:pPr>
          </w:p>
        </w:tc>
        <w:tc>
          <w:tcPr>
            <w:tcW w:w="1420" w:type="dxa"/>
            <w:vAlign w:val="bottom"/>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1360" w:type="dxa"/>
            <w:vAlign w:val="bottom"/>
            <w:gridSpan w:val="2"/>
          </w:tcPr>
          <w:p>
            <w:pPr>
              <w:jc w:val="right"/>
              <w:ind w:right="141"/>
              <w:spacing w:after="0" w:line="209" w:lineRule="exact"/>
              <w:rPr>
                <w:sz w:val="20"/>
                <w:szCs w:val="20"/>
                <w:color w:val="auto"/>
              </w:rPr>
            </w:pPr>
            <w:r>
              <w:rPr>
                <w:rFonts w:ascii="Arial" w:cs="Arial" w:eastAsia="Arial" w:hAnsi="Arial"/>
                <w:sz w:val="20"/>
                <w:szCs w:val="20"/>
                <w:i w:val="1"/>
                <w:iCs w:val="1"/>
                <w:color w:val="auto"/>
              </w:rPr>
              <w:t>in Millions)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194"/>
        </w:trPr>
        <w:tc>
          <w:tcPr>
            <w:tcW w:w="3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Pension and postretirement</w:t>
            </w:r>
          </w:p>
        </w:tc>
        <w:tc>
          <w:tcPr>
            <w:tcW w:w="10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60" w:type="dxa"/>
            <w:vAlign w:val="bottom"/>
            <w:shd w:val="clear" w:color="auto" w:fill="CFF0FC"/>
          </w:tcPr>
          <w:p>
            <w:pPr>
              <w:spacing w:after="0"/>
              <w:rPr>
                <w:sz w:val="16"/>
                <w:szCs w:val="16"/>
                <w:color w:val="auto"/>
              </w:rPr>
            </w:pPr>
          </w:p>
        </w:tc>
      </w:tr>
      <w:tr>
        <w:trPr>
          <w:trHeight w:val="238"/>
        </w:trPr>
        <w:tc>
          <w:tcPr>
            <w:tcW w:w="3780" w:type="dxa"/>
            <w:vAlign w:val="bottom"/>
            <w:shd w:val="clear" w:color="auto" w:fill="CFF0FC"/>
          </w:tcPr>
          <w:p>
            <w:pPr>
              <w:ind w:left="180"/>
              <w:spacing w:after="0"/>
              <w:rPr>
                <w:sz w:val="20"/>
                <w:szCs w:val="20"/>
                <w:color w:val="auto"/>
              </w:rPr>
            </w:pPr>
            <w:r>
              <w:rPr>
                <w:rFonts w:ascii="Arial" w:cs="Arial" w:eastAsia="Arial" w:hAnsi="Arial"/>
                <w:sz w:val="20"/>
                <w:szCs w:val="20"/>
                <w:color w:val="auto"/>
              </w:rPr>
              <w:t>benefit plans</w:t>
            </w:r>
          </w:p>
        </w:tc>
        <w:tc>
          <w:tcPr>
            <w:tcW w:w="10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60" w:type="dxa"/>
            <w:vAlign w:val="bottom"/>
            <w:shd w:val="clear" w:color="auto" w:fill="CFF0FC"/>
          </w:tcPr>
          <w:p>
            <w:pPr>
              <w:spacing w:after="0"/>
              <w:rPr>
                <w:sz w:val="20"/>
                <w:szCs w:val="20"/>
                <w:color w:val="auto"/>
              </w:rPr>
            </w:pPr>
          </w:p>
        </w:tc>
      </w:tr>
      <w:tr>
        <w:trPr>
          <w:trHeight w:val="216"/>
        </w:trPr>
        <w:tc>
          <w:tcPr>
            <w:tcW w:w="3780" w:type="dxa"/>
            <w:vAlign w:val="bottom"/>
          </w:tcPr>
          <w:p>
            <w:pPr>
              <w:ind w:left="240"/>
              <w:spacing w:after="0" w:line="216" w:lineRule="exact"/>
              <w:rPr>
                <w:sz w:val="20"/>
                <w:szCs w:val="20"/>
                <w:color w:val="auto"/>
              </w:rPr>
            </w:pPr>
            <w:r>
              <w:rPr>
                <w:rFonts w:ascii="Arial" w:cs="Arial" w:eastAsia="Arial" w:hAnsi="Arial"/>
                <w:sz w:val="20"/>
                <w:szCs w:val="20"/>
                <w:color w:val="auto"/>
              </w:rPr>
              <w:t>Amortization of prior service cost</w:t>
            </w:r>
          </w:p>
        </w:tc>
        <w:tc>
          <w:tcPr>
            <w:tcW w:w="1020" w:type="dxa"/>
            <w:vAlign w:val="bottom"/>
          </w:tcPr>
          <w:p>
            <w:pPr>
              <w:jc w:val="right"/>
              <w:ind w:right="801"/>
              <w:spacing w:after="0" w:line="216" w:lineRule="exact"/>
              <w:rPr>
                <w:sz w:val="20"/>
                <w:szCs w:val="20"/>
                <w:color w:val="auto"/>
              </w:rPr>
            </w:pPr>
            <w:r>
              <w:rPr>
                <w:rFonts w:ascii="Arial" w:cs="Arial" w:eastAsia="Arial" w:hAnsi="Arial"/>
                <w:sz w:val="20"/>
                <w:szCs w:val="20"/>
                <w:color w:val="auto"/>
                <w:w w:val="89"/>
              </w:rPr>
              <w:t>$</w:t>
            </w:r>
          </w:p>
        </w:tc>
        <w:tc>
          <w:tcPr>
            <w:tcW w:w="40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c>
          <w:tcPr>
            <w:tcW w:w="280" w:type="dxa"/>
            <w:vAlign w:val="bottom"/>
          </w:tcPr>
          <w:p>
            <w:pPr>
              <w:spacing w:after="0"/>
              <w:rPr>
                <w:sz w:val="18"/>
                <w:szCs w:val="18"/>
                <w:color w:val="auto"/>
              </w:rPr>
            </w:pPr>
          </w:p>
        </w:tc>
        <w:tc>
          <w:tcPr>
            <w:tcW w:w="1080" w:type="dxa"/>
            <w:vAlign w:val="bottom"/>
          </w:tcPr>
          <w:p>
            <w:pPr>
              <w:jc w:val="right"/>
              <w:ind w:right="861"/>
              <w:spacing w:after="0" w:line="216" w:lineRule="exact"/>
              <w:rPr>
                <w:sz w:val="20"/>
                <w:szCs w:val="20"/>
                <w:color w:val="auto"/>
              </w:rPr>
            </w:pPr>
            <w:r>
              <w:rPr>
                <w:rFonts w:ascii="Arial" w:cs="Arial" w:eastAsia="Arial" w:hAnsi="Arial"/>
                <w:sz w:val="20"/>
                <w:szCs w:val="20"/>
                <w:color w:val="auto"/>
                <w:w w:val="89"/>
              </w:rPr>
              <w:t>$</w:t>
            </w:r>
          </w:p>
        </w:tc>
        <w:tc>
          <w:tcPr>
            <w:tcW w:w="340" w:type="dxa"/>
            <w:vAlign w:val="bottom"/>
          </w:tcPr>
          <w:p>
            <w:pPr>
              <w:jc w:val="right"/>
              <w:spacing w:after="0" w:line="216" w:lineRule="exact"/>
              <w:rPr>
                <w:sz w:val="20"/>
                <w:szCs w:val="20"/>
                <w:color w:val="auto"/>
              </w:rPr>
            </w:pPr>
            <w:r>
              <w:rPr>
                <w:rFonts w:ascii="Arial" w:cs="Arial" w:eastAsia="Arial" w:hAnsi="Arial"/>
                <w:sz w:val="20"/>
                <w:szCs w:val="20"/>
                <w:color w:val="auto"/>
              </w:rPr>
              <w:t>2</w:t>
            </w:r>
          </w:p>
        </w:tc>
        <w:tc>
          <w:tcPr>
            <w:tcW w:w="280" w:type="dxa"/>
            <w:vAlign w:val="bottom"/>
          </w:tcPr>
          <w:p>
            <w:pPr>
              <w:spacing w:after="0"/>
              <w:rPr>
                <w:sz w:val="18"/>
                <w:szCs w:val="18"/>
                <w:color w:val="auto"/>
              </w:rPr>
            </w:pPr>
          </w:p>
        </w:tc>
        <w:tc>
          <w:tcPr>
            <w:tcW w:w="4060" w:type="dxa"/>
            <w:vAlign w:val="bottom"/>
          </w:tcPr>
          <w:p>
            <w:pPr>
              <w:ind w:left="20"/>
              <w:spacing w:after="0" w:line="216" w:lineRule="exact"/>
              <w:rPr>
                <w:sz w:val="20"/>
                <w:szCs w:val="20"/>
                <w:color w:val="auto"/>
              </w:rPr>
            </w:pPr>
            <w:r>
              <w:rPr>
                <w:rFonts w:ascii="Arial" w:cs="Arial" w:eastAsia="Arial" w:hAnsi="Arial"/>
                <w:sz w:val="20"/>
                <w:szCs w:val="20"/>
                <w:color w:val="auto"/>
              </w:rPr>
              <w:t>Other nonoperating income, net</w:t>
            </w:r>
          </w:p>
        </w:tc>
      </w:tr>
      <w:tr>
        <w:trPr>
          <w:trHeight w:val="216"/>
        </w:trPr>
        <w:tc>
          <w:tcPr>
            <w:tcW w:w="378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Tax effect</w:t>
            </w:r>
          </w:p>
        </w:tc>
        <w:tc>
          <w:tcPr>
            <w:tcW w:w="10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(1)</w:t>
            </w:r>
          </w:p>
        </w:tc>
        <w:tc>
          <w:tcPr>
            <w:tcW w:w="10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0"/>
              <w:spacing w:after="0" w:line="216" w:lineRule="exact"/>
              <w:rPr>
                <w:sz w:val="20"/>
                <w:szCs w:val="20"/>
                <w:color w:val="auto"/>
              </w:rPr>
            </w:pPr>
            <w:r>
              <w:rPr>
                <w:rFonts w:ascii="Arial" w:cs="Arial" w:eastAsia="Arial" w:hAnsi="Arial"/>
                <w:sz w:val="20"/>
                <w:szCs w:val="20"/>
                <w:color w:val="auto"/>
              </w:rPr>
              <w:t>(1)</w:t>
            </w:r>
          </w:p>
        </w:tc>
        <w:tc>
          <w:tcPr>
            <w:tcW w:w="4060" w:type="dxa"/>
            <w:vAlign w:val="bottom"/>
            <w:shd w:val="clear" w:color="auto" w:fill="CFF0FC"/>
          </w:tcPr>
          <w:p>
            <w:pPr>
              <w:ind w:left="20"/>
              <w:spacing w:after="0" w:line="216" w:lineRule="exact"/>
              <w:rPr>
                <w:sz w:val="20"/>
                <w:szCs w:val="20"/>
                <w:color w:val="auto"/>
              </w:rPr>
            </w:pPr>
            <w:r>
              <w:rPr>
                <w:rFonts w:ascii="Arial" w:cs="Arial" w:eastAsia="Arial" w:hAnsi="Arial"/>
                <w:sz w:val="20"/>
                <w:szCs w:val="20"/>
                <w:color w:val="auto"/>
              </w:rPr>
              <w:t>Income tax expense</w:t>
            </w:r>
          </w:p>
        </w:tc>
      </w:tr>
      <w:tr>
        <w:trPr>
          <w:trHeight w:val="209"/>
        </w:trPr>
        <w:tc>
          <w:tcPr>
            <w:tcW w:w="378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Total</w:t>
            </w:r>
          </w:p>
        </w:tc>
        <w:tc>
          <w:tcPr>
            <w:tcW w:w="1020" w:type="dxa"/>
            <w:vAlign w:val="bottom"/>
            <w:tcBorders>
              <w:top w:val="single" w:sz="8" w:color="auto"/>
              <w:bottom w:val="single" w:sz="8" w:color="auto"/>
            </w:tcBorders>
          </w:tcPr>
          <w:p>
            <w:pPr>
              <w:jc w:val="right"/>
              <w:ind w:right="801"/>
              <w:spacing w:after="0" w:line="209" w:lineRule="exact"/>
              <w:rPr>
                <w:sz w:val="20"/>
                <w:szCs w:val="20"/>
                <w:color w:val="auto"/>
              </w:rPr>
            </w:pPr>
            <w:r>
              <w:rPr>
                <w:rFonts w:ascii="Arial" w:cs="Arial" w:eastAsia="Arial" w:hAnsi="Arial"/>
                <w:sz w:val="20"/>
                <w:szCs w:val="20"/>
                <w:color w:val="auto"/>
                <w:w w:val="89"/>
              </w:rPr>
              <w:t>$</w:t>
            </w:r>
          </w:p>
        </w:tc>
        <w:tc>
          <w:tcPr>
            <w:tcW w:w="40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w:t>
            </w:r>
          </w:p>
        </w:tc>
        <w:tc>
          <w:tcPr>
            <w:tcW w:w="280" w:type="dxa"/>
            <w:vAlign w:val="bottom"/>
            <w:tcBorders>
              <w:top w:val="single" w:sz="8" w:color="CFF0FC"/>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61"/>
              <w:spacing w:after="0" w:line="209" w:lineRule="exact"/>
              <w:rPr>
                <w:sz w:val="20"/>
                <w:szCs w:val="20"/>
                <w:color w:val="auto"/>
              </w:rPr>
            </w:pPr>
            <w:r>
              <w:rPr>
                <w:rFonts w:ascii="Arial" w:cs="Arial" w:eastAsia="Arial" w:hAnsi="Arial"/>
                <w:sz w:val="20"/>
                <w:szCs w:val="20"/>
                <w:color w:val="auto"/>
                <w:w w:val="89"/>
              </w:rPr>
              <w:t>$</w:t>
            </w:r>
          </w:p>
        </w:tc>
        <w:tc>
          <w:tcPr>
            <w:tcW w:w="3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w:t>
            </w:r>
          </w:p>
        </w:tc>
        <w:tc>
          <w:tcPr>
            <w:tcW w:w="280" w:type="dxa"/>
            <w:vAlign w:val="bottom"/>
            <w:tcBorders>
              <w:top w:val="single" w:sz="8" w:color="CFF0FC"/>
            </w:tcBorders>
          </w:tcPr>
          <w:p>
            <w:pPr>
              <w:spacing w:after="0"/>
              <w:rPr>
                <w:sz w:val="18"/>
                <w:szCs w:val="18"/>
                <w:color w:val="auto"/>
              </w:rPr>
            </w:pPr>
          </w:p>
        </w:tc>
        <w:tc>
          <w:tcPr>
            <w:tcW w:w="4060" w:type="dxa"/>
            <w:vAlign w:val="bottom"/>
            <w:tcBorders>
              <w:top w:val="single" w:sz="8" w:color="CFF0FC"/>
            </w:tcBorders>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96"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The numerator for basic and diluted earnings per common share is net earnings attributable to Martin Marietta.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w:t>
      </w:r>
    </w:p>
    <w:p>
      <w:pPr>
        <w:spacing w:after="0" w:line="64"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The following table reconciles the denominator for basic and diluted earnings from continuing operations per common share:</w:t>
      </w:r>
    </w:p>
    <w:p>
      <w:pPr>
        <w:spacing w:after="0" w:line="34" w:lineRule="exact"/>
        <w:rPr>
          <w:sz w:val="20"/>
          <w:szCs w:val="20"/>
          <w:color w:val="auto"/>
        </w:rPr>
      </w:pPr>
    </w:p>
    <w:p>
      <w:pPr>
        <w:jc w:val="center"/>
        <w:ind w:left="7520"/>
        <w:spacing w:after="0"/>
        <w:rPr>
          <w:sz w:val="20"/>
          <w:szCs w:val="20"/>
          <w:color w:val="auto"/>
        </w:rPr>
      </w:pPr>
      <w:r>
        <w:rPr>
          <w:rFonts w:ascii="Arial" w:cs="Arial" w:eastAsia="Arial" w:hAnsi="Arial"/>
          <w:sz w:val="20"/>
          <w:szCs w:val="20"/>
          <w:color w:val="auto"/>
        </w:rPr>
        <w:t>Three Months Ended</w:t>
      </w:r>
    </w:p>
    <w:p>
      <w:pPr>
        <w:jc w:val="center"/>
        <w:ind w:left="7520"/>
        <w:spacing w:after="0" w:line="233" w:lineRule="auto"/>
        <w:rPr>
          <w:sz w:val="20"/>
          <w:szCs w:val="20"/>
          <w:color w:val="auto"/>
        </w:rPr>
      </w:pPr>
      <w:r>
        <w:rPr>
          <w:rFonts w:ascii="Arial" w:cs="Arial" w:eastAsia="Arial" w:hAnsi="Arial"/>
          <w:sz w:val="20"/>
          <w:szCs w:val="20"/>
          <w:color w:val="auto"/>
        </w:rPr>
        <w:t>March 31,</w:t>
      </w: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jc w:val="right"/>
              <w:ind w:right="61"/>
              <w:spacing w:after="0" w:line="209" w:lineRule="exact"/>
              <w:rPr>
                <w:sz w:val="20"/>
                <w:szCs w:val="20"/>
                <w:color w:val="auto"/>
              </w:rPr>
            </w:pPr>
            <w:r>
              <w:rPr>
                <w:rFonts w:ascii="Arial" w:cs="Arial" w:eastAsia="Arial" w:hAnsi="Arial"/>
                <w:sz w:val="20"/>
                <w:szCs w:val="20"/>
                <w:i w:val="1"/>
                <w:iCs w:val="1"/>
                <w:color w:val="auto"/>
              </w:rPr>
              <w:t>(In</w:t>
            </w:r>
          </w:p>
        </w:tc>
        <w:tc>
          <w:tcPr>
            <w:tcW w:w="72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w w:val="95"/>
              </w:rPr>
              <w:t>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gridSpan w:val="2"/>
            <w:shd w:val="clear" w:color="auto" w:fill="CFF0FC"/>
          </w:tcPr>
          <w:p>
            <w:pPr>
              <w:spacing w:after="0" w:line="216" w:lineRule="exact"/>
              <w:rPr>
                <w:sz w:val="20"/>
                <w:szCs w:val="20"/>
                <w:color w:val="auto"/>
              </w:rPr>
            </w:pPr>
            <w:r>
              <w:rPr>
                <w:rFonts w:ascii="Arial" w:cs="Arial" w:eastAsia="Arial" w:hAnsi="Arial"/>
                <w:sz w:val="20"/>
                <w:szCs w:val="20"/>
                <w:color w:val="auto"/>
              </w:rPr>
              <w:t>Basic weighted-average common shares outstanding</w:t>
            </w:r>
          </w:p>
        </w:tc>
        <w:tc>
          <w:tcPr>
            <w:tcW w:w="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60.3</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60.9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line="216" w:lineRule="exact"/>
              <w:rPr>
                <w:sz w:val="20"/>
                <w:szCs w:val="20"/>
                <w:color w:val="auto"/>
              </w:rPr>
            </w:pPr>
            <w:r>
              <w:rPr>
                <w:rFonts w:ascii="Arial" w:cs="Arial" w:eastAsia="Arial" w:hAnsi="Arial"/>
                <w:sz w:val="20"/>
                <w:szCs w:val="20"/>
                <w:color w:val="auto"/>
              </w:rPr>
              <w:t>Effect of dilutive employee and director awards</w:t>
            </w: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0.1</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0.1</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Diluted weighted-average common shares outstanding</w:t>
            </w:r>
          </w:p>
        </w:tc>
        <w:tc>
          <w:tcPr>
            <w:tcW w:w="11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60.4</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61.0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New Accounting Pronouncement</w:t>
      </w:r>
    </w:p>
    <w:p>
      <w:pPr>
        <w:spacing w:after="0" w:line="96" w:lineRule="exact"/>
        <w:rPr>
          <w:sz w:val="20"/>
          <w:szCs w:val="20"/>
          <w:color w:val="auto"/>
        </w:rPr>
      </w:pPr>
    </w:p>
    <w:p>
      <w:pPr>
        <w:jc w:val="both"/>
        <w:ind w:left="380"/>
        <w:spacing w:after="0" w:line="226" w:lineRule="auto"/>
        <w:rPr>
          <w:sz w:val="20"/>
          <w:szCs w:val="20"/>
          <w:color w:val="auto"/>
        </w:rPr>
      </w:pPr>
      <w:r>
        <w:rPr>
          <w:rFonts w:ascii="Arial" w:cs="Arial" w:eastAsia="Arial" w:hAnsi="Arial"/>
          <w:sz w:val="20"/>
          <w:szCs w:val="20"/>
          <w:color w:val="auto"/>
        </w:rPr>
        <w:t xml:space="preserve">In November 2024, the FASB issued ASU 2024-03, </w:t>
      </w:r>
      <w:r>
        <w:rPr>
          <w:rFonts w:ascii="Arial" w:cs="Arial" w:eastAsia="Arial" w:hAnsi="Arial"/>
          <w:sz w:val="20"/>
          <w:szCs w:val="20"/>
          <w:i w:val="1"/>
          <w:iCs w:val="1"/>
          <w:color w:val="auto"/>
        </w:rPr>
        <w:t>Income Statement - Reporting Comprehensive Income - Expense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Disaggregation Disclosures (Subtopic 220-40): Disaggregation of Income Statement Expenses </w:t>
      </w:r>
      <w:r>
        <w:rPr>
          <w:rFonts w:ascii="Arial" w:cs="Arial" w:eastAsia="Arial" w:hAnsi="Arial"/>
          <w:sz w:val="20"/>
          <w:szCs w:val="20"/>
          <w:color w:val="auto"/>
        </w:rPr>
        <w:t>(DISE), which requires</w:t>
      </w:r>
      <w:r>
        <w:rPr>
          <w:rFonts w:ascii="Arial" w:cs="Arial" w:eastAsia="Arial" w:hAnsi="Arial"/>
          <w:sz w:val="20"/>
          <w:szCs w:val="20"/>
          <w:i w:val="1"/>
          <w:iCs w:val="1"/>
          <w:color w:val="auto"/>
        </w:rPr>
        <w:t xml:space="preserve"> </w:t>
      </w:r>
      <w:r>
        <w:rPr>
          <w:rFonts w:ascii="Arial" w:cs="Arial" w:eastAsia="Arial" w:hAnsi="Arial"/>
          <w:sz w:val="20"/>
          <w:szCs w:val="20"/>
          <w:color w:val="auto"/>
        </w:rPr>
        <w:t>public entities to disaggregate any 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These disclosures must be made in a tabular format in the footnotes to the financial statements. The new standard does not change the requirements for the presentation of expenses on the face of the statement of earnings. The ASU is effective prospectively for annual reporting periods beginning after December 15, 2026 and interim reporting periods beginning after December 15, 2027, and early adoption and retrospective application are permitted. The ASU will impact the Company's expense disclosures beginning with the financial statements included in the 2027 Annual Report on Form 10-K, but will have no impact on its results of operations, cash flows or financial condition.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Reclassifications</w:t>
      </w:r>
    </w:p>
    <w:p>
      <w:pPr>
        <w:spacing w:after="0" w:line="96"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Certain reclassifications have been made in the Company's financial statements of the prior year to conform to the current-year presentation. The reclassifications had no impact on the Company’s previously reported results of operations, financial condition or cash flows.</w:t>
      </w:r>
    </w:p>
    <w:p>
      <w:pPr>
        <w:spacing w:after="0" w:line="169" w:lineRule="exact"/>
        <w:rPr>
          <w:sz w:val="20"/>
          <w:szCs w:val="20"/>
          <w:color w:val="auto"/>
        </w:rPr>
      </w:pPr>
    </w:p>
    <w:p>
      <w:pPr>
        <w:ind w:left="380" w:hanging="372"/>
        <w:spacing w:after="0"/>
        <w:tabs>
          <w:tab w:leader="none" w:pos="380" w:val="left"/>
        </w:tabs>
        <w:numPr>
          <w:ilvl w:val="0"/>
          <w:numId w:val="4"/>
        </w:numPr>
        <w:rPr>
          <w:rFonts w:ascii="Calibri" w:cs="Calibri" w:eastAsia="Calibri" w:hAnsi="Calibri"/>
          <w:sz w:val="20"/>
          <w:szCs w:val="20"/>
          <w:b w:val="1"/>
          <w:bCs w:val="1"/>
          <w:color w:val="auto"/>
        </w:rPr>
      </w:pPr>
      <w:r>
        <w:rPr>
          <w:rFonts w:ascii="Arial" w:cs="Arial" w:eastAsia="Arial" w:hAnsi="Arial"/>
          <w:sz w:val="20"/>
          <w:szCs w:val="20"/>
          <w:b w:val="1"/>
          <w:bCs w:val="1"/>
          <w:color w:val="auto"/>
        </w:rPr>
        <w:t>Business Combinations, Divestitures, Discontinued Operations and Assets and Liabilities Held for Sale</w:t>
      </w:r>
    </w:p>
    <w:p>
      <w:pPr>
        <w:spacing w:after="0" w:line="228"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b w:val="1"/>
          <w:bCs w:val="1"/>
          <w:color w:val="auto"/>
        </w:rPr>
        <w:t>Business Combinations</w:t>
      </w:r>
    </w:p>
    <w:p>
      <w:pPr>
        <w:spacing w:after="0" w:line="96" w:lineRule="exact"/>
        <w:rPr>
          <w:rFonts w:ascii="Calibri" w:cs="Calibri" w:eastAsia="Calibri" w:hAnsi="Calibri"/>
          <w:sz w:val="20"/>
          <w:szCs w:val="20"/>
          <w:b w:val="1"/>
          <w:bCs w:val="1"/>
          <w:color w:val="auto"/>
        </w:rPr>
      </w:pPr>
    </w:p>
    <w:p>
      <w:pPr>
        <w:jc w:val="both"/>
        <w:ind w:left="380"/>
        <w:spacing w:after="0" w:line="231" w:lineRule="auto"/>
        <w:rPr>
          <w:rFonts w:ascii="Calibri" w:cs="Calibri" w:eastAsia="Calibri" w:hAnsi="Calibri"/>
          <w:sz w:val="20"/>
          <w:szCs w:val="20"/>
          <w:b w:val="1"/>
          <w:bCs w:val="1"/>
          <w:color w:val="auto"/>
        </w:rPr>
      </w:pPr>
      <w:r>
        <w:rPr>
          <w:rFonts w:ascii="Arial" w:cs="Arial" w:eastAsia="Arial" w:hAnsi="Arial"/>
          <w:sz w:val="20"/>
          <w:szCs w:val="20"/>
          <w:b w:val="1"/>
          <w:bCs w:val="1"/>
          <w:i w:val="1"/>
          <w:iCs w:val="1"/>
          <w:color w:val="auto"/>
        </w:rPr>
        <w:t xml:space="preserve">QUIKRETE Holdings, Inc. </w:t>
      </w:r>
      <w:r>
        <w:rPr>
          <w:rFonts w:ascii="Arial" w:cs="Arial" w:eastAsia="Arial" w:hAnsi="Arial"/>
          <w:sz w:val="20"/>
          <w:szCs w:val="20"/>
          <w:color w:val="auto"/>
        </w:rPr>
        <w:t>On February 23, 2026, the Company completed its previously announced asset exchange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QUIKRETE Holdings, Inc. (QUIKRETE). Under the terms of the transaction, Martin Marietta acquired aggregates operations producing approximately 20 million tons annually in Virginia, Missouri, Kansas and Vancouver, British Columbia and an asphalt and paving business in Vancouver, British Columbia, along with $450 million in cash. In exchange, QUIKRETE acquired the Company’s Midlothian cement plant, related cement distribution terminals, Texas ready mixed concrete assets and certain nonoperating land. The acquired aggregates facilities complement Martin Marietta's existing geographic footprint in its Central Division and allow the Company to expand into new growth platforms in Virginia and the Pacific Northwest.</w:t>
      </w:r>
    </w:p>
    <w:p>
      <w:pPr>
        <w:spacing w:after="0" w:line="65" w:lineRule="exact"/>
        <w:rPr>
          <w:rFonts w:ascii="Calibri" w:cs="Calibri" w:eastAsia="Calibri" w:hAnsi="Calibri"/>
          <w:sz w:val="20"/>
          <w:szCs w:val="20"/>
          <w:b w:val="1"/>
          <w:bCs w:val="1"/>
          <w:color w:val="auto"/>
        </w:rPr>
      </w:pPr>
    </w:p>
    <w:p>
      <w:pPr>
        <w:jc w:val="both"/>
        <w:ind w:left="380"/>
        <w:spacing w:after="0" w:line="232" w:lineRule="auto"/>
        <w:rPr>
          <w:rFonts w:ascii="Calibri" w:cs="Calibri" w:eastAsia="Calibri" w:hAnsi="Calibri"/>
          <w:sz w:val="20"/>
          <w:szCs w:val="20"/>
          <w:b w:val="1"/>
          <w:bCs w:val="1"/>
          <w:color w:val="auto"/>
        </w:rPr>
      </w:pPr>
      <w:r>
        <w:rPr>
          <w:rFonts w:ascii="Arial" w:cs="Arial" w:eastAsia="Arial" w:hAnsi="Arial"/>
          <w:sz w:val="20"/>
          <w:szCs w:val="20"/>
          <w:color w:val="auto"/>
        </w:rPr>
        <w:t>The Company determined the acquisition-date fair values of assets acquired and liabilities assumed. The Company has recorded preliminary fair values of the assets acquired and liabilities assumed, which are subject to additional reviews that are not yet complete. As such, these amounts are subject to change during the measurement period, which extends no longer than one year from the consummation date, and remains open as of March 31, 2026. Specific accounts subject to ongoing purchase accounting adjustments include, but are not limited to, inventory; property, plant and equipment; intangible assets; other assets; other liabilities; deferred income taxes and goodwill. Of the total goodwill generated by the transaction, $141 million is not deductible and $79 million is deductible for income tax purposes.</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is a summary of the preliminary estimated fair values of the assets acquired and liabilities assumed as of</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February 23, 2026 (dollars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Arial" w:cs="Arial" w:eastAsia="Arial" w:hAnsi="Arial"/>
                <w:sz w:val="20"/>
                <w:szCs w:val="20"/>
                <w:color w:val="auto"/>
              </w:rPr>
              <w:t>Assets:</w:t>
            </w:r>
          </w:p>
        </w:tc>
        <w:tc>
          <w:tcPr>
            <w:tcW w:w="2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40" w:type="dxa"/>
            <w:vAlign w:val="bottom"/>
            <w:shd w:val="clear" w:color="auto" w:fill="CFF0FC"/>
          </w:tcPr>
          <w:p>
            <w:pPr>
              <w:ind w:left="160"/>
              <w:spacing w:after="0" w:line="216" w:lineRule="exact"/>
              <w:rPr>
                <w:sz w:val="20"/>
                <w:szCs w:val="20"/>
                <w:color w:val="auto"/>
              </w:rPr>
            </w:pPr>
            <w:r>
              <w:rPr>
                <w:rFonts w:ascii="Arial" w:cs="Arial" w:eastAsia="Arial" w:hAnsi="Arial"/>
                <w:sz w:val="20"/>
                <w:szCs w:val="20"/>
                <w:color w:val="auto"/>
              </w:rPr>
              <w:t>Cash</w:t>
            </w:r>
          </w:p>
        </w:tc>
        <w:tc>
          <w:tcPr>
            <w:tcW w:w="3660" w:type="dxa"/>
            <w:vAlign w:val="bottom"/>
            <w:gridSpan w:val="2"/>
            <w:shd w:val="clear" w:color="auto" w:fill="CFF0FC"/>
          </w:tcPr>
          <w:p>
            <w:pPr>
              <w:jc w:val="right"/>
              <w:ind w:right="1001"/>
              <w:spacing w:after="0" w:line="216" w:lineRule="exact"/>
              <w:rPr>
                <w:sz w:val="20"/>
                <w:szCs w:val="20"/>
                <w:color w:val="auto"/>
              </w:rPr>
            </w:pPr>
            <w:r>
              <w:rPr>
                <w:rFonts w:ascii="Arial" w:cs="Arial" w:eastAsia="Arial" w:hAnsi="Arial"/>
                <w:sz w:val="20"/>
                <w:szCs w:val="20"/>
                <w:color w:val="auto"/>
              </w:rPr>
              <w:t>$</w:t>
            </w:r>
          </w:p>
        </w:tc>
        <w:tc>
          <w:tcPr>
            <w:tcW w:w="16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470</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60"/>
              <w:spacing w:after="0" w:line="216" w:lineRule="exact"/>
              <w:rPr>
                <w:sz w:val="20"/>
                <w:szCs w:val="20"/>
                <w:color w:val="auto"/>
              </w:rPr>
            </w:pPr>
            <w:r>
              <w:rPr>
                <w:rFonts w:ascii="Arial" w:cs="Arial" w:eastAsia="Arial" w:hAnsi="Arial"/>
                <w:sz w:val="20"/>
                <w:szCs w:val="20"/>
                <w:color w:val="auto"/>
              </w:rPr>
              <w:t>Inventories</w:t>
            </w:r>
          </w:p>
        </w:tc>
        <w:tc>
          <w:tcPr>
            <w:tcW w:w="2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Arial" w:cs="Arial" w:eastAsia="Arial" w:hAnsi="Arial"/>
                <w:sz w:val="20"/>
                <w:szCs w:val="20"/>
                <w:color w:val="auto"/>
              </w:rPr>
              <w:t>109</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160"/>
              <w:spacing w:after="0" w:line="216" w:lineRule="exact"/>
              <w:rPr>
                <w:sz w:val="20"/>
                <w:szCs w:val="20"/>
                <w:color w:val="auto"/>
              </w:rPr>
            </w:pPr>
            <w:r>
              <w:rPr>
                <w:rFonts w:ascii="Arial" w:cs="Arial" w:eastAsia="Arial" w:hAnsi="Arial"/>
                <w:sz w:val="19"/>
                <w:szCs w:val="19"/>
                <w:color w:val="auto"/>
              </w:rPr>
              <w:t xml:space="preserve">Property, plant and equipment </w:t>
            </w:r>
            <w:r>
              <w:rPr>
                <w:rFonts w:ascii="Arial" w:cs="Arial" w:eastAsia="Arial" w:hAnsi="Arial"/>
                <w:sz w:val="25"/>
                <w:szCs w:val="25"/>
                <w:color w:val="auto"/>
                <w:vertAlign w:val="superscript"/>
              </w:rPr>
              <w:t>1</w:t>
            </w:r>
          </w:p>
        </w:tc>
        <w:tc>
          <w:tcPr>
            <w:tcW w:w="24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2,422</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60"/>
              <w:spacing w:after="0" w:line="216" w:lineRule="exact"/>
              <w:rPr>
                <w:sz w:val="20"/>
                <w:szCs w:val="20"/>
                <w:color w:val="auto"/>
              </w:rPr>
            </w:pPr>
            <w:r>
              <w:rPr>
                <w:rFonts w:ascii="Arial" w:cs="Arial" w:eastAsia="Arial" w:hAnsi="Arial"/>
                <w:sz w:val="20"/>
                <w:szCs w:val="20"/>
                <w:color w:val="auto"/>
              </w:rPr>
              <w:t>Intangible assets, other than goodwill</w:t>
            </w:r>
          </w:p>
        </w:tc>
        <w:tc>
          <w:tcPr>
            <w:tcW w:w="2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Arial" w:cs="Arial" w:eastAsia="Arial" w:hAnsi="Arial"/>
                <w:sz w:val="20"/>
                <w:szCs w:val="20"/>
                <w:color w:val="auto"/>
              </w:rPr>
              <w:t>53</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160"/>
              <w:spacing w:after="0" w:line="216" w:lineRule="exact"/>
              <w:rPr>
                <w:sz w:val="20"/>
                <w:szCs w:val="20"/>
                <w:color w:val="auto"/>
              </w:rPr>
            </w:pPr>
            <w:r>
              <w:rPr>
                <w:rFonts w:ascii="Arial" w:cs="Arial" w:eastAsia="Arial" w:hAnsi="Arial"/>
                <w:sz w:val="20"/>
                <w:szCs w:val="20"/>
                <w:color w:val="auto"/>
              </w:rPr>
              <w:t>Other assets</w:t>
            </w:r>
          </w:p>
        </w:tc>
        <w:tc>
          <w:tcPr>
            <w:tcW w:w="24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40" w:type="dxa"/>
            <w:vAlign w:val="bottom"/>
          </w:tcPr>
          <w:p>
            <w:pPr>
              <w:spacing w:after="0" w:line="209" w:lineRule="exact"/>
              <w:rPr>
                <w:sz w:val="20"/>
                <w:szCs w:val="20"/>
                <w:color w:val="auto"/>
              </w:rPr>
            </w:pPr>
            <w:r>
              <w:rPr>
                <w:rFonts w:ascii="Arial" w:cs="Arial" w:eastAsia="Arial" w:hAnsi="Arial"/>
                <w:sz w:val="20"/>
                <w:szCs w:val="20"/>
                <w:color w:val="auto"/>
              </w:rPr>
              <w:t>Total assets</w:t>
            </w:r>
          </w:p>
        </w:tc>
        <w:tc>
          <w:tcPr>
            <w:tcW w:w="24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3,069</w:t>
            </w:r>
          </w:p>
        </w:tc>
        <w:tc>
          <w:tcPr>
            <w:tcW w:w="100" w:type="dxa"/>
            <w:vAlign w:val="bottom"/>
          </w:tcPr>
          <w:p>
            <w:pPr>
              <w:spacing w:after="0"/>
              <w:rPr>
                <w:sz w:val="18"/>
                <w:szCs w:val="18"/>
                <w:color w:val="auto"/>
              </w:rPr>
            </w:pPr>
          </w:p>
        </w:tc>
      </w:tr>
      <w:tr>
        <w:trPr>
          <w:trHeight w:val="210"/>
        </w:trPr>
        <w:tc>
          <w:tcPr>
            <w:tcW w:w="584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Liabilities:</w:t>
            </w:r>
          </w:p>
        </w:tc>
        <w:tc>
          <w:tcPr>
            <w:tcW w:w="24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160"/>
              <w:spacing w:after="0" w:line="216" w:lineRule="exact"/>
              <w:rPr>
                <w:sz w:val="20"/>
                <w:szCs w:val="20"/>
                <w:color w:val="auto"/>
              </w:rPr>
            </w:pPr>
            <w:r>
              <w:rPr>
                <w:rFonts w:ascii="Arial" w:cs="Arial" w:eastAsia="Arial" w:hAnsi="Arial"/>
                <w:sz w:val="20"/>
                <w:szCs w:val="20"/>
                <w:color w:val="auto"/>
              </w:rPr>
              <w:t>Deferred income taxes</w:t>
            </w:r>
          </w:p>
        </w:tc>
        <w:tc>
          <w:tcPr>
            <w:tcW w:w="2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40" w:type="dxa"/>
            <w:vAlign w:val="bottom"/>
          </w:tcPr>
          <w:p>
            <w:pPr>
              <w:jc w:val="right"/>
              <w:spacing w:after="0" w:line="216" w:lineRule="exact"/>
              <w:rPr>
                <w:sz w:val="20"/>
                <w:szCs w:val="20"/>
                <w:color w:val="auto"/>
              </w:rPr>
            </w:pPr>
            <w:r>
              <w:rPr>
                <w:rFonts w:ascii="Arial" w:cs="Arial" w:eastAsia="Arial" w:hAnsi="Arial"/>
                <w:sz w:val="20"/>
                <w:szCs w:val="20"/>
                <w:color w:val="auto"/>
              </w:rPr>
              <w:t>84</w:t>
            </w:r>
          </w:p>
        </w:tc>
        <w:tc>
          <w:tcPr>
            <w:tcW w:w="100" w:type="dxa"/>
            <w:vAlign w:val="bottom"/>
          </w:tcPr>
          <w:p>
            <w:pPr>
              <w:spacing w:after="0"/>
              <w:rPr>
                <w:sz w:val="18"/>
                <w:szCs w:val="18"/>
                <w:color w:val="auto"/>
              </w:rPr>
            </w:pPr>
          </w:p>
        </w:tc>
      </w:tr>
      <w:tr>
        <w:trPr>
          <w:trHeight w:val="216"/>
        </w:trPr>
        <w:tc>
          <w:tcPr>
            <w:tcW w:w="5840" w:type="dxa"/>
            <w:vAlign w:val="bottom"/>
            <w:tcBorders>
              <w:bottom w:val="single" w:sz="8" w:color="CFF0FC"/>
            </w:tcBorders>
            <w:shd w:val="clear" w:color="auto" w:fill="CFF0FC"/>
          </w:tcPr>
          <w:p>
            <w:pPr>
              <w:ind w:left="160"/>
              <w:spacing w:after="0" w:line="216" w:lineRule="exact"/>
              <w:rPr>
                <w:sz w:val="20"/>
                <w:szCs w:val="20"/>
                <w:color w:val="auto"/>
              </w:rPr>
            </w:pPr>
            <w:r>
              <w:rPr>
                <w:rFonts w:ascii="Arial" w:cs="Arial" w:eastAsia="Arial" w:hAnsi="Arial"/>
                <w:sz w:val="20"/>
                <w:szCs w:val="20"/>
                <w:color w:val="auto"/>
              </w:rPr>
              <w:t>Other liabilities</w:t>
            </w:r>
          </w:p>
        </w:tc>
        <w:tc>
          <w:tcPr>
            <w:tcW w:w="24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spacing w:after="0" w:line="209" w:lineRule="exact"/>
              <w:rPr>
                <w:sz w:val="20"/>
                <w:szCs w:val="20"/>
                <w:color w:val="auto"/>
              </w:rPr>
            </w:pPr>
            <w:r>
              <w:rPr>
                <w:rFonts w:ascii="Arial" w:cs="Arial" w:eastAsia="Arial" w:hAnsi="Arial"/>
                <w:sz w:val="20"/>
                <w:szCs w:val="20"/>
                <w:color w:val="auto"/>
              </w:rPr>
              <w:t>Total liabilities</w:t>
            </w:r>
          </w:p>
        </w:tc>
        <w:tc>
          <w:tcPr>
            <w:tcW w:w="24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114</w:t>
            </w:r>
          </w:p>
        </w:tc>
        <w:tc>
          <w:tcPr>
            <w:tcW w:w="100" w:type="dxa"/>
            <w:vAlign w:val="bottom"/>
          </w:tcPr>
          <w:p>
            <w:pPr>
              <w:spacing w:after="0"/>
              <w:rPr>
                <w:sz w:val="18"/>
                <w:szCs w:val="18"/>
                <w:color w:val="auto"/>
              </w:rPr>
            </w:pPr>
          </w:p>
        </w:tc>
      </w:tr>
      <w:tr>
        <w:trPr>
          <w:trHeight w:val="209"/>
        </w:trPr>
        <w:tc>
          <w:tcPr>
            <w:tcW w:w="584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Net identifiable assets acquired</w:t>
            </w:r>
          </w:p>
        </w:tc>
        <w:tc>
          <w:tcPr>
            <w:tcW w:w="24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2,955</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line="216" w:lineRule="exact"/>
              <w:rPr>
                <w:sz w:val="20"/>
                <w:szCs w:val="20"/>
                <w:color w:val="auto"/>
              </w:rPr>
            </w:pPr>
            <w:r>
              <w:rPr>
                <w:rFonts w:ascii="Arial" w:cs="Arial" w:eastAsia="Arial" w:hAnsi="Arial"/>
                <w:sz w:val="20"/>
                <w:szCs w:val="20"/>
                <w:color w:val="auto"/>
              </w:rPr>
              <w:t>Goodwill</w:t>
            </w:r>
          </w:p>
        </w:tc>
        <w:tc>
          <w:tcPr>
            <w:tcW w:w="244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220</w:t>
            </w:r>
          </w:p>
        </w:tc>
        <w:tc>
          <w:tcPr>
            <w:tcW w:w="100" w:type="dxa"/>
            <w:vAlign w:val="bottom"/>
          </w:tcPr>
          <w:p>
            <w:pPr>
              <w:spacing w:after="0"/>
              <w:rPr>
                <w:sz w:val="18"/>
                <w:szCs w:val="18"/>
                <w:color w:val="auto"/>
              </w:rPr>
            </w:pPr>
          </w:p>
        </w:tc>
      </w:tr>
      <w:tr>
        <w:trPr>
          <w:trHeight w:val="249"/>
        </w:trPr>
        <w:tc>
          <w:tcPr>
            <w:tcW w:w="584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Total consideration</w:t>
            </w:r>
          </w:p>
        </w:tc>
        <w:tc>
          <w:tcPr>
            <w:tcW w:w="24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01"/>
              <w:spacing w:after="0" w:line="209" w:lineRule="exact"/>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3,175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 xml:space="preserve"> Includes mineral reserves of $2.0 billion.</w:t>
      </w:r>
    </w:p>
    <w:p>
      <w:pPr>
        <w:jc w:val="center"/>
        <w:spacing w:after="0"/>
        <w:rPr>
          <w:sz w:val="20"/>
          <w:szCs w:val="20"/>
          <w:color w:val="auto"/>
        </w:rPr>
      </w:pPr>
      <w:r>
        <w:rPr>
          <w:rFonts w:ascii="Arial" w:cs="Arial" w:eastAsia="Arial" w:hAnsi="Arial"/>
          <w:sz w:val="20"/>
          <w:szCs w:val="20"/>
          <w:color w:val="auto"/>
        </w:rPr>
        <w:t>Page 11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Revenues and pretax loss attributable to QUIKRETE included in the Company's consolidated statements of earnings and comprehensive earnings were $42 million and $14 million, respectively, for the three months ended March 31, 2026. The pretax loss includes a $22 million charge for the impact of selling acquired inventory after its markup to fair value as part of acquisition accounting.</w:t>
      </w:r>
    </w:p>
    <w:p>
      <w:pPr>
        <w:spacing w:after="0" w:line="145" w:lineRule="exact"/>
        <w:rPr>
          <w:sz w:val="20"/>
          <w:szCs w:val="20"/>
          <w:color w:val="auto"/>
        </w:rPr>
      </w:pPr>
    </w:p>
    <w:p>
      <w:pPr>
        <w:jc w:val="both"/>
        <w:ind w:left="380"/>
        <w:spacing w:after="0" w:line="233" w:lineRule="auto"/>
        <w:rPr>
          <w:sz w:val="20"/>
          <w:szCs w:val="20"/>
          <w:color w:val="auto"/>
        </w:rPr>
      </w:pPr>
      <w:r>
        <w:rPr>
          <w:rFonts w:ascii="Arial" w:cs="Arial" w:eastAsia="Arial" w:hAnsi="Arial"/>
          <w:sz w:val="20"/>
          <w:szCs w:val="20"/>
          <w:color w:val="auto"/>
        </w:rPr>
        <w:t>The following unaudited pro forma financial information summarizes the combined results of the continuing operations for the Company and QUIKRETE as though the companies were combined as of January 1, 2025. The unaudited pro forma financial information does not purport to project the future financial position or operating results of the combined company. Consistent with the assumed acquisition date of January 1, 2025, the pro forma financial results include $8 million of after-tax acquisition and integration expenses and a $49 million after-tax charge from selling inventory after its markup to fair value for the three months ended March 31, 2025.</w:t>
      </w:r>
    </w:p>
    <w:p>
      <w:pPr>
        <w:spacing w:after="0" w:line="132"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The following pro forma financial information is for informational purposes only and is not indicative of the results of operations that would have been achieved if the acquisition had taken place as of January 1, 2025:</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60" w:type="dxa"/>
            <w:vAlign w:val="bottom"/>
            <w:gridSpan w:val="3"/>
          </w:tcPr>
          <w:p>
            <w:pPr>
              <w:jc w:val="center"/>
              <w:ind w:left="661"/>
              <w:spacing w:after="0"/>
              <w:rPr>
                <w:sz w:val="20"/>
                <w:szCs w:val="20"/>
                <w:color w:val="auto"/>
              </w:rPr>
            </w:pPr>
            <w:r>
              <w:rPr>
                <w:rFonts w:ascii="Arial" w:cs="Arial" w:eastAsia="Arial" w:hAnsi="Arial"/>
                <w:sz w:val="20"/>
                <w:szCs w:val="20"/>
                <w:color w:val="auto"/>
                <w:w w:val="98"/>
              </w:rPr>
              <w:t>Three Months Ended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20"/>
                <w:szCs w:val="20"/>
                <w:color w:val="auto"/>
                <w:w w:val="98"/>
              </w:rPr>
              <w:t>March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21"/>
              <w:spacing w:after="0" w:line="209" w:lineRule="exact"/>
              <w:rPr>
                <w:sz w:val="20"/>
                <w:szCs w:val="20"/>
                <w:color w:val="auto"/>
              </w:rPr>
            </w:pPr>
            <w:r>
              <w:rPr>
                <w:rFonts w:ascii="Arial" w:cs="Arial" w:eastAsia="Arial" w:hAnsi="Arial"/>
                <w:sz w:val="20"/>
                <w:szCs w:val="20"/>
                <w:color w:val="auto"/>
              </w:rPr>
              <w:t>2026</w:t>
            </w:r>
          </w:p>
        </w:tc>
        <w:tc>
          <w:tcPr>
            <w:tcW w:w="3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60" w:type="dxa"/>
            <w:vAlign w:val="bottom"/>
            <w:gridSpan w:val="3"/>
          </w:tcPr>
          <w:p>
            <w:pPr>
              <w:jc w:val="center"/>
              <w:ind w:left="661"/>
              <w:spacing w:after="0" w:line="209" w:lineRule="exact"/>
              <w:rPr>
                <w:sz w:val="20"/>
                <w:szCs w:val="20"/>
                <w:color w:val="auto"/>
              </w:rPr>
            </w:pPr>
            <w:r>
              <w:rPr>
                <w:rFonts w:ascii="Arial" w:cs="Arial" w:eastAsia="Arial" w:hAnsi="Arial"/>
                <w:sz w:val="20"/>
                <w:szCs w:val="20"/>
                <w:i w:val="1"/>
                <w:iCs w:val="1"/>
                <w:color w:val="auto"/>
                <w:w w:val="99"/>
              </w:rPr>
              <w:t>(Dollars in Millions)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Revenues</w:t>
            </w:r>
          </w:p>
        </w:tc>
        <w:tc>
          <w:tcPr>
            <w:tcW w:w="500" w:type="dxa"/>
            <w:vAlign w:val="bottom"/>
            <w:shd w:val="clear" w:color="auto" w:fill="CFF0FC"/>
          </w:tcPr>
          <w:p>
            <w:pPr>
              <w:jc w:val="right"/>
              <w:ind w:right="301"/>
              <w:spacing w:after="0" w:line="216" w:lineRule="exact"/>
              <w:rPr>
                <w:sz w:val="20"/>
                <w:szCs w:val="20"/>
                <w:color w:val="auto"/>
              </w:rPr>
            </w:pPr>
            <w:r>
              <w:rPr>
                <w:rFonts w:ascii="Arial" w:cs="Arial" w:eastAsia="Arial" w:hAnsi="Arial"/>
                <w:sz w:val="20"/>
                <w:szCs w:val="20"/>
                <w:color w:val="auto"/>
                <w:w w:val="71"/>
              </w:rPr>
              <w:t>$</w:t>
            </w:r>
          </w:p>
        </w:tc>
        <w:tc>
          <w:tcPr>
            <w:tcW w:w="17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1,412</w:t>
            </w:r>
          </w:p>
        </w:tc>
        <w:tc>
          <w:tcPr>
            <w:tcW w:w="1000" w:type="dxa"/>
            <w:vAlign w:val="bottom"/>
            <w:gridSpan w:val="2"/>
            <w:shd w:val="clear" w:color="auto" w:fill="CFF0FC"/>
          </w:tcPr>
          <w:p>
            <w:pPr>
              <w:jc w:val="right"/>
              <w:ind w:right="580"/>
              <w:spacing w:after="0" w:line="216" w:lineRule="exact"/>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1,234</w:t>
            </w:r>
          </w:p>
        </w:tc>
        <w:tc>
          <w:tcPr>
            <w:tcW w:w="100" w:type="dxa"/>
            <w:vAlign w:val="bottom"/>
            <w:shd w:val="clear" w:color="auto" w:fill="CFF0FC"/>
          </w:tcPr>
          <w:p>
            <w:pPr>
              <w:spacing w:after="0"/>
              <w:rPr>
                <w:sz w:val="18"/>
                <w:szCs w:val="18"/>
                <w:color w:val="auto"/>
              </w:rPr>
            </w:pPr>
          </w:p>
        </w:tc>
      </w:tr>
      <w:tr>
        <w:trPr>
          <w:trHeight w:val="194"/>
        </w:trPr>
        <w:tc>
          <w:tcPr>
            <w:tcW w:w="6600" w:type="dxa"/>
            <w:vAlign w:val="bottom"/>
          </w:tcPr>
          <w:p>
            <w:pPr>
              <w:spacing w:after="0" w:line="194" w:lineRule="exact"/>
              <w:rPr>
                <w:sz w:val="20"/>
                <w:szCs w:val="20"/>
                <w:color w:val="auto"/>
              </w:rPr>
            </w:pPr>
            <w:r>
              <w:rPr>
                <w:rFonts w:ascii="Arial" w:cs="Arial" w:eastAsia="Arial" w:hAnsi="Arial"/>
                <w:sz w:val="20"/>
                <w:szCs w:val="20"/>
                <w:color w:val="auto"/>
              </w:rPr>
              <w:t>Net earnings from continuing operations attributable to</w:t>
            </w:r>
          </w:p>
        </w:tc>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1"/>
        </w:trPr>
        <w:tc>
          <w:tcPr>
            <w:tcW w:w="6600" w:type="dxa"/>
            <w:vAlign w:val="bottom"/>
          </w:tcPr>
          <w:p>
            <w:pPr>
              <w:ind w:left="180"/>
              <w:spacing w:after="0"/>
              <w:rPr>
                <w:sz w:val="20"/>
                <w:szCs w:val="20"/>
                <w:color w:val="auto"/>
              </w:rPr>
            </w:pPr>
            <w:r>
              <w:rPr>
                <w:rFonts w:ascii="Arial" w:cs="Arial" w:eastAsia="Arial" w:hAnsi="Arial"/>
                <w:sz w:val="20"/>
                <w:szCs w:val="20"/>
                <w:color w:val="auto"/>
              </w:rPr>
              <w:t>Martin Marietta</w:t>
            </w:r>
          </w:p>
        </w:tc>
        <w:tc>
          <w:tcPr>
            <w:tcW w:w="500" w:type="dxa"/>
            <w:vAlign w:val="bottom"/>
          </w:tcPr>
          <w:p>
            <w:pPr>
              <w:jc w:val="right"/>
              <w:ind w:right="301"/>
              <w:spacing w:after="0"/>
              <w:rPr>
                <w:sz w:val="20"/>
                <w:szCs w:val="20"/>
                <w:color w:val="auto"/>
              </w:rPr>
            </w:pPr>
            <w:r>
              <w:rPr>
                <w:rFonts w:ascii="Arial" w:cs="Arial" w:eastAsia="Arial" w:hAnsi="Arial"/>
                <w:sz w:val="20"/>
                <w:szCs w:val="20"/>
                <w:color w:val="auto"/>
                <w:w w:val="71"/>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106</w:t>
            </w:r>
          </w:p>
        </w:tc>
        <w:tc>
          <w:tcPr>
            <w:tcW w:w="100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50</w:t>
            </w:r>
          </w:p>
        </w:tc>
        <w:tc>
          <w:tcPr>
            <w:tcW w:w="100" w:type="dxa"/>
            <w:vAlign w:val="bottom"/>
          </w:tcPr>
          <w:p>
            <w:pPr>
              <w:spacing w:after="0"/>
              <w:rPr>
                <w:sz w:val="22"/>
                <w:szCs w:val="22"/>
                <w:color w:val="auto"/>
              </w:rPr>
            </w:pPr>
          </w:p>
        </w:tc>
      </w:tr>
    </w:tbl>
    <w:p>
      <w:pPr>
        <w:spacing w:after="0" w:line="157" w:lineRule="exact"/>
        <w:rPr>
          <w:sz w:val="20"/>
          <w:szCs w:val="20"/>
          <w:color w:val="auto"/>
        </w:rPr>
      </w:pPr>
    </w:p>
    <w:p>
      <w:pPr>
        <w:jc w:val="both"/>
        <w:ind w:left="380"/>
        <w:spacing w:after="0" w:line="241" w:lineRule="auto"/>
        <w:rPr>
          <w:sz w:val="20"/>
          <w:szCs w:val="20"/>
          <w:color w:val="auto"/>
        </w:rPr>
      </w:pPr>
      <w:r>
        <w:rPr>
          <w:rFonts w:ascii="Arial" w:cs="Arial" w:eastAsia="Arial" w:hAnsi="Arial"/>
          <w:sz w:val="19"/>
          <w:szCs w:val="19"/>
          <w:b w:val="1"/>
          <w:bCs w:val="1"/>
          <w:i w:val="1"/>
          <w:iCs w:val="1"/>
          <w:color w:val="auto"/>
        </w:rPr>
        <w:t xml:space="preserve">Premier Magnesia, LLC. </w:t>
      </w:r>
      <w:r>
        <w:rPr>
          <w:rFonts w:ascii="Arial" w:cs="Arial" w:eastAsia="Arial" w:hAnsi="Arial"/>
          <w:sz w:val="19"/>
          <w:szCs w:val="19"/>
          <w:color w:val="auto"/>
        </w:rPr>
        <w:t>On July 25, 2025, the Company acquired Premier Magnesia, LLC (Premier), a privately-owned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producer and distributor of magnesia-based products, using cash on hand and credit facility borrowings. Premier is the largest producer of natural magnesite and magnesium sulfate, or Epsom salt, in the United States, with facilities in Nevada, North Carolina, Indiana and Pennsylvania. This transaction expanded the Company's product offerings to new and existing customers and enhanced the Company's Specialties business. The Company has recorded preliminary fair values of the assets acquired and liabilities assumed, which are subject to additional reviews that are not yet complete. Thus, these amounts are subject to change during the measurement period, which extends no longer than one year from the consummation date, and remains open as of March 31, 2026. Specific accounts subject to ongoing purchase accounting adjustments, include, but are not limited to, property, plant and equipment; goodwill; and other liabilities. The goodwill generated by the transaction is deductible for income tax purposes. The acquisition is reported in the Company's Specialties reportable segment and is immaterial for other business combination disclosures, including pro-forma results of operations.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Divestitures</w:t>
      </w:r>
    </w:p>
    <w:p>
      <w:pPr>
        <w:spacing w:after="0" w:line="96" w:lineRule="exact"/>
        <w:rPr>
          <w:sz w:val="20"/>
          <w:szCs w:val="20"/>
          <w:color w:val="auto"/>
        </w:rPr>
      </w:pPr>
    </w:p>
    <w:p>
      <w:pPr>
        <w:jc w:val="both"/>
        <w:ind w:left="380"/>
        <w:spacing w:after="0" w:line="232" w:lineRule="auto"/>
        <w:rPr>
          <w:sz w:val="20"/>
          <w:szCs w:val="20"/>
          <w:color w:val="auto"/>
        </w:rPr>
      </w:pPr>
      <w:r>
        <w:rPr>
          <w:rFonts w:ascii="Arial" w:cs="Arial" w:eastAsia="Arial" w:hAnsi="Arial"/>
          <w:sz w:val="20"/>
          <w:szCs w:val="20"/>
          <w:color w:val="auto"/>
        </w:rPr>
        <w:t>On February 23, 2026, the Company divested its Midlothian cement plant, related cement distribution terminals, Texas ready mixed concrete plants and certain nonoperating land as part of the QUIKRETE asset exchange. The divestiture of the Company's sole cement business and remaining Texas ready mixed concrete operations optimizes its portfolio and product mix and preserves balance sheet capacity to pursue pure-play aggregates opportunities. The transaction resulted in an after-tax gain of $1.4 billion, which is included in earnings from discontinued operations, net of income tax expense, in the Company's consolidated statement of earnings and comprehensive earnings for the three months ended March 31, 2026 and is exclusive of transaction expenses incurred due to the divestiture.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Discontinued Operations</w:t>
      </w:r>
    </w:p>
    <w:p>
      <w:pPr>
        <w:spacing w:after="0" w:line="96"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The associated financial results for the Company's Midlothian cement plant, related cement distribution terminals and Texas ready mixed concrete plants, which are part of the East Group, are reported as discontinued operations on the consolidated statements of earnings and comprehensive earnings through their February 23, 2026 divestiture date.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Financial results for the Company's discontinued operations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60" w:type="dxa"/>
            <w:vAlign w:val="bottom"/>
            <w:gridSpan w:val="4"/>
          </w:tcPr>
          <w:p>
            <w:pPr>
              <w:jc w:val="center"/>
              <w:ind w:left="661"/>
              <w:spacing w:after="0"/>
              <w:rPr>
                <w:sz w:val="20"/>
                <w:szCs w:val="20"/>
                <w:color w:val="auto"/>
              </w:rPr>
            </w:pPr>
            <w:r>
              <w:rPr>
                <w:rFonts w:ascii="Arial" w:cs="Arial" w:eastAsia="Arial" w:hAnsi="Arial"/>
                <w:sz w:val="20"/>
                <w:szCs w:val="20"/>
                <w:color w:val="auto"/>
                <w:w w:val="98"/>
              </w:rPr>
              <w:t>Three Months Ended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left="661"/>
              <w:spacing w:after="0"/>
              <w:rPr>
                <w:sz w:val="20"/>
                <w:szCs w:val="20"/>
                <w:color w:val="auto"/>
              </w:rPr>
            </w:pPr>
            <w:r>
              <w:rPr>
                <w:rFonts w:ascii="Arial" w:cs="Arial" w:eastAsia="Arial" w:hAnsi="Arial"/>
                <w:sz w:val="20"/>
                <w:szCs w:val="20"/>
                <w:color w:val="auto"/>
                <w:w w:val="98"/>
              </w:rPr>
              <w:t>March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21"/>
              <w:spacing w:after="0" w:line="209" w:lineRule="exact"/>
              <w:rPr>
                <w:sz w:val="20"/>
                <w:szCs w:val="20"/>
                <w:color w:val="auto"/>
              </w:rPr>
            </w:pPr>
            <w:r>
              <w:rPr>
                <w:rFonts w:ascii="Arial" w:cs="Arial" w:eastAsia="Arial" w:hAnsi="Arial"/>
                <w:sz w:val="20"/>
                <w:szCs w:val="20"/>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760" w:type="dxa"/>
            <w:vAlign w:val="bottom"/>
            <w:gridSpan w:val="4"/>
            <w:shd w:val="clear" w:color="auto" w:fill="CFF0FC"/>
          </w:tcPr>
          <w:p>
            <w:pPr>
              <w:jc w:val="center"/>
              <w:ind w:left="661"/>
              <w:spacing w:after="0" w:line="209" w:lineRule="exact"/>
              <w:rPr>
                <w:sz w:val="20"/>
                <w:szCs w:val="20"/>
                <w:color w:val="auto"/>
              </w:rPr>
            </w:pPr>
            <w:r>
              <w:rPr>
                <w:rFonts w:ascii="Arial" w:cs="Arial" w:eastAsia="Arial" w:hAnsi="Arial"/>
                <w:sz w:val="20"/>
                <w:szCs w:val="20"/>
                <w:i w:val="1"/>
                <w:iCs w:val="1"/>
                <w:color w:val="auto"/>
                <w:w w:val="99"/>
              </w:rPr>
              <w:t>(Dollars in Millions)</w:t>
            </w: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Arial" w:cs="Arial" w:eastAsia="Arial" w:hAnsi="Arial"/>
                <w:sz w:val="20"/>
                <w:szCs w:val="20"/>
                <w:color w:val="auto"/>
              </w:rPr>
              <w:t>Revenues</w:t>
            </w:r>
          </w:p>
        </w:tc>
        <w:tc>
          <w:tcPr>
            <w:tcW w:w="500" w:type="dxa"/>
            <w:vAlign w:val="bottom"/>
          </w:tcPr>
          <w:p>
            <w:pPr>
              <w:jc w:val="right"/>
              <w:ind w:right="301"/>
              <w:spacing w:after="0" w:line="216" w:lineRule="exact"/>
              <w:rPr>
                <w:sz w:val="20"/>
                <w:szCs w:val="20"/>
                <w:color w:val="auto"/>
              </w:rPr>
            </w:pPr>
            <w:r>
              <w:rPr>
                <w:rFonts w:ascii="Arial" w:cs="Arial" w:eastAsia="Arial" w:hAnsi="Arial"/>
                <w:sz w:val="20"/>
                <w:szCs w:val="20"/>
                <w:color w:val="auto"/>
                <w:w w:val="71"/>
              </w:rPr>
              <w:t>$</w:t>
            </w:r>
          </w:p>
        </w:tc>
        <w:tc>
          <w:tcPr>
            <w:tcW w:w="1760" w:type="dxa"/>
            <w:vAlign w:val="bottom"/>
          </w:tcPr>
          <w:p>
            <w:pPr>
              <w:jc w:val="right"/>
              <w:spacing w:after="0" w:line="216" w:lineRule="exact"/>
              <w:rPr>
                <w:sz w:val="20"/>
                <w:szCs w:val="20"/>
                <w:color w:val="auto"/>
              </w:rPr>
            </w:pPr>
            <w:r>
              <w:rPr>
                <w:rFonts w:ascii="Arial" w:cs="Arial" w:eastAsia="Arial" w:hAnsi="Arial"/>
                <w:sz w:val="20"/>
                <w:szCs w:val="20"/>
                <w:color w:val="auto"/>
              </w:rPr>
              <w:t>108</w:t>
            </w:r>
          </w:p>
        </w:tc>
        <w:tc>
          <w:tcPr>
            <w:tcW w:w="180" w:type="dxa"/>
            <w:vAlign w:val="bottom"/>
          </w:tcPr>
          <w:p>
            <w:pPr>
              <w:spacing w:after="0"/>
              <w:rPr>
                <w:sz w:val="18"/>
                <w:szCs w:val="18"/>
                <w:color w:val="auto"/>
              </w:rPr>
            </w:pPr>
          </w:p>
        </w:tc>
        <w:tc>
          <w:tcPr>
            <w:tcW w:w="820" w:type="dxa"/>
            <w:vAlign w:val="bottom"/>
            <w:gridSpan w:val="2"/>
          </w:tcPr>
          <w:p>
            <w:pPr>
              <w:jc w:val="right"/>
              <w:ind w:right="580"/>
              <w:spacing w:after="0" w:line="216"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16" w:lineRule="exact"/>
              <w:rPr>
                <w:sz w:val="20"/>
                <w:szCs w:val="20"/>
                <w:color w:val="auto"/>
              </w:rPr>
            </w:pPr>
            <w:r>
              <w:rPr>
                <w:rFonts w:ascii="Arial" w:cs="Arial" w:eastAsia="Arial" w:hAnsi="Arial"/>
                <w:sz w:val="20"/>
                <w:szCs w:val="20"/>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Cost of revenues</w:t>
            </w:r>
          </w:p>
        </w:tc>
        <w:tc>
          <w:tcPr>
            <w:tcW w:w="50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99</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line="196" w:lineRule="exact"/>
              <w:rPr>
                <w:sz w:val="20"/>
                <w:szCs w:val="20"/>
                <w:color w:val="auto"/>
              </w:rPr>
            </w:pPr>
            <w:r>
              <w:rPr>
                <w:rFonts w:ascii="Arial" w:cs="Arial" w:eastAsia="Arial" w:hAnsi="Arial"/>
                <w:sz w:val="20"/>
                <w:szCs w:val="20"/>
                <w:color w:val="auto"/>
              </w:rPr>
              <w:t>Gross profit</w:t>
            </w:r>
          </w:p>
        </w:tc>
        <w:tc>
          <w:tcPr>
            <w:tcW w:w="500" w:type="dxa"/>
            <w:vAlign w:val="bottom"/>
          </w:tcPr>
          <w:p>
            <w:pPr>
              <w:jc w:val="right"/>
              <w:ind w:right="301"/>
              <w:spacing w:after="0" w:line="196" w:lineRule="exact"/>
              <w:rPr>
                <w:sz w:val="20"/>
                <w:szCs w:val="20"/>
                <w:color w:val="auto"/>
              </w:rPr>
            </w:pPr>
            <w:r>
              <w:rPr>
                <w:rFonts w:ascii="Arial" w:cs="Arial" w:eastAsia="Arial" w:hAnsi="Arial"/>
                <w:sz w:val="20"/>
                <w:szCs w:val="20"/>
                <w:color w:val="auto"/>
                <w:w w:val="71"/>
              </w:rPr>
              <w:t>$</w:t>
            </w:r>
          </w:p>
        </w:tc>
        <w:tc>
          <w:tcPr>
            <w:tcW w:w="1760" w:type="dxa"/>
            <w:vAlign w:val="bottom"/>
          </w:tcPr>
          <w:p>
            <w:pPr>
              <w:jc w:val="right"/>
              <w:spacing w:after="0" w:line="196" w:lineRule="exact"/>
              <w:rPr>
                <w:sz w:val="20"/>
                <w:szCs w:val="20"/>
                <w:color w:val="auto"/>
              </w:rPr>
            </w:pPr>
            <w:r>
              <w:rPr>
                <w:rFonts w:ascii="Arial" w:cs="Arial" w:eastAsia="Arial" w:hAnsi="Arial"/>
                <w:sz w:val="20"/>
                <w:szCs w:val="20"/>
                <w:color w:val="auto"/>
              </w:rPr>
              <w:t>9</w:t>
            </w:r>
          </w:p>
        </w:tc>
        <w:tc>
          <w:tcPr>
            <w:tcW w:w="180" w:type="dxa"/>
            <w:vAlign w:val="bottom"/>
          </w:tcPr>
          <w:p>
            <w:pPr>
              <w:spacing w:after="0"/>
              <w:rPr>
                <w:sz w:val="18"/>
                <w:szCs w:val="18"/>
                <w:color w:val="auto"/>
              </w:rPr>
            </w:pPr>
          </w:p>
        </w:tc>
        <w:tc>
          <w:tcPr>
            <w:tcW w:w="820" w:type="dxa"/>
            <w:vAlign w:val="bottom"/>
            <w:gridSpan w:val="2"/>
          </w:tcPr>
          <w:p>
            <w:pPr>
              <w:jc w:val="right"/>
              <w:ind w:right="580"/>
              <w:spacing w:after="0" w:line="196"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20"/>
                <w:szCs w:val="20"/>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Arial" w:cs="Arial" w:eastAsia="Arial" w:hAnsi="Arial"/>
                <w:sz w:val="20"/>
                <w:szCs w:val="20"/>
                <w:color w:val="auto"/>
              </w:rPr>
              <w:t>Pretax (loss) earnings from operations</w:t>
            </w:r>
          </w:p>
        </w:tc>
        <w:tc>
          <w:tcPr>
            <w:tcW w:w="500" w:type="dxa"/>
            <w:vAlign w:val="bottom"/>
          </w:tcPr>
          <w:p>
            <w:pPr>
              <w:jc w:val="right"/>
              <w:ind w:right="301"/>
              <w:spacing w:after="0" w:line="216" w:lineRule="exact"/>
              <w:rPr>
                <w:sz w:val="20"/>
                <w:szCs w:val="20"/>
                <w:color w:val="auto"/>
              </w:rPr>
            </w:pPr>
            <w:r>
              <w:rPr>
                <w:rFonts w:ascii="Arial" w:cs="Arial" w:eastAsia="Arial" w:hAnsi="Arial"/>
                <w:sz w:val="20"/>
                <w:szCs w:val="20"/>
                <w:color w:val="auto"/>
                <w:w w:val="71"/>
              </w:rPr>
              <w:t>$</w:t>
            </w:r>
          </w:p>
        </w:tc>
        <w:tc>
          <w:tcPr>
            <w:tcW w:w="194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(7)</w:t>
            </w:r>
          </w:p>
        </w:tc>
        <w:tc>
          <w:tcPr>
            <w:tcW w:w="820" w:type="dxa"/>
            <w:vAlign w:val="bottom"/>
            <w:gridSpan w:val="2"/>
          </w:tcPr>
          <w:p>
            <w:pPr>
              <w:jc w:val="right"/>
              <w:ind w:right="580"/>
              <w:spacing w:after="0" w:line="216" w:lineRule="exact"/>
              <w:rPr>
                <w:sz w:val="20"/>
                <w:szCs w:val="20"/>
                <w:color w:val="auto"/>
              </w:rPr>
            </w:pPr>
            <w:r>
              <w:rPr>
                <w:rFonts w:ascii="Arial" w:cs="Arial" w:eastAsia="Arial" w:hAnsi="Arial"/>
                <w:sz w:val="20"/>
                <w:szCs w:val="20"/>
                <w:color w:val="auto"/>
              </w:rPr>
              <w:t>$</w:t>
            </w:r>
          </w:p>
        </w:tc>
        <w:tc>
          <w:tcPr>
            <w:tcW w:w="1280" w:type="dxa"/>
            <w:vAlign w:val="bottom"/>
          </w:tcPr>
          <w:p>
            <w:pPr>
              <w:jc w:val="right"/>
              <w:spacing w:after="0" w:line="216" w:lineRule="exact"/>
              <w:rPr>
                <w:sz w:val="20"/>
                <w:szCs w:val="20"/>
                <w:color w:val="auto"/>
              </w:rPr>
            </w:pPr>
            <w:r>
              <w:rPr>
                <w:rFonts w:ascii="Arial" w:cs="Arial" w:eastAsia="Arial" w:hAnsi="Arial"/>
                <w:sz w:val="20"/>
                <w:szCs w:val="20"/>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Pretax gain on divestiture</w:t>
            </w:r>
          </w:p>
        </w:tc>
        <w:tc>
          <w:tcPr>
            <w:tcW w:w="50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1,963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Pretax earnings</w:t>
            </w:r>
          </w:p>
        </w:tc>
        <w:tc>
          <w:tcPr>
            <w:tcW w:w="5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1,956</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15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Income tax expense</w:t>
            </w:r>
          </w:p>
        </w:tc>
        <w:tc>
          <w:tcPr>
            <w:tcW w:w="50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522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600" w:type="dxa"/>
            <w:vAlign w:val="bottom"/>
          </w:tcPr>
          <w:p>
            <w:pPr>
              <w:spacing w:after="0" w:line="188" w:lineRule="exact"/>
              <w:rPr>
                <w:sz w:val="20"/>
                <w:szCs w:val="20"/>
                <w:color w:val="auto"/>
              </w:rPr>
            </w:pPr>
            <w:r>
              <w:rPr>
                <w:rFonts w:ascii="Arial" w:cs="Arial" w:eastAsia="Arial" w:hAnsi="Arial"/>
                <w:sz w:val="20"/>
                <w:szCs w:val="20"/>
                <w:color w:val="auto"/>
              </w:rPr>
              <w:t>Earnings from discontinued operations, net of</w:t>
            </w:r>
          </w:p>
        </w:tc>
        <w:tc>
          <w:tcPr>
            <w:tcW w:w="500" w:type="dxa"/>
            <w:vAlign w:val="bottom"/>
            <w:vMerge w:val="restart"/>
          </w:tcPr>
          <w:p>
            <w:pPr>
              <w:jc w:val="right"/>
              <w:ind w:right="301"/>
              <w:spacing w:after="0"/>
              <w:rPr>
                <w:sz w:val="20"/>
                <w:szCs w:val="20"/>
                <w:color w:val="auto"/>
              </w:rPr>
            </w:pPr>
            <w:r>
              <w:rPr>
                <w:rFonts w:ascii="Arial" w:cs="Arial" w:eastAsia="Arial" w:hAnsi="Arial"/>
                <w:sz w:val="20"/>
                <w:szCs w:val="20"/>
                <w:color w:val="auto"/>
                <w:w w:val="71"/>
              </w:rPr>
              <w:t>$</w:t>
            </w:r>
          </w:p>
        </w:tc>
        <w:tc>
          <w:tcPr>
            <w:tcW w:w="1760" w:type="dxa"/>
            <w:vAlign w:val="bottom"/>
            <w:vMerge w:val="restart"/>
          </w:tcPr>
          <w:p>
            <w:pPr>
              <w:jc w:val="right"/>
              <w:spacing w:after="0"/>
              <w:rPr>
                <w:sz w:val="20"/>
                <w:szCs w:val="20"/>
                <w:color w:val="auto"/>
              </w:rPr>
            </w:pPr>
            <w:r>
              <w:rPr>
                <w:rFonts w:ascii="Arial" w:cs="Arial" w:eastAsia="Arial" w:hAnsi="Arial"/>
                <w:sz w:val="20"/>
                <w:szCs w:val="20"/>
                <w:color w:val="auto"/>
              </w:rPr>
              <w:t>1,434</w:t>
            </w:r>
          </w:p>
        </w:tc>
        <w:tc>
          <w:tcPr>
            <w:tcW w:w="180" w:type="dxa"/>
            <w:vAlign w:val="bottom"/>
          </w:tcPr>
          <w:p>
            <w:pPr>
              <w:spacing w:after="0"/>
              <w:rPr>
                <w:sz w:val="16"/>
                <w:szCs w:val="16"/>
                <w:color w:val="auto"/>
              </w:rPr>
            </w:pPr>
          </w:p>
        </w:tc>
        <w:tc>
          <w:tcPr>
            <w:tcW w:w="820" w:type="dxa"/>
            <w:vAlign w:val="bottom"/>
            <w:gridSpan w:val="2"/>
            <w:vMerge w:val="restart"/>
          </w:tcPr>
          <w:p>
            <w:pPr>
              <w:jc w:val="right"/>
              <w:ind w:right="580"/>
              <w:spacing w:after="0"/>
              <w:rPr>
                <w:sz w:val="20"/>
                <w:szCs w:val="20"/>
                <w:color w:val="auto"/>
              </w:rPr>
            </w:pPr>
            <w:r>
              <w:rPr>
                <w:rFonts w:ascii="Arial" w:cs="Arial" w:eastAsia="Arial" w:hAnsi="Arial"/>
                <w:sz w:val="20"/>
                <w:szCs w:val="20"/>
                <w:color w:val="auto"/>
              </w:rPr>
              <w:t>$</w:t>
            </w: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00" w:type="dxa"/>
            <w:vAlign w:val="bottom"/>
          </w:tcPr>
          <w:p>
            <w:pPr>
              <w:ind w:left="180"/>
              <w:spacing w:after="0" w:line="177" w:lineRule="exact"/>
              <w:rPr>
                <w:sz w:val="20"/>
                <w:szCs w:val="20"/>
                <w:color w:val="auto"/>
              </w:rPr>
            </w:pPr>
            <w:r>
              <w:rPr>
                <w:rFonts w:ascii="Arial" w:cs="Arial" w:eastAsia="Arial" w:hAnsi="Arial"/>
                <w:sz w:val="20"/>
                <w:szCs w:val="20"/>
                <w:color w:val="auto"/>
              </w:rPr>
              <w:t>income tax expense</w:t>
            </w:r>
          </w:p>
        </w:tc>
        <w:tc>
          <w:tcPr>
            <w:tcW w:w="50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-1148080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-565150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-281940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Cash flow information for the Company's discontinued operations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60" w:type="dxa"/>
            <w:vAlign w:val="bottom"/>
            <w:gridSpan w:val="4"/>
          </w:tcPr>
          <w:p>
            <w:pPr>
              <w:jc w:val="center"/>
              <w:ind w:left="661"/>
              <w:spacing w:after="0"/>
              <w:rPr>
                <w:sz w:val="20"/>
                <w:szCs w:val="20"/>
                <w:color w:val="auto"/>
              </w:rPr>
            </w:pPr>
            <w:r>
              <w:rPr>
                <w:rFonts w:ascii="Arial" w:cs="Arial" w:eastAsia="Arial" w:hAnsi="Arial"/>
                <w:sz w:val="20"/>
                <w:szCs w:val="20"/>
                <w:color w:val="auto"/>
                <w:w w:val="98"/>
              </w:rPr>
              <w:t>Three Months Ended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6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left="661"/>
              <w:spacing w:after="0"/>
              <w:rPr>
                <w:sz w:val="20"/>
                <w:szCs w:val="20"/>
                <w:color w:val="auto"/>
              </w:rPr>
            </w:pPr>
            <w:r>
              <w:rPr>
                <w:rFonts w:ascii="Arial" w:cs="Arial" w:eastAsia="Arial" w:hAnsi="Arial"/>
                <w:sz w:val="20"/>
                <w:szCs w:val="20"/>
                <w:color w:val="auto"/>
                <w:w w:val="98"/>
              </w:rPr>
              <w:t>March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21"/>
              <w:spacing w:after="0" w:line="209" w:lineRule="exact"/>
              <w:rPr>
                <w:sz w:val="20"/>
                <w:szCs w:val="20"/>
                <w:color w:val="auto"/>
              </w:rPr>
            </w:pPr>
            <w:r>
              <w:rPr>
                <w:rFonts w:ascii="Arial" w:cs="Arial" w:eastAsia="Arial" w:hAnsi="Arial"/>
                <w:sz w:val="20"/>
                <w:szCs w:val="20"/>
                <w:color w:val="auto"/>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60" w:type="dxa"/>
            <w:vAlign w:val="bottom"/>
            <w:gridSpan w:val="4"/>
          </w:tcPr>
          <w:p>
            <w:pPr>
              <w:jc w:val="center"/>
              <w:ind w:left="661"/>
              <w:spacing w:after="0" w:line="209" w:lineRule="exact"/>
              <w:rPr>
                <w:sz w:val="20"/>
                <w:szCs w:val="20"/>
                <w:color w:val="auto"/>
              </w:rPr>
            </w:pPr>
            <w:r>
              <w:rPr>
                <w:rFonts w:ascii="Arial" w:cs="Arial" w:eastAsia="Arial" w:hAnsi="Arial"/>
                <w:sz w:val="20"/>
                <w:szCs w:val="20"/>
                <w:i w:val="1"/>
                <w:iCs w:val="1"/>
                <w:color w:val="auto"/>
                <w:w w:val="99"/>
              </w:rPr>
              <w:t>(Dollars in Millions)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Net cash provided by operating activities</w:t>
            </w:r>
          </w:p>
        </w:tc>
        <w:tc>
          <w:tcPr>
            <w:tcW w:w="500" w:type="dxa"/>
            <w:vAlign w:val="bottom"/>
            <w:shd w:val="clear" w:color="auto" w:fill="CFF0FC"/>
          </w:tcPr>
          <w:p>
            <w:pPr>
              <w:jc w:val="right"/>
              <w:ind w:right="301"/>
              <w:spacing w:after="0" w:line="216" w:lineRule="exact"/>
              <w:rPr>
                <w:sz w:val="20"/>
                <w:szCs w:val="20"/>
                <w:color w:val="auto"/>
              </w:rPr>
            </w:pPr>
            <w:r>
              <w:rPr>
                <w:rFonts w:ascii="Arial" w:cs="Arial" w:eastAsia="Arial" w:hAnsi="Arial"/>
                <w:sz w:val="20"/>
                <w:szCs w:val="20"/>
                <w:color w:val="auto"/>
                <w:w w:val="71"/>
              </w:rPr>
              <w:t>$</w:t>
            </w:r>
          </w:p>
        </w:tc>
        <w:tc>
          <w:tcPr>
            <w:tcW w:w="17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50</w:t>
            </w:r>
          </w:p>
        </w:tc>
        <w:tc>
          <w:tcPr>
            <w:tcW w:w="18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580"/>
              <w:spacing w:after="0" w:line="216" w:lineRule="exact"/>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36</w:t>
            </w:r>
          </w:p>
        </w:tc>
        <w:tc>
          <w:tcPr>
            <w:tcW w:w="100" w:type="dxa"/>
            <w:vAlign w:val="bottom"/>
            <w:shd w:val="clear" w:color="auto" w:fill="CFF0FC"/>
          </w:tcPr>
          <w:p>
            <w:pPr>
              <w:spacing w:after="0"/>
              <w:rPr>
                <w:sz w:val="22"/>
                <w:szCs w:val="22"/>
                <w:color w:val="auto"/>
              </w:rPr>
            </w:pPr>
          </w:p>
        </w:tc>
      </w:tr>
      <w:tr>
        <w:trPr>
          <w:trHeight w:val="196"/>
        </w:trPr>
        <w:tc>
          <w:tcPr>
            <w:tcW w:w="660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Additions to property, plant and equipment</w:t>
            </w:r>
          </w:p>
        </w:tc>
        <w:tc>
          <w:tcPr>
            <w:tcW w:w="500" w:type="dxa"/>
            <w:vAlign w:val="bottom"/>
            <w:shd w:val="clear" w:color="auto" w:fill="CFF0FC"/>
          </w:tcPr>
          <w:p>
            <w:pPr>
              <w:jc w:val="right"/>
              <w:ind w:right="301"/>
              <w:spacing w:after="0" w:line="216" w:lineRule="exact"/>
              <w:rPr>
                <w:sz w:val="20"/>
                <w:szCs w:val="20"/>
                <w:color w:val="auto"/>
              </w:rPr>
            </w:pPr>
            <w:r>
              <w:rPr>
                <w:rFonts w:ascii="Arial" w:cs="Arial" w:eastAsia="Arial" w:hAnsi="Arial"/>
                <w:sz w:val="20"/>
                <w:szCs w:val="20"/>
                <w:color w:val="auto"/>
                <w:w w:val="71"/>
              </w:rPr>
              <w:t>$</w:t>
            </w:r>
          </w:p>
        </w:tc>
        <w:tc>
          <w:tcPr>
            <w:tcW w:w="194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(14)</w:t>
            </w:r>
          </w:p>
        </w:tc>
        <w:tc>
          <w:tcPr>
            <w:tcW w:w="820" w:type="dxa"/>
            <w:vAlign w:val="bottom"/>
            <w:gridSpan w:val="2"/>
            <w:shd w:val="clear" w:color="auto" w:fill="CFF0FC"/>
          </w:tcPr>
          <w:p>
            <w:pPr>
              <w:jc w:val="right"/>
              <w:ind w:right="580"/>
              <w:spacing w:after="0" w:line="216" w:lineRule="exact"/>
              <w:rPr>
                <w:sz w:val="20"/>
                <w:szCs w:val="20"/>
                <w:color w:val="auto"/>
              </w:rPr>
            </w:pPr>
            <w:r>
              <w:rPr>
                <w:rFonts w:ascii="Arial" w:cs="Arial" w:eastAsia="Arial" w:hAnsi="Arial"/>
                <w:sz w:val="20"/>
                <w:szCs w:val="20"/>
                <w:color w:val="auto"/>
              </w:rPr>
              <w:t>$</w:t>
            </w:r>
          </w:p>
        </w:tc>
        <w:tc>
          <w:tcPr>
            <w:tcW w:w="138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(47)</w:t>
            </w:r>
          </w:p>
        </w:tc>
      </w:tr>
      <w:tr>
        <w:trPr>
          <w:trHeight w:val="216"/>
        </w:trPr>
        <w:tc>
          <w:tcPr>
            <w:tcW w:w="6600" w:type="dxa"/>
            <w:vAlign w:val="bottom"/>
          </w:tcPr>
          <w:p>
            <w:pPr>
              <w:spacing w:after="0" w:line="216" w:lineRule="exact"/>
              <w:rPr>
                <w:sz w:val="20"/>
                <w:szCs w:val="20"/>
                <w:color w:val="auto"/>
              </w:rPr>
            </w:pPr>
            <w:r>
              <w:rPr>
                <w:rFonts w:ascii="Arial" w:cs="Arial" w:eastAsia="Arial" w:hAnsi="Arial"/>
                <w:sz w:val="20"/>
                <w:szCs w:val="20"/>
                <w:color w:val="auto"/>
              </w:rPr>
              <w:t>Proceeds from divestitures and sales of assets</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450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r>
      <w:tr>
        <w:trPr>
          <w:trHeight w:val="230"/>
        </w:trPr>
        <w:tc>
          <w:tcPr>
            <w:tcW w:w="660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Net cash provided by (used for) investing activities</w:t>
            </w:r>
          </w:p>
        </w:tc>
        <w:tc>
          <w:tcPr>
            <w:tcW w:w="500" w:type="dxa"/>
            <w:vAlign w:val="bottom"/>
            <w:shd w:val="clear" w:color="auto" w:fill="CFF0FC"/>
          </w:tcPr>
          <w:p>
            <w:pPr>
              <w:jc w:val="right"/>
              <w:ind w:right="301"/>
              <w:spacing w:after="0" w:line="196" w:lineRule="exact"/>
              <w:rPr>
                <w:sz w:val="20"/>
                <w:szCs w:val="20"/>
                <w:color w:val="auto"/>
              </w:rPr>
            </w:pPr>
            <w:r>
              <w:rPr>
                <w:rFonts w:ascii="Arial" w:cs="Arial" w:eastAsia="Arial" w:hAnsi="Arial"/>
                <w:sz w:val="20"/>
                <w:szCs w:val="20"/>
                <w:color w:val="auto"/>
                <w:w w:val="71"/>
              </w:rPr>
              <w:t>$</w:t>
            </w:r>
          </w:p>
        </w:tc>
        <w:tc>
          <w:tcPr>
            <w:tcW w:w="176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436</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580"/>
              <w:spacing w:after="0" w:line="196" w:lineRule="exact"/>
              <w:rPr>
                <w:sz w:val="20"/>
                <w:szCs w:val="20"/>
                <w:color w:val="auto"/>
              </w:rPr>
            </w:pPr>
            <w:r>
              <w:rPr>
                <w:rFonts w:ascii="Arial" w:cs="Arial" w:eastAsia="Arial" w:hAnsi="Arial"/>
                <w:sz w:val="20"/>
                <w:szCs w:val="20"/>
                <w:color w:val="auto"/>
              </w:rPr>
              <w:t>$</w:t>
            </w:r>
          </w:p>
        </w:tc>
        <w:tc>
          <w:tcPr>
            <w:tcW w:w="13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20"/>
                <w:szCs w:val="20"/>
                <w:color w:val="auto"/>
              </w:rPr>
              <w:t>(47)</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-607695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-591185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Assets and Liabilities Held for Sale</w:t>
      </w:r>
    </w:p>
    <w:p>
      <w:pPr>
        <w:spacing w:after="0" w:line="96"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Assets and liabilities held for sale at March 31, 2026 include certain nonoperating land. At December 31, 2025, assets and liabilities held for sale also included the Company's Midlothian cement plant, related cement distribution terminals and Texas ready mixed concrete plants, which were divested in February 2026.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Assets and liabilities held for sale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620" w:type="dxa"/>
            <w:vAlign w:val="bottom"/>
            <w:tcBorders>
              <w:bottom w:val="single" w:sz="8" w:color="auto"/>
            </w:tcBorders>
          </w:tcPr>
          <w:p>
            <w:pPr>
              <w:jc w:val="center"/>
              <w:ind w:left="101"/>
              <w:spacing w:after="0"/>
              <w:rPr>
                <w:sz w:val="20"/>
                <w:szCs w:val="20"/>
                <w:color w:val="auto"/>
              </w:rPr>
            </w:pPr>
            <w:r>
              <w:rPr>
                <w:rFonts w:ascii="Arial" w:cs="Arial" w:eastAsia="Arial" w:hAnsi="Arial"/>
                <w:sz w:val="20"/>
                <w:szCs w:val="20"/>
                <w:color w:val="auto"/>
                <w:w w:val="99"/>
              </w:rPr>
              <w:t>March 31, 2026</w:t>
            </w:r>
          </w:p>
        </w:tc>
        <w:tc>
          <w:tcPr>
            <w:tcW w:w="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20"/>
                <w:szCs w:val="20"/>
                <w:color w:val="auto"/>
                <w:w w:val="97"/>
              </w:rPr>
              <w:t>December 31, 2025</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8"/>
        </w:trPr>
        <w:tc>
          <w:tcPr>
            <w:tcW w:w="3940" w:type="dxa"/>
            <w:vAlign w:val="bottom"/>
          </w:tcPr>
          <w:p>
            <w:pPr>
              <w:spacing w:after="0"/>
              <w:rPr>
                <w:sz w:val="16"/>
                <w:szCs w:val="16"/>
                <w:color w:val="auto"/>
              </w:rPr>
            </w:pPr>
          </w:p>
        </w:tc>
        <w:tc>
          <w:tcPr>
            <w:tcW w:w="1620" w:type="dxa"/>
            <w:vAlign w:val="bottom"/>
          </w:tcPr>
          <w:p>
            <w:pPr>
              <w:jc w:val="center"/>
              <w:ind w:left="61"/>
              <w:spacing w:after="0" w:line="188" w:lineRule="exact"/>
              <w:rPr>
                <w:sz w:val="20"/>
                <w:szCs w:val="20"/>
                <w:color w:val="auto"/>
              </w:rPr>
            </w:pPr>
            <w:r>
              <w:rPr>
                <w:rFonts w:ascii="Arial" w:cs="Arial" w:eastAsia="Arial" w:hAnsi="Arial"/>
                <w:sz w:val="20"/>
                <w:szCs w:val="20"/>
                <w:color w:val="auto"/>
                <w:w w:val="98"/>
              </w:rPr>
              <w:t>Continuing</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line="188" w:lineRule="exact"/>
              <w:rPr>
                <w:sz w:val="20"/>
                <w:szCs w:val="20"/>
                <w:color w:val="auto"/>
              </w:rPr>
            </w:pPr>
            <w:r>
              <w:rPr>
                <w:rFonts w:ascii="Arial" w:cs="Arial" w:eastAsia="Arial" w:hAnsi="Arial"/>
                <w:sz w:val="20"/>
                <w:szCs w:val="20"/>
                <w:color w:val="auto"/>
              </w:rPr>
              <w:t>Continuing</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201"/>
              <w:spacing w:after="0" w:line="188" w:lineRule="exact"/>
              <w:rPr>
                <w:sz w:val="20"/>
                <w:szCs w:val="20"/>
                <w:color w:val="auto"/>
              </w:rPr>
            </w:pPr>
            <w:r>
              <w:rPr>
                <w:rFonts w:ascii="Arial" w:cs="Arial" w:eastAsia="Arial" w:hAnsi="Arial"/>
                <w:sz w:val="20"/>
                <w:szCs w:val="20"/>
                <w:color w:val="auto"/>
              </w:rPr>
              <w:t>Discontinued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1620" w:type="dxa"/>
            <w:vAlign w:val="bottom"/>
            <w:tcBorders>
              <w:bottom w:val="single" w:sz="8" w:color="auto"/>
            </w:tcBorders>
          </w:tcPr>
          <w:p>
            <w:pPr>
              <w:jc w:val="center"/>
              <w:ind w:left="121"/>
              <w:spacing w:after="0"/>
              <w:rPr>
                <w:sz w:val="20"/>
                <w:szCs w:val="20"/>
                <w:color w:val="auto"/>
              </w:rPr>
            </w:pPr>
            <w:r>
              <w:rPr>
                <w:rFonts w:ascii="Arial" w:cs="Arial" w:eastAsia="Arial" w:hAnsi="Arial"/>
                <w:sz w:val="20"/>
                <w:szCs w:val="20"/>
                <w:color w:val="auto"/>
                <w:w w:val="98"/>
              </w:rPr>
              <w:t>Operations</w:t>
            </w:r>
          </w:p>
        </w:tc>
        <w:tc>
          <w:tcPr>
            <w:tcW w:w="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Operations</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Operations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Total</w:t>
            </w:r>
          </w:p>
        </w:tc>
        <w:tc>
          <w:tcPr>
            <w:tcW w:w="100" w:type="dxa"/>
            <w:vAlign w:val="bottom"/>
          </w:tcPr>
          <w:p>
            <w:pPr>
              <w:spacing w:after="0"/>
              <w:rPr>
                <w:sz w:val="20"/>
                <w:szCs w:val="20"/>
                <w:color w:val="auto"/>
              </w:rPr>
            </w:pPr>
          </w:p>
        </w:tc>
      </w:tr>
      <w:tr>
        <w:trPr>
          <w:trHeight w:val="188"/>
        </w:trPr>
        <w:tc>
          <w:tcPr>
            <w:tcW w:w="3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right"/>
              <w:spacing w:after="0" w:line="188" w:lineRule="exact"/>
              <w:rPr>
                <w:sz w:val="20"/>
                <w:szCs w:val="20"/>
                <w:color w:val="auto"/>
              </w:rPr>
            </w:pPr>
            <w:r>
              <w:rPr>
                <w:rFonts w:ascii="Arial" w:cs="Arial" w:eastAsia="Arial" w:hAnsi="Arial"/>
                <w:sz w:val="20"/>
                <w:szCs w:val="20"/>
                <w:i w:val="1"/>
                <w:iCs w:val="1"/>
                <w:color w:val="auto"/>
              </w:rPr>
              <w:t>(Dollars in</w:t>
            </w:r>
          </w:p>
        </w:tc>
        <w:tc>
          <w:tcPr>
            <w:tcW w:w="1960" w:type="dxa"/>
            <w:vAlign w:val="bottom"/>
            <w:gridSpan w:val="4"/>
          </w:tcPr>
          <w:p>
            <w:pPr>
              <w:jc w:val="right"/>
              <w:ind w:right="1081"/>
              <w:spacing w:after="0" w:line="188" w:lineRule="exact"/>
              <w:rPr>
                <w:sz w:val="20"/>
                <w:szCs w:val="20"/>
                <w:color w:val="auto"/>
              </w:rPr>
            </w:pPr>
            <w:r>
              <w:rPr>
                <w:rFonts w:ascii="Arial" w:cs="Arial" w:eastAsia="Arial" w:hAnsi="Arial"/>
                <w:sz w:val="20"/>
                <w:szCs w:val="20"/>
                <w:i w:val="1"/>
                <w:iCs w:val="1"/>
                <w:color w:val="auto"/>
              </w:rPr>
              <w:t>Millions)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r>
              <w:rPr>
                <w:rFonts w:ascii="Arial" w:cs="Arial" w:eastAsia="Arial" w:hAnsi="Arial"/>
                <w:sz w:val="20"/>
                <w:szCs w:val="20"/>
                <w:color w:val="auto"/>
              </w:rPr>
              <w:t>Inventories, net</w:t>
            </w:r>
          </w:p>
        </w:tc>
        <w:tc>
          <w:tcPr>
            <w:tcW w:w="1620" w:type="dxa"/>
            <w:vAlign w:val="bottom"/>
          </w:tcPr>
          <w:p>
            <w:pPr>
              <w:jc w:val="right"/>
              <w:ind w:right="1401"/>
              <w:spacing w:after="0"/>
              <w:rPr>
                <w:sz w:val="20"/>
                <w:szCs w:val="20"/>
                <w:color w:val="auto"/>
              </w:rPr>
            </w:pPr>
            <w:r>
              <w:rPr>
                <w:rFonts w:ascii="Arial" w:cs="Arial" w:eastAsia="Arial" w:hAnsi="Arial"/>
                <w:sz w:val="20"/>
                <w:szCs w:val="20"/>
                <w:color w:val="auto"/>
                <w:w w:val="89"/>
              </w:rPr>
              <w:t>$</w:t>
            </w:r>
          </w:p>
        </w:tc>
        <w:tc>
          <w:tcPr>
            <w:tcW w:w="22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560" w:type="dxa"/>
            <w:vAlign w:val="bottom"/>
            <w:gridSpan w:val="2"/>
          </w:tcPr>
          <w:p>
            <w:pPr>
              <w:jc w:val="right"/>
              <w:ind w:right="1081"/>
              <w:spacing w:after="0"/>
              <w:rPr>
                <w:sz w:val="20"/>
                <w:szCs w:val="20"/>
                <w:color w:val="auto"/>
              </w:rPr>
            </w:pPr>
            <w:r>
              <w:rPr>
                <w:rFonts w:ascii="Arial" w:cs="Arial" w:eastAsia="Arial" w:hAnsi="Arial"/>
                <w:sz w:val="20"/>
                <w:szCs w:val="20"/>
                <w:color w:val="auto"/>
              </w:rPr>
              <w: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98</w:t>
            </w:r>
          </w:p>
        </w:tc>
        <w:tc>
          <w:tcPr>
            <w:tcW w:w="560" w:type="dxa"/>
            <w:vAlign w:val="bottom"/>
            <w:gridSpan w:val="3"/>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98</w:t>
            </w:r>
          </w:p>
        </w:tc>
        <w:tc>
          <w:tcPr>
            <w:tcW w:w="100" w:type="dxa"/>
            <w:vAlign w:val="bottom"/>
          </w:tcPr>
          <w:p>
            <w:pPr>
              <w:spacing w:after="0"/>
              <w:rPr>
                <w:sz w:val="20"/>
                <w:szCs w:val="20"/>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Investment land</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8</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Property, plant and equipment</w:t>
            </w:r>
          </w:p>
        </w:tc>
        <w:tc>
          <w:tcPr>
            <w:tcW w:w="162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Arial" w:cs="Arial" w:eastAsia="Arial" w:hAnsi="Arial"/>
                <w:sz w:val="20"/>
                <w:szCs w:val="20"/>
                <w:color w:val="auto"/>
              </w:rPr>
              <w:t>486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486</w:t>
            </w: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Goodwill</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89"/>
              </w:rPr>
              <w: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374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374</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Intangible assets, excluding goodwill</w:t>
            </w:r>
          </w:p>
        </w:tc>
        <w:tc>
          <w:tcPr>
            <w:tcW w:w="162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20"/>
                <w:szCs w:val="20"/>
                <w:color w:val="auto"/>
                <w:w w:val="89"/>
              </w:rPr>
              <w: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Arial" w:cs="Arial" w:eastAsia="Arial" w:hAnsi="Arial"/>
                <w:sz w:val="20"/>
                <w:szCs w:val="20"/>
                <w:color w:val="auto"/>
              </w:rPr>
              <w:t>249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line="216" w:lineRule="exact"/>
              <w:rPr>
                <w:sz w:val="20"/>
                <w:szCs w:val="20"/>
                <w:color w:val="auto"/>
              </w:rPr>
            </w:pPr>
            <w:r>
              <w:rPr>
                <w:rFonts w:ascii="Arial" w:cs="Arial" w:eastAsia="Arial" w:hAnsi="Arial"/>
                <w:sz w:val="20"/>
                <w:szCs w:val="20"/>
                <w:color w:val="auto"/>
              </w:rPr>
              <w:t>249</w:t>
            </w: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Operating lease right-of-use assets</w:t>
            </w: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89"/>
              </w:rPr>
              <w: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Other assets</w:t>
            </w:r>
          </w:p>
        </w:tc>
        <w:tc>
          <w:tcPr>
            <w:tcW w:w="1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w w:val="89"/>
              </w:rPr>
              <w:t>—</w:t>
            </w:r>
          </w:p>
        </w:tc>
        <w:tc>
          <w:tcPr>
            <w:tcW w:w="2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w:t>
            </w:r>
          </w:p>
        </w:tc>
        <w:tc>
          <w:tcPr>
            <w:tcW w:w="100" w:type="dxa"/>
            <w:vAlign w:val="bottom"/>
          </w:tcPr>
          <w:p>
            <w:pPr>
              <w:spacing w:after="0"/>
              <w:rPr>
                <w:sz w:val="18"/>
                <w:szCs w:val="18"/>
                <w:color w:val="auto"/>
              </w:rPr>
            </w:pPr>
          </w:p>
        </w:tc>
      </w:tr>
      <w:tr>
        <w:trPr>
          <w:trHeight w:val="249"/>
        </w:trPr>
        <w:tc>
          <w:tcPr>
            <w:tcW w:w="394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Total current assets held for sale</w:t>
            </w:r>
          </w:p>
        </w:tc>
        <w:tc>
          <w:tcPr>
            <w:tcW w:w="1620" w:type="dxa"/>
            <w:vAlign w:val="bottom"/>
            <w:shd w:val="clear" w:color="auto" w:fill="CFF0FC"/>
          </w:tcPr>
          <w:p>
            <w:pPr>
              <w:jc w:val="right"/>
              <w:ind w:right="1401"/>
              <w:spacing w:after="0" w:line="196"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8</w:t>
            </w:r>
          </w:p>
        </w:tc>
        <w:tc>
          <w:tcPr>
            <w:tcW w:w="1560" w:type="dxa"/>
            <w:vAlign w:val="bottom"/>
            <w:gridSpan w:val="2"/>
            <w:shd w:val="clear" w:color="auto" w:fill="CFF0FC"/>
          </w:tcPr>
          <w:p>
            <w:pPr>
              <w:jc w:val="right"/>
              <w:ind w:right="1081"/>
              <w:spacing w:after="0" w:line="196" w:lineRule="exact"/>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11</w:t>
            </w:r>
          </w:p>
        </w:tc>
        <w:tc>
          <w:tcPr>
            <w:tcW w:w="46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20"/>
                <w:szCs w:val="20"/>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1,219</w:t>
            </w:r>
          </w:p>
        </w:tc>
        <w:tc>
          <w:tcPr>
            <w:tcW w:w="560" w:type="dxa"/>
            <w:vAlign w:val="bottom"/>
            <w:gridSpan w:val="3"/>
            <w:shd w:val="clear" w:color="auto" w:fill="CFF0FC"/>
          </w:tcPr>
          <w:p>
            <w:pPr>
              <w:jc w:val="right"/>
              <w:ind w:right="160"/>
              <w:spacing w:after="0" w:line="196" w:lineRule="exact"/>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1,230</w:t>
            </w:r>
          </w:p>
        </w:tc>
        <w:tc>
          <w:tcPr>
            <w:tcW w:w="100" w:type="dxa"/>
            <w:vAlign w:val="bottom"/>
            <w:shd w:val="clear" w:color="auto" w:fill="CFF0FC"/>
          </w:tcPr>
          <w:p>
            <w:pPr>
              <w:spacing w:after="0"/>
              <w:rPr>
                <w:sz w:val="21"/>
                <w:szCs w:val="21"/>
                <w:color w:val="auto"/>
              </w:rPr>
            </w:pPr>
          </w:p>
        </w:tc>
      </w:tr>
      <w:tr>
        <w:trPr>
          <w:trHeight w:val="197"/>
        </w:trPr>
        <w:tc>
          <w:tcPr>
            <w:tcW w:w="3940" w:type="dxa"/>
            <w:vAlign w:val="bottom"/>
            <w:tcBorders>
              <w:top w:val="single" w:sz="8" w:color="CFF0FC"/>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9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Lease obligations</w:t>
            </w:r>
          </w:p>
        </w:tc>
        <w:tc>
          <w:tcPr>
            <w:tcW w:w="1620" w:type="dxa"/>
            <w:vAlign w:val="bottom"/>
            <w:shd w:val="clear" w:color="auto" w:fill="CFF0FC"/>
          </w:tcPr>
          <w:p>
            <w:pPr>
              <w:jc w:val="right"/>
              <w:ind w:right="1401"/>
              <w:spacing w:after="0" w:line="216"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w w:val="89"/>
              </w:rPr>
              <w:t>—</w:t>
            </w:r>
          </w:p>
        </w:tc>
        <w:tc>
          <w:tcPr>
            <w:tcW w:w="1560" w:type="dxa"/>
            <w:vAlign w:val="bottom"/>
            <w:gridSpan w:val="2"/>
            <w:shd w:val="clear" w:color="auto" w:fill="CFF0FC"/>
          </w:tcPr>
          <w:p>
            <w:pPr>
              <w:jc w:val="right"/>
              <w:ind w:right="1081"/>
              <w:spacing w:after="0" w:line="216" w:lineRule="exact"/>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460" w:type="dxa"/>
            <w:vAlign w:val="bottom"/>
            <w:gridSpan w:val="3"/>
            <w:shd w:val="clear" w:color="auto" w:fill="CFF0FC"/>
          </w:tcPr>
          <w:p>
            <w:pPr>
              <w:jc w:val="right"/>
              <w:ind w:right="60"/>
              <w:spacing w:after="0" w:line="216" w:lineRule="exact"/>
              <w:rPr>
                <w:sz w:val="20"/>
                <w:szCs w:val="20"/>
                <w:color w:val="auto"/>
              </w:rPr>
            </w:pPr>
            <w:r>
              <w:rPr>
                <w:rFonts w:ascii="Arial" w:cs="Arial" w:eastAsia="Arial" w:hAnsi="Arial"/>
                <w:sz w:val="20"/>
                <w:szCs w:val="20"/>
                <w:color w:val="auto"/>
              </w:rPr>
              <w:t>$</w:t>
            </w:r>
          </w:p>
        </w:tc>
        <w:tc>
          <w:tcPr>
            <w:tcW w:w="15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22</w:t>
            </w:r>
          </w:p>
        </w:tc>
        <w:tc>
          <w:tcPr>
            <w:tcW w:w="560" w:type="dxa"/>
            <w:vAlign w:val="bottom"/>
            <w:gridSpan w:val="3"/>
            <w:shd w:val="clear" w:color="auto" w:fill="CFF0FC"/>
          </w:tcPr>
          <w:p>
            <w:pPr>
              <w:jc w:val="right"/>
              <w:ind w:right="160"/>
              <w:spacing w:after="0" w:line="216" w:lineRule="exact"/>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22</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line="216" w:lineRule="exact"/>
              <w:rPr>
                <w:sz w:val="20"/>
                <w:szCs w:val="20"/>
                <w:color w:val="auto"/>
              </w:rPr>
            </w:pPr>
            <w:r>
              <w:rPr>
                <w:rFonts w:ascii="Arial" w:cs="Arial" w:eastAsia="Arial" w:hAnsi="Arial"/>
                <w:sz w:val="20"/>
                <w:szCs w:val="20"/>
                <w:color w:val="auto"/>
              </w:rPr>
              <w:t>Other liabilities</w:t>
            </w:r>
          </w:p>
        </w:tc>
        <w:tc>
          <w:tcPr>
            <w:tcW w:w="1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w w:val="89"/>
              </w:rPr>
              <w:t>—</w:t>
            </w:r>
          </w:p>
        </w:tc>
        <w:tc>
          <w:tcPr>
            <w:tcW w:w="2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12</w:t>
            </w:r>
          </w:p>
        </w:tc>
        <w:tc>
          <w:tcPr>
            <w:tcW w:w="100" w:type="dxa"/>
            <w:vAlign w:val="bottom"/>
          </w:tcPr>
          <w:p>
            <w:pPr>
              <w:spacing w:after="0"/>
              <w:rPr>
                <w:sz w:val="18"/>
                <w:szCs w:val="18"/>
                <w:color w:val="auto"/>
              </w:rPr>
            </w:pPr>
          </w:p>
        </w:tc>
      </w:tr>
      <w:tr>
        <w:trPr>
          <w:trHeight w:val="229"/>
        </w:trPr>
        <w:tc>
          <w:tcPr>
            <w:tcW w:w="394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Total current liabilities held for sale</w:t>
            </w:r>
          </w:p>
        </w:tc>
        <w:tc>
          <w:tcPr>
            <w:tcW w:w="1620" w:type="dxa"/>
            <w:vAlign w:val="bottom"/>
            <w:shd w:val="clear" w:color="auto" w:fill="CFF0FC"/>
          </w:tcPr>
          <w:p>
            <w:pPr>
              <w:jc w:val="right"/>
              <w:ind w:right="1401"/>
              <w:spacing w:after="0" w:line="196" w:lineRule="exact"/>
              <w:rPr>
                <w:sz w:val="20"/>
                <w:szCs w:val="20"/>
                <w:color w:val="auto"/>
              </w:rPr>
            </w:pPr>
            <w:r>
              <w:rPr>
                <w:rFonts w:ascii="Arial" w:cs="Arial" w:eastAsia="Arial" w:hAnsi="Arial"/>
                <w:sz w:val="20"/>
                <w:szCs w:val="20"/>
                <w:color w:val="auto"/>
                <w:w w:val="89"/>
              </w:rPr>
              <w:t>$</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w w:val="89"/>
              </w:rPr>
              <w:t>—</w:t>
            </w:r>
          </w:p>
        </w:tc>
        <w:tc>
          <w:tcPr>
            <w:tcW w:w="1560" w:type="dxa"/>
            <w:vAlign w:val="bottom"/>
            <w:gridSpan w:val="2"/>
            <w:shd w:val="clear" w:color="auto" w:fill="CFF0FC"/>
          </w:tcPr>
          <w:p>
            <w:pPr>
              <w:jc w:val="right"/>
              <w:ind w:right="1081"/>
              <w:spacing w:after="0" w:line="196" w:lineRule="exact"/>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w:t>
            </w:r>
          </w:p>
        </w:tc>
        <w:tc>
          <w:tcPr>
            <w:tcW w:w="460" w:type="dxa"/>
            <w:vAlign w:val="bottom"/>
            <w:gridSpan w:val="3"/>
            <w:shd w:val="clear" w:color="auto" w:fill="CFF0FC"/>
          </w:tcPr>
          <w:p>
            <w:pPr>
              <w:jc w:val="right"/>
              <w:ind w:right="60"/>
              <w:spacing w:after="0" w:line="196" w:lineRule="exact"/>
              <w:rPr>
                <w:sz w:val="20"/>
                <w:szCs w:val="20"/>
                <w:color w:val="auto"/>
              </w:rPr>
            </w:pPr>
            <w:r>
              <w:rPr>
                <w:rFonts w:ascii="Arial" w:cs="Arial" w:eastAsia="Arial" w:hAnsi="Arial"/>
                <w:sz w:val="20"/>
                <w:szCs w:val="20"/>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34</w:t>
            </w:r>
          </w:p>
        </w:tc>
        <w:tc>
          <w:tcPr>
            <w:tcW w:w="560" w:type="dxa"/>
            <w:vAlign w:val="bottom"/>
            <w:gridSpan w:val="3"/>
            <w:shd w:val="clear" w:color="auto" w:fill="CFF0FC"/>
          </w:tcPr>
          <w:p>
            <w:pPr>
              <w:jc w:val="right"/>
              <w:ind w:right="160"/>
              <w:spacing w:after="0" w:line="196" w:lineRule="exact"/>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34</w:t>
            </w:r>
          </w:p>
        </w:tc>
        <w:tc>
          <w:tcPr>
            <w:tcW w:w="100" w:type="dxa"/>
            <w:vAlign w:val="bottom"/>
            <w:shd w:val="clear" w:color="auto" w:fill="CFF0FC"/>
          </w:tcPr>
          <w:p>
            <w:pPr>
              <w:spacing w:after="0"/>
              <w:rPr>
                <w:sz w:val="19"/>
                <w:szCs w:val="19"/>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-608330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-591185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-608330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-591185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-608330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-591185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-25400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0" w:lineRule="exact"/>
        <w:rPr>
          <w:sz w:val="20"/>
          <w:szCs w:val="20"/>
          <w:color w:val="auto"/>
        </w:rPr>
      </w:pPr>
    </w:p>
    <w:p>
      <w:pPr>
        <w:ind w:left="380" w:hanging="372"/>
        <w:spacing w:after="0"/>
        <w:tabs>
          <w:tab w:leader="none" w:pos="380" w:val="left"/>
        </w:tabs>
        <w:numPr>
          <w:ilvl w:val="0"/>
          <w:numId w:val="5"/>
        </w:numPr>
        <w:rPr>
          <w:rFonts w:ascii="Calibri" w:cs="Calibri" w:eastAsia="Calibri" w:hAnsi="Calibri"/>
          <w:sz w:val="20"/>
          <w:szCs w:val="20"/>
          <w:b w:val="1"/>
          <w:bCs w:val="1"/>
          <w:color w:val="auto"/>
        </w:rPr>
      </w:pPr>
      <w:r>
        <w:rPr>
          <w:rFonts w:ascii="Arial" w:cs="Arial" w:eastAsia="Arial" w:hAnsi="Arial"/>
          <w:sz w:val="20"/>
          <w:szCs w:val="20"/>
          <w:b w:val="1"/>
          <w:bCs w:val="1"/>
          <w:color w:val="auto"/>
        </w:rPr>
        <w:t>Goodwill and Other Intangible Assets</w:t>
      </w:r>
    </w:p>
    <w:p>
      <w:pPr>
        <w:spacing w:after="0" w:line="122"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color w:val="auto"/>
        </w:rPr>
        <w:t>The following table shows the changes in goodwill by reportable segment and in total: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20"/>
                <w:szCs w:val="20"/>
                <w:color w:val="auto"/>
              </w:rPr>
              <w:t>East</w:t>
            </w:r>
          </w:p>
        </w:tc>
        <w:tc>
          <w:tcPr>
            <w:tcW w:w="240" w:type="dxa"/>
            <w:vAlign w:val="bottom"/>
          </w:tcPr>
          <w:p>
            <w:pPr>
              <w:spacing w:after="0"/>
              <w:rPr>
                <w:sz w:val="19"/>
                <w:szCs w:val="19"/>
                <w:color w:val="auto"/>
              </w:rPr>
            </w:pPr>
          </w:p>
        </w:tc>
        <w:tc>
          <w:tcPr>
            <w:tcW w:w="1300" w:type="dxa"/>
            <w:vAlign w:val="bottom"/>
            <w:gridSpan w:val="2"/>
          </w:tcPr>
          <w:p>
            <w:pPr>
              <w:jc w:val="right"/>
              <w:ind w:right="581"/>
              <w:spacing w:after="0"/>
              <w:rPr>
                <w:sz w:val="20"/>
                <w:szCs w:val="20"/>
                <w:color w:val="auto"/>
              </w:rPr>
            </w:pPr>
            <w:r>
              <w:rPr>
                <w:rFonts w:ascii="Arial" w:cs="Arial" w:eastAsia="Arial" w:hAnsi="Arial"/>
                <w:sz w:val="20"/>
                <w:szCs w:val="20"/>
                <w:color w:val="auto"/>
              </w:rPr>
              <w:t>West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20"/>
                <w:szCs w:val="20"/>
                <w:color w:val="auto"/>
              </w:rPr>
              <w:t>Group</w:t>
            </w:r>
          </w:p>
        </w:tc>
        <w:tc>
          <w:tcPr>
            <w:tcW w:w="240" w:type="dxa"/>
            <w:vAlign w:val="bottom"/>
          </w:tcPr>
          <w:p>
            <w:pPr>
              <w:spacing w:after="0"/>
              <w:rPr>
                <w:sz w:val="20"/>
                <w:szCs w:val="20"/>
                <w:color w:val="auto"/>
              </w:rPr>
            </w:pPr>
          </w:p>
        </w:tc>
        <w:tc>
          <w:tcPr>
            <w:tcW w:w="1300" w:type="dxa"/>
            <w:vAlign w:val="bottom"/>
            <w:gridSpan w:val="2"/>
          </w:tcPr>
          <w:p>
            <w:pPr>
              <w:jc w:val="right"/>
              <w:ind w:right="521"/>
              <w:spacing w:after="0"/>
              <w:rPr>
                <w:sz w:val="20"/>
                <w:szCs w:val="20"/>
                <w:color w:val="auto"/>
              </w:rPr>
            </w:pPr>
            <w:r>
              <w:rPr>
                <w:rFonts w:ascii="Arial" w:cs="Arial" w:eastAsia="Arial" w:hAnsi="Arial"/>
                <w:sz w:val="20"/>
                <w:szCs w:val="20"/>
                <w:color w:val="auto"/>
              </w:rPr>
              <w:t>Group</w:t>
            </w:r>
          </w:p>
        </w:tc>
        <w:tc>
          <w:tcPr>
            <w:tcW w:w="14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w w:val="99"/>
              </w:rPr>
              <w:t>Specialties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20"/>
                <w:szCs w:val="20"/>
                <w:color w:val="auto"/>
              </w:rPr>
              <w:t>Total</w:t>
            </w:r>
          </w:p>
        </w:tc>
      </w:tr>
      <w:tr>
        <w:trPr>
          <w:trHeight w:val="210"/>
        </w:trPr>
        <w:tc>
          <w:tcPr>
            <w:tcW w:w="5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24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in</w:t>
            </w:r>
          </w:p>
        </w:tc>
        <w:tc>
          <w:tcPr>
            <w:tcW w:w="1300" w:type="dxa"/>
            <w:vAlign w:val="bottom"/>
            <w:tcBorders>
              <w:top w:val="single" w:sz="8" w:color="auto"/>
            </w:tcBorders>
            <w:gridSpan w:val="2"/>
          </w:tcPr>
          <w:p>
            <w:pPr>
              <w:ind w:left="20"/>
              <w:spacing w:after="0" w:line="209" w:lineRule="exact"/>
              <w:rPr>
                <w:sz w:val="20"/>
                <w:szCs w:val="20"/>
                <w:color w:val="auto"/>
              </w:rPr>
            </w:pPr>
            <w:r>
              <w:rPr>
                <w:rFonts w:ascii="Arial" w:cs="Arial" w:eastAsia="Arial" w:hAnsi="Arial"/>
                <w:sz w:val="20"/>
                <w:szCs w:val="20"/>
                <w:i w:val="1"/>
                <w:iCs w:val="1"/>
                <w:color w:val="auto"/>
              </w:rPr>
              <w:t>Millions)</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Balance at January 1, 2026</w:t>
            </w:r>
          </w:p>
        </w:tc>
        <w:tc>
          <w:tcPr>
            <w:tcW w:w="24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1,733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w w:val="71"/>
              </w:rPr>
              <w:t>$</w:t>
            </w:r>
          </w:p>
        </w:tc>
        <w:tc>
          <w:tcPr>
            <w:tcW w:w="10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1,672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209</w:t>
            </w:r>
          </w:p>
        </w:tc>
        <w:tc>
          <w:tcPr>
            <w:tcW w:w="52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3,614</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line="216" w:lineRule="exact"/>
              <w:rPr>
                <w:sz w:val="20"/>
                <w:szCs w:val="20"/>
                <w:color w:val="auto"/>
              </w:rPr>
            </w:pPr>
            <w:r>
              <w:rPr>
                <w:rFonts w:ascii="Arial" w:cs="Arial" w:eastAsia="Arial" w:hAnsi="Arial"/>
                <w:sz w:val="20"/>
                <w:szCs w:val="20"/>
                <w:color w:val="auto"/>
              </w:rPr>
              <w:t>Acquisitions</w:t>
            </w:r>
          </w:p>
        </w:tc>
        <w:tc>
          <w:tcPr>
            <w:tcW w:w="24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199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220</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Divestitures</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line="216" w:lineRule="exact"/>
              <w:rPr>
                <w:sz w:val="20"/>
                <w:szCs w:val="20"/>
                <w:color w:val="auto"/>
              </w:rPr>
            </w:pPr>
            <w:r>
              <w:rPr>
                <w:rFonts w:ascii="Arial" w:cs="Arial" w:eastAsia="Arial" w:hAnsi="Arial"/>
                <w:sz w:val="20"/>
                <w:szCs w:val="20"/>
                <w:color w:val="auto"/>
              </w:rPr>
              <w:t>(10)</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1"/>
              <w:spacing w:after="0" w:line="216" w:lineRule="exact"/>
              <w:rPr>
                <w:sz w:val="20"/>
                <w:szCs w:val="20"/>
                <w:color w:val="auto"/>
              </w:rPr>
            </w:pPr>
            <w:r>
              <w:rPr>
                <w:rFonts w:ascii="Arial" w:cs="Arial" w:eastAsia="Arial" w:hAnsi="Arial"/>
                <w:sz w:val="20"/>
                <w:szCs w:val="20"/>
                <w:color w:val="auto"/>
              </w:rPr>
              <w:t>—</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(10)</w:t>
            </w:r>
          </w:p>
        </w:tc>
      </w:tr>
      <w:tr>
        <w:trPr>
          <w:trHeight w:val="216"/>
        </w:trPr>
        <w:tc>
          <w:tcPr>
            <w:tcW w:w="5140" w:type="dxa"/>
            <w:vAlign w:val="bottom"/>
          </w:tcPr>
          <w:p>
            <w:pPr>
              <w:spacing w:after="0" w:line="216" w:lineRule="exact"/>
              <w:rPr>
                <w:sz w:val="20"/>
                <w:szCs w:val="20"/>
                <w:color w:val="auto"/>
              </w:rPr>
            </w:pPr>
            <w:r>
              <w:rPr>
                <w:rFonts w:ascii="Arial" w:cs="Arial" w:eastAsia="Arial" w:hAnsi="Arial"/>
                <w:sz w:val="20"/>
                <w:szCs w:val="20"/>
                <w:color w:val="auto"/>
              </w:rPr>
              <w:t>Adjustments to purchase price allocations</w:t>
            </w:r>
          </w:p>
        </w:tc>
        <w:tc>
          <w:tcPr>
            <w:tcW w:w="240" w:type="dxa"/>
            <w:vAlign w:val="bottom"/>
          </w:tcPr>
          <w:p>
            <w:pPr>
              <w:spacing w:after="0"/>
              <w:rPr>
                <w:sz w:val="18"/>
                <w:szCs w:val="18"/>
                <w:color w:val="auto"/>
              </w:rPr>
            </w:pPr>
          </w:p>
        </w:tc>
        <w:tc>
          <w:tcPr>
            <w:tcW w:w="1300" w:type="dxa"/>
            <w:vAlign w:val="bottom"/>
            <w:gridSpan w:val="2"/>
          </w:tcPr>
          <w:p>
            <w:pPr>
              <w:jc w:val="right"/>
              <w:ind w:right="260"/>
              <w:spacing w:after="0" w:line="216"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8"/>
                <w:szCs w:val="18"/>
                <w:color w:val="auto"/>
              </w:rPr>
            </w:pPr>
          </w:p>
        </w:tc>
        <w:tc>
          <w:tcPr>
            <w:tcW w:w="1060" w:type="dxa"/>
            <w:vAlign w:val="bottom"/>
          </w:tcPr>
          <w:p>
            <w:pPr>
              <w:jc w:val="right"/>
              <w:spacing w:after="0" w:line="216" w:lineRule="exact"/>
              <w:rPr>
                <w:sz w:val="20"/>
                <w:szCs w:val="20"/>
                <w:color w:val="auto"/>
              </w:rPr>
            </w:pPr>
            <w:r>
              <w:rPr>
                <w:rFonts w:ascii="Arial" w:cs="Arial" w:eastAsia="Arial" w:hAnsi="Arial"/>
                <w:sz w:val="20"/>
                <w:szCs w:val="20"/>
                <w:color w:val="auto"/>
              </w:rPr>
              <w:t>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line="216" w:lineRule="exact"/>
              <w:rPr>
                <w:sz w:val="20"/>
                <w:szCs w:val="20"/>
                <w:color w:val="auto"/>
              </w:rPr>
            </w:pPr>
            <w:r>
              <w:rPr>
                <w:rFonts w:ascii="Arial" w:cs="Arial" w:eastAsia="Arial" w:hAnsi="Arial"/>
                <w:sz w:val="20"/>
                <w:szCs w:val="20"/>
                <w:color w:val="auto"/>
              </w:rPr>
              <w:t>5</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Foreign currency translation</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(1)</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(1)</w:t>
            </w:r>
          </w:p>
        </w:tc>
      </w:tr>
      <w:tr>
        <w:trPr>
          <w:trHeight w:val="20"/>
        </w:trPr>
        <w:tc>
          <w:tcPr>
            <w:tcW w:w="5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40" w:type="dxa"/>
            <w:vAlign w:val="bottom"/>
          </w:tcPr>
          <w:p>
            <w:pPr>
              <w:spacing w:after="0" w:line="209" w:lineRule="exact"/>
              <w:rPr>
                <w:sz w:val="20"/>
                <w:szCs w:val="20"/>
                <w:color w:val="auto"/>
              </w:rPr>
            </w:pPr>
            <w:r>
              <w:rPr>
                <w:rFonts w:ascii="Arial" w:cs="Arial" w:eastAsia="Arial" w:hAnsi="Arial"/>
                <w:sz w:val="20"/>
                <w:szCs w:val="20"/>
                <w:color w:val="auto"/>
              </w:rPr>
              <w:t>Balance at March 31, 2026</w:t>
            </w:r>
          </w:p>
        </w:tc>
        <w:tc>
          <w:tcPr>
            <w:tcW w:w="240" w:type="dxa"/>
            <w:vAlign w:val="bottom"/>
          </w:tcPr>
          <w:p>
            <w:pPr>
              <w:jc w:val="right"/>
              <w:ind w:right="41"/>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1,744</w:t>
            </w:r>
          </w:p>
        </w:tc>
        <w:tc>
          <w:tcPr>
            <w:tcW w:w="240" w:type="dxa"/>
            <w:vAlign w:val="bottom"/>
          </w:tcPr>
          <w:p>
            <w:pPr>
              <w:spacing w:after="0"/>
              <w:rPr>
                <w:sz w:val="18"/>
                <w:szCs w:val="18"/>
                <w:color w:val="auto"/>
              </w:rPr>
            </w:pPr>
          </w:p>
        </w:tc>
        <w:tc>
          <w:tcPr>
            <w:tcW w:w="240" w:type="dxa"/>
            <w:vAlign w:val="bottom"/>
          </w:tcPr>
          <w:p>
            <w:pPr>
              <w:jc w:val="right"/>
              <w:ind w:right="41"/>
              <w:spacing w:after="0" w:line="209" w:lineRule="exact"/>
              <w:rPr>
                <w:sz w:val="20"/>
                <w:szCs w:val="20"/>
                <w:color w:val="auto"/>
              </w:rPr>
            </w:pPr>
            <w:r>
              <w:rPr>
                <w:rFonts w:ascii="Arial" w:cs="Arial" w:eastAsia="Arial" w:hAnsi="Arial"/>
                <w:sz w:val="20"/>
                <w:szCs w:val="20"/>
                <w:color w:val="auto"/>
                <w:w w:val="71"/>
              </w:rPr>
              <w:t>$</w:t>
            </w:r>
          </w:p>
        </w:tc>
        <w:tc>
          <w:tcPr>
            <w:tcW w:w="1060" w:type="dxa"/>
            <w:vAlign w:val="bottom"/>
          </w:tcPr>
          <w:p>
            <w:pPr>
              <w:jc w:val="right"/>
              <w:spacing w:after="0" w:line="209" w:lineRule="exact"/>
              <w:rPr>
                <w:sz w:val="20"/>
                <w:szCs w:val="20"/>
                <w:color w:val="auto"/>
              </w:rPr>
            </w:pPr>
            <w:r>
              <w:rPr>
                <w:rFonts w:ascii="Arial" w:cs="Arial" w:eastAsia="Arial" w:hAnsi="Arial"/>
                <w:sz w:val="20"/>
                <w:szCs w:val="20"/>
                <w:color w:val="auto"/>
              </w:rPr>
              <w:t>1,875</w:t>
            </w:r>
          </w:p>
        </w:tc>
        <w:tc>
          <w:tcPr>
            <w:tcW w:w="240" w:type="dxa"/>
            <w:vAlign w:val="bottom"/>
          </w:tcPr>
          <w:p>
            <w:pPr>
              <w:spacing w:after="0"/>
              <w:rPr>
                <w:sz w:val="18"/>
                <w:szCs w:val="18"/>
                <w:color w:val="auto"/>
              </w:rPr>
            </w:pPr>
          </w:p>
        </w:tc>
        <w:tc>
          <w:tcPr>
            <w:tcW w:w="140" w:type="dxa"/>
            <w:vAlign w:val="bottom"/>
          </w:tcPr>
          <w:p>
            <w:pPr>
              <w:spacing w:after="0" w:line="209"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09" w:lineRule="exact"/>
              <w:rPr>
                <w:sz w:val="20"/>
                <w:szCs w:val="20"/>
                <w:color w:val="auto"/>
              </w:rPr>
            </w:pPr>
            <w:r>
              <w:rPr>
                <w:rFonts w:ascii="Arial" w:cs="Arial" w:eastAsia="Arial" w:hAnsi="Arial"/>
                <w:sz w:val="20"/>
                <w:szCs w:val="20"/>
                <w:color w:val="auto"/>
              </w:rPr>
              <w:t>209</w:t>
            </w:r>
          </w:p>
        </w:tc>
        <w:tc>
          <w:tcPr>
            <w:tcW w:w="520" w:type="dxa"/>
            <w:vAlign w:val="bottom"/>
            <w:gridSpan w:val="2"/>
          </w:tcPr>
          <w:p>
            <w:pPr>
              <w:jc w:val="right"/>
              <w:ind w:right="180"/>
              <w:spacing w:after="0" w:line="209" w:lineRule="exact"/>
              <w:rPr>
                <w:sz w:val="20"/>
                <w:szCs w:val="20"/>
                <w:color w:val="auto"/>
              </w:rPr>
            </w:pPr>
            <w:r>
              <w:rPr>
                <w:rFonts w:ascii="Arial" w:cs="Arial" w:eastAsia="Arial" w:hAnsi="Arial"/>
                <w:sz w:val="20"/>
                <w:szCs w:val="20"/>
                <w:color w:val="auto"/>
              </w:rPr>
              <w:t>$</w:t>
            </w:r>
          </w:p>
        </w:tc>
        <w:tc>
          <w:tcPr>
            <w:tcW w:w="1100" w:type="dxa"/>
            <w:vAlign w:val="bottom"/>
          </w:tcPr>
          <w:p>
            <w:pPr>
              <w:jc w:val="right"/>
              <w:spacing w:after="0" w:line="209" w:lineRule="exact"/>
              <w:rPr>
                <w:sz w:val="20"/>
                <w:szCs w:val="20"/>
                <w:color w:val="auto"/>
              </w:rPr>
            </w:pPr>
            <w:r>
              <w:rPr>
                <w:rFonts w:ascii="Arial" w:cs="Arial" w:eastAsia="Arial" w:hAnsi="Arial"/>
                <w:sz w:val="20"/>
                <w:szCs w:val="20"/>
                <w:color w:val="auto"/>
              </w:rPr>
              <w:t>3,828</w:t>
            </w:r>
          </w:p>
        </w:tc>
        <w:tc>
          <w:tcPr>
            <w:tcW w:w="10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All intangible assets acquired during 2026 were from business combinations and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jc w:val="center"/>
              <w:ind w:left="41"/>
              <w:spacing w:after="0"/>
              <w:rPr>
                <w:sz w:val="20"/>
                <w:szCs w:val="20"/>
                <w:color w:val="auto"/>
              </w:rPr>
            </w:pPr>
            <w:r>
              <w:rPr>
                <w:rFonts w:ascii="Arial" w:cs="Arial" w:eastAsia="Arial" w:hAnsi="Arial"/>
                <w:sz w:val="20"/>
                <w:szCs w:val="20"/>
                <w:color w:val="auto"/>
                <w:w w:val="97"/>
              </w:rPr>
              <w:t>Weighted-average</w:t>
            </w:r>
          </w:p>
        </w:tc>
      </w:tr>
      <w:tr>
        <w:trPr>
          <w:trHeight w:val="238"/>
        </w:trPr>
        <w:tc>
          <w:tcPr>
            <w:tcW w:w="6600" w:type="dxa"/>
            <w:vAlign w:val="bottom"/>
          </w:tcPr>
          <w:p>
            <w:pPr>
              <w:spacing w:after="0"/>
              <w:rPr>
                <w:sz w:val="20"/>
                <w:szCs w:val="20"/>
                <w:color w:val="auto"/>
              </w:rPr>
            </w:pPr>
            <w:r>
              <w:rPr>
                <w:rFonts w:ascii="Arial" w:cs="Arial" w:eastAsia="Arial" w:hAnsi="Arial"/>
                <w:sz w:val="20"/>
                <w:szCs w:val="20"/>
                <w:i w:val="1"/>
                <w:iCs w:val="1"/>
                <w:color w:val="auto"/>
              </w:rPr>
              <w:t>(Dollars in Millions)</w:t>
            </w: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color w:val="auto"/>
              </w:rPr>
              <w:t>Amount</w:t>
            </w:r>
          </w:p>
        </w:tc>
        <w:tc>
          <w:tcPr>
            <w:tcW w:w="120" w:type="dxa"/>
            <w:vAlign w:val="bottom"/>
          </w:tcPr>
          <w:p>
            <w:pPr>
              <w:spacing w:after="0"/>
              <w:rPr>
                <w:sz w:val="20"/>
                <w:szCs w:val="20"/>
                <w:color w:val="auto"/>
              </w:rPr>
            </w:pPr>
          </w:p>
        </w:tc>
        <w:tc>
          <w:tcPr>
            <w:tcW w:w="226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8"/>
              </w:rPr>
              <w:t>amortization period</w:t>
            </w:r>
          </w:p>
        </w:tc>
      </w:tr>
      <w:tr>
        <w:trPr>
          <w:trHeight w:val="210"/>
        </w:trPr>
        <w:tc>
          <w:tcPr>
            <w:tcW w:w="66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Subject to amortization:</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r>
      <w:tr>
        <w:trPr>
          <w:trHeight w:val="194"/>
        </w:trPr>
        <w:tc>
          <w:tcPr>
            <w:tcW w:w="6600" w:type="dxa"/>
            <w:vAlign w:val="bottom"/>
          </w:tcPr>
          <w:p>
            <w:pPr>
              <w:ind w:left="120"/>
              <w:spacing w:after="0" w:line="194" w:lineRule="exact"/>
              <w:rPr>
                <w:sz w:val="20"/>
                <w:szCs w:val="20"/>
                <w:color w:val="auto"/>
              </w:rPr>
            </w:pPr>
            <w:r>
              <w:rPr>
                <w:rFonts w:ascii="Arial" w:cs="Arial" w:eastAsia="Arial" w:hAnsi="Arial"/>
                <w:sz w:val="20"/>
                <w:szCs w:val="20"/>
                <w:color w:val="auto"/>
              </w:rPr>
              <w:t>Customer relationships</w:t>
            </w:r>
          </w:p>
        </w:tc>
        <w:tc>
          <w:tcPr>
            <w:tcW w:w="460" w:type="dxa"/>
            <w:vAlign w:val="bottom"/>
            <w:gridSpan w:val="2"/>
          </w:tcPr>
          <w:p>
            <w:pPr>
              <w:jc w:val="right"/>
              <w:ind w:right="241"/>
              <w:spacing w:after="0" w:line="194" w:lineRule="exact"/>
              <w:rPr>
                <w:sz w:val="20"/>
                <w:szCs w:val="20"/>
                <w:color w:val="auto"/>
              </w:rPr>
            </w:pPr>
            <w:r>
              <w:rPr>
                <w:rFonts w:ascii="Arial" w:cs="Arial" w:eastAsia="Arial" w:hAnsi="Arial"/>
                <w:sz w:val="20"/>
                <w:szCs w:val="20"/>
                <w:color w:val="auto"/>
                <w:w w:val="89"/>
              </w:rPr>
              <w:t>$</w:t>
            </w:r>
          </w:p>
        </w:tc>
        <w:tc>
          <w:tcPr>
            <w:tcW w:w="1800" w:type="dxa"/>
            <w:vAlign w:val="bottom"/>
          </w:tcPr>
          <w:p>
            <w:pPr>
              <w:jc w:val="right"/>
              <w:spacing w:after="0" w:line="194" w:lineRule="exact"/>
              <w:rPr>
                <w:sz w:val="20"/>
                <w:szCs w:val="20"/>
                <w:color w:val="auto"/>
              </w:rPr>
            </w:pPr>
            <w:r>
              <w:rPr>
                <w:rFonts w:ascii="Arial" w:cs="Arial" w:eastAsia="Arial" w:hAnsi="Arial"/>
                <w:sz w:val="20"/>
                <w:szCs w:val="20"/>
                <w:color w:val="auto"/>
              </w:rPr>
              <w:t>32</w:t>
            </w:r>
          </w:p>
        </w:tc>
        <w:tc>
          <w:tcPr>
            <w:tcW w:w="120" w:type="dxa"/>
            <w:vAlign w:val="bottom"/>
          </w:tcPr>
          <w:p>
            <w:pPr>
              <w:spacing w:after="0"/>
              <w:rPr>
                <w:sz w:val="16"/>
                <w:szCs w:val="16"/>
                <w:color w:val="auto"/>
              </w:rPr>
            </w:pPr>
          </w:p>
        </w:tc>
        <w:tc>
          <w:tcPr>
            <w:tcW w:w="2260" w:type="dxa"/>
            <w:vAlign w:val="bottom"/>
          </w:tcPr>
          <w:p>
            <w:pPr>
              <w:jc w:val="center"/>
              <w:ind w:left="81"/>
              <w:spacing w:after="0" w:line="194" w:lineRule="exact"/>
              <w:rPr>
                <w:sz w:val="20"/>
                <w:szCs w:val="20"/>
                <w:color w:val="auto"/>
              </w:rPr>
            </w:pPr>
            <w:r>
              <w:rPr>
                <w:rFonts w:ascii="Arial" w:cs="Arial" w:eastAsia="Arial" w:hAnsi="Arial"/>
                <w:sz w:val="20"/>
                <w:szCs w:val="20"/>
                <w:color w:val="auto"/>
                <w:w w:val="99"/>
              </w:rPr>
              <w:t>14 years</w:t>
            </w:r>
          </w:p>
        </w:tc>
      </w:tr>
      <w:tr>
        <w:trPr>
          <w:trHeight w:val="238"/>
        </w:trPr>
        <w:tc>
          <w:tcPr>
            <w:tcW w:w="6600" w:type="dxa"/>
            <w:vAlign w:val="bottom"/>
          </w:tcPr>
          <w:p>
            <w:pPr>
              <w:ind w:left="120"/>
              <w:spacing w:after="0"/>
              <w:rPr>
                <w:sz w:val="20"/>
                <w:szCs w:val="20"/>
                <w:color w:val="auto"/>
              </w:rPr>
            </w:pPr>
            <w:r>
              <w:rPr>
                <w:rFonts w:ascii="Arial" w:cs="Arial" w:eastAsia="Arial" w:hAnsi="Arial"/>
                <w:sz w:val="20"/>
                <w:szCs w:val="20"/>
                <w:color w:val="auto"/>
              </w:rPr>
              <w:t>Use rights and other</w:t>
            </w: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120" w:type="dxa"/>
            <w:vAlign w:val="bottom"/>
          </w:tcPr>
          <w:p>
            <w:pPr>
              <w:spacing w:after="0"/>
              <w:rPr>
                <w:sz w:val="20"/>
                <w:szCs w:val="20"/>
                <w:color w:val="auto"/>
              </w:rPr>
            </w:pPr>
          </w:p>
        </w:tc>
        <w:tc>
          <w:tcPr>
            <w:tcW w:w="2260" w:type="dxa"/>
            <w:vAlign w:val="bottom"/>
          </w:tcPr>
          <w:p>
            <w:pPr>
              <w:jc w:val="center"/>
              <w:ind w:left="81"/>
              <w:spacing w:after="0"/>
              <w:rPr>
                <w:sz w:val="20"/>
                <w:szCs w:val="20"/>
                <w:color w:val="auto"/>
              </w:rPr>
            </w:pPr>
            <w:r>
              <w:rPr>
                <w:rFonts w:ascii="Arial" w:cs="Arial" w:eastAsia="Arial" w:hAnsi="Arial"/>
                <w:sz w:val="20"/>
                <w:szCs w:val="20"/>
                <w:color w:val="auto"/>
                <w:w w:val="99"/>
              </w:rPr>
              <w:t>25 years</w:t>
            </w:r>
          </w:p>
        </w:tc>
      </w:tr>
      <w:tr>
        <w:trPr>
          <w:trHeight w:val="210"/>
        </w:trPr>
        <w:tc>
          <w:tcPr>
            <w:tcW w:w="6600" w:type="dxa"/>
            <w:vAlign w:val="bottom"/>
          </w:tcPr>
          <w:p>
            <w:pPr>
              <w:spacing w:after="0" w:line="189" w:lineRule="exact"/>
              <w:rPr>
                <w:sz w:val="20"/>
                <w:szCs w:val="20"/>
                <w:color w:val="auto"/>
              </w:rPr>
            </w:pPr>
            <w:r>
              <w:rPr>
                <w:rFonts w:ascii="Arial" w:cs="Arial" w:eastAsia="Arial" w:hAnsi="Arial"/>
                <w:sz w:val="20"/>
                <w:szCs w:val="20"/>
                <w:color w:val="auto"/>
              </w:rPr>
              <w:t>Total</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41"/>
              <w:spacing w:after="0" w:line="196" w:lineRule="exact"/>
              <w:rPr>
                <w:sz w:val="20"/>
                <w:szCs w:val="20"/>
                <w:color w:val="auto"/>
              </w:rPr>
            </w:pPr>
            <w:r>
              <w:rPr>
                <w:rFonts w:ascii="Arial" w:cs="Arial" w:eastAsia="Arial" w:hAnsi="Arial"/>
                <w:sz w:val="20"/>
                <w:szCs w:val="20"/>
                <w:color w:val="auto"/>
                <w:w w:val="71"/>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53</w:t>
            </w:r>
          </w:p>
        </w:tc>
        <w:tc>
          <w:tcPr>
            <w:tcW w:w="120" w:type="dxa"/>
            <w:vAlign w:val="bottom"/>
          </w:tcPr>
          <w:p>
            <w:pPr>
              <w:spacing w:after="0"/>
              <w:rPr>
                <w:sz w:val="18"/>
                <w:szCs w:val="18"/>
                <w:color w:val="auto"/>
              </w:rPr>
            </w:pPr>
          </w:p>
        </w:tc>
        <w:tc>
          <w:tcPr>
            <w:tcW w:w="2260" w:type="dxa"/>
            <w:vAlign w:val="bottom"/>
          </w:tcPr>
          <w:p>
            <w:pPr>
              <w:jc w:val="center"/>
              <w:ind w:left="81"/>
              <w:spacing w:after="0" w:line="196" w:lineRule="exact"/>
              <w:rPr>
                <w:sz w:val="20"/>
                <w:szCs w:val="20"/>
                <w:color w:val="auto"/>
              </w:rPr>
            </w:pPr>
            <w:r>
              <w:rPr>
                <w:rFonts w:ascii="Arial" w:cs="Arial" w:eastAsia="Arial" w:hAnsi="Arial"/>
                <w:sz w:val="20"/>
                <w:szCs w:val="20"/>
                <w:color w:val="auto"/>
                <w:w w:val="99"/>
              </w:rPr>
              <w:t>19 years</w:t>
            </w: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 xml:space="preserve">4.   </w:t>
            </w:r>
            <w:r>
              <w:rPr>
                <w:rFonts w:ascii="Arial" w:cs="Arial" w:eastAsia="Arial" w:hAnsi="Arial"/>
                <w:sz w:val="20"/>
                <w:szCs w:val="20"/>
                <w:b w:val="1"/>
                <w:bCs w:val="1"/>
                <w:color w:val="auto"/>
              </w:rPr>
              <w:t>Inventories, Net</w:t>
            </w:r>
          </w:p>
        </w:tc>
        <w:tc>
          <w:tcPr>
            <w:tcW w:w="1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4"/>
        </w:trPr>
        <w:tc>
          <w:tcPr>
            <w:tcW w:w="7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March 31,</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2026</w:t>
            </w:r>
          </w:p>
        </w:tc>
        <w:tc>
          <w:tcPr>
            <w:tcW w:w="500" w:type="dxa"/>
            <w:vAlign w:val="bottom"/>
            <w:tcBorders>
              <w:bottom w:val="single" w:sz="8" w:color="auto"/>
            </w:tcBorders>
          </w:tcPr>
          <w:p>
            <w:pPr>
              <w:spacing w:after="0"/>
              <w:rPr>
                <w:sz w:val="20"/>
                <w:szCs w:val="20"/>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i w:val="1"/>
                <w:iCs w:val="1"/>
                <w:color w:val="auto"/>
              </w:rPr>
              <w:t>in</w:t>
            </w: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1880" w:type="dxa"/>
            <w:vAlign w:val="bottom"/>
            <w:gridSpan w:val="2"/>
          </w:tcPr>
          <w:p>
            <w:pPr>
              <w:ind w:left="1180"/>
              <w:spacing w:after="0" w:line="209" w:lineRule="exact"/>
              <w:rPr>
                <w:sz w:val="20"/>
                <w:szCs w:val="20"/>
                <w:color w:val="auto"/>
              </w:rPr>
            </w:pPr>
            <w:r>
              <w:rPr>
                <w:rFonts w:ascii="Arial" w:cs="Arial" w:eastAsia="Arial" w:hAnsi="Arial"/>
                <w:sz w:val="20"/>
                <w:szCs w:val="20"/>
                <w:i w:val="1"/>
                <w:iCs w:val="1"/>
                <w:color w:val="auto"/>
                <w:w w:val="98"/>
              </w:rPr>
              <w:t>(Dollars</w:t>
            </w:r>
          </w:p>
        </w:tc>
        <w:tc>
          <w:tcPr>
            <w:tcW w:w="280" w:type="dxa"/>
            <w:vAlign w:val="bottom"/>
            <w:vMerge w:val="continue"/>
          </w:tcPr>
          <w:p>
            <w:pPr>
              <w:spacing w:after="0"/>
              <w:rPr>
                <w:sz w:val="18"/>
                <w:szCs w:val="18"/>
                <w:color w:val="auto"/>
              </w:rPr>
            </w:pPr>
          </w:p>
        </w:tc>
        <w:tc>
          <w:tcPr>
            <w:tcW w:w="188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Finished products</w:t>
            </w:r>
          </w:p>
        </w:tc>
        <w:tc>
          <w:tcPr>
            <w:tcW w:w="1380" w:type="dxa"/>
            <w:vAlign w:val="bottom"/>
            <w:shd w:val="clear" w:color="auto" w:fill="CFF0FC"/>
          </w:tcPr>
          <w:p>
            <w:pPr>
              <w:jc w:val="right"/>
              <w:ind w:right="1161"/>
              <w:spacing w:after="0" w:line="216" w:lineRule="exact"/>
              <w:rPr>
                <w:sz w:val="20"/>
                <w:szCs w:val="20"/>
                <w:color w:val="auto"/>
              </w:rPr>
            </w:pPr>
            <w:r>
              <w:rPr>
                <w:rFonts w:ascii="Arial" w:cs="Arial" w:eastAsia="Arial" w:hAnsi="Arial"/>
                <w:sz w:val="20"/>
                <w:szCs w:val="20"/>
                <w:color w:val="auto"/>
                <w:w w:val="89"/>
              </w:rPr>
              <w:t>$</w:t>
            </w:r>
          </w:p>
        </w:tc>
        <w:tc>
          <w:tcPr>
            <w:tcW w:w="780" w:type="dxa"/>
            <w:vAlign w:val="bottom"/>
            <w:gridSpan w:val="2"/>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w w:val="95"/>
              </w:rPr>
              <w:t>1,499</w:t>
            </w:r>
          </w:p>
        </w:tc>
        <w:tc>
          <w:tcPr>
            <w:tcW w:w="2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t>
            </w:r>
          </w:p>
        </w:tc>
        <w:tc>
          <w:tcPr>
            <w:tcW w:w="176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1,378</w:t>
            </w:r>
          </w:p>
        </w:tc>
        <w:tc>
          <w:tcPr>
            <w:tcW w:w="0" w:type="dxa"/>
            <w:vAlign w:val="bottom"/>
          </w:tcPr>
          <w:p>
            <w:pPr>
              <w:spacing w:after="0"/>
              <w:rPr>
                <w:sz w:val="1"/>
                <w:szCs w:val="1"/>
                <w:color w:val="auto"/>
              </w:rPr>
            </w:pPr>
          </w:p>
        </w:tc>
      </w:tr>
      <w:tr>
        <w:trPr>
          <w:trHeight w:val="216"/>
        </w:trPr>
        <w:tc>
          <w:tcPr>
            <w:tcW w:w="7100" w:type="dxa"/>
            <w:vAlign w:val="bottom"/>
          </w:tcPr>
          <w:p>
            <w:pPr>
              <w:spacing w:after="0" w:line="216" w:lineRule="exact"/>
              <w:rPr>
                <w:sz w:val="20"/>
                <w:szCs w:val="20"/>
                <w:color w:val="auto"/>
              </w:rPr>
            </w:pPr>
            <w:r>
              <w:rPr>
                <w:rFonts w:ascii="Arial" w:cs="Arial" w:eastAsia="Arial" w:hAnsi="Arial"/>
                <w:sz w:val="20"/>
                <w:szCs w:val="20"/>
                <w:color w:val="auto"/>
              </w:rPr>
              <w:t>Products in process</w:t>
            </w:r>
          </w:p>
        </w:tc>
        <w:tc>
          <w:tcPr>
            <w:tcW w:w="1380" w:type="dxa"/>
            <w:vAlign w:val="bottom"/>
          </w:tcPr>
          <w:p>
            <w:pPr>
              <w:spacing w:after="0"/>
              <w:rPr>
                <w:sz w:val="18"/>
                <w:szCs w:val="18"/>
                <w:color w:val="auto"/>
              </w:rPr>
            </w:pPr>
          </w:p>
        </w:tc>
        <w:tc>
          <w:tcPr>
            <w:tcW w:w="78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18</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Raw materials</w:t>
            </w:r>
          </w:p>
        </w:tc>
        <w:tc>
          <w:tcPr>
            <w:tcW w:w="13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69</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line="216" w:lineRule="exact"/>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16"/>
        </w:trPr>
        <w:tc>
          <w:tcPr>
            <w:tcW w:w="7100" w:type="dxa"/>
            <w:vAlign w:val="bottom"/>
          </w:tcPr>
          <w:p>
            <w:pPr>
              <w:spacing w:after="0" w:line="216" w:lineRule="exact"/>
              <w:rPr>
                <w:sz w:val="20"/>
                <w:szCs w:val="20"/>
                <w:color w:val="auto"/>
              </w:rPr>
            </w:pPr>
            <w:r>
              <w:rPr>
                <w:rFonts w:ascii="Arial" w:cs="Arial" w:eastAsia="Arial" w:hAnsi="Arial"/>
                <w:sz w:val="20"/>
                <w:szCs w:val="20"/>
                <w:color w:val="auto"/>
              </w:rPr>
              <w:t>Supplies and expendable parts</w:t>
            </w:r>
          </w:p>
        </w:tc>
        <w:tc>
          <w:tcPr>
            <w:tcW w:w="1380" w:type="dxa"/>
            <w:vAlign w:val="bottom"/>
          </w:tcPr>
          <w:p>
            <w:pPr>
              <w:spacing w:after="0"/>
              <w:rPr>
                <w:sz w:val="18"/>
                <w:szCs w:val="18"/>
                <w:color w:val="auto"/>
              </w:rPr>
            </w:pPr>
          </w:p>
        </w:tc>
        <w:tc>
          <w:tcPr>
            <w:tcW w:w="780" w:type="dxa"/>
            <w:vAlign w:val="bottom"/>
            <w:gridSpan w:val="2"/>
          </w:tcPr>
          <w:p>
            <w:pPr>
              <w:jc w:val="right"/>
              <w:ind w:right="181"/>
              <w:spacing w:after="0" w:line="216" w:lineRule="exact"/>
              <w:rPr>
                <w:sz w:val="20"/>
                <w:szCs w:val="20"/>
                <w:color w:val="auto"/>
              </w:rPr>
            </w:pPr>
            <w:r>
              <w:rPr>
                <w:rFonts w:ascii="Arial" w:cs="Arial" w:eastAsia="Arial" w:hAnsi="Arial"/>
                <w:sz w:val="20"/>
                <w:szCs w:val="20"/>
                <w:color w:val="auto"/>
              </w:rPr>
              <w:t>129</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124</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inventories</w:t>
            </w:r>
          </w:p>
        </w:tc>
        <w:tc>
          <w:tcPr>
            <w:tcW w:w="13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1"/>
              <w:spacing w:after="0" w:line="209" w:lineRule="exact"/>
              <w:rPr>
                <w:sz w:val="20"/>
                <w:szCs w:val="20"/>
                <w:color w:val="auto"/>
              </w:rPr>
            </w:pPr>
            <w:r>
              <w:rPr>
                <w:rFonts w:ascii="Arial" w:cs="Arial" w:eastAsia="Arial" w:hAnsi="Arial"/>
                <w:sz w:val="20"/>
                <w:szCs w:val="20"/>
                <w:color w:val="auto"/>
                <w:w w:val="95"/>
              </w:rPr>
              <w:t>1,715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line="209" w:lineRule="exact"/>
              <w:rPr>
                <w:sz w:val="20"/>
                <w:szCs w:val="20"/>
                <w:color w:val="auto"/>
              </w:rPr>
            </w:pPr>
            <w:r>
              <w:rPr>
                <w:rFonts w:ascii="Arial" w:cs="Arial" w:eastAsia="Arial" w:hAnsi="Arial"/>
                <w:sz w:val="20"/>
                <w:szCs w:val="20"/>
                <w:color w:val="auto"/>
              </w:rPr>
              <w:t>1,565</w:t>
            </w:r>
          </w:p>
        </w:tc>
        <w:tc>
          <w:tcPr>
            <w:tcW w:w="0" w:type="dxa"/>
            <w:vAlign w:val="bottom"/>
          </w:tcPr>
          <w:p>
            <w:pPr>
              <w:spacing w:after="0"/>
              <w:rPr>
                <w:sz w:val="1"/>
                <w:szCs w:val="1"/>
                <w:color w:val="auto"/>
              </w:rPr>
            </w:pPr>
          </w:p>
        </w:tc>
      </w:tr>
      <w:tr>
        <w:trPr>
          <w:trHeight w:val="216"/>
        </w:trPr>
        <w:tc>
          <w:tcPr>
            <w:tcW w:w="7100" w:type="dxa"/>
            <w:vAlign w:val="bottom"/>
          </w:tcPr>
          <w:p>
            <w:pPr>
              <w:spacing w:after="0" w:line="216" w:lineRule="exact"/>
              <w:rPr>
                <w:sz w:val="20"/>
                <w:szCs w:val="20"/>
                <w:color w:val="auto"/>
              </w:rPr>
            </w:pPr>
            <w:r>
              <w:rPr>
                <w:rFonts w:ascii="Arial" w:cs="Arial" w:eastAsia="Arial" w:hAnsi="Arial"/>
                <w:sz w:val="20"/>
                <w:szCs w:val="20"/>
                <w:color w:val="auto"/>
              </w:rPr>
              <w:t>Less: allowances</w:t>
            </w:r>
          </w:p>
        </w:tc>
        <w:tc>
          <w:tcPr>
            <w:tcW w:w="1380" w:type="dxa"/>
            <w:vAlign w:val="bottom"/>
          </w:tcPr>
          <w:p>
            <w:pPr>
              <w:spacing w:after="0"/>
              <w:rPr>
                <w:sz w:val="18"/>
                <w:szCs w:val="18"/>
                <w:color w:val="auto"/>
              </w:rPr>
            </w:pPr>
          </w:p>
        </w:tc>
        <w:tc>
          <w:tcPr>
            <w:tcW w:w="780" w:type="dxa"/>
            <w:vAlign w:val="bottom"/>
            <w:gridSpan w:val="2"/>
          </w:tcPr>
          <w:p>
            <w:pPr>
              <w:jc w:val="right"/>
              <w:ind w:right="101"/>
              <w:spacing w:after="0" w:line="216" w:lineRule="exact"/>
              <w:rPr>
                <w:sz w:val="20"/>
                <w:szCs w:val="20"/>
                <w:color w:val="auto"/>
              </w:rPr>
            </w:pPr>
            <w:r>
              <w:rPr>
                <w:rFonts w:ascii="Arial" w:cs="Arial" w:eastAsia="Arial" w:hAnsi="Arial"/>
                <w:sz w:val="20"/>
                <w:szCs w:val="20"/>
                <w:color w:val="auto"/>
              </w:rPr>
              <w:t>(502)</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(487)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Inventories, net</w:t>
            </w:r>
          </w:p>
        </w:tc>
        <w:tc>
          <w:tcPr>
            <w:tcW w:w="1380" w:type="dxa"/>
            <w:vAlign w:val="bottom"/>
            <w:shd w:val="clear" w:color="auto" w:fill="CFF0FC"/>
          </w:tcPr>
          <w:p>
            <w:pPr>
              <w:jc w:val="right"/>
              <w:ind w:right="1161"/>
              <w:spacing w:after="0" w:line="196" w:lineRule="exact"/>
              <w:rPr>
                <w:sz w:val="20"/>
                <w:szCs w:val="20"/>
                <w:color w:val="auto"/>
              </w:rPr>
            </w:pPr>
            <w:r>
              <w:rPr>
                <w:rFonts w:ascii="Arial" w:cs="Arial" w:eastAsia="Arial" w:hAnsi="Arial"/>
                <w:sz w:val="20"/>
                <w:szCs w:val="20"/>
                <w:color w:val="auto"/>
                <w:w w:val="89"/>
              </w:rPr>
              <w:t>$</w:t>
            </w:r>
          </w:p>
        </w:tc>
        <w:tc>
          <w:tcPr>
            <w:tcW w:w="780" w:type="dxa"/>
            <w:vAlign w:val="bottom"/>
            <w:gridSpan w:val="2"/>
            <w:shd w:val="clear" w:color="auto" w:fill="CFF0FC"/>
          </w:tcPr>
          <w:p>
            <w:pPr>
              <w:jc w:val="right"/>
              <w:ind w:right="181"/>
              <w:spacing w:after="0" w:line="196" w:lineRule="exact"/>
              <w:rPr>
                <w:sz w:val="20"/>
                <w:szCs w:val="20"/>
                <w:color w:val="auto"/>
              </w:rPr>
            </w:pPr>
            <w:r>
              <w:rPr>
                <w:rFonts w:ascii="Arial" w:cs="Arial" w:eastAsia="Arial" w:hAnsi="Arial"/>
                <w:sz w:val="20"/>
                <w:szCs w:val="20"/>
                <w:color w:val="auto"/>
                <w:w w:val="95"/>
              </w:rPr>
              <w:t>1,213</w:t>
            </w:r>
          </w:p>
        </w:tc>
        <w:tc>
          <w:tcPr>
            <w:tcW w:w="22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w:t>
            </w:r>
          </w:p>
        </w:tc>
        <w:tc>
          <w:tcPr>
            <w:tcW w:w="17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20"/>
                <w:szCs w:val="20"/>
                <w:color w:val="auto"/>
              </w:rPr>
              <w:t>1,078</w:t>
            </w: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800" w:type="dxa"/>
            <w:vAlign w:val="bottom"/>
          </w:tcPr>
          <w:p>
            <w:pPr>
              <w:spacing w:after="0"/>
              <w:rPr>
                <w:sz w:val="20"/>
                <w:szCs w:val="20"/>
                <w:color w:val="auto"/>
              </w:rPr>
            </w:pPr>
            <w:r>
              <w:rPr>
                <w:rFonts w:ascii="Calibri" w:cs="Calibri" w:eastAsia="Calibri" w:hAnsi="Calibri"/>
                <w:sz w:val="20"/>
                <w:szCs w:val="20"/>
                <w:b w:val="1"/>
                <w:bCs w:val="1"/>
                <w:color w:val="auto"/>
              </w:rPr>
              <w:t xml:space="preserve">5.   </w:t>
            </w:r>
            <w:r>
              <w:rPr>
                <w:rFonts w:ascii="Arial" w:cs="Arial" w:eastAsia="Arial" w:hAnsi="Arial"/>
                <w:sz w:val="20"/>
                <w:szCs w:val="20"/>
                <w:b w:val="1"/>
                <w:bCs w:val="1"/>
                <w:color w:val="auto"/>
              </w:rPr>
              <w:t>Debt</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6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341"/>
              <w:spacing w:after="0"/>
              <w:rPr>
                <w:sz w:val="20"/>
                <w:szCs w:val="20"/>
                <w:color w:val="auto"/>
              </w:rPr>
            </w:pPr>
            <w:r>
              <w:rPr>
                <w:rFonts w:ascii="Arial" w:cs="Arial" w:eastAsia="Arial" w:hAnsi="Arial"/>
                <w:sz w:val="20"/>
                <w:szCs w:val="20"/>
                <w:color w:val="auto"/>
              </w:rPr>
              <w:t>March 31,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2026</w:t>
            </w:r>
          </w:p>
        </w:tc>
        <w:tc>
          <w:tcPr>
            <w:tcW w:w="300" w:type="dxa"/>
            <w:vAlign w:val="bottom"/>
            <w:vMerge w:val="restart"/>
          </w:tcPr>
          <w:p>
            <w:pPr>
              <w:ind w:left="40"/>
              <w:spacing w:after="0"/>
              <w:rPr>
                <w:sz w:val="20"/>
                <w:szCs w:val="20"/>
                <w:color w:val="auto"/>
              </w:rPr>
            </w:pPr>
            <w:r>
              <w:rPr>
                <w:rFonts w:ascii="Arial" w:cs="Arial" w:eastAsia="Arial" w:hAnsi="Arial"/>
                <w:sz w:val="20"/>
                <w:szCs w:val="20"/>
                <w:i w:val="1"/>
                <w:iCs w:val="1"/>
                <w:color w:val="auto"/>
              </w:rPr>
              <w:t>in</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00" w:type="dxa"/>
            <w:vAlign w:val="bottom"/>
            <w:vMerge w:val="continue"/>
          </w:tcPr>
          <w:p>
            <w:pPr>
              <w:spacing w:after="0"/>
              <w:rPr>
                <w:sz w:val="18"/>
                <w:szCs w:val="18"/>
                <w:color w:val="auto"/>
              </w:rPr>
            </w:pPr>
          </w:p>
        </w:tc>
        <w:tc>
          <w:tcPr>
            <w:tcW w:w="174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3.450% Senior Notes, due 2027</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299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line="216" w:lineRule="exact"/>
              <w:rPr>
                <w:sz w:val="20"/>
                <w:szCs w:val="20"/>
                <w:color w:val="auto"/>
              </w:rPr>
            </w:pPr>
            <w:r>
              <w:rPr>
                <w:rFonts w:ascii="Arial" w:cs="Arial" w:eastAsia="Arial" w:hAnsi="Arial"/>
                <w:sz w:val="20"/>
                <w:szCs w:val="20"/>
                <w:color w:val="auto"/>
              </w:rPr>
              <w:t>3.500% Senior Notes, due 2027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493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2.500% Senior Notes, due 2030</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474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line="216" w:lineRule="exact"/>
              <w:rPr>
                <w:sz w:val="20"/>
                <w:szCs w:val="20"/>
                <w:color w:val="auto"/>
              </w:rPr>
            </w:pPr>
            <w:r>
              <w:rPr>
                <w:rFonts w:ascii="Arial" w:cs="Arial" w:eastAsia="Arial" w:hAnsi="Arial"/>
                <w:sz w:val="20"/>
                <w:szCs w:val="20"/>
                <w:color w:val="auto"/>
              </w:rPr>
              <w:t>2.400% Senior Notes, due 2031</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891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5.150% Senior Notes, due 2034</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739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line="216" w:lineRule="exact"/>
              <w:rPr>
                <w:sz w:val="20"/>
                <w:szCs w:val="20"/>
                <w:color w:val="auto"/>
              </w:rPr>
            </w:pPr>
            <w:r>
              <w:rPr>
                <w:rFonts w:ascii="Arial" w:cs="Arial" w:eastAsia="Arial" w:hAnsi="Arial"/>
                <w:sz w:val="20"/>
                <w:szCs w:val="20"/>
                <w:color w:val="auto"/>
              </w:rPr>
              <w:t>6.25% Senior Notes, due 2037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229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4.250% Senior Notes, due 2047</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591</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line="216" w:lineRule="exact"/>
              <w:rPr>
                <w:sz w:val="20"/>
                <w:szCs w:val="20"/>
                <w:color w:val="auto"/>
              </w:rPr>
            </w:pPr>
            <w:r>
              <w:rPr>
                <w:rFonts w:ascii="Arial" w:cs="Arial" w:eastAsia="Arial" w:hAnsi="Arial"/>
                <w:sz w:val="20"/>
                <w:szCs w:val="20"/>
                <w:color w:val="auto"/>
              </w:rPr>
              <w:t>3.200% Senior Notes, due 2051</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851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line="216" w:lineRule="exact"/>
              <w:rPr>
                <w:sz w:val="20"/>
                <w:szCs w:val="20"/>
                <w:color w:val="auto"/>
              </w:rPr>
            </w:pPr>
            <w:r>
              <w:rPr>
                <w:rFonts w:ascii="Arial" w:cs="Arial" w:eastAsia="Arial" w:hAnsi="Arial"/>
                <w:sz w:val="20"/>
                <w:szCs w:val="20"/>
                <w:color w:val="auto"/>
              </w:rPr>
              <w:t>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5.500% Senior Notes, due 2054</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727</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line="216" w:lineRule="exact"/>
              <w:rPr>
                <w:sz w:val="20"/>
                <w:szCs w:val="20"/>
                <w:color w:val="auto"/>
              </w:rPr>
            </w:pPr>
            <w:r>
              <w:rPr>
                <w:rFonts w:ascii="Arial" w:cs="Arial" w:eastAsia="Arial" w:hAnsi="Arial"/>
                <w:sz w:val="20"/>
                <w:szCs w:val="20"/>
                <w:color w:val="auto"/>
              </w:rPr>
              <w:t>Trade Receivable Facility, interest rate of 4.57% at December 31, 2025</w:t>
            </w:r>
          </w:p>
        </w:tc>
        <w:tc>
          <w:tcPr>
            <w:tcW w:w="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debt</w:t>
            </w: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5,294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5,323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line="216" w:lineRule="exact"/>
              <w:rPr>
                <w:sz w:val="20"/>
                <w:szCs w:val="20"/>
                <w:color w:val="auto"/>
              </w:rPr>
            </w:pPr>
            <w:r>
              <w:rPr>
                <w:rFonts w:ascii="Arial" w:cs="Arial" w:eastAsia="Arial" w:hAnsi="Arial"/>
                <w:sz w:val="20"/>
                <w:szCs w:val="20"/>
                <w:color w:val="auto"/>
              </w:rPr>
              <w:t>Less: current maturities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00" w:type="dxa"/>
            <w:vAlign w:val="bottom"/>
            <w:shd w:val="clear" w:color="auto" w:fill="CFF0FC"/>
          </w:tcPr>
          <w:p>
            <w:pPr>
              <w:spacing w:after="0" w:line="196" w:lineRule="exact"/>
              <w:rPr>
                <w:sz w:val="20"/>
                <w:szCs w:val="20"/>
                <w:color w:val="auto"/>
              </w:rPr>
            </w:pPr>
            <w:r>
              <w:rPr>
                <w:rFonts w:ascii="Arial" w:cs="Arial" w:eastAsia="Arial" w:hAnsi="Arial"/>
                <w:sz w:val="20"/>
                <w:szCs w:val="20"/>
                <w:color w:val="auto"/>
              </w:rPr>
              <w:t>Long-term debt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61"/>
              <w:spacing w:after="0" w:line="196" w:lineRule="exact"/>
              <w:rPr>
                <w:sz w:val="20"/>
                <w:szCs w:val="20"/>
                <w:color w:val="auto"/>
              </w:rPr>
            </w:pPr>
            <w:r>
              <w:rPr>
                <w:rFonts w:ascii="Arial" w:cs="Arial" w:eastAsia="Arial" w:hAnsi="Arial"/>
                <w:sz w:val="20"/>
                <w:szCs w:val="20"/>
                <w:color w:val="auto"/>
                <w:w w:val="8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5,294</w:t>
            </w:r>
          </w:p>
        </w:tc>
        <w:tc>
          <w:tcPr>
            <w:tcW w:w="460" w:type="dxa"/>
            <w:vAlign w:val="bottom"/>
            <w:gridSpan w:val="2"/>
            <w:shd w:val="clear" w:color="auto" w:fill="CFF0FC"/>
          </w:tcPr>
          <w:p>
            <w:pPr>
              <w:ind w:left="300"/>
              <w:spacing w:after="0" w:line="196" w:lineRule="exact"/>
              <w:rPr>
                <w:sz w:val="20"/>
                <w:szCs w:val="20"/>
                <w:color w:val="auto"/>
              </w:rPr>
            </w:pPr>
            <w:r>
              <w:rPr>
                <w:rFonts w:ascii="Arial" w:cs="Arial" w:eastAsia="Arial" w:hAnsi="Arial"/>
                <w:sz w:val="20"/>
                <w:szCs w:val="20"/>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5,293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ind w:left="380"/>
        <w:spacing w:after="0" w:line="227" w:lineRule="auto"/>
        <w:rPr>
          <w:sz w:val="20"/>
          <w:szCs w:val="20"/>
          <w:color w:val="auto"/>
        </w:rPr>
      </w:pPr>
      <w:r>
        <w:rPr>
          <w:rFonts w:ascii="Arial" w:cs="Arial" w:eastAsia="Arial" w:hAnsi="Arial"/>
          <w:sz w:val="20"/>
          <w:szCs w:val="20"/>
          <w:color w:val="auto"/>
        </w:rPr>
        <w:t>The Company has a credit agreement with JPMorgan Chase Bank, N.A., as Administrative Agent, Deutsche Bank Securities, Inc., PNC Bank, Truist Bank and Wells Fargo Bank, N.A., as Syndication Agents, and the lenders party thereto (the Credit Agreement), which provides for an $800 million five-year senior unsecured revolving facility (the Revolving Facility) with a maturity date of December 21, 2030. Borrowings under the Revolving Facility bear interest, at the Company’s option, at rates based upon the Secured Overnight Financing Rate (SOFR) or a base rate, plus, for each rate, a margin determined in accordance with a ratings-based pricing grid. Any outstanding principal amounts, together with interest accrued thereon, are due in full on that maturity date. There were no borrowings outstanding under the Revolving Facility as of March 31, 2026 and December 31, 2025. Available borrowings under the Revolving Facility are reduced by any outstanding letters of credit issued by the Company under the Revolving Facility. At March 31, 2026 and December 31, 2025, the Company had $3 million of outstanding letters of credit issued under the Revolving Facility.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5" w:name="page16"/>
    <w:bookmarkEnd w:id="15"/>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jc w:val="both"/>
        <w:ind w:left="380"/>
        <w:spacing w:after="0" w:line="230" w:lineRule="auto"/>
        <w:rPr>
          <w:sz w:val="20"/>
          <w:szCs w:val="20"/>
          <w:color w:val="auto"/>
        </w:rPr>
      </w:pPr>
      <w:r>
        <w:rPr>
          <w:rFonts w:ascii="Arial" w:cs="Arial" w:eastAsia="Arial" w:hAnsi="Arial"/>
          <w:sz w:val="20"/>
          <w:szCs w:val="20"/>
          <w:color w:val="auto"/>
        </w:rPr>
        <w:t>The Credit Agreement requires the Company’s ratio of consolidated net debt-to-consolidated earnings before interest, taxes, depreciation, depletion and amortization (EBITDA), as defined, for the trailing-twelve months (the Ratio) to not exceed 3.50x as of the end of any fiscal quarter, provided that the Company may exclude from the Ratio any debt incurred in connection with certain acquisitions during the quarter or three preceding quarters so long as the Ratio calculated without such exclusion does not exceed 4.25x. Additionally, if no amounts are outstanding under the Revolving Facility or the Company's trade receivable securitization facility (discussed below), consolidated debt, as defined, which includes debt for which the Company is a guarantor, shall be reduced in an amount equal to the lesser of $500 million or the sum of the Company’s unrestricted cash and temporary investments, for purposes of the covenant calculation. The Company was in compliance with the Ratio at March 31, 2026.</w:t>
      </w:r>
    </w:p>
    <w:p>
      <w:pPr>
        <w:spacing w:after="0" w:line="68" w:lineRule="exact"/>
        <w:rPr>
          <w:sz w:val="20"/>
          <w:szCs w:val="20"/>
          <w:color w:val="auto"/>
        </w:rPr>
      </w:pPr>
    </w:p>
    <w:p>
      <w:pPr>
        <w:jc w:val="both"/>
        <w:ind w:left="380"/>
        <w:spacing w:after="0" w:line="229" w:lineRule="auto"/>
        <w:rPr>
          <w:sz w:val="20"/>
          <w:szCs w:val="20"/>
          <w:color w:val="auto"/>
        </w:rPr>
      </w:pPr>
      <w:r>
        <w:rPr>
          <w:rFonts w:ascii="Arial" w:cs="Arial" w:eastAsia="Arial" w:hAnsi="Arial"/>
          <w:sz w:val="20"/>
          <w:szCs w:val="20"/>
          <w:color w:val="auto"/>
        </w:rPr>
        <w:t>The Company, through a wholly-owned special-purpose subsidiary, has a $400 million trade receivable securitization facility (the Trade Receivable Facility) that matures on September 16, 2026. The Trade Receivable Facility, with Truist Bank, Regions Bank, First Citizens Bank &amp; Trust Company, and certain other lenders that may become a party to the facility from time to time,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the Adjusted Term Secured Overnight Financing Rate (Adjusted Term SOFR), as defined, plus 0.7%. The Trade Receivable Facility contains a cross-default provision to the Company’s other debt agreements. Subject to certain conditions, including lenders providing the requisite commitments, the Trade Receivable Facility may be increased to a borrowing base not to exceed $600 million.</w:t>
      </w:r>
    </w:p>
    <w:p>
      <w:pPr>
        <w:spacing w:after="0" w:line="284" w:lineRule="exact"/>
        <w:rPr>
          <w:sz w:val="20"/>
          <w:szCs w:val="20"/>
          <w:color w:val="auto"/>
        </w:rPr>
      </w:pPr>
    </w:p>
    <w:p>
      <w:pPr>
        <w:ind w:left="380" w:hanging="372"/>
        <w:spacing w:after="0"/>
        <w:tabs>
          <w:tab w:leader="none" w:pos="380" w:val="left"/>
        </w:tabs>
        <w:numPr>
          <w:ilvl w:val="0"/>
          <w:numId w:val="6"/>
        </w:numPr>
        <w:rPr>
          <w:rFonts w:ascii="Calibri" w:cs="Calibri" w:eastAsia="Calibri" w:hAnsi="Calibri"/>
          <w:sz w:val="20"/>
          <w:szCs w:val="20"/>
          <w:b w:val="1"/>
          <w:bCs w:val="1"/>
          <w:color w:val="auto"/>
        </w:rPr>
      </w:pPr>
      <w:r>
        <w:rPr>
          <w:rFonts w:ascii="Arial" w:cs="Arial" w:eastAsia="Arial" w:hAnsi="Arial"/>
          <w:sz w:val="20"/>
          <w:szCs w:val="20"/>
          <w:b w:val="1"/>
          <w:bCs w:val="1"/>
          <w:color w:val="auto"/>
        </w:rPr>
        <w:t>Financial Instruments</w:t>
      </w:r>
    </w:p>
    <w:p>
      <w:pPr>
        <w:spacing w:after="0" w:line="122" w:lineRule="exact"/>
        <w:rPr>
          <w:rFonts w:ascii="Calibri" w:cs="Calibri" w:eastAsia="Calibri" w:hAnsi="Calibri"/>
          <w:sz w:val="20"/>
          <w:szCs w:val="20"/>
          <w:b w:val="1"/>
          <w:bCs w:val="1"/>
          <w:color w:val="auto"/>
        </w:rPr>
      </w:pPr>
    </w:p>
    <w:p>
      <w:pPr>
        <w:ind w:left="380" w:right="20"/>
        <w:spacing w:after="0" w:line="257" w:lineRule="auto"/>
        <w:rPr>
          <w:rFonts w:ascii="Calibri" w:cs="Calibri" w:eastAsia="Calibri" w:hAnsi="Calibri"/>
          <w:sz w:val="20"/>
          <w:szCs w:val="20"/>
          <w:b w:val="1"/>
          <w:bCs w:val="1"/>
          <w:color w:val="auto"/>
        </w:rPr>
      </w:pPr>
      <w:r>
        <w:rPr>
          <w:rFonts w:ascii="Arial" w:cs="Arial" w:eastAsia="Arial" w:hAnsi="Arial"/>
          <w:sz w:val="20"/>
          <w:szCs w:val="20"/>
          <w:color w:val="auto"/>
        </w:rPr>
        <w:t>The Company’s financial instruments include temporary cash investments, accounts receivable, accounts payable, Trade Receivable Facility borrowings and publicly-registered long-term notes and debentures.</w:t>
      </w:r>
    </w:p>
    <w:p>
      <w:pPr>
        <w:spacing w:after="0" w:line="47"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Arial" w:cs="Arial" w:eastAsia="Arial" w:hAnsi="Arial"/>
          <w:sz w:val="20"/>
          <w:szCs w:val="20"/>
          <w:color w:val="auto"/>
        </w:rPr>
        <w:t>Temporary cash investments are placed primarily in money market funds, money market demand deposit accounts and Eurodollar time deposit accounts with financial institutions. The Company’s cash equivalents have maturities of less than three months. Due to the short maturity of these investments, they are carried on the consolidated balance sheets at cost, which approximates fair value.</w:t>
      </w:r>
    </w:p>
    <w:p>
      <w:pPr>
        <w:spacing w:after="0" w:line="63"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North Carolina, Colorado, California, Georgia, Florida, South Carolina, Arizona, Iowa and Minnesota. The carrying values of accounts receivable approximate their fair values.</w:t>
      </w:r>
    </w:p>
    <w:p>
      <w:pPr>
        <w:spacing w:after="0" w:line="63" w:lineRule="exact"/>
        <w:rPr>
          <w:rFonts w:ascii="Calibri" w:cs="Calibri" w:eastAsia="Calibri" w:hAnsi="Calibri"/>
          <w:sz w:val="20"/>
          <w:szCs w:val="20"/>
          <w:b w:val="1"/>
          <w:bCs w:val="1"/>
          <w:color w:val="auto"/>
        </w:rPr>
      </w:pPr>
    </w:p>
    <w:p>
      <w:pPr>
        <w:ind w:left="380"/>
        <w:spacing w:after="0" w:line="257" w:lineRule="auto"/>
        <w:rPr>
          <w:rFonts w:ascii="Calibri" w:cs="Calibri" w:eastAsia="Calibri" w:hAnsi="Calibri"/>
          <w:sz w:val="20"/>
          <w:szCs w:val="20"/>
          <w:b w:val="1"/>
          <w:bCs w:val="1"/>
          <w:color w:val="auto"/>
        </w:rPr>
      </w:pPr>
      <w:r>
        <w:rPr>
          <w:rFonts w:ascii="Arial" w:cs="Arial" w:eastAsia="Arial" w:hAnsi="Arial"/>
          <w:sz w:val="20"/>
          <w:szCs w:val="20"/>
          <w:color w:val="auto"/>
        </w:rPr>
        <w:t>Accounts payable represent amounts owed to suppliers and vendors. The estimated carrying value of accounts payable approximates its fair value due to the short-term nature of the payables.</w:t>
      </w:r>
    </w:p>
    <w:p>
      <w:pPr>
        <w:spacing w:after="0" w:line="47" w:lineRule="exact"/>
        <w:rPr>
          <w:rFonts w:ascii="Calibri" w:cs="Calibri" w:eastAsia="Calibri" w:hAnsi="Calibri"/>
          <w:sz w:val="20"/>
          <w:szCs w:val="20"/>
          <w:b w:val="1"/>
          <w:bCs w:val="1"/>
          <w:color w:val="auto"/>
        </w:rPr>
      </w:pPr>
    </w:p>
    <w:p>
      <w:pPr>
        <w:jc w:val="both"/>
        <w:ind w:left="380"/>
        <w:spacing w:after="0" w:line="231" w:lineRule="auto"/>
        <w:rPr>
          <w:rFonts w:ascii="Calibri" w:cs="Calibri" w:eastAsia="Calibri" w:hAnsi="Calibri"/>
          <w:sz w:val="20"/>
          <w:szCs w:val="20"/>
          <w:b w:val="1"/>
          <w:bCs w:val="1"/>
          <w:color w:val="auto"/>
        </w:rPr>
      </w:pPr>
      <w:r>
        <w:rPr>
          <w:rFonts w:ascii="Arial" w:cs="Arial" w:eastAsia="Arial" w:hAnsi="Arial"/>
          <w:sz w:val="20"/>
          <w:szCs w:val="20"/>
          <w:color w:val="auto"/>
        </w:rPr>
        <w:t>The carrying value and fair value of the Company’s debt were $5.3 billion and $4.7 billion, respectively, at March 31, 2026 and $5.3 billion and $4.9 billion, respectively, at December 31, 2025. Due to its short-term nature, the carrying value of Trade Receivable Facility borrowings at December 31, 2025 approximates its fair value. The estimated fair value of the</w:t>
      </w:r>
    </w:p>
    <w:p>
      <w:pPr>
        <w:spacing w:after="0" w:line="2" w:lineRule="exact"/>
        <w:rPr>
          <w:sz w:val="20"/>
          <w:szCs w:val="20"/>
          <w:color w:val="auto"/>
        </w:rPr>
      </w:pPr>
    </w:p>
    <w:p>
      <w:pPr>
        <w:ind w:left="380"/>
        <w:spacing w:after="0" w:line="225" w:lineRule="auto"/>
        <w:rPr>
          <w:sz w:val="20"/>
          <w:szCs w:val="20"/>
          <w:color w:val="auto"/>
        </w:rPr>
      </w:pPr>
      <w:r>
        <w:rPr>
          <w:rFonts w:ascii="Arial" w:cs="Arial" w:eastAsia="Arial" w:hAnsi="Arial"/>
          <w:sz w:val="20"/>
          <w:szCs w:val="20"/>
          <w:color w:val="auto"/>
        </w:rPr>
        <w:t>Company’s publicly-registered long-term debt was estimated based on Level 1 of the fair value hierarchy using quoted market prices.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2" w:lineRule="exact"/>
        <w:rPr>
          <w:sz w:val="20"/>
          <w:szCs w:val="20"/>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Arial" w:cs="Arial" w:eastAsia="Arial" w:hAnsi="Arial"/>
          <w:sz w:val="20"/>
          <w:szCs w:val="20"/>
          <w:b w:val="1"/>
          <w:bCs w:val="1"/>
          <w:color w:val="auto"/>
        </w:rPr>
        <w:t>Income Taxes</w:t>
      </w:r>
    </w:p>
    <w:p>
      <w:pPr>
        <w:spacing w:after="0" w:line="122" w:lineRule="exact"/>
        <w:rPr>
          <w:rFonts w:ascii="Calibri" w:cs="Calibri" w:eastAsia="Calibri" w:hAnsi="Calibri"/>
          <w:sz w:val="20"/>
          <w:szCs w:val="20"/>
          <w:b w:val="1"/>
          <w:bCs w:val="1"/>
          <w:color w:val="auto"/>
        </w:rPr>
      </w:pPr>
    </w:p>
    <w:p>
      <w:pPr>
        <w:jc w:val="both"/>
        <w:ind w:left="380"/>
        <w:spacing w:after="0" w:line="233" w:lineRule="auto"/>
        <w:rPr>
          <w:rFonts w:ascii="Calibri" w:cs="Calibri" w:eastAsia="Calibri" w:hAnsi="Calibri"/>
          <w:sz w:val="20"/>
          <w:szCs w:val="20"/>
          <w:b w:val="1"/>
          <w:bCs w:val="1"/>
          <w:color w:val="auto"/>
        </w:rPr>
      </w:pPr>
      <w:r>
        <w:rPr>
          <w:rFonts w:ascii="Arial" w:cs="Arial" w:eastAsia="Arial" w:hAnsi="Arial"/>
          <w:sz w:val="20"/>
          <w:szCs w:val="20"/>
          <w:color w:val="auto"/>
        </w:rPr>
        <w:t>The Company's effective income tax rate reflects the effect of federal and state income taxes on earnings and the impact of differences in book and tax accounting arising primarily from the permanent tax benefits associated with the statutory depletion deduction for mineral reserves. The effective income tax rates for continuing operations were 32.3% and 21.2% for the three months ended March 31, 2026 and 2025, respectively. The higher 2026 effective income tax rate versus 2025 was primarily attributable to the revaluation of deferred tax liabilities driven by changes in the state jurisdictional mix of the business following the QUIKRETE transaction.</w:t>
      </w:r>
    </w:p>
    <w:p>
      <w:pPr>
        <w:spacing w:after="0" w:line="64" w:lineRule="exact"/>
        <w:rPr>
          <w:rFonts w:ascii="Calibri" w:cs="Calibri" w:eastAsia="Calibri" w:hAnsi="Calibri"/>
          <w:sz w:val="20"/>
          <w:szCs w:val="20"/>
          <w:b w:val="1"/>
          <w:bCs w:val="1"/>
          <w:color w:val="auto"/>
        </w:rPr>
      </w:pPr>
    </w:p>
    <w:p>
      <w:pPr>
        <w:jc w:val="both"/>
        <w:ind w:left="380"/>
        <w:spacing w:after="0" w:line="233" w:lineRule="auto"/>
        <w:rPr>
          <w:rFonts w:ascii="Calibri" w:cs="Calibri" w:eastAsia="Calibri" w:hAnsi="Calibri"/>
          <w:sz w:val="20"/>
          <w:szCs w:val="20"/>
          <w:b w:val="1"/>
          <w:bCs w:val="1"/>
          <w:color w:val="auto"/>
        </w:rPr>
      </w:pPr>
      <w:r>
        <w:rPr>
          <w:rFonts w:ascii="Arial" w:cs="Arial" w:eastAsia="Arial" w:hAnsi="Arial"/>
          <w:sz w:val="20"/>
          <w:szCs w:val="20"/>
          <w:color w:val="auto"/>
        </w:rPr>
        <w:t xml:space="preserve">The Company invests in renewable energy investment entities which qualify for tax credits and other tax benefits (RETC projects) and are accounted for under the proportional amortization method. For the three months ended March 31, 2026 and 2025, the Company's annualized effective tax rate included the proportional amortization of these investments of $11 million and $7 million, respectively, offset by other tax benefits of $10 million and $7 million, respectively. Unfunded commitments of tax equity investments as of March 31, 2026 and December 31, 2025 are recorded in </w:t>
      </w:r>
      <w:r>
        <w:rPr>
          <w:rFonts w:ascii="Arial" w:cs="Arial" w:eastAsia="Arial" w:hAnsi="Arial"/>
          <w:sz w:val="20"/>
          <w:szCs w:val="20"/>
          <w:i w:val="1"/>
          <w:iCs w:val="1"/>
          <w:color w:val="auto"/>
        </w:rPr>
        <w:t>Unpaid commitments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 limited liability companies </w:t>
      </w:r>
      <w:r>
        <w:rPr>
          <w:rFonts w:ascii="Arial" w:cs="Arial" w:eastAsia="Arial" w:hAnsi="Arial"/>
          <w:sz w:val="20"/>
          <w:szCs w:val="20"/>
          <w:color w:val="auto"/>
        </w:rPr>
        <w:t>on the consolidated balance sheets.</w:t>
      </w:r>
    </w:p>
    <w:p>
      <w:pPr>
        <w:spacing w:after="0" w:line="278" w:lineRule="exact"/>
        <w:rPr>
          <w:rFonts w:ascii="Calibri" w:cs="Calibri" w:eastAsia="Calibri" w:hAnsi="Calibri"/>
          <w:sz w:val="20"/>
          <w:szCs w:val="20"/>
          <w:b w:val="1"/>
          <w:bCs w:val="1"/>
          <w:color w:val="auto"/>
        </w:rPr>
      </w:pPr>
    </w:p>
    <w:p>
      <w:pPr>
        <w:ind w:left="380" w:hanging="372"/>
        <w:spacing w:after="0"/>
        <w:tabs>
          <w:tab w:leader="none" w:pos="380" w:val="left"/>
        </w:tabs>
        <w:numPr>
          <w:ilvl w:val="0"/>
          <w:numId w:val="7"/>
        </w:numPr>
        <w:rPr>
          <w:rFonts w:ascii="Calibri" w:cs="Calibri" w:eastAsia="Calibri" w:hAnsi="Calibri"/>
          <w:sz w:val="20"/>
          <w:szCs w:val="20"/>
          <w:b w:val="1"/>
          <w:bCs w:val="1"/>
          <w:color w:val="auto"/>
        </w:rPr>
      </w:pPr>
      <w:r>
        <w:rPr>
          <w:rFonts w:ascii="Arial" w:cs="Arial" w:eastAsia="Arial" w:hAnsi="Arial"/>
          <w:sz w:val="20"/>
          <w:szCs w:val="20"/>
          <w:b w:val="1"/>
          <w:bCs w:val="1"/>
          <w:color w:val="auto"/>
        </w:rPr>
        <w:t>Pension Benefits</w:t>
      </w:r>
    </w:p>
    <w:p>
      <w:pPr>
        <w:spacing w:after="0" w:line="122"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color w:val="auto"/>
        </w:rPr>
        <w:t>The net periodic benefit cost for pension benefits includes the following components: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800" w:type="dxa"/>
            <w:vAlign w:val="bottom"/>
            <w:tcBorders>
              <w:bottom w:val="single" w:sz="8" w:color="auto"/>
            </w:tcBorders>
            <w:gridSpan w:val="5"/>
          </w:tcPr>
          <w:p>
            <w:pPr>
              <w:jc w:val="right"/>
              <w:ind w:right="561"/>
              <w:spacing w:after="0"/>
              <w:rPr>
                <w:sz w:val="20"/>
                <w:szCs w:val="20"/>
                <w:color w:val="auto"/>
              </w:rPr>
            </w:pPr>
            <w:r>
              <w:rPr>
                <w:rFonts w:ascii="Arial" w:cs="Arial" w:eastAsia="Arial" w:hAnsi="Arial"/>
                <w:sz w:val="20"/>
                <w:szCs w:val="20"/>
                <w:color w:val="auto"/>
              </w:rPr>
              <w:t>Three Months Ended 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00" w:type="dxa"/>
            <w:vAlign w:val="bottom"/>
          </w:tcPr>
          <w:p>
            <w:pPr>
              <w:spacing w:after="0"/>
              <w:rPr>
                <w:sz w:val="18"/>
                <w:szCs w:val="18"/>
                <w:color w:val="auto"/>
              </w:rPr>
            </w:pPr>
          </w:p>
        </w:tc>
        <w:tc>
          <w:tcPr>
            <w:tcW w:w="1660" w:type="dxa"/>
            <w:vAlign w:val="bottom"/>
            <w:tcBorders>
              <w:bottom w:val="single" w:sz="8" w:color="auto"/>
            </w:tcBorders>
          </w:tcPr>
          <w:p>
            <w:pPr>
              <w:jc w:val="right"/>
              <w:ind w:right="161"/>
              <w:spacing w:after="0" w:line="209" w:lineRule="exact"/>
              <w:rPr>
                <w:sz w:val="20"/>
                <w:szCs w:val="20"/>
                <w:color w:val="auto"/>
              </w:rPr>
            </w:pPr>
            <w:r>
              <w:rPr>
                <w:rFonts w:ascii="Arial" w:cs="Arial" w:eastAsia="Arial" w:hAnsi="Arial"/>
                <w:sz w:val="20"/>
                <w:szCs w:val="20"/>
                <w:color w:val="auto"/>
              </w:rPr>
              <w:t>2026</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Borders>
              <w:bottom w:val="single" w:sz="8" w:color="auto"/>
            </w:tcBorders>
          </w:tcPr>
          <w:p>
            <w:pPr>
              <w:jc w:val="right"/>
              <w:ind w:right="361"/>
              <w:spacing w:after="0" w:line="209" w:lineRule="exact"/>
              <w:rPr>
                <w:sz w:val="20"/>
                <w:szCs w:val="20"/>
                <w:color w:val="auto"/>
              </w:rPr>
            </w:pPr>
            <w:r>
              <w:rPr>
                <w:rFonts w:ascii="Arial" w:cs="Arial" w:eastAsia="Arial" w:hAnsi="Arial"/>
                <w:sz w:val="20"/>
                <w:szCs w:val="20"/>
                <w:color w:val="auto"/>
              </w:rPr>
              <w:t>2025</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40" w:type="dxa"/>
            <w:vAlign w:val="bottom"/>
            <w:gridSpan w:val="4"/>
          </w:tcPr>
          <w:p>
            <w:pPr>
              <w:jc w:val="right"/>
              <w:ind w:right="1101"/>
              <w:spacing w:after="0" w:line="209" w:lineRule="exact"/>
              <w:rPr>
                <w:sz w:val="20"/>
                <w:szCs w:val="20"/>
                <w:color w:val="auto"/>
              </w:rPr>
            </w:pPr>
            <w:r>
              <w:rPr>
                <w:rFonts w:ascii="Arial" w:cs="Arial" w:eastAsia="Arial" w:hAnsi="Arial"/>
                <w:sz w:val="20"/>
                <w:szCs w:val="20"/>
                <w:i w:val="1"/>
                <w:iCs w:val="1"/>
                <w:color w:val="auto"/>
              </w:rPr>
              <w:t>(Dollars in 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Service cost</w:t>
            </w:r>
          </w:p>
        </w:tc>
        <w:tc>
          <w:tcPr>
            <w:tcW w:w="1660" w:type="dxa"/>
            <w:vAlign w:val="bottom"/>
            <w:shd w:val="clear" w:color="auto" w:fill="CFF0FC"/>
          </w:tcPr>
          <w:p>
            <w:pPr>
              <w:jc w:val="right"/>
              <w:ind w:right="1461"/>
              <w:spacing w:after="0" w:line="216" w:lineRule="exact"/>
              <w:rPr>
                <w:sz w:val="20"/>
                <w:szCs w:val="20"/>
                <w:color w:val="auto"/>
              </w:rPr>
            </w:pPr>
            <w:r>
              <w:rPr>
                <w:rFonts w:ascii="Arial" w:cs="Arial" w:eastAsia="Arial" w:hAnsi="Arial"/>
                <w:sz w:val="20"/>
                <w:szCs w:val="20"/>
                <w:color w:val="auto"/>
                <w:w w:val="71"/>
              </w:rPr>
              <w:t>$</w:t>
            </w:r>
          </w:p>
        </w:tc>
        <w:tc>
          <w:tcPr>
            <w:tcW w:w="7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9</w:t>
            </w:r>
          </w:p>
        </w:tc>
        <w:tc>
          <w:tcPr>
            <w:tcW w:w="22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1861"/>
              <w:spacing w:after="0" w:line="216" w:lineRule="exact"/>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9</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line="216" w:lineRule="exact"/>
              <w:rPr>
                <w:sz w:val="20"/>
                <w:szCs w:val="20"/>
                <w:color w:val="auto"/>
              </w:rPr>
            </w:pPr>
            <w:r>
              <w:rPr>
                <w:rFonts w:ascii="Arial" w:cs="Arial" w:eastAsia="Arial" w:hAnsi="Arial"/>
                <w:sz w:val="20"/>
                <w:szCs w:val="20"/>
                <w:color w:val="auto"/>
              </w:rPr>
              <w:t>Interest cost</w:t>
            </w:r>
          </w:p>
        </w:tc>
        <w:tc>
          <w:tcPr>
            <w:tcW w:w="1660" w:type="dxa"/>
            <w:vAlign w:val="bottom"/>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Arial" w:cs="Arial" w:eastAsia="Arial" w:hAnsi="Arial"/>
                <w:sz w:val="20"/>
                <w:szCs w:val="20"/>
                <w:color w:val="auto"/>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jc w:val="right"/>
              <w:spacing w:after="0" w:line="216" w:lineRule="exact"/>
              <w:rPr>
                <w:sz w:val="20"/>
                <w:szCs w:val="20"/>
                <w:color w:val="auto"/>
              </w:rPr>
            </w:pPr>
            <w:r>
              <w:rPr>
                <w:rFonts w:ascii="Arial" w:cs="Arial" w:eastAsia="Arial" w:hAnsi="Arial"/>
                <w:sz w:val="20"/>
                <w:szCs w:val="20"/>
                <w:color w:val="auto"/>
              </w:rPr>
              <w:t>15</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Expected return on assets</w:t>
            </w:r>
          </w:p>
        </w:tc>
        <w:tc>
          <w:tcPr>
            <w:tcW w:w="16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line="216" w:lineRule="exact"/>
              <w:rPr>
                <w:sz w:val="20"/>
                <w:szCs w:val="20"/>
                <w:color w:val="auto"/>
              </w:rPr>
            </w:pPr>
            <w:r>
              <w:rPr>
                <w:rFonts w:ascii="Arial" w:cs="Arial" w:eastAsia="Arial" w:hAnsi="Arial"/>
                <w:sz w:val="20"/>
                <w:szCs w:val="20"/>
                <w:color w:val="auto"/>
              </w:rPr>
              <w:t>(23)</w:t>
            </w:r>
          </w:p>
        </w:tc>
        <w:tc>
          <w:tcPr>
            <w:tcW w:w="14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(21)</w:t>
            </w:r>
          </w:p>
        </w:tc>
      </w:tr>
      <w:tr>
        <w:trPr>
          <w:trHeight w:val="216"/>
        </w:trPr>
        <w:tc>
          <w:tcPr>
            <w:tcW w:w="5600" w:type="dxa"/>
            <w:vAlign w:val="bottom"/>
            <w:tcBorders>
              <w:bottom w:val="single" w:sz="8" w:color="CFF0FC"/>
            </w:tcBorders>
          </w:tcPr>
          <w:p>
            <w:pPr>
              <w:spacing w:after="0" w:line="216" w:lineRule="exact"/>
              <w:rPr>
                <w:sz w:val="20"/>
                <w:szCs w:val="20"/>
                <w:color w:val="auto"/>
              </w:rPr>
            </w:pPr>
            <w:r>
              <w:rPr>
                <w:rFonts w:ascii="Arial" w:cs="Arial" w:eastAsia="Arial" w:hAnsi="Arial"/>
                <w:sz w:val="20"/>
                <w:szCs w:val="20"/>
                <w:color w:val="auto"/>
              </w:rPr>
              <w:t>Amortization of prior service cost</w:t>
            </w:r>
          </w:p>
        </w:tc>
        <w:tc>
          <w:tcPr>
            <w:tcW w:w="1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w:t>
            </w:r>
          </w:p>
        </w:tc>
        <w:tc>
          <w:tcPr>
            <w:tcW w:w="100" w:type="dxa"/>
            <w:vAlign w:val="bottom"/>
            <w:tcBorders>
              <w:bottom w:val="single" w:sz="8" w:color="CFF0FC"/>
            </w:tcBorders>
          </w:tcPr>
          <w:p>
            <w:pPr>
              <w:spacing w:after="0"/>
              <w:rPr>
                <w:sz w:val="18"/>
                <w:szCs w:val="18"/>
                <w:color w:val="auto"/>
              </w:rPr>
            </w:pPr>
          </w:p>
        </w:tc>
      </w:tr>
      <w:tr>
        <w:trPr>
          <w:trHeight w:val="250"/>
        </w:trPr>
        <w:tc>
          <w:tcPr>
            <w:tcW w:w="56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20"/>
                <w:szCs w:val="20"/>
                <w:color w:val="auto"/>
              </w:rPr>
              <w:t>Net periodic benefit cost</w:t>
            </w:r>
          </w:p>
        </w:tc>
        <w:tc>
          <w:tcPr>
            <w:tcW w:w="1660" w:type="dxa"/>
            <w:vAlign w:val="bottom"/>
            <w:tcBorders>
              <w:bottom w:val="single" w:sz="8" w:color="auto"/>
            </w:tcBorders>
            <w:shd w:val="clear" w:color="auto" w:fill="CFF0FC"/>
          </w:tcPr>
          <w:p>
            <w:pPr>
              <w:jc w:val="right"/>
              <w:ind w:right="1461"/>
              <w:spacing w:after="0" w:line="196" w:lineRule="exact"/>
              <w:rPr>
                <w:sz w:val="20"/>
                <w:szCs w:val="20"/>
                <w:color w:val="auto"/>
              </w:rPr>
            </w:pPr>
            <w:r>
              <w:rPr>
                <w:rFonts w:ascii="Arial" w:cs="Arial" w:eastAsia="Arial" w:hAnsi="Arial"/>
                <w:sz w:val="20"/>
                <w:szCs w:val="20"/>
                <w:color w:val="auto"/>
                <w:w w:val="71"/>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60" w:type="dxa"/>
            <w:vAlign w:val="bottom"/>
            <w:tcBorders>
              <w:bottom w:val="single" w:sz="8" w:color="auto"/>
            </w:tcBorders>
            <w:shd w:val="clear" w:color="auto" w:fill="CFF0FC"/>
          </w:tcPr>
          <w:p>
            <w:pPr>
              <w:jc w:val="right"/>
              <w:ind w:right="1861"/>
              <w:spacing w:after="0" w:line="196" w:lineRule="exact"/>
              <w:rPr>
                <w:sz w:val="20"/>
                <w:szCs w:val="20"/>
                <w:color w:val="auto"/>
              </w:rPr>
            </w:pPr>
            <w:r>
              <w:rPr>
                <w:rFonts w:ascii="Arial" w:cs="Arial" w:eastAsia="Arial" w:hAnsi="Arial"/>
                <w:sz w:val="20"/>
                <w:szCs w:val="20"/>
                <w:color w:val="auto"/>
                <w:w w:val="71"/>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20"/>
                <w:szCs w:val="20"/>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jc w:val="both"/>
        <w:ind w:left="380"/>
        <w:spacing w:after="0" w:line="237" w:lineRule="auto"/>
        <w:rPr>
          <w:sz w:val="20"/>
          <w:szCs w:val="20"/>
          <w:color w:val="auto"/>
        </w:rPr>
      </w:pPr>
      <w:r>
        <w:rPr>
          <w:rFonts w:ascii="Arial" w:cs="Arial" w:eastAsia="Arial" w:hAnsi="Arial"/>
          <w:sz w:val="20"/>
          <w:szCs w:val="20"/>
          <w:color w:val="auto"/>
        </w:rPr>
        <w:t xml:space="preserve">The components of net periodic benefit cost, other than service cost, are included in the line item </w:t>
      </w:r>
      <w:r>
        <w:rPr>
          <w:rFonts w:ascii="Arial" w:cs="Arial" w:eastAsia="Arial" w:hAnsi="Arial"/>
          <w:sz w:val="20"/>
          <w:szCs w:val="20"/>
          <w:i w:val="1"/>
          <w:iCs w:val="1"/>
          <w:color w:val="auto"/>
        </w:rPr>
        <w:t>Other nonoperating</w:t>
      </w:r>
      <w:r>
        <w:rPr>
          <w:rFonts w:ascii="Arial" w:cs="Arial" w:eastAsia="Arial" w:hAnsi="Arial"/>
          <w:sz w:val="20"/>
          <w:szCs w:val="20"/>
          <w:color w:val="auto"/>
        </w:rPr>
        <w:t xml:space="preserve"> </w:t>
      </w:r>
      <w:r>
        <w:rPr>
          <w:rFonts w:ascii="Arial" w:cs="Arial" w:eastAsia="Arial" w:hAnsi="Arial"/>
          <w:sz w:val="20"/>
          <w:szCs w:val="20"/>
          <w:i w:val="1"/>
          <w:iCs w:val="1"/>
          <w:color w:val="auto"/>
        </w:rPr>
        <w:t>income, net</w:t>
      </w:r>
      <w:r>
        <w:rPr>
          <w:rFonts w:ascii="Arial" w:cs="Arial" w:eastAsia="Arial" w:hAnsi="Arial"/>
          <w:sz w:val="20"/>
          <w:szCs w:val="20"/>
          <w:color w:val="auto"/>
        </w:rPr>
        <w:t>, in the consolidated statements of earnings and comprehensive earnings. Based on the roles of the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service cost is included in the </w:t>
      </w:r>
      <w:r>
        <w:rPr>
          <w:rFonts w:ascii="Arial" w:cs="Arial" w:eastAsia="Arial" w:hAnsi="Arial"/>
          <w:sz w:val="20"/>
          <w:szCs w:val="20"/>
          <w:i w:val="1"/>
          <w:iCs w:val="1"/>
          <w:color w:val="auto"/>
        </w:rPr>
        <w:t>Cost of revenues</w:t>
      </w:r>
      <w:r>
        <w:rPr>
          <w:rFonts w:ascii="Arial" w:cs="Arial" w:eastAsia="Arial" w:hAnsi="Arial"/>
          <w:sz w:val="20"/>
          <w:szCs w:val="20"/>
          <w:color w:val="auto"/>
        </w:rPr>
        <w:t xml:space="preserve"> or </w:t>
      </w:r>
      <w:r>
        <w:rPr>
          <w:rFonts w:ascii="Arial" w:cs="Arial" w:eastAsia="Arial" w:hAnsi="Arial"/>
          <w:sz w:val="20"/>
          <w:szCs w:val="20"/>
          <w:i w:val="1"/>
          <w:iCs w:val="1"/>
          <w:color w:val="auto"/>
        </w:rPr>
        <w:t>Selling</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and administrative expenses</w:t>
      </w:r>
      <w:r>
        <w:rPr>
          <w:rFonts w:ascii="Arial" w:cs="Arial" w:eastAsia="Arial" w:hAnsi="Arial"/>
          <w:sz w:val="20"/>
          <w:szCs w:val="20"/>
          <w:color w:val="auto"/>
        </w:rPr>
        <w:t xml:space="preserve"> line items in the consolidated statements of earnings and comprehensive earnings.</w:t>
      </w:r>
    </w:p>
    <w:p>
      <w:pPr>
        <w:spacing w:after="0" w:line="278" w:lineRule="exact"/>
        <w:rPr>
          <w:sz w:val="20"/>
          <w:szCs w:val="20"/>
          <w:color w:val="auto"/>
        </w:rPr>
      </w:pPr>
    </w:p>
    <w:p>
      <w:pPr>
        <w:ind w:left="380" w:hanging="372"/>
        <w:spacing w:after="0"/>
        <w:tabs>
          <w:tab w:leader="none" w:pos="380" w:val="left"/>
        </w:tabs>
        <w:numPr>
          <w:ilvl w:val="0"/>
          <w:numId w:val="8"/>
        </w:numPr>
        <w:rPr>
          <w:rFonts w:ascii="Calibri" w:cs="Calibri" w:eastAsia="Calibri" w:hAnsi="Calibri"/>
          <w:sz w:val="20"/>
          <w:szCs w:val="20"/>
          <w:b w:val="1"/>
          <w:bCs w:val="1"/>
          <w:color w:val="auto"/>
        </w:rPr>
      </w:pPr>
      <w:r>
        <w:rPr>
          <w:rFonts w:ascii="Arial" w:cs="Arial" w:eastAsia="Arial" w:hAnsi="Arial"/>
          <w:sz w:val="20"/>
          <w:szCs w:val="20"/>
          <w:b w:val="1"/>
          <w:bCs w:val="1"/>
          <w:color w:val="auto"/>
        </w:rPr>
        <w:t>Commitments and Contingencies</w:t>
      </w:r>
    </w:p>
    <w:p>
      <w:pPr>
        <w:spacing w:after="0" w:line="120" w:lineRule="exact"/>
        <w:rPr>
          <w:rFonts w:ascii="Calibri" w:cs="Calibri" w:eastAsia="Calibri" w:hAnsi="Calibri"/>
          <w:sz w:val="20"/>
          <w:szCs w:val="20"/>
          <w:b w:val="1"/>
          <w:bCs w:val="1"/>
          <w:color w:val="auto"/>
        </w:rPr>
      </w:pPr>
    </w:p>
    <w:p>
      <w:pPr>
        <w:ind w:left="380"/>
        <w:spacing w:after="0"/>
        <w:rPr>
          <w:rFonts w:ascii="Calibri" w:cs="Calibri" w:eastAsia="Calibri" w:hAnsi="Calibri"/>
          <w:sz w:val="20"/>
          <w:szCs w:val="20"/>
          <w:b w:val="1"/>
          <w:bCs w:val="1"/>
          <w:color w:val="auto"/>
        </w:rPr>
      </w:pPr>
      <w:r>
        <w:rPr>
          <w:rFonts w:ascii="Arial" w:cs="Arial" w:eastAsia="Arial" w:hAnsi="Arial"/>
          <w:sz w:val="20"/>
          <w:szCs w:val="20"/>
          <w:b w:val="1"/>
          <w:bCs w:val="1"/>
          <w:color w:val="auto"/>
        </w:rPr>
        <w:t>Legal and Administrative Proceedings</w:t>
      </w:r>
    </w:p>
    <w:p>
      <w:pPr>
        <w:spacing w:after="0" w:line="96" w:lineRule="exact"/>
        <w:rPr>
          <w:rFonts w:ascii="Calibri" w:cs="Calibri" w:eastAsia="Calibri" w:hAnsi="Calibri"/>
          <w:sz w:val="20"/>
          <w:szCs w:val="20"/>
          <w:b w:val="1"/>
          <w:bCs w:val="1"/>
          <w:color w:val="auto"/>
        </w:rPr>
      </w:pPr>
    </w:p>
    <w:p>
      <w:pPr>
        <w:jc w:val="both"/>
        <w:ind w:left="380"/>
        <w:spacing w:after="0"/>
        <w:rPr>
          <w:rFonts w:ascii="Calibri" w:cs="Calibri" w:eastAsia="Calibri" w:hAnsi="Calibri"/>
          <w:sz w:val="20"/>
          <w:szCs w:val="20"/>
          <w:b w:val="1"/>
          <w:bCs w:val="1"/>
          <w:color w:val="auto"/>
        </w:rPr>
      </w:pPr>
      <w:r>
        <w:rPr>
          <w:rFonts w:ascii="Arial" w:cs="Arial" w:eastAsia="Arial" w:hAnsi="Arial"/>
          <w:sz w:val="19"/>
          <w:szCs w:val="19"/>
          <w:color w:val="auto"/>
        </w:rPr>
        <w:t>The Company is engaged in certain legal and administrative proceedings incidental to its normal business activities, including proceedings relating to environmental matters.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w:t>
      </w:r>
    </w:p>
    <w:p>
      <w:pPr>
        <w:spacing w:after="0" w:line="3" w:lineRule="exact"/>
        <w:rPr>
          <w:sz w:val="20"/>
          <w:szCs w:val="20"/>
          <w:color w:val="auto"/>
        </w:rPr>
      </w:pPr>
    </w:p>
    <w:p>
      <w:pPr>
        <w:jc w:val="both"/>
        <w:ind w:left="380"/>
        <w:spacing w:after="0" w:line="225" w:lineRule="auto"/>
        <w:rPr>
          <w:sz w:val="20"/>
          <w:szCs w:val="20"/>
          <w:color w:val="auto"/>
        </w:rPr>
      </w:pPr>
      <w:r>
        <w:rPr>
          <w:rFonts w:ascii="Arial" w:cs="Arial" w:eastAsia="Arial" w:hAnsi="Arial"/>
          <w:sz w:val="20"/>
          <w:szCs w:val="20"/>
          <w:color w:val="auto"/>
        </w:rPr>
        <w:t>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Company's financial condition, results of operations or cash flows, as a whole, based on currently available facts.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7" w:name="page18"/>
    <w:bookmarkEnd w:id="17"/>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4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Letters of Credit</w:t>
      </w:r>
    </w:p>
    <w:p>
      <w:pPr>
        <w:spacing w:after="0" w:line="96"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In the normal course of business, the Company provides certain third parties with standby letter of credit agreements guaranteeing its payment for certain insurance claims, contract performance and permit requirements. At March 31, 2026, the Company was contingently liable for $31 million in letters of credit.</w:t>
      </w:r>
    </w:p>
    <w:p>
      <w:pPr>
        <w:spacing w:after="0" w:line="277" w:lineRule="exact"/>
        <w:rPr>
          <w:sz w:val="20"/>
          <w:szCs w:val="20"/>
          <w:color w:val="auto"/>
        </w:rPr>
      </w:pPr>
    </w:p>
    <w:p>
      <w:pPr>
        <w:ind w:left="380" w:hanging="372"/>
        <w:spacing w:after="0"/>
        <w:tabs>
          <w:tab w:leader="none" w:pos="380" w:val="left"/>
        </w:tabs>
        <w:numPr>
          <w:ilvl w:val="0"/>
          <w:numId w:val="9"/>
        </w:numPr>
        <w:rPr>
          <w:rFonts w:ascii="Calibri" w:cs="Calibri" w:eastAsia="Calibri" w:hAnsi="Calibri"/>
          <w:sz w:val="20"/>
          <w:szCs w:val="20"/>
          <w:b w:val="1"/>
          <w:bCs w:val="1"/>
          <w:color w:val="auto"/>
        </w:rPr>
      </w:pPr>
      <w:r>
        <w:rPr>
          <w:rFonts w:ascii="Arial" w:cs="Arial" w:eastAsia="Arial" w:hAnsi="Arial"/>
          <w:sz w:val="20"/>
          <w:szCs w:val="20"/>
          <w:b w:val="1"/>
          <w:bCs w:val="1"/>
          <w:color w:val="auto"/>
        </w:rPr>
        <w:t>Segments</w:t>
      </w:r>
    </w:p>
    <w:p>
      <w:pPr>
        <w:spacing w:after="0" w:line="122" w:lineRule="exact"/>
        <w:rPr>
          <w:rFonts w:ascii="Calibri" w:cs="Calibri" w:eastAsia="Calibri" w:hAnsi="Calibri"/>
          <w:sz w:val="20"/>
          <w:szCs w:val="20"/>
          <w:b w:val="1"/>
          <w:bCs w:val="1"/>
          <w:color w:val="auto"/>
        </w:rPr>
      </w:pPr>
    </w:p>
    <w:p>
      <w:pPr>
        <w:jc w:val="both"/>
        <w:ind w:left="380"/>
        <w:spacing w:after="0" w:line="234" w:lineRule="auto"/>
        <w:rPr>
          <w:rFonts w:ascii="Calibri" w:cs="Calibri" w:eastAsia="Calibri" w:hAnsi="Calibri"/>
          <w:sz w:val="20"/>
          <w:szCs w:val="20"/>
          <w:b w:val="1"/>
          <w:bCs w:val="1"/>
          <w:color w:val="auto"/>
        </w:rPr>
      </w:pPr>
      <w:r>
        <w:rPr>
          <w:rFonts w:ascii="Arial" w:cs="Arial" w:eastAsia="Arial" w:hAnsi="Arial"/>
          <w:sz w:val="20"/>
          <w:szCs w:val="20"/>
          <w:color w:val="auto"/>
        </w:rPr>
        <w:t>The Building Materials business is comprised of four divisions that represent individual operating segments. These operating segments are consolidated into two reportable segments, the East Group and the West Group, for financial reporting purposes, as they meet the aggregation criteria (see Note 1 for 2026 changes to the components of the East Group and West Group reportable segments). The Specialties business represents an individual operating and reportable segment.</w:t>
      </w:r>
    </w:p>
    <w:p>
      <w:pPr>
        <w:spacing w:after="0" w:line="66" w:lineRule="exact"/>
        <w:rPr>
          <w:rFonts w:ascii="Calibri" w:cs="Calibri" w:eastAsia="Calibri" w:hAnsi="Calibri"/>
          <w:sz w:val="20"/>
          <w:szCs w:val="20"/>
          <w:b w:val="1"/>
          <w:bCs w:val="1"/>
          <w:color w:val="auto"/>
        </w:rPr>
      </w:pPr>
    </w:p>
    <w:p>
      <w:pPr>
        <w:jc w:val="both"/>
        <w:ind w:left="380"/>
        <w:spacing w:after="0" w:line="231" w:lineRule="auto"/>
        <w:rPr>
          <w:rFonts w:ascii="Calibri" w:cs="Calibri" w:eastAsia="Calibri" w:hAnsi="Calibri"/>
          <w:sz w:val="20"/>
          <w:szCs w:val="20"/>
          <w:b w:val="1"/>
          <w:bCs w:val="1"/>
          <w:color w:val="auto"/>
        </w:rPr>
      </w:pPr>
      <w:r>
        <w:rPr>
          <w:rFonts w:ascii="Arial" w:cs="Arial" w:eastAsia="Arial" w:hAnsi="Arial"/>
          <w:sz w:val="20"/>
          <w:szCs w:val="20"/>
          <w:color w:val="auto"/>
        </w:rPr>
        <w:t>The Company’s Chief Operating Decision Maker (CODM) is the Chair, President and Chief Executive Officer. The CODM reviews results by reportable segment on a quarterly basis and allocates resources to achieve the Company’s strategic objectives based on an evaluation of each reportable segment’s performance. This evaluation is largely based on segment earnings (loss) from operations, as management believes this is the best metric of segment profitability and operating performance. Segment earnings (loss) from operations is also a measure in the determination of incentive compensation targets and awards. Segment earnings (loss) from operations include revenues less cost of revenues; selling, general and administrative expenses; other operating income and expenses, net; and exclude interest income and expense; other nonoperating income and expenses, net; and income tax expense.</w:t>
      </w:r>
    </w:p>
    <w:p>
      <w:pPr>
        <w:spacing w:after="0" w:line="65" w:lineRule="exact"/>
        <w:rPr>
          <w:rFonts w:ascii="Calibri" w:cs="Calibri" w:eastAsia="Calibri" w:hAnsi="Calibri"/>
          <w:sz w:val="20"/>
          <w:szCs w:val="20"/>
          <w:b w:val="1"/>
          <w:bCs w:val="1"/>
          <w:color w:val="auto"/>
        </w:rPr>
      </w:pPr>
    </w:p>
    <w:p>
      <w:pPr>
        <w:jc w:val="both"/>
        <w:ind w:left="380"/>
        <w:spacing w:after="0" w:line="241" w:lineRule="auto"/>
        <w:rPr>
          <w:rFonts w:ascii="Calibri" w:cs="Calibri" w:eastAsia="Calibri" w:hAnsi="Calibri"/>
          <w:sz w:val="20"/>
          <w:szCs w:val="20"/>
          <w:b w:val="1"/>
          <w:bCs w:val="1"/>
          <w:color w:val="auto"/>
        </w:rPr>
      </w:pPr>
      <w:r>
        <w:rPr>
          <w:rFonts w:ascii="Arial" w:cs="Arial" w:eastAsia="Arial" w:hAnsi="Arial"/>
          <w:sz w:val="20"/>
          <w:szCs w:val="20"/>
          <w:color w:val="auto"/>
        </w:rPr>
        <w:t>The significant expense categories shown below align with the segment-level information regularly provided to the CODM. Other costs of revenues for each reportable segment mainly include raw materials, repairs and maintenance, contract services, supplies and royalties.</w:t>
      </w:r>
    </w:p>
    <w:p>
      <w:pPr>
        <w:spacing w:after="0" w:line="63" w:lineRule="exact"/>
        <w:rPr>
          <w:rFonts w:ascii="Calibri" w:cs="Calibri" w:eastAsia="Calibri" w:hAnsi="Calibri"/>
          <w:sz w:val="20"/>
          <w:szCs w:val="20"/>
          <w:b w:val="1"/>
          <w:bCs w:val="1"/>
          <w:color w:val="auto"/>
        </w:rPr>
      </w:pPr>
    </w:p>
    <w:p>
      <w:pPr>
        <w:jc w:val="both"/>
        <w:ind w:left="380"/>
        <w:spacing w:after="0" w:line="241" w:lineRule="auto"/>
        <w:rPr>
          <w:rFonts w:ascii="Calibri" w:cs="Calibri" w:eastAsia="Calibri" w:hAnsi="Calibri"/>
          <w:sz w:val="20"/>
          <w:szCs w:val="20"/>
          <w:b w:val="1"/>
          <w:bCs w:val="1"/>
          <w:color w:val="auto"/>
        </w:rPr>
      </w:pPr>
      <w:r>
        <w:rPr>
          <w:rFonts w:ascii="Arial" w:cs="Arial" w:eastAsia="Arial" w:hAnsi="Arial"/>
          <w:sz w:val="20"/>
          <w:szCs w:val="20"/>
          <w:color w:val="auto"/>
        </w:rPr>
        <w:t>Corporate loss from operations primarily includes depreciation and amortization; expenses for corporate administrative functions; acquisition, divestiture and integration expenses; and other nonrecurring income and expenses not attributable to operations of the Company's operating segments.</w:t>
      </w:r>
    </w:p>
    <w:p>
      <w:pPr>
        <w:spacing w:after="0" w:line="63"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Arial" w:cs="Arial" w:eastAsia="Arial" w:hAnsi="Arial"/>
          <w:sz w:val="20"/>
          <w:szCs w:val="20"/>
          <w:color w:val="auto"/>
        </w:rPr>
        <w:t>The following tables display selected financial data for the Company’s reportable segments and reflect continuing operations only. Revenues, as presented on the consolidated statements of earnings and comprehensive earnings, reflect the elimination of intersegment revenues, which represent sales from one segment to another segment and are immaterial. Income tax expense is not allocated to the Company's reportable segments.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12"/>
          </w:tcPr>
          <w:p>
            <w:pPr>
              <w:jc w:val="right"/>
              <w:ind w:right="1080"/>
              <w:spacing w:after="0"/>
              <w:rPr>
                <w:sz w:val="20"/>
                <w:szCs w:val="20"/>
                <w:color w:val="auto"/>
              </w:rPr>
            </w:pPr>
            <w:r>
              <w:rPr>
                <w:rFonts w:ascii="Arial" w:cs="Arial" w:eastAsia="Arial" w:hAnsi="Arial"/>
                <w:sz w:val="18"/>
                <w:szCs w:val="18"/>
                <w:color w:val="auto"/>
              </w:rPr>
              <w:t>Three Months Ended March 31, 2026</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jc w:val="right"/>
              <w:ind w:right="299"/>
              <w:spacing w:after="0" w:line="182" w:lineRule="exact"/>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Reportable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East Group</w:t>
            </w:r>
          </w:p>
        </w:tc>
        <w:tc>
          <w:tcPr>
            <w:tcW w:w="280" w:type="dxa"/>
            <w:vAlign w:val="bottom"/>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West Group</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Specialties</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Segments</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Corporate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Segment Revenues</w:t>
            </w:r>
          </w:p>
        </w:tc>
        <w:tc>
          <w:tcPr>
            <w:tcW w:w="820" w:type="dxa"/>
            <w:vAlign w:val="bottom"/>
            <w:gridSpan w:val="2"/>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835</w:t>
            </w:r>
          </w:p>
        </w:tc>
        <w:tc>
          <w:tcPr>
            <w:tcW w:w="660" w:type="dxa"/>
            <w:vAlign w:val="bottom"/>
            <w:gridSpan w:val="2"/>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384</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143</w:t>
            </w:r>
          </w:p>
        </w:tc>
        <w:tc>
          <w:tcPr>
            <w:tcW w:w="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1,362</w:t>
            </w:r>
          </w:p>
        </w:tc>
        <w:tc>
          <w:tcPr>
            <w:tcW w:w="3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Less: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Labor and benefits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color w:val="auto"/>
              </w:rPr>
              <w:t>Depreciation, depletion and amortization</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expense</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Energy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External freight expense</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Other costs of revenues</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80"/>
              <w:spacing w:after="0" w:line="175" w:lineRule="exact"/>
              <w:rPr>
                <w:sz w:val="20"/>
                <w:szCs w:val="20"/>
                <w:color w:val="auto"/>
              </w:rPr>
            </w:pPr>
            <w:r>
              <w:rPr>
                <w:rFonts w:ascii="Arial" w:cs="Arial" w:eastAsia="Arial" w:hAnsi="Arial"/>
                <w:sz w:val="16"/>
                <w:szCs w:val="16"/>
                <w:color w:val="auto"/>
              </w:rPr>
              <w:t>Acquisition, divestiture and integration</w:t>
            </w:r>
          </w:p>
        </w:tc>
        <w:tc>
          <w:tcPr>
            <w:tcW w:w="4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expenses</w:t>
            </w: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Other operating expense, net</w:t>
            </w:r>
          </w:p>
        </w:tc>
        <w:tc>
          <w:tcPr>
            <w:tcW w:w="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Segment Earnings (Loss) from Operations</w:t>
            </w:r>
          </w:p>
        </w:tc>
        <w:tc>
          <w:tcPr>
            <w:tcW w:w="820" w:type="dxa"/>
            <w:vAlign w:val="bottom"/>
            <w:gridSpan w:val="2"/>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230</w:t>
            </w:r>
          </w:p>
        </w:tc>
        <w:tc>
          <w:tcPr>
            <w:tcW w:w="660" w:type="dxa"/>
            <w:vAlign w:val="bottom"/>
            <w:gridSpan w:val="2"/>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(43)</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w:t>
            </w:r>
          </w:p>
        </w:tc>
        <w:tc>
          <w:tcPr>
            <w:tcW w:w="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222</w:t>
            </w:r>
          </w:p>
        </w:tc>
        <w:tc>
          <w:tcPr>
            <w:tcW w:w="3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(60)</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nonoperating income, net</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8"/>
        </w:trPr>
        <w:tc>
          <w:tcPr>
            <w:tcW w:w="3740" w:type="dxa"/>
            <w:vAlign w:val="bottom"/>
            <w:tcBorders>
              <w:top w:val="single" w:sz="8" w:color="CFF0FC"/>
            </w:tcBorders>
          </w:tcPr>
          <w:p>
            <w:pPr>
              <w:ind w:left="40"/>
              <w:spacing w:after="0" w:line="168" w:lineRule="exact"/>
              <w:rPr>
                <w:sz w:val="20"/>
                <w:szCs w:val="20"/>
                <w:color w:val="auto"/>
              </w:rPr>
            </w:pPr>
            <w:r>
              <w:rPr>
                <w:rFonts w:ascii="Arial" w:cs="Arial" w:eastAsia="Arial" w:hAnsi="Arial"/>
                <w:sz w:val="16"/>
                <w:szCs w:val="16"/>
                <w:color w:val="auto"/>
              </w:rPr>
              <w:t>Consolidated earnings from continuing</w:t>
            </w:r>
          </w:p>
        </w:tc>
        <w:tc>
          <w:tcPr>
            <w:tcW w:w="44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tcPr>
          <w:p>
            <w:pPr>
              <w:ind w:left="180"/>
              <w:spacing w:after="0" w:line="143" w:lineRule="exact"/>
              <w:rPr>
                <w:sz w:val="20"/>
                <w:szCs w:val="20"/>
                <w:color w:val="auto"/>
              </w:rPr>
            </w:pPr>
            <w:r>
              <w:rPr>
                <w:rFonts w:ascii="Arial" w:cs="Arial" w:eastAsia="Arial" w:hAnsi="Arial"/>
                <w:sz w:val="16"/>
                <w:szCs w:val="16"/>
                <w:color w:val="auto"/>
              </w:rPr>
              <w:t>operations before income tax expense</w:t>
            </w:r>
          </w:p>
        </w:tc>
        <w:tc>
          <w:tcPr>
            <w:tcW w:w="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-248285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-248285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-248285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-248285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-248285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12"/>
          </w:tcPr>
          <w:p>
            <w:pPr>
              <w:jc w:val="right"/>
              <w:ind w:right="1080"/>
              <w:spacing w:after="0"/>
              <w:rPr>
                <w:sz w:val="20"/>
                <w:szCs w:val="20"/>
                <w:color w:val="auto"/>
              </w:rPr>
            </w:pPr>
            <w:r>
              <w:rPr>
                <w:rFonts w:ascii="Arial" w:cs="Arial" w:eastAsia="Arial" w:hAnsi="Arial"/>
                <w:sz w:val="18"/>
                <w:szCs w:val="18"/>
                <w:color w:val="auto"/>
              </w:rPr>
              <w:t>Three Months Ended March 31, 2025</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jc w:val="right"/>
              <w:ind w:right="299"/>
              <w:spacing w:after="0" w:line="182" w:lineRule="exact"/>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Reportable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vMerge w:val="restart"/>
          </w:tcPr>
          <w:p>
            <w:pPr>
              <w:ind w:left="40"/>
              <w:spacing w:after="0"/>
              <w:rPr>
                <w:sz w:val="20"/>
                <w:szCs w:val="20"/>
                <w:color w:val="auto"/>
              </w:rPr>
            </w:pPr>
            <w:r>
              <w:rPr>
                <w:rFonts w:ascii="Arial" w:cs="Arial" w:eastAsia="Arial" w:hAnsi="Arial"/>
                <w:sz w:val="16"/>
                <w:szCs w:val="16"/>
                <w:color w:val="auto"/>
              </w:rPr>
              <w:t>Segment Revenues</w:t>
            </w:r>
          </w:p>
        </w:tc>
        <w:tc>
          <w:tcPr>
            <w:tcW w:w="4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East Group</w:t>
            </w:r>
          </w:p>
        </w:tc>
        <w:tc>
          <w:tcPr>
            <w:tcW w:w="28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6"/>
                <w:szCs w:val="16"/>
                <w:color w:val="auto"/>
              </w:rPr>
              <w:t>West Group</w:t>
            </w:r>
          </w:p>
        </w:tc>
        <w:tc>
          <w:tcPr>
            <w:tcW w:w="1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Specialties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7"/>
              </w:rPr>
              <w:t>Segments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w w:val="98"/>
              </w:rPr>
              <w:t>Corporate</w:t>
            </w:r>
          </w:p>
        </w:tc>
        <w:tc>
          <w:tcPr>
            <w:tcW w:w="1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3"/>
        </w:trPr>
        <w:tc>
          <w:tcPr>
            <w:tcW w:w="37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Borders>
              <w:top w:val="single" w:sz="8" w:color="auto"/>
            </w:tcBorders>
          </w:tcPr>
          <w:p>
            <w:pPr>
              <w:jc w:val="right"/>
              <w:ind w:right="222"/>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758</w:t>
            </w:r>
          </w:p>
        </w:tc>
        <w:tc>
          <w:tcPr>
            <w:tcW w:w="280" w:type="dxa"/>
            <w:vAlign w:val="bottom"/>
          </w:tcPr>
          <w:p>
            <w:pPr>
              <w:spacing w:after="0"/>
              <w:rPr>
                <w:sz w:val="15"/>
                <w:szCs w:val="15"/>
                <w:color w:val="auto"/>
              </w:rPr>
            </w:pPr>
          </w:p>
        </w:tc>
        <w:tc>
          <w:tcPr>
            <w:tcW w:w="380" w:type="dxa"/>
            <w:vAlign w:val="bottom"/>
            <w:tcBorders>
              <w:top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87</w:t>
            </w:r>
          </w:p>
        </w:tc>
        <w:tc>
          <w:tcPr>
            <w:tcW w:w="28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1,162</w:t>
            </w:r>
          </w:p>
        </w:tc>
        <w:tc>
          <w:tcPr>
            <w:tcW w:w="2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1,162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Less:</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Labor and benefits expense</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80"/>
              <w:spacing w:after="0" w:line="175" w:lineRule="exact"/>
              <w:rPr>
                <w:sz w:val="20"/>
                <w:szCs w:val="20"/>
                <w:color w:val="auto"/>
              </w:rPr>
            </w:pPr>
            <w:r>
              <w:rPr>
                <w:rFonts w:ascii="Arial" w:cs="Arial" w:eastAsia="Arial" w:hAnsi="Arial"/>
                <w:sz w:val="16"/>
                <w:szCs w:val="16"/>
                <w:color w:val="auto"/>
              </w:rPr>
              <w:t>Depreciation, depletion and amortization</w:t>
            </w:r>
          </w:p>
        </w:tc>
        <w:tc>
          <w:tcPr>
            <w:tcW w:w="4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expense</w:t>
            </w:r>
          </w:p>
        </w:tc>
        <w:tc>
          <w:tcPr>
            <w:tcW w:w="4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Energy expense</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External freight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80"/>
              <w:spacing w:after="0"/>
              <w:rPr>
                <w:sz w:val="20"/>
                <w:szCs w:val="20"/>
                <w:color w:val="auto"/>
              </w:rPr>
            </w:pPr>
            <w:r>
              <w:rPr>
                <w:rFonts w:ascii="Arial" w:cs="Arial" w:eastAsia="Arial" w:hAnsi="Arial"/>
                <w:sz w:val="16"/>
                <w:szCs w:val="16"/>
                <w:color w:val="auto"/>
              </w:rPr>
              <w:t>Other costs of revenues</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239</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80"/>
              <w:spacing w:after="0" w:line="175" w:lineRule="exact"/>
              <w:rPr>
                <w:sz w:val="20"/>
                <w:szCs w:val="20"/>
                <w:color w:val="auto"/>
              </w:rPr>
            </w:pPr>
            <w:r>
              <w:rPr>
                <w:rFonts w:ascii="Arial" w:cs="Arial" w:eastAsia="Arial" w:hAnsi="Arial"/>
                <w:sz w:val="16"/>
                <w:szCs w:val="16"/>
                <w:color w:val="auto"/>
              </w:rPr>
              <w:t>Acquisition, divestiture and integration</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180"/>
              <w:spacing w:after="0"/>
              <w:rPr>
                <w:sz w:val="20"/>
                <w:szCs w:val="20"/>
                <w:color w:val="auto"/>
              </w:rPr>
            </w:pPr>
            <w:r>
              <w:rPr>
                <w:rFonts w:ascii="Arial" w:cs="Arial" w:eastAsia="Arial" w:hAnsi="Arial"/>
                <w:sz w:val="16"/>
                <w:szCs w:val="16"/>
                <w:color w:val="auto"/>
              </w:rPr>
              <w:t>expenses</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Other operating expense, net</w:t>
            </w:r>
          </w:p>
        </w:tc>
        <w:tc>
          <w:tcPr>
            <w:tcW w:w="4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ind w:left="40"/>
              <w:spacing w:after="0" w:line="183" w:lineRule="exact"/>
              <w:rPr>
                <w:sz w:val="20"/>
                <w:szCs w:val="20"/>
                <w:color w:val="auto"/>
              </w:rPr>
            </w:pPr>
            <w:r>
              <w:rPr>
                <w:rFonts w:ascii="Arial" w:cs="Arial" w:eastAsia="Arial" w:hAnsi="Arial"/>
                <w:sz w:val="16"/>
                <w:szCs w:val="16"/>
                <w:color w:val="auto"/>
              </w:rPr>
              <w:t>Segment Earnings (Loss) from Operations</w:t>
            </w:r>
          </w:p>
        </w:tc>
        <w:tc>
          <w:tcPr>
            <w:tcW w:w="820" w:type="dxa"/>
            <w:vAlign w:val="bottom"/>
            <w:gridSpan w:val="2"/>
          </w:tcPr>
          <w:p>
            <w:pPr>
              <w:jc w:val="right"/>
              <w:ind w:right="222"/>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237</w:t>
            </w:r>
          </w:p>
        </w:tc>
        <w:tc>
          <w:tcPr>
            <w:tcW w:w="660" w:type="dxa"/>
            <w:vAlign w:val="bottom"/>
            <w:gridSpan w:val="2"/>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(42)</w:t>
            </w:r>
          </w:p>
        </w:tc>
        <w:tc>
          <w:tcPr>
            <w:tcW w:w="280" w:type="dxa"/>
            <w:vAlign w:val="bottom"/>
            <w:gridSpan w:val="2"/>
          </w:tcPr>
          <w:p>
            <w:pPr>
              <w:jc w:val="right"/>
              <w:ind w:right="2"/>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33</w:t>
            </w:r>
          </w:p>
        </w:tc>
        <w:tc>
          <w:tcPr>
            <w:tcW w:w="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228</w:t>
            </w:r>
          </w:p>
        </w:tc>
        <w:tc>
          <w:tcPr>
            <w:tcW w:w="3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(49)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40"/>
              <w:spacing w:after="0"/>
              <w:rPr>
                <w:sz w:val="20"/>
                <w:szCs w:val="20"/>
                <w:color w:val="auto"/>
              </w:rPr>
            </w:pPr>
            <w:r>
              <w:rPr>
                <w:rFonts w:ascii="Arial" w:cs="Arial" w:eastAsia="Arial" w:hAnsi="Arial"/>
                <w:sz w:val="16"/>
                <w:szCs w:val="16"/>
                <w:color w:val="auto"/>
              </w:rPr>
              <w:t>Other nonoperating income, net</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8"/>
        </w:trPr>
        <w:tc>
          <w:tcPr>
            <w:tcW w:w="3740" w:type="dxa"/>
            <w:vAlign w:val="bottom"/>
            <w:shd w:val="clear" w:color="auto" w:fill="CFF0FC"/>
          </w:tcPr>
          <w:p>
            <w:pPr>
              <w:ind w:left="40"/>
              <w:spacing w:after="0" w:line="168" w:lineRule="exact"/>
              <w:rPr>
                <w:sz w:val="20"/>
                <w:szCs w:val="20"/>
                <w:color w:val="auto"/>
              </w:rPr>
            </w:pPr>
            <w:r>
              <w:rPr>
                <w:rFonts w:ascii="Arial" w:cs="Arial" w:eastAsia="Arial" w:hAnsi="Arial"/>
                <w:sz w:val="16"/>
                <w:szCs w:val="16"/>
                <w:color w:val="auto"/>
              </w:rPr>
              <w:t>Consolidated earnings from continuing</w:t>
            </w:r>
          </w:p>
        </w:tc>
        <w:tc>
          <w:tcPr>
            <w:tcW w:w="44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vMerge w:val="restart"/>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shd w:val="clear" w:color="auto" w:fill="CFF0FC"/>
          </w:tcPr>
          <w:p>
            <w:pPr>
              <w:ind w:left="180"/>
              <w:spacing w:after="0" w:line="143" w:lineRule="exact"/>
              <w:rPr>
                <w:sz w:val="20"/>
                <w:szCs w:val="20"/>
                <w:color w:val="auto"/>
              </w:rPr>
            </w:pPr>
            <w:r>
              <w:rPr>
                <w:rFonts w:ascii="Arial" w:cs="Arial" w:eastAsia="Arial" w:hAnsi="Arial"/>
                <w:sz w:val="16"/>
                <w:szCs w:val="16"/>
                <w:color w:val="auto"/>
              </w:rPr>
              <w:t>operations before income tax expense</w:t>
            </w:r>
          </w:p>
        </w:tc>
        <w:tc>
          <w:tcPr>
            <w:tcW w:w="4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7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-616585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-616585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-616585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-616585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-616585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Assets employed by segment include assets directly identified with those operations, including assets held for sale. Corporate assets consist primarily of cash and cash equivalents; property, plant and equipment for corporate operations; and other assets not directly identifiable with a reportable segment.</w:t>
      </w:r>
    </w:p>
    <w:p>
      <w:pPr>
        <w:spacing w:after="0" w:line="131"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color w:val="auto"/>
        </w:rPr>
        <w:t>As of December 31, 2025, assets held for sale associated with discontinued operations are predominantly included in the East Group. The decrease in assets employed in the East Group at March 31, 2026 reflects the February 2026 divestiture of the Company's Texas cement and ready mixed concrete assets and is partially offset by the QUIKRETE acquisition (see Note 2). The increase in assets employed in the West Group at March 31, 2026 is primarily due to the QUIKRETE acquisition.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01"/>
              <w:spacing w:after="0"/>
              <w:rPr>
                <w:sz w:val="20"/>
                <w:szCs w:val="20"/>
                <w:color w:val="auto"/>
              </w:rPr>
            </w:pPr>
            <w:r>
              <w:rPr>
                <w:rFonts w:ascii="Arial" w:cs="Arial" w:eastAsia="Arial" w:hAnsi="Arial"/>
                <w:sz w:val="20"/>
                <w:szCs w:val="20"/>
                <w:color w:val="auto"/>
              </w:rPr>
              <w:t>March 31,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38"/>
        </w:trPr>
        <w:tc>
          <w:tcPr>
            <w:tcW w:w="7460" w:type="dxa"/>
            <w:vAlign w:val="bottom"/>
            <w:vMerge w:val="restart"/>
          </w:tcPr>
          <w:p>
            <w:pPr>
              <w:spacing w:after="0"/>
              <w:rPr>
                <w:sz w:val="20"/>
                <w:szCs w:val="20"/>
                <w:color w:val="auto"/>
              </w:rPr>
            </w:pPr>
            <w:r>
              <w:rPr>
                <w:rFonts w:ascii="Arial" w:cs="Arial" w:eastAsia="Arial" w:hAnsi="Arial"/>
                <w:sz w:val="20"/>
                <w:szCs w:val="20"/>
                <w:b w:val="1"/>
                <w:bCs w:val="1"/>
                <w:color w:val="auto"/>
              </w:rPr>
              <w:t>Assets employed:</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2026</w:t>
            </w:r>
          </w:p>
        </w:tc>
        <w:tc>
          <w:tcPr>
            <w:tcW w:w="340" w:type="dxa"/>
            <w:vAlign w:val="bottom"/>
            <w:vMerge w:val="restart"/>
          </w:tcPr>
          <w:p>
            <w:pPr>
              <w:jc w:val="center"/>
              <w:spacing w:after="0"/>
              <w:rPr>
                <w:sz w:val="20"/>
                <w:szCs w:val="20"/>
                <w:color w:val="auto"/>
              </w:rPr>
            </w:pPr>
            <w:r>
              <w:rPr>
                <w:rFonts w:ascii="Arial" w:cs="Arial" w:eastAsia="Arial" w:hAnsi="Arial"/>
                <w:sz w:val="20"/>
                <w:szCs w:val="20"/>
                <w:i w:val="1"/>
                <w:iCs w:val="1"/>
                <w:color w:val="auto"/>
              </w:rPr>
              <w:t>in</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74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line="188" w:lineRule="exact"/>
              <w:rPr>
                <w:sz w:val="20"/>
                <w:szCs w:val="20"/>
                <w:color w:val="auto"/>
              </w:rPr>
            </w:pPr>
            <w:r>
              <w:rPr>
                <w:rFonts w:ascii="Arial" w:cs="Arial" w:eastAsia="Arial" w:hAnsi="Arial"/>
                <w:sz w:val="20"/>
                <w:szCs w:val="20"/>
                <w:i w:val="1"/>
                <w:iCs w:val="1"/>
                <w:color w:val="auto"/>
              </w:rPr>
              <w:t>(Dollars</w:t>
            </w:r>
          </w:p>
        </w:tc>
        <w:tc>
          <w:tcPr>
            <w:tcW w:w="340" w:type="dxa"/>
            <w:vAlign w:val="bottom"/>
            <w:vMerge w:val="continue"/>
          </w:tcPr>
          <w:p>
            <w:pPr>
              <w:spacing w:after="0"/>
              <w:rPr>
                <w:sz w:val="16"/>
                <w:szCs w:val="16"/>
                <w:color w:val="auto"/>
              </w:rPr>
            </w:pPr>
          </w:p>
        </w:tc>
        <w:tc>
          <w:tcPr>
            <w:tcW w:w="1680" w:type="dxa"/>
            <w:vAlign w:val="bottom"/>
            <w:gridSpan w:val="2"/>
          </w:tcPr>
          <w:p>
            <w:pPr>
              <w:spacing w:after="0" w:line="188"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spacing w:after="0"/>
              <w:rPr>
                <w:sz w:val="20"/>
                <w:szCs w:val="20"/>
                <w:color w:val="auto"/>
              </w:rPr>
            </w:pPr>
            <w:r>
              <w:rPr>
                <w:rFonts w:ascii="Arial" w:cs="Arial" w:eastAsia="Arial" w:hAnsi="Arial"/>
                <w:sz w:val="20"/>
                <w:szCs w:val="20"/>
                <w:color w:val="auto"/>
              </w:rPr>
              <w:t>East Group</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10,397</w:t>
            </w:r>
          </w:p>
        </w:tc>
        <w:tc>
          <w:tcPr>
            <w:tcW w:w="500" w:type="dxa"/>
            <w:vAlign w:val="bottom"/>
            <w:gridSpan w:val="2"/>
          </w:tcPr>
          <w:p>
            <w:pPr>
              <w:ind w:left="340"/>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10,880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tcBorders>
              <w:right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West Group</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7,988</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895</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Borders>
              <w:right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Total reportable segments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19,280</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17,638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line="216" w:lineRule="exact"/>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1,217</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20"/>
                <w:szCs w:val="20"/>
                <w:color w:val="auto"/>
              </w:rPr>
              <w:t>Total</w:t>
            </w:r>
          </w:p>
        </w:tc>
        <w:tc>
          <w:tcPr>
            <w:tcW w:w="240" w:type="dxa"/>
            <w:vAlign w:val="bottom"/>
            <w:shd w:val="clear" w:color="auto" w:fill="CFF0FC"/>
          </w:tcPr>
          <w:p>
            <w:pPr>
              <w:jc w:val="right"/>
              <w:ind w:right="41"/>
              <w:spacing w:after="0" w:line="196" w:lineRule="exact"/>
              <w:rPr>
                <w:sz w:val="20"/>
                <w:szCs w:val="20"/>
                <w:color w:val="auto"/>
              </w:rPr>
            </w:pPr>
            <w:r>
              <w:rPr>
                <w:rFonts w:ascii="Arial" w:cs="Arial" w:eastAsia="Arial" w:hAnsi="Arial"/>
                <w:sz w:val="20"/>
                <w:szCs w:val="20"/>
                <w:color w:val="auto"/>
                <w:w w:val="71"/>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20,497</w:t>
            </w:r>
          </w:p>
        </w:tc>
        <w:tc>
          <w:tcPr>
            <w:tcW w:w="500" w:type="dxa"/>
            <w:vAlign w:val="bottom"/>
            <w:gridSpan w:val="2"/>
            <w:shd w:val="clear" w:color="auto" w:fill="CFF0FC"/>
          </w:tcPr>
          <w:p>
            <w:pPr>
              <w:ind w:left="340"/>
              <w:spacing w:after="0" w:line="196" w:lineRule="exact"/>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18,711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9120" w:type="dxa"/>
            <w:vAlign w:val="bottom"/>
            <w:gridSpan w:val="3"/>
          </w:tcPr>
          <w:p>
            <w:pPr>
              <w:jc w:val="right"/>
              <w:ind w:right="1021"/>
              <w:spacing w:after="0"/>
              <w:rPr>
                <w:sz w:val="20"/>
                <w:szCs w:val="20"/>
                <w:color w:val="auto"/>
              </w:rPr>
            </w:pPr>
            <w:r>
              <w:rPr>
                <w:rFonts w:ascii="Arial" w:cs="Arial" w:eastAsia="Arial" w:hAnsi="Arial"/>
                <w:sz w:val="20"/>
                <w:szCs w:val="20"/>
                <w:color w:val="auto"/>
              </w:rPr>
              <w:t>The following tables display property additions for the Company’s reportable segments.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540" w:type="dxa"/>
            <w:vAlign w:val="bottom"/>
            <w:gridSpan w:val="5"/>
          </w:tcPr>
          <w:p>
            <w:pPr>
              <w:jc w:val="center"/>
              <w:ind w:right="380"/>
              <w:spacing w:after="0"/>
              <w:rPr>
                <w:sz w:val="20"/>
                <w:szCs w:val="20"/>
                <w:color w:val="auto"/>
              </w:rPr>
            </w:pPr>
            <w:r>
              <w:rPr>
                <w:rFonts w:ascii="Arial" w:cs="Arial" w:eastAsia="Arial" w:hAnsi="Arial"/>
                <w:sz w:val="20"/>
                <w:szCs w:val="20"/>
                <w:color w:val="auto"/>
                <w:w w:val="98"/>
              </w:rPr>
              <w:t>Three Months Ended</w:t>
            </w:r>
          </w:p>
        </w:tc>
        <w:tc>
          <w:tcPr>
            <w:tcW w:w="0" w:type="dxa"/>
            <w:vAlign w:val="bottom"/>
          </w:tcPr>
          <w:p>
            <w:pPr>
              <w:spacing w:after="0"/>
              <w:rPr>
                <w:sz w:val="1"/>
                <w:szCs w:val="1"/>
                <w:color w:val="auto"/>
              </w:rPr>
            </w:pPr>
          </w:p>
        </w:tc>
      </w:tr>
      <w:tr>
        <w:trPr>
          <w:trHeight w:val="238"/>
        </w:trPr>
        <w:tc>
          <w:tcPr>
            <w:tcW w:w="7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5"/>
          </w:tcPr>
          <w:p>
            <w:pPr>
              <w:jc w:val="center"/>
              <w:ind w:right="380"/>
              <w:spacing w:after="0"/>
              <w:rPr>
                <w:sz w:val="20"/>
                <w:szCs w:val="20"/>
                <w:color w:val="auto"/>
              </w:rPr>
            </w:pPr>
            <w:r>
              <w:rPr>
                <w:rFonts w:ascii="Arial" w:cs="Arial" w:eastAsia="Arial" w:hAnsi="Arial"/>
                <w:sz w:val="20"/>
                <w:szCs w:val="20"/>
                <w:color w:val="auto"/>
                <w:w w:val="98"/>
              </w:rPr>
              <w:t>March 31,</w:t>
            </w:r>
          </w:p>
        </w:tc>
        <w:tc>
          <w:tcPr>
            <w:tcW w:w="0" w:type="dxa"/>
            <w:vAlign w:val="bottom"/>
          </w:tcPr>
          <w:p>
            <w:pPr>
              <w:spacing w:after="0"/>
              <w:rPr>
                <w:sz w:val="1"/>
                <w:szCs w:val="1"/>
                <w:color w:val="auto"/>
              </w:rPr>
            </w:pPr>
          </w:p>
        </w:tc>
      </w:tr>
      <w:tr>
        <w:trPr>
          <w:trHeight w:val="210"/>
        </w:trPr>
        <w:tc>
          <w:tcPr>
            <w:tcW w:w="7460" w:type="dxa"/>
            <w:vAlign w:val="bottom"/>
            <w:vMerge w:val="restart"/>
          </w:tcPr>
          <w:p>
            <w:pPr>
              <w:spacing w:after="0"/>
              <w:rPr>
                <w:sz w:val="20"/>
                <w:szCs w:val="20"/>
                <w:color w:val="auto"/>
              </w:rPr>
            </w:pPr>
            <w:r>
              <w:rPr>
                <w:rFonts w:ascii="Arial" w:cs="Arial" w:eastAsia="Arial" w:hAnsi="Arial"/>
                <w:sz w:val="20"/>
                <w:szCs w:val="20"/>
                <w:b w:val="1"/>
                <w:bCs w:val="1"/>
                <w:color w:val="auto"/>
              </w:rPr>
              <w:t>Total property additions, including the impact of acquisitions:</w:t>
            </w: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21"/>
              <w:spacing w:after="0" w:line="209" w:lineRule="exact"/>
              <w:rPr>
                <w:sz w:val="20"/>
                <w:szCs w:val="20"/>
                <w:color w:val="auto"/>
              </w:rPr>
            </w:pPr>
            <w:r>
              <w:rPr>
                <w:rFonts w:ascii="Arial" w:cs="Arial" w:eastAsia="Arial" w:hAnsi="Arial"/>
                <w:sz w:val="20"/>
                <w:szCs w:val="20"/>
                <w:color w:val="auto"/>
              </w:rPr>
              <w:t>2026</w:t>
            </w:r>
          </w:p>
        </w:tc>
        <w:tc>
          <w:tcPr>
            <w:tcW w:w="3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20"/>
                <w:szCs w:val="20"/>
                <w:i w:val="1"/>
                <w:iCs w:val="1"/>
                <w:color w:val="auto"/>
              </w:rPr>
              <w:t>in</w:t>
            </w: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4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line="188" w:lineRule="exact"/>
              <w:rPr>
                <w:sz w:val="20"/>
                <w:szCs w:val="20"/>
                <w:color w:val="auto"/>
              </w:rPr>
            </w:pPr>
            <w:r>
              <w:rPr>
                <w:rFonts w:ascii="Arial" w:cs="Arial" w:eastAsia="Arial" w:hAnsi="Arial"/>
                <w:sz w:val="20"/>
                <w:szCs w:val="20"/>
                <w:i w:val="1"/>
                <w:iCs w:val="1"/>
                <w:color w:val="auto"/>
              </w:rPr>
              <w:t>(Dollars</w:t>
            </w:r>
          </w:p>
        </w:tc>
        <w:tc>
          <w:tcPr>
            <w:tcW w:w="340" w:type="dxa"/>
            <w:vAlign w:val="bottom"/>
            <w:vMerge w:val="continue"/>
          </w:tcPr>
          <w:p>
            <w:pPr>
              <w:spacing w:after="0"/>
              <w:rPr>
                <w:sz w:val="16"/>
                <w:szCs w:val="16"/>
                <w:color w:val="auto"/>
              </w:rPr>
            </w:pPr>
          </w:p>
        </w:tc>
        <w:tc>
          <w:tcPr>
            <w:tcW w:w="1680" w:type="dxa"/>
            <w:vAlign w:val="bottom"/>
            <w:gridSpan w:val="2"/>
          </w:tcPr>
          <w:p>
            <w:pPr>
              <w:spacing w:after="0" w:line="188"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60" w:type="dxa"/>
            <w:vAlign w:val="bottom"/>
          </w:tcPr>
          <w:p>
            <w:pPr>
              <w:spacing w:after="0"/>
              <w:rPr>
                <w:sz w:val="20"/>
                <w:szCs w:val="20"/>
                <w:color w:val="auto"/>
              </w:rPr>
            </w:pPr>
            <w:r>
              <w:rPr>
                <w:rFonts w:ascii="Arial" w:cs="Arial" w:eastAsia="Arial" w:hAnsi="Arial"/>
                <w:sz w:val="20"/>
                <w:szCs w:val="20"/>
                <w:color w:val="auto"/>
              </w:rPr>
              <w:t>East Group</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622</w:t>
            </w:r>
          </w:p>
        </w:tc>
        <w:tc>
          <w:tcPr>
            <w:tcW w:w="500" w:type="dxa"/>
            <w:vAlign w:val="bottom"/>
            <w:gridSpan w:val="2"/>
          </w:tcPr>
          <w:p>
            <w:pPr>
              <w:ind w:left="340"/>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tcBorders>
              <w:right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West Group</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1,881</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6</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Borders>
              <w:right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Total reportable segments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2,509</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line="216" w:lineRule="exact"/>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4</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20"/>
                <w:szCs w:val="20"/>
                <w:color w:val="auto"/>
              </w:rPr>
              <w:t>Total</w:t>
            </w:r>
          </w:p>
        </w:tc>
        <w:tc>
          <w:tcPr>
            <w:tcW w:w="240" w:type="dxa"/>
            <w:vAlign w:val="bottom"/>
            <w:shd w:val="clear" w:color="auto" w:fill="CFF0FC"/>
          </w:tcPr>
          <w:p>
            <w:pPr>
              <w:jc w:val="right"/>
              <w:ind w:right="41"/>
              <w:spacing w:after="0" w:line="196" w:lineRule="exact"/>
              <w:rPr>
                <w:sz w:val="20"/>
                <w:szCs w:val="20"/>
                <w:color w:val="auto"/>
              </w:rPr>
            </w:pPr>
            <w:r>
              <w:rPr>
                <w:rFonts w:ascii="Arial" w:cs="Arial" w:eastAsia="Arial" w:hAnsi="Arial"/>
                <w:sz w:val="20"/>
                <w:szCs w:val="20"/>
                <w:color w:val="auto"/>
                <w:w w:val="71"/>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2,513</w:t>
            </w:r>
          </w:p>
        </w:tc>
        <w:tc>
          <w:tcPr>
            <w:tcW w:w="500" w:type="dxa"/>
            <w:vAlign w:val="bottom"/>
            <w:gridSpan w:val="2"/>
            <w:shd w:val="clear" w:color="auto" w:fill="CFF0FC"/>
          </w:tcPr>
          <w:p>
            <w:pPr>
              <w:ind w:left="340"/>
              <w:spacing w:after="0" w:line="196" w:lineRule="exact"/>
              <w:rPr>
                <w:sz w:val="20"/>
                <w:szCs w:val="20"/>
                <w:color w:val="auto"/>
              </w:rPr>
            </w:pPr>
            <w:r>
              <w:rPr>
                <w:rFonts w:ascii="Arial" w:cs="Arial" w:eastAsia="Arial" w:hAnsi="Arial"/>
                <w:sz w:val="20"/>
                <w:szCs w:val="20"/>
                <w:color w:val="auto"/>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20"/>
                <w:szCs w:val="20"/>
                <w:color w:val="auto"/>
              </w:rPr>
              <w:t>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5"/>
          </w:tcPr>
          <w:p>
            <w:pPr>
              <w:jc w:val="center"/>
              <w:ind w:right="380"/>
              <w:spacing w:after="0"/>
              <w:rPr>
                <w:sz w:val="20"/>
                <w:szCs w:val="20"/>
                <w:color w:val="auto"/>
              </w:rPr>
            </w:pPr>
            <w:r>
              <w:rPr>
                <w:rFonts w:ascii="Arial" w:cs="Arial" w:eastAsia="Arial" w:hAnsi="Arial"/>
                <w:sz w:val="20"/>
                <w:szCs w:val="20"/>
                <w:color w:val="auto"/>
                <w:w w:val="98"/>
              </w:rPr>
              <w:t>Three Months Ended</w:t>
            </w:r>
          </w:p>
        </w:tc>
        <w:tc>
          <w:tcPr>
            <w:tcW w:w="0" w:type="dxa"/>
            <w:vAlign w:val="bottom"/>
          </w:tcPr>
          <w:p>
            <w:pPr>
              <w:spacing w:after="0"/>
              <w:rPr>
                <w:sz w:val="1"/>
                <w:szCs w:val="1"/>
                <w:color w:val="auto"/>
              </w:rPr>
            </w:pPr>
          </w:p>
        </w:tc>
      </w:tr>
      <w:tr>
        <w:trPr>
          <w:trHeight w:val="238"/>
        </w:trPr>
        <w:tc>
          <w:tcPr>
            <w:tcW w:w="7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5"/>
          </w:tcPr>
          <w:p>
            <w:pPr>
              <w:jc w:val="center"/>
              <w:ind w:right="380"/>
              <w:spacing w:after="0"/>
              <w:rPr>
                <w:sz w:val="20"/>
                <w:szCs w:val="20"/>
                <w:color w:val="auto"/>
              </w:rPr>
            </w:pPr>
            <w:r>
              <w:rPr>
                <w:rFonts w:ascii="Arial" w:cs="Arial" w:eastAsia="Arial" w:hAnsi="Arial"/>
                <w:sz w:val="20"/>
                <w:szCs w:val="20"/>
                <w:color w:val="auto"/>
                <w:w w:val="98"/>
              </w:rPr>
              <w:t>March 31,</w:t>
            </w:r>
          </w:p>
        </w:tc>
        <w:tc>
          <w:tcPr>
            <w:tcW w:w="0" w:type="dxa"/>
            <w:vAlign w:val="bottom"/>
          </w:tcPr>
          <w:p>
            <w:pPr>
              <w:spacing w:after="0"/>
              <w:rPr>
                <w:sz w:val="1"/>
                <w:szCs w:val="1"/>
                <w:color w:val="auto"/>
              </w:rPr>
            </w:pPr>
          </w:p>
        </w:tc>
      </w:tr>
      <w:tr>
        <w:trPr>
          <w:trHeight w:val="210"/>
        </w:trPr>
        <w:tc>
          <w:tcPr>
            <w:tcW w:w="7460" w:type="dxa"/>
            <w:vAlign w:val="bottom"/>
            <w:vMerge w:val="restart"/>
          </w:tcPr>
          <w:p>
            <w:pPr>
              <w:spacing w:after="0"/>
              <w:rPr>
                <w:sz w:val="20"/>
                <w:szCs w:val="20"/>
                <w:color w:val="auto"/>
              </w:rPr>
            </w:pPr>
            <w:r>
              <w:rPr>
                <w:rFonts w:ascii="Arial" w:cs="Arial" w:eastAsia="Arial" w:hAnsi="Arial"/>
                <w:sz w:val="20"/>
                <w:szCs w:val="20"/>
                <w:b w:val="1"/>
                <w:bCs w:val="1"/>
                <w:color w:val="auto"/>
              </w:rPr>
              <w:t>Property additions through business combinations:</w:t>
            </w: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21"/>
              <w:spacing w:after="0" w:line="209" w:lineRule="exact"/>
              <w:rPr>
                <w:sz w:val="20"/>
                <w:szCs w:val="20"/>
                <w:color w:val="auto"/>
              </w:rPr>
            </w:pPr>
            <w:r>
              <w:rPr>
                <w:rFonts w:ascii="Arial" w:cs="Arial" w:eastAsia="Arial" w:hAnsi="Arial"/>
                <w:sz w:val="20"/>
                <w:szCs w:val="20"/>
                <w:color w:val="auto"/>
              </w:rPr>
              <w:t>2026</w:t>
            </w:r>
          </w:p>
        </w:tc>
        <w:tc>
          <w:tcPr>
            <w:tcW w:w="3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20"/>
                <w:szCs w:val="20"/>
                <w:i w:val="1"/>
                <w:iCs w:val="1"/>
                <w:color w:val="auto"/>
              </w:rPr>
              <w:t>in</w:t>
            </w: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4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40" w:type="dxa"/>
            <w:vAlign w:val="bottom"/>
            <w:vMerge w:val="continue"/>
          </w:tcPr>
          <w:p>
            <w:pPr>
              <w:spacing w:after="0"/>
              <w:rPr>
                <w:sz w:val="18"/>
                <w:szCs w:val="18"/>
                <w:color w:val="auto"/>
              </w:rPr>
            </w:pPr>
          </w:p>
        </w:tc>
        <w:tc>
          <w:tcPr>
            <w:tcW w:w="168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right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East Group</w:t>
            </w:r>
          </w:p>
        </w:tc>
        <w:tc>
          <w:tcPr>
            <w:tcW w:w="24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w w:val="71"/>
              </w:rPr>
              <w:t>$</w:t>
            </w:r>
          </w:p>
        </w:tc>
        <w:tc>
          <w:tcPr>
            <w:tcW w:w="14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581</w:t>
            </w:r>
          </w:p>
        </w:tc>
        <w:tc>
          <w:tcPr>
            <w:tcW w:w="500" w:type="dxa"/>
            <w:vAlign w:val="bottom"/>
            <w:gridSpan w:val="2"/>
            <w:shd w:val="clear" w:color="auto" w:fill="CFF0FC"/>
          </w:tcPr>
          <w:p>
            <w:pPr>
              <w:ind w:left="340"/>
              <w:spacing w:after="0" w:line="216" w:lineRule="exact"/>
              <w:rPr>
                <w:sz w:val="20"/>
                <w:szCs w:val="20"/>
                <w:color w:val="auto"/>
              </w:rPr>
            </w:pPr>
            <w:r>
              <w:rPr>
                <w:rFonts w:ascii="Arial" w:cs="Arial" w:eastAsia="Arial" w:hAnsi="Arial"/>
                <w:sz w:val="20"/>
                <w:szCs w:val="20"/>
                <w:color w:val="auto"/>
              </w:rPr>
              <w:t>$</w:t>
            </w:r>
          </w:p>
        </w:tc>
        <w:tc>
          <w:tcPr>
            <w:tcW w:w="162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7460" w:type="dxa"/>
            <w:vAlign w:val="bottom"/>
          </w:tcPr>
          <w:p>
            <w:pPr>
              <w:spacing w:after="0" w:line="216" w:lineRule="exact"/>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20"/>
                <w:szCs w:val="20"/>
                <w:color w:val="auto"/>
              </w:rPr>
              <w:t>1,841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right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Specialties</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Pr>
          <w:p>
            <w:pPr>
              <w:spacing w:after="0" w:line="209" w:lineRule="exact"/>
              <w:rPr>
                <w:sz w:val="20"/>
                <w:szCs w:val="20"/>
                <w:color w:val="auto"/>
              </w:rPr>
            </w:pPr>
            <w:r>
              <w:rPr>
                <w:rFonts w:ascii="Arial" w:cs="Arial" w:eastAsia="Arial" w:hAnsi="Arial"/>
                <w:sz w:val="20"/>
                <w:szCs w:val="20"/>
                <w:color w:val="auto"/>
              </w:rPr>
              <w:t>Total reportable segments</w:t>
            </w:r>
          </w:p>
        </w:tc>
        <w:tc>
          <w:tcPr>
            <w:tcW w:w="240" w:type="dxa"/>
            <w:vAlign w:val="bottom"/>
          </w:tcPr>
          <w:p>
            <w:pPr>
              <w:spacing w:after="0"/>
              <w:rPr>
                <w:sz w:val="18"/>
                <w:szCs w:val="18"/>
                <w:color w:val="auto"/>
              </w:rPr>
            </w:pPr>
          </w:p>
        </w:tc>
        <w:tc>
          <w:tcPr>
            <w:tcW w:w="1420" w:type="dxa"/>
            <w:vAlign w:val="bottom"/>
          </w:tcPr>
          <w:p>
            <w:pPr>
              <w:jc w:val="right"/>
              <w:spacing w:after="0" w:line="209" w:lineRule="exact"/>
              <w:rPr>
                <w:sz w:val="20"/>
                <w:szCs w:val="20"/>
                <w:color w:val="auto"/>
              </w:rPr>
            </w:pPr>
            <w:r>
              <w:rPr>
                <w:rFonts w:ascii="Arial" w:cs="Arial" w:eastAsia="Arial" w:hAnsi="Arial"/>
                <w:sz w:val="20"/>
                <w:szCs w:val="20"/>
                <w:color w:val="auto"/>
              </w:rPr>
              <w:t>2,422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20"/>
              <w:spacing w:after="0" w:line="20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CFF0FC"/>
              <w:right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Pr>
          <w:p>
            <w:pPr>
              <w:spacing w:after="0" w:line="196" w:lineRule="exact"/>
              <w:rPr>
                <w:sz w:val="20"/>
                <w:szCs w:val="20"/>
                <w:color w:val="auto"/>
              </w:rPr>
            </w:pPr>
            <w:r>
              <w:rPr>
                <w:rFonts w:ascii="Arial" w:cs="Arial" w:eastAsia="Arial" w:hAnsi="Arial"/>
                <w:sz w:val="20"/>
                <w:szCs w:val="20"/>
                <w:color w:val="auto"/>
              </w:rPr>
              <w:t>Total</w:t>
            </w:r>
          </w:p>
        </w:tc>
        <w:tc>
          <w:tcPr>
            <w:tcW w:w="240" w:type="dxa"/>
            <w:vAlign w:val="bottom"/>
          </w:tcPr>
          <w:p>
            <w:pPr>
              <w:jc w:val="right"/>
              <w:ind w:right="41"/>
              <w:spacing w:after="0" w:line="196" w:lineRule="exact"/>
              <w:rPr>
                <w:sz w:val="20"/>
                <w:szCs w:val="20"/>
                <w:color w:val="auto"/>
              </w:rPr>
            </w:pPr>
            <w:r>
              <w:rPr>
                <w:rFonts w:ascii="Arial" w:cs="Arial" w:eastAsia="Arial" w:hAnsi="Arial"/>
                <w:sz w:val="20"/>
                <w:szCs w:val="20"/>
                <w:color w:val="auto"/>
                <w:w w:val="71"/>
              </w:rPr>
              <w:t>$</w:t>
            </w:r>
          </w:p>
        </w:tc>
        <w:tc>
          <w:tcPr>
            <w:tcW w:w="1420" w:type="dxa"/>
            <w:vAlign w:val="bottom"/>
          </w:tcPr>
          <w:p>
            <w:pPr>
              <w:jc w:val="right"/>
              <w:spacing w:after="0" w:line="196" w:lineRule="exact"/>
              <w:rPr>
                <w:sz w:val="20"/>
                <w:szCs w:val="20"/>
                <w:color w:val="auto"/>
              </w:rPr>
            </w:pPr>
            <w:r>
              <w:rPr>
                <w:rFonts w:ascii="Arial" w:cs="Arial" w:eastAsia="Arial" w:hAnsi="Arial"/>
                <w:sz w:val="20"/>
                <w:szCs w:val="20"/>
                <w:color w:val="auto"/>
              </w:rPr>
              <w:t>2,422</w:t>
            </w:r>
          </w:p>
        </w:tc>
        <w:tc>
          <w:tcPr>
            <w:tcW w:w="500" w:type="dxa"/>
            <w:vAlign w:val="bottom"/>
            <w:gridSpan w:val="2"/>
          </w:tcPr>
          <w:p>
            <w:pPr>
              <w:ind w:left="340"/>
              <w:spacing w:after="0" w:line="196" w:lineRule="exact"/>
              <w:rPr>
                <w:sz w:val="20"/>
                <w:szCs w:val="20"/>
                <w:color w:val="auto"/>
              </w:rPr>
            </w:pPr>
            <w:r>
              <w:rPr>
                <w:rFonts w:ascii="Arial" w:cs="Arial" w:eastAsia="Arial" w:hAnsi="Arial"/>
                <w:sz w:val="20"/>
                <w:szCs w:val="20"/>
                <w:color w:val="auto"/>
              </w:rPr>
              <w:t>$</w:t>
            </w:r>
          </w:p>
        </w:tc>
        <w:tc>
          <w:tcPr>
            <w:tcW w:w="1620" w:type="dxa"/>
            <w:vAlign w:val="bottom"/>
            <w:gridSpan w:val="2"/>
          </w:tcPr>
          <w:p>
            <w:pPr>
              <w:jc w:val="right"/>
              <w:ind w:right="120"/>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-3333750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-3316605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-1593850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-1576705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-453390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2" w:lineRule="exact"/>
        <w:rPr>
          <w:sz w:val="20"/>
          <w:szCs w:val="20"/>
          <w:color w:val="auto"/>
        </w:rPr>
      </w:pPr>
    </w:p>
    <w:p>
      <w:pPr>
        <w:ind w:left="380" w:hanging="372"/>
        <w:spacing w:after="0"/>
        <w:tabs>
          <w:tab w:leader="none" w:pos="380" w:val="left"/>
        </w:tabs>
        <w:numPr>
          <w:ilvl w:val="0"/>
          <w:numId w:val="10"/>
        </w:numPr>
        <w:rPr>
          <w:rFonts w:ascii="Calibri" w:cs="Calibri" w:eastAsia="Calibri" w:hAnsi="Calibri"/>
          <w:sz w:val="20"/>
          <w:szCs w:val="20"/>
          <w:b w:val="1"/>
          <w:bCs w:val="1"/>
          <w:color w:val="auto"/>
        </w:rPr>
      </w:pPr>
      <w:r>
        <w:rPr>
          <w:rFonts w:ascii="Arial" w:cs="Arial" w:eastAsia="Arial" w:hAnsi="Arial"/>
          <w:sz w:val="20"/>
          <w:szCs w:val="20"/>
          <w:b w:val="1"/>
          <w:bCs w:val="1"/>
          <w:color w:val="auto"/>
        </w:rPr>
        <w:t>Revenues and Gross Profit</w:t>
      </w:r>
    </w:p>
    <w:p>
      <w:pPr>
        <w:spacing w:after="0" w:line="122" w:lineRule="exact"/>
        <w:rPr>
          <w:rFonts w:ascii="Calibri" w:cs="Calibri" w:eastAsia="Calibri" w:hAnsi="Calibri"/>
          <w:sz w:val="20"/>
          <w:szCs w:val="20"/>
          <w:b w:val="1"/>
          <w:bCs w:val="1"/>
          <w:color w:val="auto"/>
        </w:rPr>
      </w:pPr>
    </w:p>
    <w:p>
      <w:pPr>
        <w:jc w:val="both"/>
        <w:ind w:left="380"/>
        <w:spacing w:after="0" w:line="241" w:lineRule="auto"/>
        <w:rPr>
          <w:rFonts w:ascii="Calibri" w:cs="Calibri" w:eastAsia="Calibri" w:hAnsi="Calibri"/>
          <w:sz w:val="20"/>
          <w:szCs w:val="20"/>
          <w:b w:val="1"/>
          <w:bCs w:val="1"/>
          <w:color w:val="auto"/>
        </w:rPr>
      </w:pPr>
      <w:r>
        <w:rPr>
          <w:rFonts w:ascii="Arial" w:cs="Arial" w:eastAsia="Arial" w:hAnsi="Arial"/>
          <w:sz w:val="20"/>
          <w:szCs w:val="20"/>
          <w:color w:val="auto"/>
        </w:rPr>
        <w:t>The following tables, which are reconciled to consolidated amounts and reflect continuing operations only, provide revenues and gross profit (loss) by line of business: Building Materials (further divided by product line) and Specialties. Interproduct revenues represent sales from the aggregates product line to the other building materials product line.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40" w:type="dxa"/>
            <w:vAlign w:val="bottom"/>
            <w:gridSpan w:val="3"/>
          </w:tcPr>
          <w:p>
            <w:pPr>
              <w:jc w:val="center"/>
              <w:spacing w:after="0"/>
              <w:rPr>
                <w:sz w:val="20"/>
                <w:szCs w:val="20"/>
                <w:color w:val="auto"/>
              </w:rPr>
            </w:pPr>
            <w:r>
              <w:rPr>
                <w:rFonts w:ascii="Arial" w:cs="Arial" w:eastAsia="Arial" w:hAnsi="Arial"/>
                <w:sz w:val="20"/>
                <w:szCs w:val="20"/>
                <w:color w:val="auto"/>
                <w:w w:val="99"/>
              </w:rPr>
              <w:t>Three Months Ended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8"/>
              </w:rPr>
              <w:t>March 31,</w:t>
            </w: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600" w:type="dxa"/>
            <w:vAlign w:val="bottom"/>
            <w:tcBorders>
              <w:bottom w:val="single" w:sz="8" w:color="auto"/>
            </w:tcBorders>
          </w:tcPr>
          <w:p>
            <w:pPr>
              <w:jc w:val="right"/>
              <w:ind w:right="61"/>
              <w:spacing w:after="0" w:line="209" w:lineRule="exact"/>
              <w:rPr>
                <w:sz w:val="20"/>
                <w:szCs w:val="20"/>
                <w:color w:val="auto"/>
              </w:rPr>
            </w:pPr>
            <w:r>
              <w:rPr>
                <w:rFonts w:ascii="Arial" w:cs="Arial" w:eastAsia="Arial" w:hAnsi="Arial"/>
                <w:sz w:val="20"/>
                <w:szCs w:val="20"/>
                <w:color w:val="auto"/>
              </w:rPr>
              <w:t>2026</w:t>
            </w:r>
          </w:p>
        </w:tc>
        <w:tc>
          <w:tcPr>
            <w:tcW w:w="860" w:type="dxa"/>
            <w:vAlign w:val="bottom"/>
            <w:tcBorders>
              <w:bottom w:val="single" w:sz="8" w:color="auto"/>
            </w:tcBorders>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Arial" w:cs="Arial" w:eastAsia="Arial" w:hAnsi="Arial"/>
                <w:sz w:val="20"/>
                <w:szCs w:val="20"/>
                <w:i w:val="1"/>
                <w:iCs w:val="1"/>
                <w:color w:val="auto"/>
                <w:w w:val="89"/>
              </w:rPr>
              <w:t>in</w:t>
            </w:r>
          </w:p>
        </w:tc>
        <w:tc>
          <w:tcPr>
            <w:tcW w:w="8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2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6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440" w:type="dxa"/>
            <w:vAlign w:val="bottom"/>
            <w:vMerge w:val="continue"/>
          </w:tcPr>
          <w:p>
            <w:pPr>
              <w:spacing w:after="0"/>
              <w:rPr>
                <w:sz w:val="18"/>
                <w:szCs w:val="18"/>
                <w:color w:val="auto"/>
              </w:rPr>
            </w:pPr>
          </w:p>
        </w:tc>
        <w:tc>
          <w:tcPr>
            <w:tcW w:w="840" w:type="dxa"/>
            <w:vAlign w:val="bottom"/>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Revenues:</w:t>
            </w:r>
          </w:p>
        </w:tc>
        <w:tc>
          <w:tcPr>
            <w:tcW w:w="1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20"/>
                <w:szCs w:val="20"/>
                <w:color w:val="auto"/>
              </w:rPr>
              <w:t>Building Materials business:</w:t>
            </w:r>
          </w:p>
        </w:tc>
        <w:tc>
          <w:tcPr>
            <w:tcW w:w="1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Aggregates</w:t>
            </w:r>
          </w:p>
        </w:tc>
        <w:tc>
          <w:tcPr>
            <w:tcW w:w="1600" w:type="dxa"/>
            <w:vAlign w:val="bottom"/>
            <w:shd w:val="clear" w:color="auto" w:fill="CFF0FC"/>
          </w:tcPr>
          <w:p>
            <w:pPr>
              <w:jc w:val="right"/>
              <w:ind w:right="1381"/>
              <w:spacing w:after="0" w:line="216" w:lineRule="exact"/>
              <w:rPr>
                <w:sz w:val="20"/>
                <w:szCs w:val="20"/>
                <w:color w:val="auto"/>
              </w:rPr>
            </w:pPr>
            <w:r>
              <w:rPr>
                <w:rFonts w:ascii="Arial" w:cs="Arial" w:eastAsia="Arial" w:hAnsi="Arial"/>
                <w:sz w:val="20"/>
                <w:szCs w:val="20"/>
                <w:color w:val="auto"/>
                <w:w w:val="89"/>
              </w:rPr>
              <w:t>$</w:t>
            </w:r>
          </w:p>
        </w:tc>
        <w:tc>
          <w:tcPr>
            <w:tcW w:w="8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1,142</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w:t>
            </w:r>
          </w:p>
        </w:tc>
        <w:tc>
          <w:tcPr>
            <w:tcW w:w="16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1,002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00"/>
              <w:spacing w:after="0" w:line="216" w:lineRule="exact"/>
              <w:rPr>
                <w:sz w:val="20"/>
                <w:szCs w:val="20"/>
                <w:color w:val="auto"/>
              </w:rPr>
            </w:pPr>
            <w:r>
              <w:rPr>
                <w:rFonts w:ascii="Arial" w:cs="Arial" w:eastAsia="Arial" w:hAnsi="Arial"/>
                <w:sz w:val="20"/>
                <w:szCs w:val="20"/>
                <w:color w:val="auto"/>
              </w:rPr>
              <w:t>Other Building Materials</w:t>
            </w:r>
          </w:p>
        </w:tc>
        <w:tc>
          <w:tcPr>
            <w:tcW w:w="160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Arial" w:cs="Arial" w:eastAsia="Arial" w:hAnsi="Arial"/>
                <w:sz w:val="20"/>
                <w:szCs w:val="20"/>
                <w:color w:val="auto"/>
              </w:rPr>
              <w:t>116</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20" w:type="dxa"/>
            <w:vAlign w:val="bottom"/>
          </w:tcPr>
          <w:p>
            <w:pPr>
              <w:jc w:val="right"/>
              <w:spacing w:after="0" w:line="216" w:lineRule="exact"/>
              <w:rPr>
                <w:sz w:val="20"/>
                <w:szCs w:val="20"/>
                <w:color w:val="auto"/>
              </w:rPr>
            </w:pPr>
            <w:r>
              <w:rPr>
                <w:rFonts w:ascii="Arial" w:cs="Arial" w:eastAsia="Arial" w:hAnsi="Arial"/>
                <w:sz w:val="20"/>
                <w:szCs w:val="20"/>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Less: interproduct revenues</w:t>
            </w:r>
          </w:p>
        </w:tc>
        <w:tc>
          <w:tcPr>
            <w:tcW w:w="16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1"/>
              <w:spacing w:after="0" w:line="216" w:lineRule="exact"/>
              <w:rPr>
                <w:sz w:val="20"/>
                <w:szCs w:val="20"/>
                <w:color w:val="auto"/>
              </w:rPr>
            </w:pPr>
            <w:r>
              <w:rPr>
                <w:rFonts w:ascii="Arial" w:cs="Arial" w:eastAsia="Arial" w:hAnsi="Arial"/>
                <w:sz w:val="20"/>
                <w:szCs w:val="20"/>
                <w:color w:val="auto"/>
              </w:rPr>
              <w:t>(39)</w:t>
            </w:r>
          </w:p>
        </w:tc>
        <w:tc>
          <w:tcPr>
            <w:tcW w:w="8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09"/>
        </w:trPr>
        <w:tc>
          <w:tcPr>
            <w:tcW w:w="578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1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1,219</w:t>
            </w:r>
          </w:p>
        </w:tc>
        <w:tc>
          <w:tcPr>
            <w:tcW w:w="44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1,075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Specialties</w:t>
            </w:r>
          </w:p>
        </w:tc>
        <w:tc>
          <w:tcPr>
            <w:tcW w:w="16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143</w:t>
            </w:r>
          </w:p>
        </w:tc>
        <w:tc>
          <w:tcPr>
            <w:tcW w:w="4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line="209" w:lineRule="exact"/>
              <w:rPr>
                <w:sz w:val="20"/>
                <w:szCs w:val="20"/>
                <w:color w:val="auto"/>
              </w:rPr>
            </w:pPr>
            <w:r>
              <w:rPr>
                <w:rFonts w:ascii="Arial" w:cs="Arial" w:eastAsia="Arial" w:hAnsi="Arial"/>
                <w:sz w:val="20"/>
                <w:szCs w:val="20"/>
                <w:color w:val="auto"/>
              </w:rPr>
              <w:t>Total</w:t>
            </w:r>
          </w:p>
        </w:tc>
        <w:tc>
          <w:tcPr>
            <w:tcW w:w="1600" w:type="dxa"/>
            <w:vAlign w:val="bottom"/>
            <w:tcBorders>
              <w:bottom w:val="single" w:sz="8" w:color="auto"/>
            </w:tcBorders>
          </w:tcPr>
          <w:p>
            <w:pPr>
              <w:jc w:val="right"/>
              <w:ind w:right="1381"/>
              <w:spacing w:after="0" w:line="209" w:lineRule="exact"/>
              <w:rPr>
                <w:sz w:val="20"/>
                <w:szCs w:val="20"/>
                <w:color w:val="auto"/>
              </w:rPr>
            </w:pPr>
            <w:r>
              <w:rPr>
                <w:rFonts w:ascii="Arial" w:cs="Arial" w:eastAsia="Arial" w:hAnsi="Arial"/>
                <w:sz w:val="20"/>
                <w:szCs w:val="20"/>
                <w:color w:val="auto"/>
                <w:w w:val="89"/>
              </w:rPr>
              <w:t>$</w:t>
            </w:r>
          </w:p>
        </w:tc>
        <w:tc>
          <w:tcPr>
            <w:tcW w:w="8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1,362</w:t>
            </w:r>
          </w:p>
        </w:tc>
        <w:tc>
          <w:tcPr>
            <w:tcW w:w="440" w:type="dxa"/>
            <w:vAlign w:val="bottom"/>
          </w:tcPr>
          <w:p>
            <w:pPr>
              <w:spacing w:after="0"/>
              <w:rPr>
                <w:sz w:val="18"/>
                <w:szCs w:val="18"/>
                <w:color w:val="auto"/>
              </w:rPr>
            </w:pPr>
          </w:p>
        </w:tc>
        <w:tc>
          <w:tcPr>
            <w:tcW w:w="84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1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Building Materials business:</w:t>
            </w:r>
          </w:p>
        </w:tc>
        <w:tc>
          <w:tcPr>
            <w:tcW w:w="1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00"/>
              <w:spacing w:after="0" w:line="216" w:lineRule="exact"/>
              <w:rPr>
                <w:sz w:val="20"/>
                <w:szCs w:val="20"/>
                <w:color w:val="auto"/>
              </w:rPr>
            </w:pPr>
            <w:r>
              <w:rPr>
                <w:rFonts w:ascii="Arial" w:cs="Arial" w:eastAsia="Arial" w:hAnsi="Arial"/>
                <w:sz w:val="20"/>
                <w:szCs w:val="20"/>
                <w:color w:val="auto"/>
              </w:rPr>
              <w:t>Aggregates</w:t>
            </w:r>
          </w:p>
        </w:tc>
        <w:tc>
          <w:tcPr>
            <w:tcW w:w="1600" w:type="dxa"/>
            <w:vAlign w:val="bottom"/>
          </w:tcPr>
          <w:p>
            <w:pPr>
              <w:jc w:val="right"/>
              <w:ind w:right="1381"/>
              <w:spacing w:after="0" w:line="216" w:lineRule="exact"/>
              <w:rPr>
                <w:sz w:val="20"/>
                <w:szCs w:val="20"/>
                <w:color w:val="auto"/>
              </w:rPr>
            </w:pPr>
            <w:r>
              <w:rPr>
                <w:rFonts w:ascii="Arial" w:cs="Arial" w:eastAsia="Arial" w:hAnsi="Arial"/>
                <w:sz w:val="20"/>
                <w:szCs w:val="20"/>
                <w:color w:val="auto"/>
                <w:w w:val="89"/>
              </w:rPr>
              <w:t>$</w:t>
            </w:r>
          </w:p>
        </w:tc>
        <w:tc>
          <w:tcPr>
            <w:tcW w:w="860" w:type="dxa"/>
            <w:vAlign w:val="bottom"/>
          </w:tcPr>
          <w:p>
            <w:pPr>
              <w:jc w:val="right"/>
              <w:spacing w:after="0" w:line="216" w:lineRule="exact"/>
              <w:rPr>
                <w:sz w:val="20"/>
                <w:szCs w:val="20"/>
                <w:color w:val="auto"/>
              </w:rPr>
            </w:pPr>
            <w:r>
              <w:rPr>
                <w:rFonts w:ascii="Arial" w:cs="Arial" w:eastAsia="Arial" w:hAnsi="Arial"/>
                <w:sz w:val="20"/>
                <w:szCs w:val="20"/>
                <w:color w:val="auto"/>
              </w:rPr>
              <w:t>288</w:t>
            </w:r>
          </w:p>
        </w:tc>
        <w:tc>
          <w:tcPr>
            <w:tcW w:w="440" w:type="dxa"/>
            <w:vAlign w:val="bottom"/>
          </w:tcPr>
          <w:p>
            <w:pPr>
              <w:spacing w:after="0"/>
              <w:rPr>
                <w:sz w:val="18"/>
                <w:szCs w:val="18"/>
                <w:color w:val="auto"/>
              </w:rPr>
            </w:pPr>
          </w:p>
        </w:tc>
        <w:tc>
          <w:tcPr>
            <w:tcW w:w="84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1620" w:type="dxa"/>
            <w:vAlign w:val="bottom"/>
          </w:tcPr>
          <w:p>
            <w:pPr>
              <w:jc w:val="right"/>
              <w:spacing w:after="0" w:line="216" w:lineRule="exact"/>
              <w:rPr>
                <w:sz w:val="20"/>
                <w:szCs w:val="20"/>
                <w:color w:val="auto"/>
              </w:rPr>
            </w:pPr>
            <w:r>
              <w:rPr>
                <w:rFonts w:ascii="Arial" w:cs="Arial" w:eastAsia="Arial" w:hAnsi="Arial"/>
                <w:sz w:val="20"/>
                <w:szCs w:val="20"/>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Other Building Materials</w:t>
            </w:r>
          </w:p>
        </w:tc>
        <w:tc>
          <w:tcPr>
            <w:tcW w:w="16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1"/>
              <w:spacing w:after="0" w:line="216" w:lineRule="exact"/>
              <w:rPr>
                <w:sz w:val="20"/>
                <w:szCs w:val="20"/>
                <w:color w:val="auto"/>
              </w:rPr>
            </w:pPr>
            <w:r>
              <w:rPr>
                <w:rFonts w:ascii="Arial" w:cs="Arial" w:eastAsia="Arial" w:hAnsi="Arial"/>
                <w:sz w:val="20"/>
                <w:szCs w:val="20"/>
                <w:color w:val="auto"/>
              </w:rPr>
              <w:t>(16)</w:t>
            </w:r>
          </w:p>
        </w:tc>
        <w:tc>
          <w:tcPr>
            <w:tcW w:w="8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line="216"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10"/>
        </w:trPr>
        <w:tc>
          <w:tcPr>
            <w:tcW w:w="5780" w:type="dxa"/>
            <w:vAlign w:val="bottom"/>
            <w:tcBorders>
              <w:top w:val="single" w:sz="8" w:color="CFF0FC"/>
            </w:tcBorders>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1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272</w:t>
            </w:r>
          </w:p>
        </w:tc>
        <w:tc>
          <w:tcPr>
            <w:tcW w:w="44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rPr>
              <w:t>278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Specialties</w:t>
            </w:r>
          </w:p>
        </w:tc>
        <w:tc>
          <w:tcPr>
            <w:tcW w:w="16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45</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20"/>
                <w:szCs w:val="20"/>
                <w:color w:val="auto"/>
              </w:rPr>
              <w:t>Corporate</w:t>
            </w:r>
          </w:p>
        </w:tc>
        <w:tc>
          <w:tcPr>
            <w:tcW w:w="1600" w:type="dxa"/>
            <w:vAlign w:val="bottom"/>
          </w:tcPr>
          <w:p>
            <w:pPr>
              <w:spacing w:after="0"/>
              <w:rPr>
                <w:sz w:val="18"/>
                <w:szCs w:val="18"/>
                <w:color w:val="auto"/>
              </w:rPr>
            </w:pPr>
          </w:p>
        </w:tc>
        <w:tc>
          <w:tcPr>
            <w:tcW w:w="1300" w:type="dxa"/>
            <w:vAlign w:val="bottom"/>
            <w:gridSpan w:val="2"/>
          </w:tcPr>
          <w:p>
            <w:pPr>
              <w:jc w:val="right"/>
              <w:ind w:right="281"/>
              <w:spacing w:after="0" w:line="216" w:lineRule="exact"/>
              <w:rPr>
                <w:sz w:val="20"/>
                <w:szCs w:val="20"/>
                <w:color w:val="auto"/>
              </w:rPr>
            </w:pPr>
            <w:r>
              <w:rPr>
                <w:rFonts w:ascii="Arial" w:cs="Arial" w:eastAsia="Arial" w:hAnsi="Arial"/>
                <w:sz w:val="20"/>
                <w:szCs w:val="20"/>
                <w:color w:val="auto"/>
              </w:rPr>
              <w:t>(7)</w:t>
            </w:r>
          </w:p>
        </w:tc>
        <w:tc>
          <w:tcPr>
            <w:tcW w:w="840" w:type="dxa"/>
            <w:vAlign w:val="bottom"/>
          </w:tcPr>
          <w:p>
            <w:pPr>
              <w:spacing w:after="0"/>
              <w:rPr>
                <w:sz w:val="18"/>
                <w:szCs w:val="18"/>
                <w:color w:val="auto"/>
              </w:rPr>
            </w:pPr>
          </w:p>
        </w:tc>
        <w:tc>
          <w:tcPr>
            <w:tcW w:w="1720" w:type="dxa"/>
            <w:vAlign w:val="bottom"/>
            <w:gridSpan w:val="2"/>
          </w:tcPr>
          <w:p>
            <w:pPr>
              <w:jc w:val="right"/>
              <w:ind w:right="40"/>
              <w:spacing w:after="0" w:line="21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Total</w:t>
            </w:r>
          </w:p>
        </w:tc>
        <w:tc>
          <w:tcPr>
            <w:tcW w:w="1600" w:type="dxa"/>
            <w:vAlign w:val="bottom"/>
            <w:tcBorders>
              <w:top w:val="single" w:sz="8" w:color="auto"/>
              <w:bottom w:val="single" w:sz="8" w:color="auto"/>
            </w:tcBorders>
            <w:shd w:val="clear" w:color="auto" w:fill="CFF0FC"/>
          </w:tcPr>
          <w:p>
            <w:pPr>
              <w:jc w:val="right"/>
              <w:ind w:right="1381"/>
              <w:spacing w:after="0" w:line="209" w:lineRule="exact"/>
              <w:rPr>
                <w:sz w:val="20"/>
                <w:szCs w:val="20"/>
                <w:color w:val="auto"/>
              </w:rPr>
            </w:pPr>
            <w:r>
              <w:rPr>
                <w:rFonts w:ascii="Arial" w:cs="Arial" w:eastAsia="Arial" w:hAnsi="Arial"/>
                <w:sz w:val="20"/>
                <w:szCs w:val="20"/>
                <w:color w:val="auto"/>
                <w:w w:val="89"/>
              </w:rPr>
              <w:t>$</w:t>
            </w:r>
          </w:p>
        </w:tc>
        <w:tc>
          <w:tcPr>
            <w:tcW w:w="8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310</w:t>
            </w:r>
          </w:p>
        </w:tc>
        <w:tc>
          <w:tcPr>
            <w:tcW w:w="4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w:t>
            </w:r>
          </w:p>
        </w:tc>
        <w:tc>
          <w:tcPr>
            <w:tcW w:w="16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-1731010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-1448435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-591185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jc w:val="both"/>
        <w:ind w:left="380"/>
        <w:spacing w:after="0" w:line="234" w:lineRule="auto"/>
        <w:rPr>
          <w:sz w:val="20"/>
          <w:szCs w:val="20"/>
          <w:color w:val="auto"/>
        </w:rPr>
      </w:pPr>
      <w:r>
        <w:rPr>
          <w:rFonts w:ascii="Arial" w:cs="Arial" w:eastAsia="Arial" w:hAnsi="Arial"/>
          <w:sz w:val="20"/>
          <w:szCs w:val="20"/>
          <w:b w:val="1"/>
          <w:bCs w:val="1"/>
          <w:i w:val="1"/>
          <w:iCs w:val="1"/>
          <w:color w:val="auto"/>
        </w:rPr>
        <w:t xml:space="preserve">Performance Obligations. </w:t>
      </w:r>
      <w:r>
        <w:rPr>
          <w:rFonts w:ascii="Arial" w:cs="Arial" w:eastAsia="Arial" w:hAnsi="Arial"/>
          <w:sz w:val="20"/>
          <w:szCs w:val="20"/>
          <w:color w:val="auto"/>
        </w:rPr>
        <w:t>Performance obligations are contractual promises to transfer or provide a distinct good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service for a stated price. The Company’s product sales agreements are single-performance obligations that are satisfied at a point in time. Performance obligations within paving service agreements are satisfied over time, primarily ranging from one day to two years. Customer payments for the paving operations are based on a contractual billing schedule and are typically "paid-when-paid", meaning the Company is paid once the customer is paid.</w:t>
      </w:r>
    </w:p>
    <w:p>
      <w:pPr>
        <w:spacing w:after="0" w:line="67" w:lineRule="exact"/>
        <w:rPr>
          <w:sz w:val="20"/>
          <w:szCs w:val="20"/>
          <w:color w:val="auto"/>
        </w:rPr>
      </w:pPr>
    </w:p>
    <w:p>
      <w:pPr>
        <w:jc w:val="both"/>
        <w:ind w:left="380"/>
        <w:spacing w:after="0" w:line="241" w:lineRule="auto"/>
        <w:rPr>
          <w:sz w:val="20"/>
          <w:szCs w:val="20"/>
          <w:color w:val="auto"/>
        </w:rPr>
      </w:pPr>
      <w:r>
        <w:rPr>
          <w:rFonts w:ascii="Arial" w:cs="Arial" w:eastAsia="Arial" w:hAnsi="Arial"/>
          <w:sz w:val="20"/>
          <w:szCs w:val="20"/>
          <w:color w:val="auto"/>
        </w:rPr>
        <w:t>Future revenues from unsatisfied performance obligations at March 31, 2026 and 2025 were $243 million and $297 million, respectively, where the remaining periods to complete these obligations ranged from one month to 21 months and one month to 33 months, respectively.</w:t>
      </w:r>
    </w:p>
    <w:p>
      <w:pPr>
        <w:spacing w:after="0" w:line="63" w:lineRule="exact"/>
        <w:rPr>
          <w:sz w:val="20"/>
          <w:szCs w:val="20"/>
          <w:color w:val="auto"/>
        </w:rPr>
      </w:pPr>
    </w:p>
    <w:p>
      <w:pPr>
        <w:jc w:val="both"/>
        <w:ind w:left="380"/>
        <w:spacing w:after="0" w:line="230" w:lineRule="auto"/>
        <w:rPr>
          <w:sz w:val="20"/>
          <w:szCs w:val="20"/>
          <w:color w:val="auto"/>
        </w:rPr>
      </w:pPr>
      <w:r>
        <w:rPr>
          <w:rFonts w:ascii="Arial" w:cs="Arial" w:eastAsia="Arial" w:hAnsi="Arial"/>
          <w:sz w:val="20"/>
          <w:szCs w:val="20"/>
          <w:b w:val="1"/>
          <w:bCs w:val="1"/>
          <w:i w:val="1"/>
          <w:iCs w:val="1"/>
          <w:color w:val="auto"/>
        </w:rPr>
        <w:t xml:space="preserve">Service Revenues. </w:t>
      </w:r>
      <w:r>
        <w:rPr>
          <w:rFonts w:ascii="Arial" w:cs="Arial" w:eastAsia="Arial" w:hAnsi="Arial"/>
          <w:sz w:val="20"/>
          <w:szCs w:val="20"/>
          <w:color w:val="auto"/>
        </w:rPr>
        <w:t>Service revenues were $19 million and $36 million for the three months ended March 31, 2026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2025, respectively, and reported in the West Group. Service revenues include paving operations in Colorado and British Columbia. The British Columbia paving operations were acquired February 23, 2026. During the quarter ended March 31, 2025, service revenues also included the Company's California paving operations, which were divested in April 2025.</w:t>
      </w:r>
    </w:p>
    <w:p>
      <w:pPr>
        <w:jc w:val="center"/>
        <w:spacing w:after="0"/>
        <w:rPr>
          <w:sz w:val="20"/>
          <w:szCs w:val="20"/>
          <w:color w:val="auto"/>
        </w:rPr>
      </w:pPr>
      <w:r>
        <w:rPr>
          <w:rFonts w:ascii="Arial" w:cs="Arial" w:eastAsia="Arial" w:hAnsi="Arial"/>
          <w:sz w:val="20"/>
          <w:szCs w:val="20"/>
          <w:color w:val="auto"/>
        </w:rPr>
        <w:t>Page 21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620" w:type="dxa"/>
            <w:vAlign w:val="bottom"/>
          </w:tcPr>
          <w:p>
            <w:pPr>
              <w:spacing w:after="0"/>
              <w:rPr>
                <w:sz w:val="20"/>
                <w:szCs w:val="20"/>
                <w:color w:val="auto"/>
              </w:rPr>
            </w:pPr>
            <w:r>
              <w:rPr>
                <w:rFonts w:ascii="Calibri" w:cs="Calibri" w:eastAsia="Calibri" w:hAnsi="Calibri"/>
                <w:sz w:val="20"/>
                <w:szCs w:val="20"/>
                <w:b w:val="1"/>
                <w:bCs w:val="1"/>
                <w:color w:val="auto"/>
              </w:rPr>
              <w:t xml:space="preserve">12.  </w:t>
            </w:r>
            <w:r>
              <w:rPr>
                <w:rFonts w:ascii="Arial" w:cs="Arial" w:eastAsia="Arial" w:hAnsi="Arial"/>
                <w:sz w:val="20"/>
                <w:szCs w:val="20"/>
                <w:b w:val="1"/>
                <w:bCs w:val="1"/>
                <w:color w:val="auto"/>
              </w:rPr>
              <w:t>Supplemental Cash Flow Information</w:t>
            </w: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4"/>
        </w:trPr>
        <w:tc>
          <w:tcPr>
            <w:tcW w:w="6620" w:type="dxa"/>
            <w:vAlign w:val="bottom"/>
          </w:tcPr>
          <w:p>
            <w:pPr>
              <w:ind w:left="380"/>
              <w:spacing w:after="0"/>
              <w:rPr>
                <w:sz w:val="20"/>
                <w:szCs w:val="20"/>
                <w:color w:val="auto"/>
              </w:rPr>
            </w:pPr>
            <w:r>
              <w:rPr>
                <w:rFonts w:ascii="Arial" w:cs="Arial" w:eastAsia="Arial" w:hAnsi="Arial"/>
                <w:sz w:val="20"/>
                <w:szCs w:val="20"/>
                <w:color w:val="auto"/>
              </w:rPr>
              <w:t>Noncash investing and financing activities are as follows:</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360" w:type="dxa"/>
            <w:vAlign w:val="bottom"/>
            <w:gridSpan w:val="5"/>
          </w:tcPr>
          <w:p>
            <w:pPr>
              <w:jc w:val="center"/>
              <w:ind w:right="480"/>
              <w:spacing w:after="0"/>
              <w:rPr>
                <w:sz w:val="20"/>
                <w:szCs w:val="20"/>
                <w:color w:val="auto"/>
              </w:rPr>
            </w:pPr>
            <w:r>
              <w:rPr>
                <w:rFonts w:ascii="Arial" w:cs="Arial" w:eastAsia="Arial" w:hAnsi="Arial"/>
                <w:sz w:val="20"/>
                <w:szCs w:val="20"/>
                <w:color w:val="auto"/>
                <w:w w:val="98"/>
              </w:rPr>
              <w:t>Three Months Ended</w:t>
            </w:r>
          </w:p>
        </w:tc>
        <w:tc>
          <w:tcPr>
            <w:tcW w:w="0" w:type="dxa"/>
            <w:vAlign w:val="bottom"/>
          </w:tcPr>
          <w:p>
            <w:pPr>
              <w:spacing w:after="0"/>
              <w:rPr>
                <w:sz w:val="1"/>
                <w:szCs w:val="1"/>
                <w:color w:val="auto"/>
              </w:rPr>
            </w:pPr>
          </w:p>
        </w:tc>
      </w:tr>
      <w:tr>
        <w:trPr>
          <w:trHeight w:val="238"/>
        </w:trPr>
        <w:tc>
          <w:tcPr>
            <w:tcW w:w="6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741"/>
              <w:spacing w:after="0"/>
              <w:rPr>
                <w:sz w:val="20"/>
                <w:szCs w:val="20"/>
                <w:color w:val="auto"/>
              </w:rPr>
            </w:pPr>
            <w:r>
              <w:rPr>
                <w:rFonts w:ascii="Arial" w:cs="Arial" w:eastAsia="Arial" w:hAnsi="Arial"/>
                <w:sz w:val="20"/>
                <w:szCs w:val="20"/>
                <w:color w:val="auto"/>
                <w:w w:val="98"/>
              </w:rPr>
              <w:t>March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1"/>
              <w:spacing w:after="0" w:line="209" w:lineRule="exact"/>
              <w:rPr>
                <w:sz w:val="20"/>
                <w:szCs w:val="20"/>
                <w:color w:val="auto"/>
              </w:rPr>
            </w:pPr>
            <w:r>
              <w:rPr>
                <w:rFonts w:ascii="Arial" w:cs="Arial" w:eastAsia="Arial" w:hAnsi="Arial"/>
                <w:sz w:val="20"/>
                <w:szCs w:val="20"/>
                <w:color w:val="auto"/>
              </w:rPr>
              <w:t>2026</w:t>
            </w:r>
          </w:p>
        </w:tc>
        <w:tc>
          <w:tcPr>
            <w:tcW w:w="300" w:type="dxa"/>
            <w:vAlign w:val="bottom"/>
            <w:vMerge w:val="restart"/>
          </w:tcPr>
          <w:p>
            <w:pPr>
              <w:jc w:val="center"/>
              <w:spacing w:after="0"/>
              <w:rPr>
                <w:sz w:val="20"/>
                <w:szCs w:val="20"/>
                <w:color w:val="auto"/>
              </w:rPr>
            </w:pPr>
            <w:r>
              <w:rPr>
                <w:rFonts w:ascii="Arial" w:cs="Arial" w:eastAsia="Arial" w:hAnsi="Arial"/>
                <w:sz w:val="20"/>
                <w:szCs w:val="20"/>
                <w:i w:val="1"/>
                <w:iCs w:val="1"/>
                <w:color w:val="auto"/>
              </w:rPr>
              <w:t>in</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1"/>
              <w:spacing w:after="0" w:line="209" w:lineRule="exact"/>
              <w:rPr>
                <w:sz w:val="20"/>
                <w:szCs w:val="20"/>
                <w:color w:val="auto"/>
              </w:rPr>
            </w:pPr>
            <w:r>
              <w:rPr>
                <w:rFonts w:ascii="Arial" w:cs="Arial" w:eastAsia="Arial" w:hAnsi="Arial"/>
                <w:sz w:val="20"/>
                <w:szCs w:val="20"/>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00" w:type="dxa"/>
            <w:vAlign w:val="bottom"/>
            <w:vMerge w:val="continue"/>
          </w:tcPr>
          <w:p>
            <w:pPr>
              <w:spacing w:after="0"/>
              <w:rPr>
                <w:sz w:val="18"/>
                <w:szCs w:val="18"/>
                <w:color w:val="auto"/>
              </w:rPr>
            </w:pPr>
          </w:p>
        </w:tc>
        <w:tc>
          <w:tcPr>
            <w:tcW w:w="1660" w:type="dxa"/>
            <w:vAlign w:val="bottom"/>
            <w:gridSpan w:val="2"/>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Acquisition of assets through asset exchange</w:t>
            </w:r>
          </w:p>
        </w:tc>
        <w:tc>
          <w:tcPr>
            <w:tcW w:w="1260" w:type="dxa"/>
            <w:vAlign w:val="bottom"/>
            <w:gridSpan w:val="2"/>
            <w:shd w:val="clear" w:color="auto" w:fill="CFF0FC"/>
          </w:tcPr>
          <w:p>
            <w:pPr>
              <w:jc w:val="right"/>
              <w:ind w:right="240"/>
              <w:spacing w:after="0" w:line="216" w:lineRule="exact"/>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2,725</w:t>
            </w:r>
          </w:p>
        </w:tc>
        <w:tc>
          <w:tcPr>
            <w:tcW w:w="740" w:type="dxa"/>
            <w:vAlign w:val="bottom"/>
            <w:gridSpan w:val="2"/>
            <w:shd w:val="clear" w:color="auto" w:fill="CFF0FC"/>
          </w:tcPr>
          <w:p>
            <w:pPr>
              <w:ind w:left="300"/>
              <w:spacing w:after="0" w:line="216" w:lineRule="exact"/>
              <w:rPr>
                <w:sz w:val="20"/>
                <w:szCs w:val="20"/>
                <w:color w:val="auto"/>
              </w:rPr>
            </w:pPr>
            <w:r>
              <w:rPr>
                <w:rFonts w:ascii="Arial" w:cs="Arial" w:eastAsia="Arial" w:hAnsi="Arial"/>
                <w:sz w:val="20"/>
                <w:szCs w:val="20"/>
                <w:color w:val="auto"/>
              </w:rPr>
              <w:t>$</w:t>
            </w:r>
          </w:p>
        </w:tc>
        <w:tc>
          <w:tcPr>
            <w:tcW w:w="1320" w:type="dxa"/>
            <w:vAlign w:val="bottom"/>
            <w:gridSpan w:val="2"/>
            <w:shd w:val="clear" w:color="auto" w:fill="CFF0FC"/>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6620" w:type="dxa"/>
            <w:vAlign w:val="bottom"/>
          </w:tcPr>
          <w:p>
            <w:pPr>
              <w:spacing w:after="0" w:line="216" w:lineRule="exact"/>
              <w:rPr>
                <w:sz w:val="20"/>
                <w:szCs w:val="20"/>
                <w:color w:val="auto"/>
              </w:rPr>
            </w:pPr>
            <w:r>
              <w:rPr>
                <w:rFonts w:ascii="Arial" w:cs="Arial" w:eastAsia="Arial" w:hAnsi="Arial"/>
                <w:sz w:val="20"/>
                <w:szCs w:val="20"/>
                <w:color w:val="auto"/>
              </w:rPr>
              <w:t>Accrued liabilities for purchases of property, plant and equipment</w:t>
            </w:r>
          </w:p>
        </w:tc>
        <w:tc>
          <w:tcPr>
            <w:tcW w:w="1260" w:type="dxa"/>
            <w:vAlign w:val="bottom"/>
            <w:gridSpan w:val="2"/>
          </w:tcPr>
          <w:p>
            <w:pPr>
              <w:jc w:val="right"/>
              <w:ind w:right="240"/>
              <w:spacing w:after="0" w:line="216" w:lineRule="exact"/>
              <w:rPr>
                <w:sz w:val="20"/>
                <w:szCs w:val="20"/>
                <w:color w:val="auto"/>
              </w:rPr>
            </w:pPr>
            <w:r>
              <w:rPr>
                <w:rFonts w:ascii="Arial" w:cs="Arial" w:eastAsia="Arial" w:hAnsi="Arial"/>
                <w:sz w:val="20"/>
                <w:szCs w:val="20"/>
                <w:color w:val="auto"/>
              </w:rPr>
              <w:t>$</w:t>
            </w:r>
          </w:p>
        </w:tc>
        <w:tc>
          <w:tcPr>
            <w:tcW w:w="1300" w:type="dxa"/>
            <w:vAlign w:val="bottom"/>
          </w:tcPr>
          <w:p>
            <w:pPr>
              <w:jc w:val="right"/>
              <w:spacing w:after="0" w:line="216" w:lineRule="exact"/>
              <w:rPr>
                <w:sz w:val="20"/>
                <w:szCs w:val="20"/>
                <w:color w:val="auto"/>
              </w:rPr>
            </w:pPr>
            <w:r>
              <w:rPr>
                <w:rFonts w:ascii="Arial" w:cs="Arial" w:eastAsia="Arial" w:hAnsi="Arial"/>
                <w:sz w:val="20"/>
                <w:szCs w:val="20"/>
                <w:color w:val="auto"/>
              </w:rPr>
              <w:t>45</w:t>
            </w:r>
          </w:p>
        </w:tc>
        <w:tc>
          <w:tcPr>
            <w:tcW w:w="740" w:type="dxa"/>
            <w:vAlign w:val="bottom"/>
            <w:gridSpan w:val="2"/>
          </w:tcPr>
          <w:p>
            <w:pPr>
              <w:ind w:left="300"/>
              <w:spacing w:after="0" w:line="216" w:lineRule="exact"/>
              <w:rPr>
                <w:sz w:val="20"/>
                <w:szCs w:val="20"/>
                <w:color w:val="auto"/>
              </w:rPr>
            </w:pPr>
            <w:r>
              <w:rPr>
                <w:rFonts w:ascii="Arial" w:cs="Arial" w:eastAsia="Arial" w:hAnsi="Arial"/>
                <w:sz w:val="20"/>
                <w:szCs w:val="20"/>
                <w:color w:val="auto"/>
              </w:rPr>
              <w:t>$</w:t>
            </w:r>
          </w:p>
        </w:tc>
        <w:tc>
          <w:tcPr>
            <w:tcW w:w="1220" w:type="dxa"/>
            <w:vAlign w:val="bottom"/>
          </w:tcPr>
          <w:p>
            <w:pPr>
              <w:jc w:val="right"/>
              <w:spacing w:after="0" w:line="216" w:lineRule="exact"/>
              <w:rPr>
                <w:sz w:val="20"/>
                <w:szCs w:val="20"/>
                <w:color w:val="auto"/>
              </w:rPr>
            </w:pPr>
            <w:r>
              <w:rPr>
                <w:rFonts w:ascii="Arial" w:cs="Arial" w:eastAsia="Arial" w:hAnsi="Arial"/>
                <w:sz w:val="20"/>
                <w:szCs w:val="20"/>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62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Right-of-use assets obtained in exchange for new</w:t>
            </w:r>
          </w:p>
        </w:tc>
        <w:tc>
          <w:tcPr>
            <w:tcW w:w="9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20" w:type="dxa"/>
            <w:vAlign w:val="bottom"/>
            <w:shd w:val="clear" w:color="auto" w:fill="CFF0FC"/>
          </w:tcPr>
          <w:p>
            <w:pPr>
              <w:ind w:left="180"/>
              <w:spacing w:after="0"/>
              <w:rPr>
                <w:sz w:val="20"/>
                <w:szCs w:val="20"/>
                <w:color w:val="auto"/>
              </w:rPr>
            </w:pPr>
            <w:r>
              <w:rPr>
                <w:rFonts w:ascii="Arial" w:cs="Arial" w:eastAsia="Arial" w:hAnsi="Arial"/>
                <w:sz w:val="20"/>
                <w:szCs w:val="20"/>
                <w:color w:val="auto"/>
              </w:rPr>
              <w:t>operating lease liabilities</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w:t>
            </w:r>
          </w:p>
        </w:tc>
        <w:tc>
          <w:tcPr>
            <w:tcW w:w="740" w:type="dxa"/>
            <w:vAlign w:val="bottom"/>
            <w:gridSpan w:val="2"/>
            <w:shd w:val="clear" w:color="auto" w:fill="CFF0FC"/>
          </w:tcPr>
          <w:p>
            <w:pPr>
              <w:ind w:left="30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620" w:type="dxa"/>
            <w:vAlign w:val="bottom"/>
          </w:tcPr>
          <w:p>
            <w:pPr>
              <w:spacing w:after="0" w:line="194" w:lineRule="exact"/>
              <w:rPr>
                <w:sz w:val="20"/>
                <w:szCs w:val="20"/>
                <w:color w:val="auto"/>
              </w:rPr>
            </w:pPr>
            <w:r>
              <w:rPr>
                <w:rFonts w:ascii="Arial" w:cs="Arial" w:eastAsia="Arial" w:hAnsi="Arial"/>
                <w:sz w:val="20"/>
                <w:szCs w:val="20"/>
                <w:color w:val="auto"/>
              </w:rPr>
              <w:t>Right-of-use assets obtained in exchange for</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180"/>
              <w:spacing w:after="0"/>
              <w:rPr>
                <w:sz w:val="20"/>
                <w:szCs w:val="20"/>
                <w:color w:val="auto"/>
              </w:rPr>
            </w:pPr>
            <w:r>
              <w:rPr>
                <w:rFonts w:ascii="Arial" w:cs="Arial" w:eastAsia="Arial" w:hAnsi="Arial"/>
                <w:sz w:val="20"/>
                <w:szCs w:val="20"/>
                <w:color w:val="auto"/>
              </w:rPr>
              <w:t>new finance lease liabilities</w:t>
            </w: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18</w:t>
            </w:r>
          </w:p>
        </w:tc>
        <w:tc>
          <w:tcPr>
            <w:tcW w:w="74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Remeasurement of finance lease right-of-use assets</w:t>
            </w:r>
          </w:p>
        </w:tc>
        <w:tc>
          <w:tcPr>
            <w:tcW w:w="1260" w:type="dxa"/>
            <w:vAlign w:val="bottom"/>
            <w:gridSpan w:val="2"/>
            <w:shd w:val="clear" w:color="auto" w:fill="CFF0FC"/>
          </w:tcPr>
          <w:p>
            <w:pPr>
              <w:jc w:val="right"/>
              <w:ind w:right="240"/>
              <w:spacing w:after="0" w:line="216" w:lineRule="exact"/>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740" w:type="dxa"/>
            <w:vAlign w:val="bottom"/>
            <w:gridSpan w:val="2"/>
            <w:shd w:val="clear" w:color="auto" w:fill="CFF0FC"/>
          </w:tcPr>
          <w:p>
            <w:pPr>
              <w:ind w:left="300"/>
              <w:spacing w:after="0" w:line="216" w:lineRule="exact"/>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620" w:type="dxa"/>
            <w:vAlign w:val="bottom"/>
          </w:tcPr>
          <w:p>
            <w:pPr>
              <w:spacing w:after="0"/>
              <w:rPr>
                <w:sz w:val="20"/>
                <w:szCs w:val="20"/>
                <w:color w:val="auto"/>
              </w:rPr>
            </w:pPr>
            <w:r>
              <w:rPr>
                <w:rFonts w:ascii="Arial" w:cs="Arial" w:eastAsia="Arial" w:hAnsi="Arial"/>
                <w:sz w:val="20"/>
                <w:szCs w:val="20"/>
                <w:color w:val="auto"/>
              </w:rPr>
              <w:t>Remeasurement of operating lease right-of-use assets</w:t>
            </w: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80"/>
        <w:spacing w:after="0" w:line="257" w:lineRule="auto"/>
        <w:rPr>
          <w:sz w:val="20"/>
          <w:szCs w:val="20"/>
          <w:color w:val="auto"/>
        </w:rPr>
      </w:pPr>
      <w:r>
        <w:rPr>
          <w:rFonts w:ascii="Arial" w:cs="Arial" w:eastAsia="Arial" w:hAnsi="Arial"/>
          <w:sz w:val="20"/>
          <w:szCs w:val="20"/>
          <w:color w:val="auto"/>
        </w:rPr>
        <w:t>Right-of-use assets obtained in exchange for new operating lease liabilities for the three months ended March 31, 2026 include $10 million of operating leases assumed in connection with the QUIKRETE asset exchange.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80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5"/>
        </w:trPr>
        <w:tc>
          <w:tcPr>
            <w:tcW w:w="6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180" w:type="dxa"/>
            <w:vAlign w:val="bottom"/>
            <w:gridSpan w:val="4"/>
          </w:tcPr>
          <w:p>
            <w:pPr>
              <w:jc w:val="center"/>
              <w:ind w:left="321"/>
              <w:spacing w:after="0"/>
              <w:rPr>
                <w:sz w:val="20"/>
                <w:szCs w:val="20"/>
                <w:color w:val="auto"/>
              </w:rPr>
            </w:pPr>
            <w:r>
              <w:rPr>
                <w:rFonts w:ascii="Arial" w:cs="Arial" w:eastAsia="Arial" w:hAnsi="Arial"/>
                <w:sz w:val="20"/>
                <w:szCs w:val="20"/>
                <w:color w:val="auto"/>
                <w:w w:val="98"/>
              </w:rPr>
              <w:t>Three Months Ended</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8"/>
        </w:trPr>
        <w:tc>
          <w:tcPr>
            <w:tcW w:w="6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right="681"/>
              <w:spacing w:after="0"/>
              <w:rPr>
                <w:sz w:val="20"/>
                <w:szCs w:val="20"/>
                <w:color w:val="auto"/>
              </w:rPr>
            </w:pPr>
            <w:r>
              <w:rPr>
                <w:rFonts w:ascii="Arial" w:cs="Arial" w:eastAsia="Arial" w:hAnsi="Arial"/>
                <w:sz w:val="20"/>
                <w:szCs w:val="20"/>
                <w:color w:val="auto"/>
                <w:w w:val="98"/>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ind w:right="41"/>
              <w:spacing w:after="0" w:line="209" w:lineRule="exact"/>
              <w:rPr>
                <w:sz w:val="20"/>
                <w:szCs w:val="20"/>
                <w:color w:val="auto"/>
              </w:rPr>
            </w:pPr>
            <w:r>
              <w:rPr>
                <w:rFonts w:ascii="Arial" w:cs="Arial" w:eastAsia="Arial" w:hAnsi="Arial"/>
                <w:sz w:val="20"/>
                <w:szCs w:val="20"/>
                <w:color w:val="auto"/>
              </w:rPr>
              <w:t>2026</w:t>
            </w:r>
          </w:p>
        </w:tc>
        <w:tc>
          <w:tcPr>
            <w:tcW w:w="460" w:type="dxa"/>
            <w:vAlign w:val="bottom"/>
          </w:tcPr>
          <w:p>
            <w:pPr>
              <w:spacing w:after="0"/>
              <w:rPr>
                <w:sz w:val="18"/>
                <w:szCs w:val="18"/>
                <w:color w:val="auto"/>
              </w:rPr>
            </w:pPr>
          </w:p>
        </w:tc>
        <w:tc>
          <w:tcPr>
            <w:tcW w:w="1520" w:type="dxa"/>
            <w:vAlign w:val="bottom"/>
            <w:gridSpan w:val="2"/>
          </w:tcPr>
          <w:p>
            <w:pPr>
              <w:jc w:val="right"/>
              <w:ind w:right="81"/>
              <w:spacing w:after="0" w:line="209" w:lineRule="exact"/>
              <w:rPr>
                <w:sz w:val="20"/>
                <w:szCs w:val="20"/>
                <w:color w:val="auto"/>
              </w:rPr>
            </w:pPr>
            <w:r>
              <w:rPr>
                <w:rFonts w:ascii="Arial" w:cs="Arial" w:eastAsia="Arial" w:hAnsi="Arial"/>
                <w:sz w:val="20"/>
                <w:szCs w:val="20"/>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Borders>
              <w:top w:val="single" w:sz="8" w:color="auto"/>
            </w:tcBorders>
            <w:gridSpan w:val="2"/>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300" w:type="dxa"/>
            <w:vAlign w:val="bottom"/>
          </w:tcPr>
          <w:p>
            <w:pPr>
              <w:jc w:val="center"/>
              <w:spacing w:after="0" w:line="209" w:lineRule="exact"/>
              <w:rPr>
                <w:sz w:val="20"/>
                <w:szCs w:val="20"/>
                <w:color w:val="auto"/>
              </w:rPr>
            </w:pPr>
            <w:r>
              <w:rPr>
                <w:rFonts w:ascii="Arial" w:cs="Arial" w:eastAsia="Arial" w:hAnsi="Arial"/>
                <w:sz w:val="20"/>
                <w:szCs w:val="20"/>
                <w:i w:val="1"/>
                <w:iCs w:val="1"/>
                <w:color w:val="auto"/>
              </w:rPr>
              <w:t>in</w:t>
            </w:r>
          </w:p>
        </w:tc>
        <w:tc>
          <w:tcPr>
            <w:tcW w:w="1220" w:type="dxa"/>
            <w:vAlign w:val="bottom"/>
            <w:tcBorders>
              <w:top w:val="single" w:sz="8" w:color="auto"/>
            </w:tcBorders>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Cash paid for interest, net of capitalized amount</w:t>
            </w:r>
          </w:p>
        </w:tc>
        <w:tc>
          <w:tcPr>
            <w:tcW w:w="1920" w:type="dxa"/>
            <w:vAlign w:val="bottom"/>
            <w:gridSpan w:val="2"/>
            <w:shd w:val="clear" w:color="auto" w:fill="CFF0FC"/>
          </w:tcPr>
          <w:p>
            <w:pPr>
              <w:jc w:val="right"/>
              <w:ind w:right="981"/>
              <w:spacing w:after="0" w:line="216" w:lineRule="exact"/>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32</w:t>
            </w:r>
          </w:p>
        </w:tc>
        <w:tc>
          <w:tcPr>
            <w:tcW w:w="1520" w:type="dxa"/>
            <w:vAlign w:val="bottom"/>
            <w:gridSpan w:val="2"/>
            <w:shd w:val="clear" w:color="auto" w:fill="CFF0FC"/>
          </w:tcPr>
          <w:p>
            <w:pPr>
              <w:ind w:left="300"/>
              <w:spacing w:after="0" w:line="216" w:lineRule="exact"/>
              <w:rPr>
                <w:sz w:val="20"/>
                <w:szCs w:val="20"/>
                <w:color w:val="auto"/>
              </w:rPr>
            </w:pPr>
            <w:r>
              <w:rPr>
                <w:rFonts w:ascii="Arial" w:cs="Arial" w:eastAsia="Arial" w:hAnsi="Arial"/>
                <w:sz w:val="20"/>
                <w:szCs w:val="20"/>
                <w:color w:val="auto"/>
              </w:rPr>
              <w:t>$</w:t>
            </w:r>
          </w:p>
        </w:tc>
        <w:tc>
          <w:tcPr>
            <w:tcW w:w="4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31</w:t>
            </w:r>
          </w:p>
        </w:tc>
        <w:tc>
          <w:tcPr>
            <w:tcW w:w="100" w:type="dxa"/>
            <w:vAlign w:val="bottom"/>
            <w:shd w:val="clear" w:color="auto" w:fill="CFF0FC"/>
          </w:tcPr>
          <w:p>
            <w:pPr>
              <w:spacing w:after="0"/>
              <w:rPr>
                <w:sz w:val="18"/>
                <w:szCs w:val="18"/>
                <w:color w:val="auto"/>
              </w:rPr>
            </w:pPr>
          </w:p>
        </w:tc>
      </w:tr>
      <w:tr>
        <w:trPr>
          <w:trHeight w:val="261"/>
        </w:trPr>
        <w:tc>
          <w:tcPr>
            <w:tcW w:w="6800" w:type="dxa"/>
            <w:vAlign w:val="bottom"/>
          </w:tcPr>
          <w:p>
            <w:pPr>
              <w:spacing w:after="0"/>
              <w:rPr>
                <w:sz w:val="20"/>
                <w:szCs w:val="20"/>
                <w:color w:val="auto"/>
              </w:rPr>
            </w:pPr>
            <w:r>
              <w:rPr>
                <w:rFonts w:ascii="Arial" w:cs="Arial" w:eastAsia="Arial" w:hAnsi="Arial"/>
                <w:sz w:val="20"/>
                <w:szCs w:val="20"/>
                <w:color w:val="auto"/>
              </w:rPr>
              <w:t>Cash paid for income taxes, net of refunds</w:t>
            </w:r>
          </w:p>
        </w:tc>
        <w:tc>
          <w:tcPr>
            <w:tcW w:w="1920" w:type="dxa"/>
            <w:vAlign w:val="bottom"/>
            <w:gridSpan w:val="2"/>
          </w:tcPr>
          <w:p>
            <w:pPr>
              <w:jc w:val="right"/>
              <w:ind w:right="981"/>
              <w:spacing w:after="0"/>
              <w:rPr>
                <w:sz w:val="20"/>
                <w:szCs w:val="20"/>
                <w:color w:val="auto"/>
              </w:rPr>
            </w:pPr>
            <w:r>
              <w:rPr>
                <w:rFonts w:ascii="Arial" w:cs="Arial" w:eastAsia="Arial" w:hAnsi="Arial"/>
                <w:sz w:val="20"/>
                <w:szCs w:val="20"/>
                <w:color w:val="auto"/>
              </w:rPr>
              <w:t>$</w:t>
            </w:r>
          </w:p>
        </w:tc>
        <w:tc>
          <w:tcPr>
            <w:tcW w:w="46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r>
    </w:tbl>
    <w:p>
      <w:pPr>
        <w:spacing w:after="0" w:line="350" w:lineRule="exact"/>
        <w:rPr>
          <w:sz w:val="20"/>
          <w:szCs w:val="20"/>
          <w:color w:val="auto"/>
        </w:rPr>
      </w:pPr>
    </w:p>
    <w:p>
      <w:pPr>
        <w:ind w:left="380" w:hanging="372"/>
        <w:spacing w:after="0"/>
        <w:tabs>
          <w:tab w:leader="none" w:pos="380" w:val="left"/>
        </w:tabs>
        <w:numPr>
          <w:ilvl w:val="0"/>
          <w:numId w:val="11"/>
        </w:numPr>
        <w:rPr>
          <w:rFonts w:ascii="Calibri" w:cs="Calibri" w:eastAsia="Calibri" w:hAnsi="Calibri"/>
          <w:sz w:val="20"/>
          <w:szCs w:val="20"/>
          <w:b w:val="1"/>
          <w:bCs w:val="1"/>
          <w:color w:val="auto"/>
        </w:rPr>
      </w:pPr>
      <w:r>
        <w:rPr>
          <w:rFonts w:ascii="Arial" w:cs="Arial" w:eastAsia="Arial" w:hAnsi="Arial"/>
          <w:sz w:val="20"/>
          <w:szCs w:val="20"/>
          <w:b w:val="1"/>
          <w:bCs w:val="1"/>
          <w:color w:val="auto"/>
        </w:rPr>
        <w:t>Subsequent Event</w:t>
      </w:r>
    </w:p>
    <w:p>
      <w:pPr>
        <w:spacing w:after="0" w:line="122" w:lineRule="exact"/>
        <w:rPr>
          <w:rFonts w:ascii="Calibri" w:cs="Calibri" w:eastAsia="Calibri" w:hAnsi="Calibri"/>
          <w:sz w:val="20"/>
          <w:szCs w:val="20"/>
          <w:b w:val="1"/>
          <w:bCs w:val="1"/>
          <w:color w:val="auto"/>
        </w:rPr>
      </w:pPr>
    </w:p>
    <w:p>
      <w:pPr>
        <w:jc w:val="both"/>
        <w:ind w:left="380"/>
        <w:spacing w:after="0" w:line="237" w:lineRule="auto"/>
        <w:rPr>
          <w:rFonts w:ascii="Calibri" w:cs="Calibri" w:eastAsia="Calibri" w:hAnsi="Calibri"/>
          <w:sz w:val="20"/>
          <w:szCs w:val="20"/>
          <w:b w:val="1"/>
          <w:bCs w:val="1"/>
          <w:color w:val="auto"/>
        </w:rPr>
      </w:pPr>
      <w:r>
        <w:rPr>
          <w:rFonts w:ascii="Arial" w:cs="Arial" w:eastAsia="Arial" w:hAnsi="Arial"/>
          <w:sz w:val="20"/>
          <w:szCs w:val="20"/>
          <w:color w:val="auto"/>
        </w:rPr>
        <w:t>On April 19, 2026, the Company entered into a definitive agreement to acquire New Frontier Materials, a complementary bolt-on aggregates-led business operating in the greater St. Louis metropolitan area. The aggregates assets to be acquired produce over 8 million tons annually. The transaction is expected to close in the second half of this year, subject to regulatory approvals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Martin Marietta Materials, Inc. (the Company or Martin Marietta) is a natural resource-based building materials company. As of March 31, 2026, the Company supplies aggregates (crushed stone, sand and gravel) through its network of approximately 480 quarries, mines and distribution yards in 28 states, Canada and The Bahamas. Martin Marietta also provides other building materials, namely, ready mixed concrete, asphalt and paving services, in certain vertically-integrated structured markets where the Company has a notable aggregates position.</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heavy-side building materials are used in infrastructure, nonresidential and residential construction projects. Aggregates are also used in agricultural, utility and environmental applications and as railroad ballast. The aggregates and other building materials product lines are reported collectively as the Building Materials business.</w:t>
      </w:r>
    </w:p>
    <w:p>
      <w:pPr>
        <w:spacing w:after="0" w:line="6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On February 23, 2026, the Company completed its previously announced asset exchange with QUIKRETE Holdings, Inc. (QUIKRETE). Under the terms of the transaction, Martin Marietta acquired aggregates operations producing approximately 20 million tons annually in Virginia, Missouri, Kansas and Vancouver, British Columbia and an asphalt and paving business in Vancouver, British Columbia, along with $450 million in cash. In exchange, QUIKRETE acquired the Company’s Midlothian cement plant, related cement distribution terminals, Texas ready mixed concrete assets and certain nonoperating land. The financial results for the Midlothian cement plant, related cement terminals and Texas ready mixed concrete plants are reported as discontinued operations through the divestiture date and for the comparable prior-year quarter (see Note 2 to the unaudited consolidated financial statements).</w:t>
      </w:r>
    </w:p>
    <w:p>
      <w:pPr>
        <w:spacing w:after="0" w:line="6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connection with closing the asset exchange during the quarter ended March 31, 2026, the Company updated its reportable segments. As of March 31, 2026, the Building Materials business includes two reportable segments: East Group (comprised of the East and Southwest divisions) and West Group (comprised of the Central and West divisions). The Company has recast all comparative prior-period information presented in the related notes to the financial statements to reflect the updated reportable segments.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Reportable Segments</w:t>
            </w:r>
          </w:p>
        </w:tc>
        <w:tc>
          <w:tcPr>
            <w:tcW w:w="120" w:type="dxa"/>
            <w:vAlign w:val="bottom"/>
            <w:tcBorders>
              <w:top w:val="single" w:sz="8" w:color="auto"/>
            </w:tcBorders>
          </w:tcPr>
          <w:p>
            <w:pPr>
              <w:spacing w:after="0"/>
              <w:rPr>
                <w:sz w:val="19"/>
                <w:szCs w:val="19"/>
                <w:color w:val="auto"/>
              </w:rPr>
            </w:pPr>
          </w:p>
        </w:tc>
        <w:tc>
          <w:tcPr>
            <w:tcW w:w="4480" w:type="dxa"/>
            <w:vAlign w:val="bottom"/>
            <w:tcBorders>
              <w:top w:val="single" w:sz="8" w:color="auto"/>
              <w:bottom w:val="single" w:sz="8" w:color="auto"/>
            </w:tcBorders>
          </w:tcPr>
          <w:p>
            <w:pPr>
              <w:ind w:left="1740"/>
              <w:spacing w:after="0" w:line="223" w:lineRule="exact"/>
              <w:rPr>
                <w:sz w:val="20"/>
                <w:szCs w:val="20"/>
                <w:color w:val="auto"/>
              </w:rPr>
            </w:pPr>
            <w:r>
              <w:rPr>
                <w:rFonts w:ascii="Arial" w:cs="Arial" w:eastAsia="Arial" w:hAnsi="Arial"/>
                <w:sz w:val="20"/>
                <w:szCs w:val="20"/>
                <w:color w:val="auto"/>
              </w:rPr>
              <w:t>East Group</w:t>
            </w:r>
          </w:p>
        </w:tc>
        <w:tc>
          <w:tcPr>
            <w:tcW w:w="100" w:type="dxa"/>
            <w:vAlign w:val="bottom"/>
            <w:tcBorders>
              <w:top w:val="single" w:sz="8" w:color="auto"/>
            </w:tcBorders>
          </w:tcPr>
          <w:p>
            <w:pPr>
              <w:spacing w:after="0"/>
              <w:rPr>
                <w:sz w:val="19"/>
                <w:szCs w:val="19"/>
                <w:color w:val="auto"/>
              </w:rPr>
            </w:pPr>
          </w:p>
        </w:tc>
        <w:tc>
          <w:tcPr>
            <w:tcW w:w="4380" w:type="dxa"/>
            <w:vAlign w:val="bottom"/>
            <w:tcBorders>
              <w:top w:val="single" w:sz="8" w:color="auto"/>
              <w:bottom w:val="single" w:sz="8" w:color="auto"/>
            </w:tcBorders>
          </w:tcPr>
          <w:p>
            <w:pPr>
              <w:ind w:left="1660"/>
              <w:spacing w:after="0" w:line="223" w:lineRule="exact"/>
              <w:rPr>
                <w:sz w:val="20"/>
                <w:szCs w:val="20"/>
                <w:color w:val="auto"/>
              </w:rPr>
            </w:pPr>
            <w:r>
              <w:rPr>
                <w:rFonts w:ascii="Arial" w:cs="Arial" w:eastAsia="Arial" w:hAnsi="Arial"/>
                <w:sz w:val="20"/>
                <w:szCs w:val="20"/>
                <w:color w:val="auto"/>
              </w:rPr>
              <w:t>West Group</w:t>
            </w:r>
          </w:p>
        </w:tc>
      </w:tr>
      <w:tr>
        <w:trPr>
          <w:trHeight w:val="188"/>
        </w:trPr>
        <w:tc>
          <w:tcPr>
            <w:tcW w:w="2160" w:type="dxa"/>
            <w:vAlign w:val="bottom"/>
          </w:tcPr>
          <w:p>
            <w:pPr>
              <w:jc w:val="center"/>
              <w:spacing w:after="0" w:line="188" w:lineRule="exact"/>
              <w:rPr>
                <w:sz w:val="20"/>
                <w:szCs w:val="20"/>
                <w:color w:val="auto"/>
              </w:rPr>
            </w:pPr>
            <w:r>
              <w:rPr>
                <w:rFonts w:ascii="Arial" w:cs="Arial" w:eastAsia="Arial" w:hAnsi="Arial"/>
                <w:sz w:val="20"/>
                <w:szCs w:val="20"/>
                <w:color w:val="auto"/>
                <w:w w:val="99"/>
              </w:rPr>
              <w:t>Operating Locations</w:t>
            </w:r>
          </w:p>
        </w:tc>
        <w:tc>
          <w:tcPr>
            <w:tcW w:w="120" w:type="dxa"/>
            <w:vAlign w:val="bottom"/>
          </w:tcPr>
          <w:p>
            <w:pPr>
              <w:spacing w:after="0"/>
              <w:rPr>
                <w:sz w:val="16"/>
                <w:szCs w:val="16"/>
                <w:color w:val="auto"/>
              </w:rPr>
            </w:pPr>
          </w:p>
        </w:tc>
        <w:tc>
          <w:tcPr>
            <w:tcW w:w="4480" w:type="dxa"/>
            <w:vAlign w:val="bottom"/>
          </w:tcPr>
          <w:p>
            <w:pPr>
              <w:jc w:val="center"/>
              <w:spacing w:after="0" w:line="188" w:lineRule="exact"/>
              <w:rPr>
                <w:sz w:val="20"/>
                <w:szCs w:val="20"/>
                <w:color w:val="auto"/>
              </w:rPr>
            </w:pPr>
            <w:r>
              <w:rPr>
                <w:rFonts w:ascii="Arial" w:cs="Arial" w:eastAsia="Arial" w:hAnsi="Arial"/>
                <w:sz w:val="20"/>
                <w:szCs w:val="20"/>
                <w:color w:val="auto"/>
                <w:w w:val="98"/>
              </w:rPr>
              <w:t>Alabama, Arkansas, Florida, Georgia,</w:t>
            </w:r>
          </w:p>
        </w:tc>
        <w:tc>
          <w:tcPr>
            <w:tcW w:w="100" w:type="dxa"/>
            <w:vAlign w:val="bottom"/>
          </w:tcPr>
          <w:p>
            <w:pPr>
              <w:spacing w:after="0"/>
              <w:rPr>
                <w:sz w:val="16"/>
                <w:szCs w:val="16"/>
                <w:color w:val="auto"/>
              </w:rPr>
            </w:pPr>
          </w:p>
        </w:tc>
        <w:tc>
          <w:tcPr>
            <w:tcW w:w="4380" w:type="dxa"/>
            <w:vAlign w:val="bottom"/>
          </w:tcPr>
          <w:p>
            <w:pPr>
              <w:jc w:val="center"/>
              <w:spacing w:after="0" w:line="188" w:lineRule="exact"/>
              <w:rPr>
                <w:sz w:val="20"/>
                <w:szCs w:val="20"/>
                <w:color w:val="auto"/>
              </w:rPr>
            </w:pPr>
            <w:r>
              <w:rPr>
                <w:rFonts w:ascii="Arial" w:cs="Arial" w:eastAsia="Arial" w:hAnsi="Arial"/>
                <w:sz w:val="20"/>
                <w:szCs w:val="20"/>
                <w:color w:val="auto"/>
                <w:w w:val="99"/>
              </w:rPr>
              <w:t>Arizona, California, Colorado, Indiana,</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line="216" w:lineRule="exact"/>
              <w:rPr>
                <w:sz w:val="20"/>
                <w:szCs w:val="20"/>
                <w:color w:val="auto"/>
              </w:rPr>
            </w:pPr>
            <w:r>
              <w:rPr>
                <w:rFonts w:ascii="Arial" w:cs="Arial" w:eastAsia="Arial" w:hAnsi="Arial"/>
                <w:sz w:val="20"/>
                <w:szCs w:val="20"/>
                <w:color w:val="auto"/>
                <w:w w:val="99"/>
              </w:rPr>
              <w:t>Louisiana, Maryland, North Carolina,</w:t>
            </w:r>
          </w:p>
        </w:tc>
        <w:tc>
          <w:tcPr>
            <w:tcW w:w="100" w:type="dxa"/>
            <w:vAlign w:val="bottom"/>
          </w:tcPr>
          <w:p>
            <w:pPr>
              <w:spacing w:after="0"/>
              <w:rPr>
                <w:sz w:val="18"/>
                <w:szCs w:val="18"/>
                <w:color w:val="auto"/>
              </w:rPr>
            </w:pPr>
          </w:p>
        </w:tc>
        <w:tc>
          <w:tcPr>
            <w:tcW w:w="4380" w:type="dxa"/>
            <w:vAlign w:val="bottom"/>
          </w:tcPr>
          <w:p>
            <w:pPr>
              <w:jc w:val="center"/>
              <w:spacing w:after="0" w:line="216" w:lineRule="exact"/>
              <w:rPr>
                <w:sz w:val="20"/>
                <w:szCs w:val="20"/>
                <w:color w:val="auto"/>
              </w:rPr>
            </w:pPr>
            <w:r>
              <w:rPr>
                <w:rFonts w:ascii="Arial" w:cs="Arial" w:eastAsia="Arial" w:hAnsi="Arial"/>
                <w:sz w:val="20"/>
                <w:szCs w:val="20"/>
                <w:color w:val="auto"/>
                <w:w w:val="99"/>
              </w:rPr>
              <w:t>Iowa, Kansas, Kentucky, Minnesota,</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line="216" w:lineRule="exact"/>
              <w:rPr>
                <w:sz w:val="20"/>
                <w:szCs w:val="20"/>
                <w:color w:val="auto"/>
              </w:rPr>
            </w:pPr>
            <w:r>
              <w:rPr>
                <w:rFonts w:ascii="Arial" w:cs="Arial" w:eastAsia="Arial" w:hAnsi="Arial"/>
                <w:sz w:val="20"/>
                <w:szCs w:val="20"/>
                <w:color w:val="auto"/>
                <w:w w:val="98"/>
              </w:rPr>
              <w:t>Oklahoma, Pennsylvania, South Carolina,</w:t>
            </w:r>
          </w:p>
        </w:tc>
        <w:tc>
          <w:tcPr>
            <w:tcW w:w="100" w:type="dxa"/>
            <w:vAlign w:val="bottom"/>
          </w:tcPr>
          <w:p>
            <w:pPr>
              <w:spacing w:after="0"/>
              <w:rPr>
                <w:sz w:val="18"/>
                <w:szCs w:val="18"/>
                <w:color w:val="auto"/>
              </w:rPr>
            </w:pPr>
          </w:p>
        </w:tc>
        <w:tc>
          <w:tcPr>
            <w:tcW w:w="4380" w:type="dxa"/>
            <w:vAlign w:val="bottom"/>
          </w:tcPr>
          <w:p>
            <w:pPr>
              <w:jc w:val="center"/>
              <w:spacing w:after="0" w:line="216" w:lineRule="exact"/>
              <w:rPr>
                <w:sz w:val="20"/>
                <w:szCs w:val="20"/>
                <w:color w:val="auto"/>
              </w:rPr>
            </w:pPr>
            <w:r>
              <w:rPr>
                <w:rFonts w:ascii="Arial" w:cs="Arial" w:eastAsia="Arial" w:hAnsi="Arial"/>
                <w:sz w:val="20"/>
                <w:szCs w:val="20"/>
                <w:color w:val="auto"/>
                <w:w w:val="98"/>
              </w:rPr>
              <w:t>Missouri, Ohio, Nebraska, Tennessee,</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jc w:val="center"/>
              <w:spacing w:after="0" w:line="216" w:lineRule="exact"/>
              <w:rPr>
                <w:sz w:val="20"/>
                <w:szCs w:val="20"/>
                <w:color w:val="auto"/>
              </w:rPr>
            </w:pPr>
            <w:r>
              <w:rPr>
                <w:rFonts w:ascii="Arial" w:cs="Arial" w:eastAsia="Arial" w:hAnsi="Arial"/>
                <w:sz w:val="20"/>
                <w:szCs w:val="20"/>
                <w:color w:val="auto"/>
                <w:w w:val="98"/>
              </w:rPr>
              <w:t>Tennessee, Texas, Virginia,</w:t>
            </w:r>
          </w:p>
        </w:tc>
        <w:tc>
          <w:tcPr>
            <w:tcW w:w="100" w:type="dxa"/>
            <w:vAlign w:val="bottom"/>
          </w:tcPr>
          <w:p>
            <w:pPr>
              <w:spacing w:after="0"/>
              <w:rPr>
                <w:sz w:val="18"/>
                <w:szCs w:val="18"/>
                <w:color w:val="auto"/>
              </w:rPr>
            </w:pPr>
          </w:p>
        </w:tc>
        <w:tc>
          <w:tcPr>
            <w:tcW w:w="4380" w:type="dxa"/>
            <w:vAlign w:val="bottom"/>
          </w:tcPr>
          <w:p>
            <w:pPr>
              <w:jc w:val="center"/>
              <w:spacing w:after="0" w:line="216" w:lineRule="exact"/>
              <w:rPr>
                <w:sz w:val="20"/>
                <w:szCs w:val="20"/>
                <w:color w:val="auto"/>
              </w:rPr>
            </w:pPr>
            <w:r>
              <w:rPr>
                <w:rFonts w:ascii="Arial" w:cs="Arial" w:eastAsia="Arial" w:hAnsi="Arial"/>
                <w:sz w:val="20"/>
                <w:szCs w:val="20"/>
                <w:color w:val="auto"/>
                <w:w w:val="99"/>
              </w:rPr>
              <w:t>Utah, Washington, West Virginia,</w:t>
            </w:r>
          </w:p>
        </w:tc>
      </w:tr>
      <w:tr>
        <w:trPr>
          <w:trHeight w:val="261"/>
        </w:trPr>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8"/>
              </w:rPr>
              <w:t>Nova Scotia and The Bahamas</w:t>
            </w:r>
          </w:p>
        </w:tc>
        <w:tc>
          <w:tcPr>
            <w:tcW w:w="10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8"/>
              </w:rPr>
              <w:t>Wyoming, and British Columbia</w:t>
            </w:r>
          </w:p>
        </w:tc>
      </w:tr>
      <w:tr>
        <w:trPr>
          <w:trHeight w:val="549"/>
        </w:trPr>
        <w:tc>
          <w:tcPr>
            <w:tcW w:w="2160" w:type="dxa"/>
            <w:vAlign w:val="bottom"/>
          </w:tcPr>
          <w:p>
            <w:pPr>
              <w:jc w:val="center"/>
              <w:spacing w:after="0"/>
              <w:rPr>
                <w:sz w:val="20"/>
                <w:szCs w:val="20"/>
                <w:color w:val="auto"/>
              </w:rPr>
            </w:pPr>
            <w:r>
              <w:rPr>
                <w:rFonts w:ascii="Arial" w:cs="Arial" w:eastAsia="Arial" w:hAnsi="Arial"/>
                <w:sz w:val="20"/>
                <w:szCs w:val="20"/>
                <w:color w:val="auto"/>
                <w:w w:val="98"/>
              </w:rPr>
              <w:t>Products and Services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7"/>
              </w:rPr>
              <w:t>Aggregates</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9"/>
              </w:rPr>
              <w:t>Aggregates, Ready Mixed Concrete,</w:t>
            </w:r>
          </w:p>
        </w:tc>
      </w:tr>
      <w:tr>
        <w:trPr>
          <w:trHeight w:val="261"/>
        </w:trPr>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8"/>
              </w:rPr>
              <w:t>Asphalt and Paving Services</w:t>
            </w:r>
          </w:p>
        </w:tc>
      </w:tr>
      <w:tr>
        <w:trPr>
          <w:trHeight w:val="333"/>
        </w:trPr>
        <w:tc>
          <w:tcPr>
            <w:tcW w:w="2160" w:type="dxa"/>
            <w:vAlign w:val="bottom"/>
          </w:tcPr>
          <w:p>
            <w:pPr>
              <w:jc w:val="center"/>
              <w:spacing w:after="0"/>
              <w:rPr>
                <w:sz w:val="20"/>
                <w:szCs w:val="20"/>
                <w:color w:val="auto"/>
              </w:rPr>
            </w:pPr>
            <w:r>
              <w:rPr>
                <w:rFonts w:ascii="Arial" w:cs="Arial" w:eastAsia="Arial" w:hAnsi="Arial"/>
                <w:sz w:val="20"/>
                <w:szCs w:val="20"/>
                <w:color w:val="auto"/>
                <w:w w:val="98"/>
              </w:rPr>
              <w:t>Facility Types</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9"/>
              </w:rPr>
              <w:t>Quarries and Distribution Facilities</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9"/>
              </w:rPr>
              <w:t>Quarries, Mines, Asphalt Plants, Ready Mixed</w:t>
            </w:r>
          </w:p>
        </w:tc>
      </w:tr>
      <w:tr>
        <w:trPr>
          <w:trHeight w:val="261"/>
        </w:trPr>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8"/>
              </w:rPr>
              <w:t>Concrete Plants and Distribution Facilities</w:t>
            </w:r>
          </w:p>
        </w:tc>
      </w:tr>
      <w:tr>
        <w:trPr>
          <w:trHeight w:val="333"/>
        </w:trPr>
        <w:tc>
          <w:tcPr>
            <w:tcW w:w="2160" w:type="dxa"/>
            <w:vAlign w:val="bottom"/>
          </w:tcPr>
          <w:p>
            <w:pPr>
              <w:jc w:val="center"/>
              <w:spacing w:after="0"/>
              <w:rPr>
                <w:sz w:val="20"/>
                <w:szCs w:val="20"/>
                <w:color w:val="auto"/>
              </w:rPr>
            </w:pPr>
            <w:r>
              <w:rPr>
                <w:rFonts w:ascii="Arial" w:cs="Arial" w:eastAsia="Arial" w:hAnsi="Arial"/>
                <w:sz w:val="20"/>
                <w:szCs w:val="20"/>
                <w:color w:val="auto"/>
                <w:w w:val="99"/>
              </w:rPr>
              <w:t>Modes of</w:t>
            </w:r>
          </w:p>
        </w:tc>
        <w:tc>
          <w:tcPr>
            <w:tcW w:w="1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20"/>
                <w:szCs w:val="20"/>
                <w:color w:val="auto"/>
                <w:w w:val="99"/>
              </w:rPr>
              <w:t>Truck, Railcar and Ship</w:t>
            </w: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Arial" w:cs="Arial" w:eastAsia="Arial" w:hAnsi="Arial"/>
                <w:sz w:val="20"/>
                <w:szCs w:val="20"/>
                <w:color w:val="auto"/>
                <w:w w:val="98"/>
              </w:rPr>
              <w:t>Truck, Railcar and Barge</w:t>
            </w:r>
          </w:p>
        </w:tc>
      </w:tr>
      <w:tr>
        <w:trPr>
          <w:trHeight w:val="261"/>
        </w:trPr>
        <w:tc>
          <w:tcPr>
            <w:tcW w:w="2160" w:type="dxa"/>
            <w:vAlign w:val="bottom"/>
          </w:tcPr>
          <w:p>
            <w:pPr>
              <w:jc w:val="center"/>
              <w:spacing w:after="0"/>
              <w:rPr>
                <w:sz w:val="20"/>
                <w:szCs w:val="20"/>
                <w:color w:val="auto"/>
              </w:rPr>
            </w:pPr>
            <w:r>
              <w:rPr>
                <w:rFonts w:ascii="Arial" w:cs="Arial" w:eastAsia="Arial" w:hAnsi="Arial"/>
                <w:sz w:val="20"/>
                <w:szCs w:val="20"/>
                <w:color w:val="auto"/>
                <w:w w:val="99"/>
              </w:rPr>
              <w:t>Transportation</w:t>
            </w:r>
          </w:p>
        </w:tc>
        <w:tc>
          <w:tcPr>
            <w:tcW w:w="1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80" w:type="dxa"/>
            <w:vAlign w:val="bottom"/>
          </w:tcPr>
          <w:p>
            <w:pPr>
              <w:spacing w:after="0"/>
              <w:rPr>
                <w:sz w:val="22"/>
                <w:szCs w:val="22"/>
                <w:color w:val="auto"/>
              </w:rPr>
            </w:pPr>
          </w:p>
        </w:tc>
      </w:tr>
      <w:tr>
        <w:trPr>
          <w:trHeight w:val="432"/>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ind w:left="2720"/>
              <w:spacing w:after="0"/>
              <w:rPr>
                <w:sz w:val="20"/>
                <w:szCs w:val="20"/>
                <w:color w:val="auto"/>
              </w:rPr>
            </w:pPr>
            <w:r>
              <w:rPr>
                <w:rFonts w:ascii="Arial" w:cs="Arial" w:eastAsia="Arial" w:hAnsi="Arial"/>
                <w:sz w:val="20"/>
                <w:szCs w:val="20"/>
                <w:color w:val="auto"/>
              </w:rPr>
              <w:t>Page 23 of 37</w:t>
            </w: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740"/>
        </w:trPr>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3" w:name="page24"/>
    <w:bookmarkEnd w:id="23"/>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Building Materials business is significantly affected by weather patterns, precipitation and other weather-related conditions. Production and shipment levels for aggregates, ready mixed concrete and asphalt materials correlate with general construction activity levels, most of which occur in the spring, summer and fall. Thus, production and shipment levels vary by quarter. Excessive rainfall, drought, wildfire and extreme hot and cold temperatures can also jeopardize production, shipments and profitability in all markets served by the Company. Due to the potentially significant impact of weather on the Company’s operations, current-period results are not necessarily indicative of expected performance for other interim periods or the full year.</w:t>
      </w:r>
    </w:p>
    <w:p>
      <w:pPr>
        <w:spacing w:after="0" w:line="6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Company's Specialties business (formerly known as the Magnesia Specialties business), which represents a separate reportable segment, has manufacturing facilities in Michigan, Ohio, Nevada, North Carolina, Indiana and Pennsylvania. The Specialties business produces high-purity natural and synthetic magnesia-based products, including magnesium sulfate, magnesium oxide and magnesium hydroxide, used in a wide range of environmental, industrial, agricultural, construction, consumer and specialty applications. The Specialties business also produces dolomitic lime, which is sold primarily to external customers for use in steel production and soil stabilization, and is used internally as a raw material input in synthetic magnesia production.</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The Company outlined its critical accounting policies in its Annual Report on Form 10-K for the year ended December 31, 2025.</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There were no changes to the Company’s critical accounting policies during the three months ended March 31, 2026.</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All financial and operating results included in this section are for continuing operations and comparisons are versus the prior-year first quarter, unless otherwise noted.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tables present revenues and gross profit (loss) for the Company and its reportable segments by product line for the three months ended March 31, 2026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800" w:type="dxa"/>
            <w:vAlign w:val="bottom"/>
            <w:tcBorders>
              <w:bottom w:val="single" w:sz="8" w:color="auto"/>
            </w:tcBorders>
            <w:gridSpan w:val="5"/>
          </w:tcPr>
          <w:p>
            <w:pPr>
              <w:jc w:val="center"/>
              <w:ind w:left="721"/>
              <w:spacing w:after="0"/>
              <w:rPr>
                <w:sz w:val="20"/>
                <w:szCs w:val="20"/>
                <w:color w:val="auto"/>
              </w:rPr>
            </w:pPr>
            <w:r>
              <w:rPr>
                <w:rFonts w:ascii="Arial" w:cs="Arial" w:eastAsia="Arial" w:hAnsi="Arial"/>
                <w:sz w:val="20"/>
                <w:szCs w:val="20"/>
                <w:color w:val="auto"/>
                <w:w w:val="98"/>
              </w:rPr>
              <w:t>Three Months Ended March 31,</w:t>
            </w: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1360" w:type="dxa"/>
            <w:vAlign w:val="bottom"/>
          </w:tcPr>
          <w:p>
            <w:pPr>
              <w:jc w:val="center"/>
              <w:ind w:left="381"/>
              <w:spacing w:after="0" w:line="209" w:lineRule="exact"/>
              <w:rPr>
                <w:sz w:val="20"/>
                <w:szCs w:val="20"/>
                <w:color w:val="auto"/>
              </w:rPr>
            </w:pPr>
            <w:r>
              <w:rPr>
                <w:rFonts w:ascii="Arial" w:cs="Arial" w:eastAsia="Arial" w:hAnsi="Arial"/>
                <w:sz w:val="20"/>
                <w:szCs w:val="20"/>
                <w:color w:val="auto"/>
                <w:w w:val="98"/>
              </w:rPr>
              <w:t>2026</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center"/>
              <w:ind w:left="621"/>
              <w:spacing w:after="0" w:line="209" w:lineRule="exact"/>
              <w:rPr>
                <w:sz w:val="20"/>
                <w:szCs w:val="20"/>
                <w:color w:val="auto"/>
              </w:rPr>
            </w:pPr>
            <w:r>
              <w:rPr>
                <w:rFonts w:ascii="Arial" w:cs="Arial" w:eastAsia="Arial" w:hAnsi="Arial"/>
                <w:sz w:val="20"/>
                <w:szCs w:val="20"/>
                <w:color w:val="auto"/>
                <w:w w:val="98"/>
              </w:rPr>
              <w:t>2025</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ind w:left="381"/>
              <w:spacing w:after="0" w:line="209" w:lineRule="exact"/>
              <w:rPr>
                <w:sz w:val="20"/>
                <w:szCs w:val="20"/>
                <w:color w:val="auto"/>
              </w:rPr>
            </w:pPr>
            <w:r>
              <w:rPr>
                <w:rFonts w:ascii="Arial" w:cs="Arial" w:eastAsia="Arial" w:hAnsi="Arial"/>
                <w:sz w:val="20"/>
                <w:szCs w:val="20"/>
                <w:color w:val="auto"/>
                <w:w w:val="98"/>
              </w:rPr>
              <w:t>Amount</w:t>
            </w:r>
          </w:p>
        </w:tc>
        <w:tc>
          <w:tcPr>
            <w:tcW w:w="520" w:type="dxa"/>
            <w:vAlign w:val="bottom"/>
            <w:tcBorders>
              <w:top w:val="single" w:sz="8" w:color="auto"/>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center"/>
              <w:ind w:left="441"/>
              <w:spacing w:after="0" w:line="209" w:lineRule="exact"/>
              <w:rPr>
                <w:sz w:val="20"/>
                <w:szCs w:val="20"/>
                <w:color w:val="auto"/>
              </w:rPr>
            </w:pPr>
            <w:r>
              <w:rPr>
                <w:rFonts w:ascii="Arial" w:cs="Arial" w:eastAsia="Arial" w:hAnsi="Arial"/>
                <w:sz w:val="20"/>
                <w:szCs w:val="20"/>
                <w:color w:val="auto"/>
                <w:w w:val="98"/>
              </w:rPr>
              <w:t>Amount</w:t>
            </w:r>
          </w:p>
        </w:tc>
        <w:tc>
          <w:tcPr>
            <w:tcW w:w="54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40" w:type="dxa"/>
            <w:vAlign w:val="bottom"/>
            <w:gridSpan w:val="4"/>
          </w:tcPr>
          <w:p>
            <w:pPr>
              <w:jc w:val="center"/>
              <w:ind w:right="441"/>
              <w:spacing w:after="0" w:line="209" w:lineRule="exact"/>
              <w:rPr>
                <w:sz w:val="20"/>
                <w:szCs w:val="20"/>
                <w:color w:val="auto"/>
              </w:rPr>
            </w:pPr>
            <w:r>
              <w:rPr>
                <w:rFonts w:ascii="Arial" w:cs="Arial" w:eastAsia="Arial" w:hAnsi="Arial"/>
                <w:sz w:val="20"/>
                <w:szCs w:val="20"/>
                <w:i w:val="1"/>
                <w:iCs w:val="1"/>
                <w:color w:val="auto"/>
                <w:w w:val="98"/>
              </w:rPr>
              <w:t>(Dollars in Millions)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Revenues:</w:t>
            </w: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Arial" w:cs="Arial" w:eastAsia="Arial" w:hAnsi="Arial"/>
                <w:sz w:val="20"/>
                <w:szCs w:val="20"/>
                <w:color w:val="auto"/>
              </w:rPr>
              <w:t>Building Materials business:</w:t>
            </w: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80"/>
              <w:spacing w:after="0" w:line="216" w:lineRule="exact"/>
              <w:rPr>
                <w:sz w:val="20"/>
                <w:szCs w:val="20"/>
                <w:color w:val="auto"/>
              </w:rPr>
            </w:pPr>
            <w:r>
              <w:rPr>
                <w:rFonts w:ascii="Arial" w:cs="Arial" w:eastAsia="Arial" w:hAnsi="Arial"/>
                <w:sz w:val="20"/>
                <w:szCs w:val="20"/>
                <w:color w:val="auto"/>
              </w:rPr>
              <w:t>East Group</w:t>
            </w: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00"/>
              <w:spacing w:after="0" w:line="216" w:lineRule="exact"/>
              <w:rPr>
                <w:sz w:val="20"/>
                <w:szCs w:val="20"/>
                <w:color w:val="auto"/>
              </w:rPr>
            </w:pPr>
            <w:r>
              <w:rPr>
                <w:rFonts w:ascii="Arial" w:cs="Arial" w:eastAsia="Arial" w:hAnsi="Arial"/>
                <w:sz w:val="20"/>
                <w:szCs w:val="20"/>
                <w:color w:val="auto"/>
              </w:rPr>
              <w:t>Aggregates</w:t>
            </w:r>
          </w:p>
        </w:tc>
        <w:tc>
          <w:tcPr>
            <w:tcW w:w="1360" w:type="dxa"/>
            <w:vAlign w:val="bottom"/>
          </w:tcPr>
          <w:p>
            <w:pPr>
              <w:jc w:val="right"/>
              <w:ind w:right="1161"/>
              <w:spacing w:after="0" w:line="216" w:lineRule="exact"/>
              <w:rPr>
                <w:sz w:val="20"/>
                <w:szCs w:val="20"/>
                <w:color w:val="auto"/>
              </w:rPr>
            </w:pPr>
            <w:r>
              <w:rPr>
                <w:rFonts w:ascii="Arial" w:cs="Arial" w:eastAsia="Arial" w:hAnsi="Arial"/>
                <w:sz w:val="20"/>
                <w:szCs w:val="20"/>
                <w:color w:val="auto"/>
                <w:w w:val="71"/>
              </w:rPr>
              <w:t>$</w:t>
            </w: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854</w:t>
            </w:r>
          </w:p>
        </w:tc>
        <w:tc>
          <w:tcPr>
            <w:tcW w:w="400" w:type="dxa"/>
            <w:vAlign w:val="bottom"/>
          </w:tcPr>
          <w:p>
            <w:pPr>
              <w:spacing w:after="0"/>
              <w:rPr>
                <w:sz w:val="18"/>
                <w:szCs w:val="18"/>
                <w:color w:val="auto"/>
              </w:rPr>
            </w:pPr>
          </w:p>
        </w:tc>
        <w:tc>
          <w:tcPr>
            <w:tcW w:w="1520" w:type="dxa"/>
            <w:vAlign w:val="bottom"/>
            <w:gridSpan w:val="2"/>
          </w:tcPr>
          <w:p>
            <w:pPr>
              <w:jc w:val="right"/>
              <w:ind w:right="1121"/>
              <w:spacing w:after="0" w:line="216" w:lineRule="exact"/>
              <w:rPr>
                <w:sz w:val="20"/>
                <w:szCs w:val="20"/>
                <w:color w:val="auto"/>
              </w:rPr>
            </w:pPr>
            <w:r>
              <w:rPr>
                <w:rFonts w:ascii="Arial" w:cs="Arial" w:eastAsia="Arial" w:hAnsi="Arial"/>
                <w:sz w:val="20"/>
                <w:szCs w:val="20"/>
                <w:color w:val="auto"/>
              </w:rPr>
              <w:t>$</w:t>
            </w:r>
          </w:p>
        </w:tc>
        <w:tc>
          <w:tcPr>
            <w:tcW w:w="540" w:type="dxa"/>
            <w:vAlign w:val="bottom"/>
          </w:tcPr>
          <w:p>
            <w:pPr>
              <w:jc w:val="right"/>
              <w:spacing w:after="0" w:line="216" w:lineRule="exact"/>
              <w:rPr>
                <w:sz w:val="20"/>
                <w:szCs w:val="20"/>
                <w:color w:val="auto"/>
              </w:rPr>
            </w:pPr>
            <w:r>
              <w:rPr>
                <w:rFonts w:ascii="Arial" w:cs="Arial" w:eastAsia="Arial" w:hAnsi="Arial"/>
                <w:sz w:val="20"/>
                <w:szCs w:val="20"/>
                <w:color w:val="auto"/>
              </w:rPr>
              <w:t>792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00"/>
              <w:spacing w:after="0" w:line="216" w:lineRule="exact"/>
              <w:rPr>
                <w:sz w:val="20"/>
                <w:szCs w:val="20"/>
                <w:color w:val="auto"/>
              </w:rPr>
            </w:pPr>
            <w:r>
              <w:rPr>
                <w:rFonts w:ascii="Arial" w:cs="Arial" w:eastAsia="Arial" w:hAnsi="Arial"/>
                <w:sz w:val="20"/>
                <w:szCs w:val="20"/>
                <w:color w:val="auto"/>
              </w:rPr>
              <w:t>Less: Interproduct revenues</w:t>
            </w:r>
          </w:p>
        </w:tc>
        <w:tc>
          <w:tcPr>
            <w:tcW w:w="13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40"/>
              <w:spacing w:after="0" w:line="216" w:lineRule="exact"/>
              <w:rPr>
                <w:sz w:val="20"/>
                <w:szCs w:val="20"/>
                <w:color w:val="auto"/>
              </w:rPr>
            </w:pPr>
            <w:r>
              <w:rPr>
                <w:rFonts w:ascii="Arial" w:cs="Arial" w:eastAsia="Arial" w:hAnsi="Arial"/>
                <w:sz w:val="20"/>
                <w:szCs w:val="20"/>
                <w:color w:val="auto"/>
              </w:rPr>
              <w:t>(19)</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line="216"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tcPr>
          <w:p>
            <w:pPr>
              <w:ind w:left="180"/>
              <w:spacing w:after="0" w:line="209" w:lineRule="exact"/>
              <w:rPr>
                <w:sz w:val="20"/>
                <w:szCs w:val="20"/>
                <w:color w:val="auto"/>
              </w:rPr>
            </w:pPr>
            <w:r>
              <w:rPr>
                <w:rFonts w:ascii="Arial" w:cs="Arial" w:eastAsia="Arial" w:hAnsi="Arial"/>
                <w:sz w:val="20"/>
                <w:szCs w:val="20"/>
                <w:color w:val="auto"/>
              </w:rPr>
              <w:t>East Group Total</w:t>
            </w:r>
          </w:p>
        </w:tc>
        <w:tc>
          <w:tcPr>
            <w:tcW w:w="13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835</w:t>
            </w:r>
          </w:p>
        </w:tc>
        <w:tc>
          <w:tcPr>
            <w:tcW w:w="4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758</w:t>
            </w: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ind w:left="180"/>
              <w:spacing w:after="0" w:line="209" w:lineRule="exact"/>
              <w:rPr>
                <w:sz w:val="20"/>
                <w:szCs w:val="20"/>
                <w:color w:val="auto"/>
              </w:rPr>
            </w:pPr>
            <w:r>
              <w:rPr>
                <w:rFonts w:ascii="Arial" w:cs="Arial" w:eastAsia="Arial" w:hAnsi="Arial"/>
                <w:sz w:val="20"/>
                <w:szCs w:val="20"/>
                <w:color w:val="auto"/>
              </w:rPr>
              <w:t>West Group</w:t>
            </w: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00"/>
              <w:spacing w:after="0" w:line="216" w:lineRule="exact"/>
              <w:rPr>
                <w:sz w:val="20"/>
                <w:szCs w:val="20"/>
                <w:color w:val="auto"/>
              </w:rPr>
            </w:pPr>
            <w:r>
              <w:rPr>
                <w:rFonts w:ascii="Arial" w:cs="Arial" w:eastAsia="Arial" w:hAnsi="Arial"/>
                <w:sz w:val="20"/>
                <w:szCs w:val="20"/>
                <w:color w:val="auto"/>
              </w:rPr>
              <w:t>Aggregates</w:t>
            </w:r>
          </w:p>
        </w:tc>
        <w:tc>
          <w:tcPr>
            <w:tcW w:w="136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288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Arial" w:cs="Arial" w:eastAsia="Arial" w:hAnsi="Arial"/>
                <w:sz w:val="20"/>
                <w:szCs w:val="20"/>
                <w:color w:val="auto"/>
              </w:rPr>
              <w:t>210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00"/>
              <w:spacing w:after="0" w:line="216" w:lineRule="exact"/>
              <w:rPr>
                <w:sz w:val="20"/>
                <w:szCs w:val="20"/>
                <w:color w:val="auto"/>
              </w:rPr>
            </w:pPr>
            <w:r>
              <w:rPr>
                <w:rFonts w:ascii="Arial" w:cs="Arial" w:eastAsia="Arial" w:hAnsi="Arial"/>
                <w:sz w:val="20"/>
                <w:szCs w:val="20"/>
                <w:color w:val="auto"/>
              </w:rPr>
              <w:t>Other Building Materials</w:t>
            </w: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116</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122</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00"/>
              <w:spacing w:after="0" w:line="216" w:lineRule="exact"/>
              <w:rPr>
                <w:sz w:val="20"/>
                <w:szCs w:val="20"/>
                <w:color w:val="auto"/>
              </w:rPr>
            </w:pPr>
            <w:r>
              <w:rPr>
                <w:rFonts w:ascii="Arial" w:cs="Arial" w:eastAsia="Arial" w:hAnsi="Arial"/>
                <w:sz w:val="20"/>
                <w:szCs w:val="20"/>
                <w:color w:val="auto"/>
              </w:rPr>
              <w:t>Less: Interproduct revenues</w:t>
            </w:r>
          </w:p>
        </w:tc>
        <w:tc>
          <w:tcPr>
            <w:tcW w:w="1360" w:type="dxa"/>
            <w:vAlign w:val="bottom"/>
          </w:tcPr>
          <w:p>
            <w:pPr>
              <w:spacing w:after="0"/>
              <w:rPr>
                <w:sz w:val="18"/>
                <w:szCs w:val="18"/>
                <w:color w:val="auto"/>
              </w:rPr>
            </w:pPr>
          </w:p>
        </w:tc>
        <w:tc>
          <w:tcPr>
            <w:tcW w:w="920" w:type="dxa"/>
            <w:vAlign w:val="bottom"/>
            <w:gridSpan w:val="2"/>
          </w:tcPr>
          <w:p>
            <w:pPr>
              <w:jc w:val="right"/>
              <w:ind w:right="340"/>
              <w:spacing w:after="0" w:line="216" w:lineRule="exact"/>
              <w:rPr>
                <w:sz w:val="20"/>
                <w:szCs w:val="20"/>
                <w:color w:val="auto"/>
              </w:rPr>
            </w:pPr>
            <w:r>
              <w:rPr>
                <w:rFonts w:ascii="Arial" w:cs="Arial" w:eastAsia="Arial" w:hAnsi="Arial"/>
                <w:sz w:val="20"/>
                <w:szCs w:val="20"/>
                <w:color w:val="auto"/>
              </w:rPr>
              <w:t>(20)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gridSpan w:val="2"/>
          </w:tcPr>
          <w:p>
            <w:pPr>
              <w:jc w:val="right"/>
              <w:ind w:right="240"/>
              <w:spacing w:after="0" w:line="216" w:lineRule="exact"/>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shd w:val="clear" w:color="auto" w:fill="CFF0FC"/>
          </w:tcPr>
          <w:p>
            <w:pPr>
              <w:ind w:left="180"/>
              <w:spacing w:after="0" w:line="209" w:lineRule="exact"/>
              <w:rPr>
                <w:sz w:val="20"/>
                <w:szCs w:val="20"/>
                <w:color w:val="auto"/>
              </w:rPr>
            </w:pPr>
            <w:r>
              <w:rPr>
                <w:rFonts w:ascii="Arial" w:cs="Arial" w:eastAsia="Arial" w:hAnsi="Arial"/>
                <w:sz w:val="20"/>
                <w:szCs w:val="20"/>
                <w:color w:val="auto"/>
              </w:rPr>
              <w:t>West Group Total</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384</w:t>
            </w:r>
          </w:p>
        </w:tc>
        <w:tc>
          <w:tcPr>
            <w:tcW w:w="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317</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1360" w:type="dxa"/>
            <w:vAlign w:val="bottom"/>
          </w:tcPr>
          <w:p>
            <w:pPr>
              <w:spacing w:after="0"/>
              <w:rPr>
                <w:sz w:val="18"/>
                <w:szCs w:val="18"/>
                <w:color w:val="auto"/>
              </w:rPr>
            </w:pPr>
          </w:p>
        </w:tc>
        <w:tc>
          <w:tcPr>
            <w:tcW w:w="520" w:type="dxa"/>
            <w:vAlign w:val="bottom"/>
          </w:tcPr>
          <w:p>
            <w:pPr>
              <w:jc w:val="right"/>
              <w:spacing w:after="0" w:line="209" w:lineRule="exact"/>
              <w:rPr>
                <w:sz w:val="20"/>
                <w:szCs w:val="20"/>
                <w:color w:val="auto"/>
              </w:rPr>
            </w:pPr>
            <w:r>
              <w:rPr>
                <w:rFonts w:ascii="Arial" w:cs="Arial" w:eastAsia="Arial" w:hAnsi="Arial"/>
                <w:sz w:val="20"/>
                <w:szCs w:val="20"/>
                <w:color w:val="auto"/>
                <w:w w:val="95"/>
              </w:rPr>
              <w:t>1,219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Arial" w:cs="Arial" w:eastAsia="Arial" w:hAnsi="Arial"/>
                <w:sz w:val="20"/>
                <w:szCs w:val="20"/>
                <w:color w:val="auto"/>
              </w:rPr>
              <w:t>1,075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Specialties</w:t>
            </w:r>
          </w:p>
        </w:tc>
        <w:tc>
          <w:tcPr>
            <w:tcW w:w="13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143</w:t>
            </w:r>
          </w:p>
        </w:tc>
        <w:tc>
          <w:tcPr>
            <w:tcW w:w="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87</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line="209" w:lineRule="exact"/>
              <w:rPr>
                <w:sz w:val="20"/>
                <w:szCs w:val="20"/>
                <w:color w:val="auto"/>
              </w:rPr>
            </w:pPr>
            <w:r>
              <w:rPr>
                <w:rFonts w:ascii="Arial" w:cs="Arial" w:eastAsia="Arial" w:hAnsi="Arial"/>
                <w:sz w:val="20"/>
                <w:szCs w:val="20"/>
                <w:color w:val="auto"/>
              </w:rPr>
              <w:t>Total</w:t>
            </w:r>
          </w:p>
        </w:tc>
        <w:tc>
          <w:tcPr>
            <w:tcW w:w="1360" w:type="dxa"/>
            <w:vAlign w:val="bottom"/>
            <w:tcBorders>
              <w:bottom w:val="single" w:sz="8" w:color="auto"/>
            </w:tcBorders>
          </w:tcPr>
          <w:p>
            <w:pPr>
              <w:jc w:val="right"/>
              <w:ind w:right="1161"/>
              <w:spacing w:after="0" w:line="209" w:lineRule="exact"/>
              <w:rPr>
                <w:sz w:val="20"/>
                <w:szCs w:val="20"/>
                <w:color w:val="auto"/>
              </w:rPr>
            </w:pPr>
            <w:r>
              <w:rPr>
                <w:rFonts w:ascii="Arial" w:cs="Arial" w:eastAsia="Arial" w:hAnsi="Arial"/>
                <w:sz w:val="20"/>
                <w:szCs w:val="20"/>
                <w:color w:val="auto"/>
                <w:w w:val="71"/>
              </w:rPr>
              <w:t>$</w:t>
            </w:r>
          </w:p>
        </w:tc>
        <w:tc>
          <w:tcPr>
            <w:tcW w:w="5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95"/>
              </w:rPr>
              <w:t>1,362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auto"/>
            </w:tcBorders>
          </w:tcPr>
          <w:p>
            <w:pPr>
              <w:jc w:val="right"/>
              <w:ind w:right="1121"/>
              <w:spacing w:after="0" w:line="209" w:lineRule="exact"/>
              <w:rPr>
                <w:sz w:val="20"/>
                <w:szCs w:val="20"/>
                <w:color w:val="auto"/>
              </w:rPr>
            </w:pPr>
            <w:r>
              <w:rPr>
                <w:rFonts w:ascii="Arial" w:cs="Arial" w:eastAsia="Arial" w:hAnsi="Arial"/>
                <w:sz w:val="20"/>
                <w:szCs w:val="20"/>
                <w:color w:val="auto"/>
                <w:w w:val="89"/>
              </w:rPr>
              <w:t>$</w:t>
            </w:r>
          </w:p>
        </w:tc>
        <w:tc>
          <w:tcPr>
            <w:tcW w:w="5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1,162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tcPr>
          <w:p>
            <w:pPr>
              <w:spacing w:after="0"/>
              <w:rPr>
                <w:sz w:val="24"/>
                <w:szCs w:val="24"/>
                <w:color w:val="auto"/>
              </w:rPr>
            </w:pPr>
          </w:p>
        </w:tc>
        <w:tc>
          <w:tcPr>
            <w:tcW w:w="3800" w:type="dxa"/>
            <w:vAlign w:val="bottom"/>
            <w:tcBorders>
              <w:bottom w:val="single" w:sz="8" w:color="auto"/>
            </w:tcBorders>
            <w:gridSpan w:val="5"/>
          </w:tcPr>
          <w:p>
            <w:pPr>
              <w:jc w:val="center"/>
              <w:ind w:left="721"/>
              <w:spacing w:after="0"/>
              <w:rPr>
                <w:sz w:val="20"/>
                <w:szCs w:val="20"/>
                <w:color w:val="auto"/>
              </w:rPr>
            </w:pPr>
            <w:r>
              <w:rPr>
                <w:rFonts w:ascii="Arial" w:cs="Arial" w:eastAsia="Arial" w:hAnsi="Arial"/>
                <w:sz w:val="20"/>
                <w:szCs w:val="20"/>
                <w:color w:val="auto"/>
                <w:w w:val="98"/>
              </w:rPr>
              <w:t>Three Months Ended March 31,</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360" w:type="dxa"/>
            <w:vAlign w:val="bottom"/>
          </w:tcPr>
          <w:p>
            <w:pPr>
              <w:jc w:val="right"/>
              <w:spacing w:after="0" w:line="209" w:lineRule="exact"/>
              <w:rPr>
                <w:sz w:val="20"/>
                <w:szCs w:val="20"/>
                <w:color w:val="auto"/>
              </w:rPr>
            </w:pPr>
            <w:r>
              <w:rPr>
                <w:rFonts w:ascii="Arial" w:cs="Arial" w:eastAsia="Arial" w:hAnsi="Arial"/>
                <w:sz w:val="20"/>
                <w:szCs w:val="20"/>
                <w:color w:val="auto"/>
              </w:rPr>
              <w:t>2026</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2025</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center"/>
              <w:ind w:left="381"/>
              <w:spacing w:after="0" w:line="209" w:lineRule="exact"/>
              <w:rPr>
                <w:sz w:val="20"/>
                <w:szCs w:val="20"/>
                <w:color w:val="auto"/>
              </w:rPr>
            </w:pPr>
            <w:r>
              <w:rPr>
                <w:rFonts w:ascii="Arial" w:cs="Arial" w:eastAsia="Arial" w:hAnsi="Arial"/>
                <w:sz w:val="20"/>
                <w:szCs w:val="20"/>
                <w:color w:val="auto"/>
                <w:w w:val="98"/>
              </w:rPr>
              <w:t>Amount</w:t>
            </w:r>
          </w:p>
        </w:tc>
        <w:tc>
          <w:tcPr>
            <w:tcW w:w="5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center"/>
              <w:ind w:left="441"/>
              <w:spacing w:after="0" w:line="209" w:lineRule="exact"/>
              <w:rPr>
                <w:sz w:val="20"/>
                <w:szCs w:val="20"/>
                <w:color w:val="auto"/>
              </w:rPr>
            </w:pPr>
            <w:r>
              <w:rPr>
                <w:rFonts w:ascii="Arial" w:cs="Arial" w:eastAsia="Arial" w:hAnsi="Arial"/>
                <w:sz w:val="20"/>
                <w:szCs w:val="20"/>
                <w:color w:val="auto"/>
                <w:w w:val="98"/>
              </w:rPr>
              <w:t>Amount</w:t>
            </w:r>
          </w:p>
        </w:tc>
        <w:tc>
          <w:tcPr>
            <w:tcW w:w="5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60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1360" w:type="dxa"/>
            <w:vAlign w:val="bottom"/>
          </w:tcPr>
          <w:p>
            <w:pPr>
              <w:spacing w:after="0"/>
              <w:rPr>
                <w:sz w:val="22"/>
                <w:szCs w:val="22"/>
                <w:color w:val="auto"/>
              </w:rPr>
            </w:pPr>
          </w:p>
        </w:tc>
        <w:tc>
          <w:tcPr>
            <w:tcW w:w="2440" w:type="dxa"/>
            <w:vAlign w:val="bottom"/>
            <w:gridSpan w:val="4"/>
          </w:tcPr>
          <w:p>
            <w:pPr>
              <w:jc w:val="center"/>
              <w:ind w:right="441"/>
              <w:spacing w:after="0"/>
              <w:rPr>
                <w:sz w:val="20"/>
                <w:szCs w:val="20"/>
                <w:color w:val="auto"/>
              </w:rPr>
            </w:pPr>
            <w:r>
              <w:rPr>
                <w:rFonts w:ascii="Arial" w:cs="Arial" w:eastAsia="Arial" w:hAnsi="Arial"/>
                <w:sz w:val="20"/>
                <w:szCs w:val="20"/>
                <w:i w:val="1"/>
                <w:iCs w:val="1"/>
                <w:color w:val="auto"/>
                <w:w w:val="98"/>
              </w:rPr>
              <w:t>(Dollars in Millions)</w:t>
            </w: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660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Building Materials business:</w:t>
            </w: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00"/>
              <w:spacing w:after="0" w:line="216" w:lineRule="exact"/>
              <w:rPr>
                <w:sz w:val="20"/>
                <w:szCs w:val="20"/>
                <w:color w:val="auto"/>
              </w:rPr>
            </w:pPr>
            <w:r>
              <w:rPr>
                <w:rFonts w:ascii="Arial" w:cs="Arial" w:eastAsia="Arial" w:hAnsi="Arial"/>
                <w:sz w:val="20"/>
                <w:szCs w:val="20"/>
                <w:color w:val="auto"/>
              </w:rPr>
              <w:t>Aggregates</w:t>
            </w:r>
          </w:p>
        </w:tc>
        <w:tc>
          <w:tcPr>
            <w:tcW w:w="1360" w:type="dxa"/>
            <w:vAlign w:val="bottom"/>
          </w:tcPr>
          <w:p>
            <w:pPr>
              <w:jc w:val="right"/>
              <w:ind w:right="1161"/>
              <w:spacing w:after="0" w:line="216" w:lineRule="exact"/>
              <w:rPr>
                <w:sz w:val="20"/>
                <w:szCs w:val="20"/>
                <w:color w:val="auto"/>
              </w:rPr>
            </w:pPr>
            <w:r>
              <w:rPr>
                <w:rFonts w:ascii="Arial" w:cs="Arial" w:eastAsia="Arial" w:hAnsi="Arial"/>
                <w:sz w:val="20"/>
                <w:szCs w:val="20"/>
                <w:color w:val="auto"/>
                <w:w w:val="71"/>
              </w:rPr>
              <w:t>$</w:t>
            </w:r>
          </w:p>
        </w:tc>
        <w:tc>
          <w:tcPr>
            <w:tcW w:w="520" w:type="dxa"/>
            <w:vAlign w:val="bottom"/>
          </w:tcPr>
          <w:p>
            <w:pPr>
              <w:jc w:val="right"/>
              <w:spacing w:after="0" w:line="216" w:lineRule="exact"/>
              <w:rPr>
                <w:sz w:val="20"/>
                <w:szCs w:val="20"/>
                <w:color w:val="auto"/>
              </w:rPr>
            </w:pPr>
            <w:r>
              <w:rPr>
                <w:rFonts w:ascii="Arial" w:cs="Arial" w:eastAsia="Arial" w:hAnsi="Arial"/>
                <w:sz w:val="20"/>
                <w:szCs w:val="20"/>
                <w:color w:val="auto"/>
              </w:rPr>
              <w:t>288</w:t>
            </w:r>
          </w:p>
        </w:tc>
        <w:tc>
          <w:tcPr>
            <w:tcW w:w="400" w:type="dxa"/>
            <w:vAlign w:val="bottom"/>
          </w:tcPr>
          <w:p>
            <w:pPr>
              <w:spacing w:after="0"/>
              <w:rPr>
                <w:sz w:val="18"/>
                <w:szCs w:val="18"/>
                <w:color w:val="auto"/>
              </w:rPr>
            </w:pPr>
          </w:p>
        </w:tc>
        <w:tc>
          <w:tcPr>
            <w:tcW w:w="1520" w:type="dxa"/>
            <w:vAlign w:val="bottom"/>
            <w:gridSpan w:val="2"/>
          </w:tcPr>
          <w:p>
            <w:pPr>
              <w:jc w:val="right"/>
              <w:ind w:right="1121"/>
              <w:spacing w:after="0" w:line="216" w:lineRule="exact"/>
              <w:rPr>
                <w:sz w:val="20"/>
                <w:szCs w:val="20"/>
                <w:color w:val="auto"/>
              </w:rPr>
            </w:pPr>
            <w:r>
              <w:rPr>
                <w:rFonts w:ascii="Arial" w:cs="Arial" w:eastAsia="Arial" w:hAnsi="Arial"/>
                <w:sz w:val="20"/>
                <w:szCs w:val="20"/>
                <w:color w:val="auto"/>
              </w:rPr>
              <w:t>$</w:t>
            </w:r>
          </w:p>
        </w:tc>
        <w:tc>
          <w:tcPr>
            <w:tcW w:w="540" w:type="dxa"/>
            <w:vAlign w:val="bottom"/>
          </w:tcPr>
          <w:p>
            <w:pPr>
              <w:jc w:val="right"/>
              <w:spacing w:after="0" w:line="216" w:lineRule="exact"/>
              <w:rPr>
                <w:sz w:val="20"/>
                <w:szCs w:val="20"/>
                <w:color w:val="auto"/>
              </w:rPr>
            </w:pPr>
            <w:r>
              <w:rPr>
                <w:rFonts w:ascii="Arial" w:cs="Arial" w:eastAsia="Arial" w:hAnsi="Arial"/>
                <w:sz w:val="20"/>
                <w:szCs w:val="20"/>
                <w:color w:val="auto"/>
              </w:rPr>
              <w:t>297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300"/>
              <w:spacing w:after="0" w:line="216" w:lineRule="exact"/>
              <w:rPr>
                <w:sz w:val="20"/>
                <w:szCs w:val="20"/>
                <w:color w:val="auto"/>
              </w:rPr>
            </w:pPr>
            <w:r>
              <w:rPr>
                <w:rFonts w:ascii="Arial" w:cs="Arial" w:eastAsia="Arial" w:hAnsi="Arial"/>
                <w:sz w:val="20"/>
                <w:szCs w:val="20"/>
                <w:color w:val="auto"/>
              </w:rPr>
              <w:t>Other Building Materials</w:t>
            </w:r>
          </w:p>
        </w:tc>
        <w:tc>
          <w:tcPr>
            <w:tcW w:w="13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340"/>
              <w:spacing w:after="0" w:line="216" w:lineRule="exact"/>
              <w:rPr>
                <w:sz w:val="20"/>
                <w:szCs w:val="20"/>
                <w:color w:val="auto"/>
              </w:rPr>
            </w:pPr>
            <w:r>
              <w:rPr>
                <w:rFonts w:ascii="Arial" w:cs="Arial" w:eastAsia="Arial" w:hAnsi="Arial"/>
                <w:sz w:val="20"/>
                <w:szCs w:val="20"/>
                <w:color w:val="auto"/>
              </w:rPr>
              <w:t>(16)</w:t>
            </w: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line="216"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03"/>
        </w:trPr>
        <w:tc>
          <w:tcPr>
            <w:tcW w:w="6600" w:type="dxa"/>
            <w:vAlign w:val="bottom"/>
            <w:tcBorders>
              <w:top w:val="single" w:sz="8" w:color="CFF0FC"/>
            </w:tcBorders>
          </w:tcPr>
          <w:p>
            <w:pPr>
              <w:spacing w:after="0" w:line="203" w:lineRule="exact"/>
              <w:rPr>
                <w:sz w:val="20"/>
                <w:szCs w:val="20"/>
                <w:color w:val="auto"/>
              </w:rPr>
            </w:pPr>
            <w:r>
              <w:rPr>
                <w:rFonts w:ascii="Arial" w:cs="Arial" w:eastAsia="Arial" w:hAnsi="Arial"/>
                <w:sz w:val="20"/>
                <w:szCs w:val="20"/>
                <w:color w:val="auto"/>
              </w:rPr>
              <w:t>Total Building Materials business</w:t>
            </w:r>
          </w:p>
        </w:tc>
        <w:tc>
          <w:tcPr>
            <w:tcW w:w="13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20"/>
                <w:szCs w:val="20"/>
                <w:color w:val="auto"/>
              </w:rPr>
              <w:t>272</w:t>
            </w:r>
          </w:p>
        </w:tc>
        <w:tc>
          <w:tcPr>
            <w:tcW w:w="4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20"/>
                <w:szCs w:val="20"/>
                <w:color w:val="auto"/>
              </w:rPr>
              <w:t>278</w:t>
            </w:r>
          </w:p>
        </w:tc>
        <w:tc>
          <w:tcPr>
            <w:tcW w:w="3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Specialties</w:t>
            </w: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45</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38</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line="216" w:lineRule="exact"/>
              <w:rPr>
                <w:sz w:val="20"/>
                <w:szCs w:val="20"/>
                <w:color w:val="auto"/>
              </w:rPr>
            </w:pPr>
            <w:r>
              <w:rPr>
                <w:rFonts w:ascii="Arial" w:cs="Arial" w:eastAsia="Arial" w:hAnsi="Arial"/>
                <w:sz w:val="20"/>
                <w:szCs w:val="20"/>
                <w:color w:val="auto"/>
              </w:rPr>
              <w:t>Corporate</w:t>
            </w:r>
          </w:p>
        </w:tc>
        <w:tc>
          <w:tcPr>
            <w:tcW w:w="1360" w:type="dxa"/>
            <w:vAlign w:val="bottom"/>
          </w:tcPr>
          <w:p>
            <w:pPr>
              <w:spacing w:after="0"/>
              <w:rPr>
                <w:sz w:val="18"/>
                <w:szCs w:val="18"/>
                <w:color w:val="auto"/>
              </w:rPr>
            </w:pPr>
          </w:p>
        </w:tc>
        <w:tc>
          <w:tcPr>
            <w:tcW w:w="920" w:type="dxa"/>
            <w:vAlign w:val="bottom"/>
            <w:gridSpan w:val="2"/>
          </w:tcPr>
          <w:p>
            <w:pPr>
              <w:jc w:val="right"/>
              <w:ind w:right="340"/>
              <w:spacing w:after="0" w:line="216" w:lineRule="exact"/>
              <w:rPr>
                <w:sz w:val="20"/>
                <w:szCs w:val="20"/>
                <w:color w:val="auto"/>
              </w:rPr>
            </w:pPr>
            <w:r>
              <w:rPr>
                <w:rFonts w:ascii="Arial" w:cs="Arial" w:eastAsia="Arial" w:hAnsi="Arial"/>
                <w:sz w:val="20"/>
                <w:szCs w:val="20"/>
                <w:color w:val="auto"/>
              </w:rPr>
              <w:t>(7)</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gridSpan w:val="2"/>
          </w:tcPr>
          <w:p>
            <w:pPr>
              <w:jc w:val="right"/>
              <w:ind w:right="240"/>
              <w:spacing w:after="0" w:line="21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49"/>
        </w:trPr>
        <w:tc>
          <w:tcPr>
            <w:tcW w:w="6600" w:type="dxa"/>
            <w:vAlign w:val="bottom"/>
            <w:tcBorders>
              <w:bottom w:val="single" w:sz="8" w:color="CFF0FC"/>
            </w:tcBorders>
            <w:shd w:val="clear" w:color="auto" w:fill="CFF0FC"/>
          </w:tcPr>
          <w:p>
            <w:pPr>
              <w:spacing w:after="0" w:line="209" w:lineRule="exact"/>
              <w:rPr>
                <w:sz w:val="20"/>
                <w:szCs w:val="20"/>
                <w:color w:val="auto"/>
              </w:rPr>
            </w:pPr>
            <w:r>
              <w:rPr>
                <w:rFonts w:ascii="Arial" w:cs="Arial" w:eastAsia="Arial" w:hAnsi="Arial"/>
                <w:sz w:val="20"/>
                <w:szCs w:val="20"/>
                <w:color w:val="auto"/>
              </w:rPr>
              <w:t>Total</w:t>
            </w:r>
          </w:p>
        </w:tc>
        <w:tc>
          <w:tcPr>
            <w:tcW w:w="1360" w:type="dxa"/>
            <w:vAlign w:val="bottom"/>
            <w:tcBorders>
              <w:top w:val="single" w:sz="8" w:color="auto"/>
              <w:bottom w:val="single" w:sz="8" w:color="auto"/>
            </w:tcBorders>
            <w:shd w:val="clear" w:color="auto" w:fill="CFF0FC"/>
          </w:tcPr>
          <w:p>
            <w:pPr>
              <w:jc w:val="right"/>
              <w:ind w:right="1161"/>
              <w:spacing w:after="0" w:line="209" w:lineRule="exact"/>
              <w:rPr>
                <w:sz w:val="20"/>
                <w:szCs w:val="20"/>
                <w:color w:val="auto"/>
              </w:rPr>
            </w:pPr>
            <w:r>
              <w:rPr>
                <w:rFonts w:ascii="Arial" w:cs="Arial" w:eastAsia="Arial" w:hAnsi="Arial"/>
                <w:sz w:val="20"/>
                <w:szCs w:val="20"/>
                <w:color w:val="auto"/>
                <w:w w:val="71"/>
              </w:rPr>
              <w:t>$</w:t>
            </w:r>
          </w:p>
        </w:tc>
        <w:tc>
          <w:tcPr>
            <w:tcW w:w="5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310</w:t>
            </w:r>
          </w:p>
        </w:tc>
        <w:tc>
          <w:tcPr>
            <w:tcW w:w="4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ind w:right="1121"/>
              <w:spacing w:after="0" w:line="209" w:lineRule="exact"/>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315</w:t>
            </w:r>
          </w:p>
        </w:tc>
        <w:tc>
          <w:tcPr>
            <w:tcW w:w="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-3162300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-3162300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-2313940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-2313940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-2031365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-2031365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-599440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-25400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319"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 xml:space="preserve">The following table displays depreciation, depletion and amortization by product line included in the </w:t>
      </w:r>
      <w:r>
        <w:rPr>
          <w:rFonts w:ascii="Arial" w:cs="Arial" w:eastAsia="Arial" w:hAnsi="Arial"/>
          <w:sz w:val="20"/>
          <w:szCs w:val="20"/>
          <w:i w:val="1"/>
          <w:iCs w:val="1"/>
          <w:color w:val="auto"/>
        </w:rPr>
        <w:t>Costs of revenues</w:t>
      </w:r>
      <w:r>
        <w:rPr>
          <w:rFonts w:ascii="Arial" w:cs="Arial" w:eastAsia="Arial" w:hAnsi="Arial"/>
          <w:sz w:val="20"/>
          <w:szCs w:val="20"/>
          <w:color w:val="auto"/>
        </w:rPr>
        <w:t xml:space="preserve"> line item in the consolidated statements of earnings and comprehensive earnings.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gridSpan w:val="3"/>
          </w:tcPr>
          <w:p>
            <w:pPr>
              <w:jc w:val="center"/>
              <w:spacing w:after="0"/>
              <w:rPr>
                <w:sz w:val="20"/>
                <w:szCs w:val="20"/>
                <w:color w:val="auto"/>
              </w:rPr>
            </w:pPr>
            <w:r>
              <w:rPr>
                <w:rFonts w:ascii="Arial" w:cs="Arial" w:eastAsia="Arial" w:hAnsi="Arial"/>
                <w:sz w:val="20"/>
                <w:szCs w:val="20"/>
                <w:color w:val="auto"/>
                <w:w w:val="99"/>
              </w:rPr>
              <w:t>Three Months Ended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98"/>
              </w:rPr>
              <w:t>March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2026</w:t>
            </w:r>
          </w:p>
        </w:tc>
        <w:tc>
          <w:tcPr>
            <w:tcW w:w="740" w:type="dxa"/>
            <w:vAlign w:val="bottom"/>
            <w:tcBorders>
              <w:bottom w:val="single" w:sz="8" w:color="auto"/>
            </w:tcBorders>
          </w:tcPr>
          <w:p>
            <w:pPr>
              <w:spacing w:after="0"/>
              <w:rPr>
                <w:sz w:val="18"/>
                <w:szCs w:val="18"/>
                <w:color w:val="auto"/>
              </w:rPr>
            </w:pPr>
          </w:p>
        </w:tc>
        <w:tc>
          <w:tcPr>
            <w:tcW w:w="460" w:type="dxa"/>
            <w:vAlign w:val="bottom"/>
            <w:vMerge w:val="restart"/>
          </w:tcPr>
          <w:p>
            <w:pPr>
              <w:jc w:val="center"/>
              <w:spacing w:after="0"/>
              <w:rPr>
                <w:sz w:val="20"/>
                <w:szCs w:val="20"/>
                <w:color w:val="auto"/>
              </w:rPr>
            </w:pPr>
            <w:r>
              <w:rPr>
                <w:rFonts w:ascii="Arial" w:cs="Arial" w:eastAsia="Arial" w:hAnsi="Arial"/>
                <w:sz w:val="20"/>
                <w:szCs w:val="20"/>
                <w:i w:val="1"/>
                <w:iCs w:val="1"/>
                <w:color w:val="auto"/>
                <w:w w:val="89"/>
              </w:rPr>
              <w:t>in</w:t>
            </w: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81"/>
              <w:spacing w:after="0" w:line="209" w:lineRule="exact"/>
              <w:rPr>
                <w:sz w:val="20"/>
                <w:szCs w:val="20"/>
                <w:color w:val="auto"/>
              </w:rPr>
            </w:pPr>
            <w:r>
              <w:rPr>
                <w:rFonts w:ascii="Arial" w:cs="Arial" w:eastAsia="Arial" w:hAnsi="Arial"/>
                <w:sz w:val="20"/>
                <w:szCs w:val="20"/>
                <w:color w:val="auto"/>
                <w:w w:val="98"/>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460" w:type="dxa"/>
            <w:vAlign w:val="bottom"/>
            <w:vMerge w:val="continue"/>
          </w:tcPr>
          <w:p>
            <w:pPr>
              <w:spacing w:after="0"/>
              <w:rPr>
                <w:sz w:val="18"/>
                <w:szCs w:val="18"/>
                <w:color w:val="auto"/>
              </w:rPr>
            </w:pPr>
          </w:p>
        </w:tc>
        <w:tc>
          <w:tcPr>
            <w:tcW w:w="720" w:type="dxa"/>
            <w:vAlign w:val="bottom"/>
          </w:tcPr>
          <w:p>
            <w:pPr>
              <w:spacing w:after="0" w:line="209" w:lineRule="exact"/>
              <w:rPr>
                <w:sz w:val="20"/>
                <w:szCs w:val="20"/>
                <w:color w:val="auto"/>
              </w:rPr>
            </w:pPr>
            <w:r>
              <w:rPr>
                <w:rFonts w:ascii="Arial" w:cs="Arial" w:eastAsia="Arial" w:hAnsi="Arial"/>
                <w:sz w:val="20"/>
                <w:szCs w:val="20"/>
                <w:i w:val="1"/>
                <w:iCs w:val="1"/>
                <w:color w:val="auto"/>
                <w:w w:val="95"/>
              </w:rPr>
              <w:t>Millions)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Arial" w:cs="Arial" w:eastAsia="Arial" w:hAnsi="Arial"/>
                <w:sz w:val="20"/>
                <w:szCs w:val="20"/>
                <w:color w:val="auto"/>
              </w:rPr>
              <w:t>Building Materials business: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Aggregates</w:t>
            </w:r>
          </w:p>
        </w:tc>
        <w:tc>
          <w:tcPr>
            <w:tcW w:w="1240" w:type="dxa"/>
            <w:vAlign w:val="bottom"/>
            <w:gridSpan w:val="2"/>
            <w:shd w:val="clear" w:color="auto" w:fill="CFF0FC"/>
          </w:tcPr>
          <w:p>
            <w:pPr>
              <w:jc w:val="right"/>
              <w:ind w:right="1021"/>
              <w:spacing w:after="0" w:line="216" w:lineRule="exact"/>
              <w:rPr>
                <w:sz w:val="20"/>
                <w:szCs w:val="20"/>
                <w:color w:val="auto"/>
              </w:rPr>
            </w:pPr>
            <w:r>
              <w:rPr>
                <w:rFonts w:ascii="Arial" w:cs="Arial" w:eastAsia="Arial" w:hAnsi="Arial"/>
                <w:sz w:val="20"/>
                <w:szCs w:val="20"/>
                <w:color w:val="auto"/>
                <w:w w:val="89"/>
              </w:rPr>
              <w:t>$</w:t>
            </w:r>
          </w:p>
        </w:tc>
        <w:tc>
          <w:tcPr>
            <w:tcW w:w="7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131</w:t>
            </w:r>
          </w:p>
        </w:tc>
        <w:tc>
          <w:tcPr>
            <w:tcW w:w="1180" w:type="dxa"/>
            <w:vAlign w:val="bottom"/>
            <w:gridSpan w:val="2"/>
            <w:shd w:val="clear" w:color="auto" w:fill="CFF0FC"/>
          </w:tcPr>
          <w:p>
            <w:pPr>
              <w:ind w:left="460"/>
              <w:spacing w:after="0" w:line="216" w:lineRule="exact"/>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60"/>
              <w:spacing w:after="0" w:line="216" w:lineRule="exact"/>
              <w:rPr>
                <w:sz w:val="20"/>
                <w:szCs w:val="20"/>
                <w:color w:val="auto"/>
              </w:rPr>
            </w:pPr>
            <w:r>
              <w:rPr>
                <w:rFonts w:ascii="Arial" w:cs="Arial" w:eastAsia="Arial" w:hAnsi="Arial"/>
                <w:sz w:val="20"/>
                <w:szCs w:val="20"/>
                <w:color w:val="auto"/>
              </w:rPr>
              <w:t>Other Building Materials</w:t>
            </w:r>
          </w:p>
        </w:tc>
        <w:tc>
          <w:tcPr>
            <w:tcW w:w="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11</w:t>
            </w:r>
          </w:p>
        </w:tc>
        <w:tc>
          <w:tcPr>
            <w:tcW w:w="4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Total Building Materials business</w:t>
            </w:r>
          </w:p>
        </w:tc>
        <w:tc>
          <w:tcPr>
            <w:tcW w:w="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142</w:t>
            </w: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line="216" w:lineRule="exact"/>
              <w:rPr>
                <w:sz w:val="20"/>
                <w:szCs w:val="20"/>
                <w:color w:val="auto"/>
              </w:rPr>
            </w:pPr>
            <w:r>
              <w:rPr>
                <w:rFonts w:ascii="Arial" w:cs="Arial" w:eastAsia="Arial" w:hAnsi="Arial"/>
                <w:sz w:val="20"/>
                <w:szCs w:val="20"/>
                <w:color w:val="auto"/>
              </w:rPr>
              <w:t>Specialties</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jc w:val="right"/>
              <w:spacing w:after="0" w:line="216" w:lineRule="exact"/>
              <w:rPr>
                <w:sz w:val="20"/>
                <w:szCs w:val="20"/>
                <w:color w:val="auto"/>
              </w:rPr>
            </w:pPr>
            <w:r>
              <w:rPr>
                <w:rFonts w:ascii="Arial" w:cs="Arial" w:eastAsia="Arial" w:hAnsi="Arial"/>
                <w:sz w:val="20"/>
                <w:szCs w:val="20"/>
                <w:color w:val="auto"/>
              </w:rPr>
              <w:t>11</w:t>
            </w: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spacing w:after="0" w:line="216" w:lineRule="exact"/>
              <w:rPr>
                <w:sz w:val="20"/>
                <w:szCs w:val="20"/>
                <w:color w:val="auto"/>
              </w:rPr>
            </w:pPr>
            <w:r>
              <w:rPr>
                <w:rFonts w:ascii="Arial" w:cs="Arial" w:eastAsia="Arial" w:hAnsi="Arial"/>
                <w:sz w:val="20"/>
                <w:szCs w:val="20"/>
                <w:color w:val="auto"/>
              </w:rPr>
              <w:t>Corporate</w:t>
            </w:r>
          </w:p>
        </w:tc>
        <w:tc>
          <w:tcPr>
            <w:tcW w:w="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w:t>
            </w:r>
          </w:p>
        </w:tc>
        <w:tc>
          <w:tcPr>
            <w:tcW w:w="4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line="209" w:lineRule="exact"/>
              <w:rPr>
                <w:sz w:val="20"/>
                <w:szCs w:val="20"/>
                <w:color w:val="auto"/>
              </w:rPr>
            </w:pPr>
            <w:r>
              <w:rPr>
                <w:rFonts w:ascii="Arial" w:cs="Arial" w:eastAsia="Arial" w:hAnsi="Arial"/>
                <w:sz w:val="20"/>
                <w:szCs w:val="20"/>
                <w:color w:val="auto"/>
              </w:rPr>
              <w:t>Total</w:t>
            </w:r>
          </w:p>
        </w:tc>
        <w:tc>
          <w:tcPr>
            <w:tcW w:w="1240" w:type="dxa"/>
            <w:vAlign w:val="bottom"/>
            <w:gridSpan w:val="2"/>
          </w:tcPr>
          <w:p>
            <w:pPr>
              <w:jc w:val="right"/>
              <w:ind w:right="1021"/>
              <w:spacing w:after="0" w:line="209" w:lineRule="exact"/>
              <w:rPr>
                <w:sz w:val="20"/>
                <w:szCs w:val="20"/>
                <w:color w:val="auto"/>
              </w:rPr>
            </w:pPr>
            <w:r>
              <w:rPr>
                <w:rFonts w:ascii="Arial" w:cs="Arial" w:eastAsia="Arial" w:hAnsi="Arial"/>
                <w:sz w:val="20"/>
                <w:szCs w:val="20"/>
                <w:color w:val="auto"/>
                <w:w w:val="89"/>
              </w:rPr>
              <w:t>$</w:t>
            </w:r>
          </w:p>
        </w:tc>
        <w:tc>
          <w:tcPr>
            <w:tcW w:w="740" w:type="dxa"/>
            <w:vAlign w:val="bottom"/>
          </w:tcPr>
          <w:p>
            <w:pPr>
              <w:jc w:val="right"/>
              <w:spacing w:after="0" w:line="209" w:lineRule="exact"/>
              <w:rPr>
                <w:sz w:val="20"/>
                <w:szCs w:val="20"/>
                <w:color w:val="auto"/>
              </w:rPr>
            </w:pPr>
            <w:r>
              <w:rPr>
                <w:rFonts w:ascii="Arial" w:cs="Arial" w:eastAsia="Arial" w:hAnsi="Arial"/>
                <w:sz w:val="20"/>
                <w:szCs w:val="20"/>
                <w:color w:val="auto"/>
              </w:rPr>
              <w:t>154</w:t>
            </w:r>
          </w:p>
        </w:tc>
        <w:tc>
          <w:tcPr>
            <w:tcW w:w="1180" w:type="dxa"/>
            <w:vAlign w:val="bottom"/>
            <w:gridSpan w:val="2"/>
          </w:tcPr>
          <w:p>
            <w:pPr>
              <w:ind w:left="460"/>
              <w:spacing w:after="0" w:line="209" w:lineRule="exact"/>
              <w:rPr>
                <w:sz w:val="20"/>
                <w:szCs w:val="20"/>
                <w:color w:val="auto"/>
              </w:rPr>
            </w:pPr>
            <w:r>
              <w:rPr>
                <w:rFonts w:ascii="Arial" w:cs="Arial" w:eastAsia="Arial" w:hAnsi="Arial"/>
                <w:sz w:val="20"/>
                <w:szCs w:val="20"/>
                <w:color w:val="auto"/>
              </w:rPr>
              <w:t>$</w:t>
            </w:r>
          </w:p>
        </w:tc>
        <w:tc>
          <w:tcPr>
            <w:tcW w:w="1240" w:type="dxa"/>
            <w:vAlign w:val="bottom"/>
          </w:tcPr>
          <w:p>
            <w:pPr>
              <w:jc w:val="right"/>
              <w:spacing w:after="0" w:line="209" w:lineRule="exact"/>
              <w:rPr>
                <w:sz w:val="20"/>
                <w:szCs w:val="20"/>
                <w:color w:val="auto"/>
              </w:rPr>
            </w:pPr>
            <w:r>
              <w:rPr>
                <w:rFonts w:ascii="Arial" w:cs="Arial" w:eastAsia="Arial" w:hAnsi="Arial"/>
                <w:sz w:val="20"/>
                <w:szCs w:val="20"/>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First-quarter aggregates shipments increased 12.4% to 43.9 million tons, driven by organic growth and partial-quarter contributions from the operations acquired in the QUIKRETE transaction, which closed on February 23, 2026. Average selling price (ASP) of $23.70 per ton was in line with prior-year first quarter, reflecting geographic and acquisition mix headwinds, as organic shipment growth was notable in the Central and West Divisions, which typically carry lower selling prices compared with the East and Southwest Divisions.</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Aggregates gross profit decreased $9 million, or 3%, from the prior-year quarter to $288 million, inclusive of the $22 million charge for the impact of selling acquired inventory after markup to fair market value as part of acquisition accounting and higher depreciation, depletion and amortization expense.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Other Building Materials revenues decreased 5% to $116 million. Consistent with historical first-quarter trends, the business posted a gross loss of $16 million due to seasonal winter operational shutdowns in Colorado and Minnesota.</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Specialties Business</w:t>
      </w:r>
    </w:p>
    <w:p>
      <w:pPr>
        <w:spacing w:after="0" w:line="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Specialties achieved first-quarter revenues of $143 million and gross profit increased 17% to $ 45 million. These results reflected contributions from the 2025 Premier Magnesia, LLC acquisition and organic pricing gains, partially offset by lower organic shipments and higher energy costs, which weighed on input cost trends during the quarter.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9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Consolidated SG&amp;A for the first quarter of 2026 was 9.8% of revenues compared with 10.8% in the prior-year quarter as revenue growth outpaced the increase in these expenses.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the three months ended March 31, 2026 and 2025, the effective income tax rates for continuing operations were 32.3% and 21.2%, respectively. The higher 2026 effective income tax rate versus 2025 was primarily attributable to the revaluation of deferred tax liabilities driven by changes in the state jurisdictional mix of the business following the QUIKRETE transaction.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6" w:name="page27"/>
    <w:bookmarkEnd w:id="26"/>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and Earnings per Diluted Share from Continuing Operations Attributable to Martin Marietta</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Net earnings from continuing operations attributable to Martin Marietta were $79 million, or $1.31 per diluted share, in 2026 compared with $ 104 million, or $1.70 per diluted share, in 2025. Results for 2026 included after-tax charges of $37 million, or $0.62 per diluted share, related to acquisition, integration and divestiture expenses, the impact of selling acquired inventory after markup to fair value as part of acquisition accounting, an asset and portfolio rationalization charge and the revaluation of deferred tax liabilities driven by changes in the state jurisdictional mix of the business following the QUIKRETE transaction.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Operations</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Company's Midlothian cement plant, related cement terminals and Texas ready mixed concrete plants were reported as discontinued operations through their February 2026 divestiture date. The collective businesses generated earnings, net of income tax expense, of $1.4 billion in 2026 compared with $12 million in 2025. The 2026 earnings included a $1.4 billion after-tax gain on the divestiture.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 from Continuing Operations</w:t>
      </w:r>
    </w:p>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Earnings from continuing operations before interest; income taxes; depreciation, depletion and amortization; earnings/loss from nonconsolidated equity affiliates; acquisition, divestiture and integration expenses; the impact of selling acquired inventory after its markup to fair value as part of acquisition accounting (the Inventory Markup); and an asset and portfolio rationalization charge, or Adjusted EBITDA from continuing operations, is an indicator used by the Company and investors to evaluate the Company’s operating performance from period to period. The Company has elected to add back, for purposes of its Adjusted EBITDA from continuing operations calculation, acquisition, divestiture and integration expenses and the Inventory Markup only for transactions with consideration of at least $2.0 billion for the Building Materials business or $200 million for the Specialties business.</w:t>
      </w:r>
    </w:p>
    <w:p>
      <w:pPr>
        <w:spacing w:after="0" w:line="6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Adjusted EBITDA from continuing operations is not defined by accounting principles generally accepted in the United States (GAAP) and, as such, should not be construed as an alternative to net earnings attributable to Martin Marietta, earnings from operations or operating cash flow. Since Adjusted EBITDA from continuing operations excludes some, but not all, items that affect net earnings and may vary among companies, Adjusted EBITDA from continuing operations as presented by the Company may not be comparable with similarly titled measures of other companies.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7" w:name="page28"/>
    <w:bookmarkEnd w:id="27"/>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reconciliation of net earnings from continuing operations attributable to Martin Marietta to</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Adjusted EBITDA from continuing operations: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gridSpan w:val="8"/>
          </w:tcPr>
          <w:p>
            <w:pPr>
              <w:jc w:val="center"/>
              <w:ind w:right="340"/>
              <w:spacing w:after="0"/>
              <w:rPr>
                <w:sz w:val="20"/>
                <w:szCs w:val="20"/>
                <w:color w:val="auto"/>
              </w:rPr>
            </w:pPr>
            <w:r>
              <w:rPr>
                <w:rFonts w:ascii="Arial" w:cs="Arial" w:eastAsia="Arial" w:hAnsi="Arial"/>
                <w:sz w:val="20"/>
                <w:szCs w:val="20"/>
                <w:color w:val="auto"/>
                <w:w w:val="98"/>
              </w:rPr>
              <w:t>Three Months Ended</w:t>
            </w:r>
          </w:p>
        </w:tc>
        <w:tc>
          <w:tcPr>
            <w:tcW w:w="0" w:type="dxa"/>
            <w:vAlign w:val="bottom"/>
          </w:tcPr>
          <w:p>
            <w:pPr>
              <w:spacing w:after="0"/>
              <w:rPr>
                <w:sz w:val="1"/>
                <w:szCs w:val="1"/>
                <w:color w:val="auto"/>
              </w:rPr>
            </w:pPr>
          </w:p>
        </w:tc>
      </w:tr>
      <w:tr>
        <w:trPr>
          <w:trHeight w:val="238"/>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98"/>
              </w:rPr>
              <w:t>March 31,</w:t>
            </w:r>
          </w:p>
        </w:tc>
        <w:tc>
          <w:tcPr>
            <w:tcW w:w="10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6"/>
              <w:spacing w:after="0" w:line="209" w:lineRule="exact"/>
              <w:rPr>
                <w:sz w:val="20"/>
                <w:szCs w:val="20"/>
                <w:color w:val="auto"/>
              </w:rPr>
            </w:pPr>
            <w:r>
              <w:rPr>
                <w:rFonts w:ascii="Arial" w:cs="Arial" w:eastAsia="Arial" w:hAnsi="Arial"/>
                <w:sz w:val="20"/>
                <w:szCs w:val="20"/>
                <w:color w:val="auto"/>
              </w:rPr>
              <w:t>2026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vMerge w:val="restart"/>
          </w:tcPr>
          <w:p>
            <w:pPr>
              <w:spacing w:after="0"/>
              <w:rPr>
                <w:sz w:val="20"/>
                <w:szCs w:val="20"/>
                <w:color w:val="auto"/>
              </w:rPr>
            </w:pPr>
            <w:r>
              <w:rPr>
                <w:rFonts w:ascii="Arial" w:cs="Arial" w:eastAsia="Arial" w:hAnsi="Arial"/>
                <w:sz w:val="20"/>
                <w:szCs w:val="20"/>
                <w:i w:val="1"/>
                <w:iCs w:val="1"/>
                <w:color w:val="auto"/>
              </w:rPr>
              <w:t>in</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67"/>
              <w:spacing w:after="0" w:line="209" w:lineRule="exact"/>
              <w:rPr>
                <w:sz w:val="20"/>
                <w:szCs w:val="20"/>
                <w:color w:val="auto"/>
              </w:rPr>
            </w:pPr>
            <w:r>
              <w:rPr>
                <w:rFonts w:ascii="Arial" w:cs="Arial" w:eastAsia="Arial" w:hAnsi="Arial"/>
                <w:sz w:val="20"/>
                <w:szCs w:val="20"/>
                <w:color w:val="auto"/>
              </w:rPr>
              <w:t>2025</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spacing w:after="0" w:line="209" w:lineRule="exact"/>
              <w:rPr>
                <w:sz w:val="20"/>
                <w:szCs w:val="20"/>
                <w:color w:val="auto"/>
              </w:rPr>
            </w:pPr>
            <w:r>
              <w:rPr>
                <w:rFonts w:ascii="Arial" w:cs="Arial" w:eastAsia="Arial" w:hAnsi="Arial"/>
                <w:sz w:val="20"/>
                <w:szCs w:val="20"/>
                <w:i w:val="1"/>
                <w:iCs w:val="1"/>
                <w:color w:val="auto"/>
              </w:rPr>
              <w:t>(Dollars</w:t>
            </w:r>
          </w:p>
        </w:tc>
        <w:tc>
          <w:tcPr>
            <w:tcW w:w="260" w:type="dxa"/>
            <w:vAlign w:val="bottom"/>
            <w:vMerge w:val="continue"/>
          </w:tcPr>
          <w:p>
            <w:pPr>
              <w:spacing w:after="0"/>
              <w:rPr>
                <w:sz w:val="18"/>
                <w:szCs w:val="18"/>
                <w:color w:val="auto"/>
              </w:rPr>
            </w:pPr>
          </w:p>
        </w:tc>
        <w:tc>
          <w:tcPr>
            <w:tcW w:w="1740" w:type="dxa"/>
            <w:vAlign w:val="bottom"/>
            <w:gridSpan w:val="3"/>
          </w:tcPr>
          <w:p>
            <w:pPr>
              <w:spacing w:after="0" w:line="209" w:lineRule="exact"/>
              <w:rPr>
                <w:sz w:val="20"/>
                <w:szCs w:val="20"/>
                <w:color w:val="auto"/>
              </w:rPr>
            </w:pPr>
            <w:r>
              <w:rPr>
                <w:rFonts w:ascii="Arial" w:cs="Arial" w:eastAsia="Arial" w:hAnsi="Arial"/>
                <w:sz w:val="20"/>
                <w:szCs w:val="20"/>
                <w:i w:val="1"/>
                <w:iCs w:val="1"/>
                <w:color w:val="auto"/>
              </w:rPr>
              <w:t>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0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Net earnings from continuing operations attributable to</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60" w:type="dxa"/>
            <w:vAlign w:val="bottom"/>
            <w:shd w:val="clear" w:color="auto" w:fill="CFF0FC"/>
          </w:tcPr>
          <w:p>
            <w:pPr>
              <w:ind w:left="180"/>
              <w:spacing w:after="0"/>
              <w:rPr>
                <w:sz w:val="20"/>
                <w:szCs w:val="20"/>
                <w:color w:val="auto"/>
              </w:rPr>
            </w:pPr>
            <w:r>
              <w:rPr>
                <w:rFonts w:ascii="Arial" w:cs="Arial" w:eastAsia="Arial" w:hAnsi="Arial"/>
                <w:sz w:val="20"/>
                <w:szCs w:val="20"/>
                <w:color w:val="auto"/>
              </w:rPr>
              <w:t>Martin Marietta</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5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20"/>
                <w:szCs w:val="20"/>
                <w:color w:val="auto"/>
              </w:rPr>
              <w:t>79</w:t>
            </w:r>
          </w:p>
        </w:tc>
        <w:tc>
          <w:tcPr>
            <w:tcW w:w="64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line="216" w:lineRule="exact"/>
              <w:rPr>
                <w:sz w:val="20"/>
                <w:szCs w:val="20"/>
                <w:color w:val="auto"/>
              </w:rPr>
            </w:pPr>
            <w:r>
              <w:rPr>
                <w:rFonts w:ascii="Arial" w:cs="Arial" w:eastAsia="Arial" w:hAnsi="Arial"/>
                <w:sz w:val="20"/>
                <w:szCs w:val="20"/>
                <w:color w:val="auto"/>
              </w:rPr>
              <w:t>Add back:</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Interest expense, net of interest income</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tcBorders>
              <w:right w:val="single" w:sz="8" w:color="CFF0FC"/>
            </w:tcBorders>
            <w:gridSpan w:val="3"/>
            <w:shd w:val="clear" w:color="auto" w:fill="CFF0FC"/>
          </w:tcPr>
          <w:p>
            <w:pPr>
              <w:jc w:val="right"/>
              <w:spacing w:after="0" w:line="216" w:lineRule="exact"/>
              <w:rPr>
                <w:sz w:val="20"/>
                <w:szCs w:val="20"/>
                <w:color w:val="auto"/>
              </w:rPr>
            </w:pPr>
            <w:r>
              <w:rPr>
                <w:rFonts w:ascii="Arial" w:cs="Arial" w:eastAsia="Arial" w:hAnsi="Arial"/>
                <w:sz w:val="20"/>
                <w:szCs w:val="20"/>
                <w:color w:val="auto"/>
              </w:rPr>
              <w:t>54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line="216" w:lineRule="exact"/>
              <w:rPr>
                <w:sz w:val="20"/>
                <w:szCs w:val="20"/>
                <w:color w:val="auto"/>
              </w:rPr>
            </w:pPr>
            <w:r>
              <w:rPr>
                <w:rFonts w:ascii="Arial" w:cs="Arial" w:eastAsia="Arial" w:hAnsi="Arial"/>
                <w:sz w:val="20"/>
                <w:szCs w:val="20"/>
                <w:color w:val="auto"/>
              </w:rPr>
              <w:t>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line="216" w:lineRule="exact"/>
              <w:rPr>
                <w:sz w:val="20"/>
                <w:szCs w:val="20"/>
                <w:color w:val="auto"/>
              </w:rPr>
            </w:pPr>
            <w:r>
              <w:rPr>
                <w:rFonts w:ascii="Arial" w:cs="Arial" w:eastAsia="Arial" w:hAnsi="Arial"/>
                <w:sz w:val="20"/>
                <w:szCs w:val="20"/>
                <w:color w:val="auto"/>
              </w:rPr>
              <w:t>Income tax expense for controlling interests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38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line="216" w:lineRule="exact"/>
              <w:rPr>
                <w:sz w:val="20"/>
                <w:szCs w:val="20"/>
                <w:color w:val="auto"/>
              </w:rPr>
            </w:pPr>
            <w:r>
              <w:rPr>
                <w:rFonts w:ascii="Arial" w:cs="Arial" w:eastAsia="Arial" w:hAnsi="Arial"/>
                <w:sz w:val="20"/>
                <w:szCs w:val="20"/>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060" w:type="dxa"/>
            <w:vAlign w:val="bottom"/>
            <w:shd w:val="clear" w:color="auto" w:fill="CFF0FC"/>
          </w:tcPr>
          <w:p>
            <w:pPr>
              <w:ind w:left="140"/>
              <w:spacing w:after="0" w:line="194" w:lineRule="exact"/>
              <w:rPr>
                <w:sz w:val="20"/>
                <w:szCs w:val="20"/>
                <w:color w:val="auto"/>
              </w:rPr>
            </w:pPr>
            <w:r>
              <w:rPr>
                <w:rFonts w:ascii="Arial" w:cs="Arial" w:eastAsia="Arial" w:hAnsi="Arial"/>
                <w:sz w:val="20"/>
                <w:szCs w:val="20"/>
                <w:color w:val="auto"/>
              </w:rPr>
              <w:t>Depreciation, depletion and amortization expense</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300"/>
              <w:spacing w:after="0" w:line="216" w:lineRule="exact"/>
              <w:rPr>
                <w:sz w:val="20"/>
                <w:szCs w:val="20"/>
                <w:color w:val="auto"/>
              </w:rPr>
            </w:pPr>
            <w:r>
              <w:rPr>
                <w:rFonts w:ascii="Arial" w:cs="Arial" w:eastAsia="Arial" w:hAnsi="Arial"/>
                <w:sz w:val="20"/>
                <w:szCs w:val="20"/>
                <w:color w:val="auto"/>
              </w:rPr>
              <w:t>and earnings/loss from nonconsolidated equity</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60" w:type="dxa"/>
            <w:vAlign w:val="bottom"/>
            <w:shd w:val="clear" w:color="auto" w:fill="CFF0FC"/>
          </w:tcPr>
          <w:p>
            <w:pPr>
              <w:ind w:left="300"/>
              <w:spacing w:after="0"/>
              <w:rPr>
                <w:sz w:val="20"/>
                <w:szCs w:val="20"/>
                <w:color w:val="auto"/>
              </w:rPr>
            </w:pPr>
            <w:r>
              <w:rPr>
                <w:rFonts w:ascii="Arial" w:cs="Arial" w:eastAsia="Arial" w:hAnsi="Arial"/>
                <w:sz w:val="20"/>
                <w:szCs w:val="20"/>
                <w:color w:val="auto"/>
              </w:rPr>
              <w:t>affiliates</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20"/>
                <w:szCs w:val="20"/>
                <w:color w:val="auto"/>
              </w:rPr>
              <w:t>165</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line="216" w:lineRule="exact"/>
              <w:rPr>
                <w:sz w:val="20"/>
                <w:szCs w:val="20"/>
                <w:color w:val="auto"/>
              </w:rPr>
            </w:pPr>
            <w:r>
              <w:rPr>
                <w:rFonts w:ascii="Arial" w:cs="Arial" w:eastAsia="Arial" w:hAnsi="Arial"/>
                <w:sz w:val="20"/>
                <w:szCs w:val="20"/>
                <w:color w:val="auto"/>
              </w:rPr>
              <w:t>Acquisition, integration and divestiture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spacing w:after="0" w:line="216" w:lineRule="exact"/>
              <w:rPr>
                <w:sz w:val="20"/>
                <w:szCs w:val="20"/>
                <w:color w:val="auto"/>
              </w:rPr>
            </w:pPr>
            <w:r>
              <w:rPr>
                <w:rFonts w:ascii="Arial" w:cs="Arial" w:eastAsia="Arial" w:hAnsi="Arial"/>
                <w:sz w:val="20"/>
                <w:szCs w:val="20"/>
                <w:color w:val="auto"/>
              </w:rPr>
              <w:t>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120"/>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4"/>
        </w:trPr>
        <w:tc>
          <w:tcPr>
            <w:tcW w:w="7060" w:type="dxa"/>
            <w:vAlign w:val="bottom"/>
            <w:shd w:val="clear" w:color="auto" w:fill="CFF0FC"/>
          </w:tcPr>
          <w:p>
            <w:pPr>
              <w:ind w:left="140"/>
              <w:spacing w:after="0" w:line="194" w:lineRule="exact"/>
              <w:rPr>
                <w:sz w:val="20"/>
                <w:szCs w:val="20"/>
                <w:color w:val="auto"/>
              </w:rPr>
            </w:pPr>
            <w:r>
              <w:rPr>
                <w:rFonts w:ascii="Arial" w:cs="Arial" w:eastAsia="Arial" w:hAnsi="Arial"/>
                <w:sz w:val="20"/>
                <w:szCs w:val="20"/>
                <w:color w:val="auto"/>
              </w:rPr>
              <w:t>Impact of selling acquired inventory after markup to</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tcBorders>
              <w:right w:val="single" w:sz="8" w:color="CFF0FC"/>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60" w:type="dxa"/>
            <w:vAlign w:val="bottom"/>
            <w:shd w:val="clear" w:color="auto" w:fill="CFF0FC"/>
          </w:tcPr>
          <w:p>
            <w:pPr>
              <w:ind w:left="300"/>
              <w:spacing w:after="0"/>
              <w:rPr>
                <w:sz w:val="20"/>
                <w:szCs w:val="20"/>
                <w:color w:val="auto"/>
              </w:rPr>
            </w:pPr>
            <w:r>
              <w:rPr>
                <w:rFonts w:ascii="Arial" w:cs="Arial" w:eastAsia="Arial" w:hAnsi="Arial"/>
                <w:sz w:val="20"/>
                <w:szCs w:val="20"/>
                <w:color w:val="auto"/>
              </w:rPr>
              <w:t>fair value as part of acquisition accounting</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6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line="216" w:lineRule="exact"/>
              <w:rPr>
                <w:sz w:val="20"/>
                <w:szCs w:val="20"/>
                <w:color w:val="auto"/>
              </w:rPr>
            </w:pPr>
            <w:r>
              <w:rPr>
                <w:rFonts w:ascii="Arial" w:cs="Arial" w:eastAsia="Arial" w:hAnsi="Arial"/>
                <w:sz w:val="20"/>
                <w:szCs w:val="20"/>
                <w:color w:val="auto"/>
              </w:rPr>
              <w:t>Asset and portfolio rationalization charge</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line="216" w:lineRule="exact"/>
              <w:rPr>
                <w:sz w:val="20"/>
                <w:szCs w:val="20"/>
                <w:color w:val="auto"/>
              </w:rPr>
            </w:pPr>
            <w:r>
              <w:rPr>
                <w:rFonts w:ascii="Arial" w:cs="Arial" w:eastAsia="Arial" w:hAnsi="Arial"/>
                <w:sz w:val="20"/>
                <w:szCs w:val="20"/>
                <w:color w:val="auto"/>
              </w:rPr>
              <w:t>2</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6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Adjusted EBITDA from continuing operations</w:t>
            </w:r>
          </w:p>
        </w:tc>
        <w:tc>
          <w:tcPr>
            <w:tcW w:w="520" w:type="dxa"/>
            <w:vAlign w:val="bottom"/>
            <w:gridSpan w:val="2"/>
            <w:shd w:val="clear" w:color="auto" w:fill="CFF0FC"/>
          </w:tcPr>
          <w:p>
            <w:pPr>
              <w:jc w:val="right"/>
              <w:ind w:right="100"/>
              <w:spacing w:after="0" w:line="209" w:lineRule="exact"/>
              <w:rPr>
                <w:sz w:val="20"/>
                <w:szCs w:val="20"/>
                <w:color w:val="auto"/>
              </w:rPr>
            </w:pPr>
            <w:r>
              <w:rPr>
                <w:rFonts w:ascii="Arial" w:cs="Arial" w:eastAsia="Arial" w:hAnsi="Arial"/>
                <w:sz w:val="20"/>
                <w:szCs w:val="20"/>
                <w:color w:val="auto"/>
              </w:rPr>
              <w:t>$</w:t>
            </w:r>
          </w:p>
        </w:tc>
        <w:tc>
          <w:tcPr>
            <w:tcW w:w="1560" w:type="dxa"/>
            <w:vAlign w:val="bottom"/>
            <w:tcBorders>
              <w:right w:val="single" w:sz="8" w:color="CFF0FC"/>
            </w:tcBorders>
            <w:gridSpan w:val="3"/>
            <w:shd w:val="clear" w:color="auto" w:fill="CFF0FC"/>
          </w:tcPr>
          <w:p>
            <w:pPr>
              <w:jc w:val="right"/>
              <w:spacing w:after="0" w:line="209" w:lineRule="exact"/>
              <w:rPr>
                <w:sz w:val="20"/>
                <w:szCs w:val="20"/>
                <w:color w:val="auto"/>
              </w:rPr>
            </w:pPr>
            <w:r>
              <w:rPr>
                <w:rFonts w:ascii="Arial" w:cs="Arial" w:eastAsia="Arial" w:hAnsi="Arial"/>
                <w:sz w:val="20"/>
                <w:szCs w:val="20"/>
                <w:color w:val="auto"/>
              </w:rPr>
              <w:t>364</w:t>
            </w:r>
          </w:p>
        </w:tc>
        <w:tc>
          <w:tcPr>
            <w:tcW w:w="640" w:type="dxa"/>
            <w:vAlign w:val="bottom"/>
            <w:gridSpan w:val="2"/>
            <w:shd w:val="clear" w:color="auto" w:fill="CFF0FC"/>
          </w:tcPr>
          <w:p>
            <w:pPr>
              <w:ind w:left="260"/>
              <w:spacing w:after="0" w:line="209" w:lineRule="exact"/>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spacing w:after="0" w:line="209" w:lineRule="exact"/>
              <w:rPr>
                <w:sz w:val="20"/>
                <w:szCs w:val="20"/>
                <w:color w:val="auto"/>
              </w:rPr>
            </w:pPr>
            <w:r>
              <w:rPr>
                <w:rFonts w:ascii="Arial" w:cs="Arial" w:eastAsia="Arial" w:hAnsi="Arial"/>
                <w:sz w:val="20"/>
                <w:szCs w:val="20"/>
                <w:color w:val="auto"/>
              </w:rPr>
              <w:t>319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1"/>
        </w:trPr>
        <w:tc>
          <w:tcPr>
            <w:tcW w:w="7060" w:type="dxa"/>
            <w:vAlign w:val="bottom"/>
            <w:tcBorders>
              <w:top w:val="single" w:sz="8" w:color="CFF0FC"/>
            </w:tcBorders>
          </w:tcPr>
          <w:p>
            <w:pPr>
              <w:spacing w:after="0"/>
              <w:rPr>
                <w:sz w:val="20"/>
                <w:szCs w:val="20"/>
                <w:color w:val="auto"/>
              </w:rPr>
            </w:pPr>
            <w:r>
              <w:rPr>
                <w:rFonts w:ascii="Arial" w:cs="Arial" w:eastAsia="Arial" w:hAnsi="Arial"/>
                <w:sz w:val="20"/>
                <w:szCs w:val="20"/>
                <w:color w:val="auto"/>
              </w:rPr>
              <w:t>LIQUIDITY AND CAPITAL RESOURCES</w:t>
            </w:r>
          </w:p>
        </w:tc>
        <w:tc>
          <w:tcPr>
            <w:tcW w:w="3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Arial" w:cs="Arial" w:eastAsia="Arial" w:hAnsi="Arial"/>
                <w:sz w:val="20"/>
                <w:szCs w:val="20"/>
                <w:color w:val="auto"/>
              </w:rPr>
              <w:t>Cash flow information for the Company is as follows: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ind w:left="520"/>
              <w:spacing w:after="0"/>
              <w:rPr>
                <w:sz w:val="20"/>
                <w:szCs w:val="20"/>
                <w:color w:val="auto"/>
              </w:rPr>
            </w:pPr>
            <w:r>
              <w:rPr>
                <w:rFonts w:ascii="Arial" w:cs="Arial" w:eastAsia="Arial" w:hAnsi="Arial"/>
                <w:sz w:val="18"/>
                <w:szCs w:val="18"/>
                <w:color w:val="auto"/>
                <w:w w:val="98"/>
              </w:rPr>
              <w:t>Three Months Ended</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color w:val="auto"/>
              </w:rPr>
              <w:t>March 31,</w:t>
            </w:r>
          </w:p>
        </w:tc>
        <w:tc>
          <w:tcPr>
            <w:tcW w:w="10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6"/>
              <w:spacing w:after="0" w:line="196" w:lineRule="exact"/>
              <w:rPr>
                <w:sz w:val="20"/>
                <w:szCs w:val="20"/>
                <w:color w:val="auto"/>
              </w:rPr>
            </w:pPr>
            <w:r>
              <w:rPr>
                <w:rFonts w:ascii="Arial" w:cs="Arial" w:eastAsia="Arial" w:hAnsi="Arial"/>
                <w:sz w:val="18"/>
                <w:szCs w:val="18"/>
                <w:color w:val="auto"/>
              </w:rPr>
              <w:t>2026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47"/>
              <w:spacing w:after="0" w:line="196" w:lineRule="exact"/>
              <w:rPr>
                <w:sz w:val="20"/>
                <w:szCs w:val="20"/>
                <w:color w:val="auto"/>
              </w:rPr>
            </w:pPr>
            <w:r>
              <w:rPr>
                <w:rFonts w:ascii="Arial" w:cs="Arial" w:eastAsia="Arial" w:hAnsi="Arial"/>
                <w:sz w:val="18"/>
                <w:szCs w:val="18"/>
                <w:color w:val="auto"/>
                <w:w w:val="99"/>
              </w:rPr>
              <w:t>2025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ind w:left="520"/>
              <w:spacing w:after="0" w:line="209" w:lineRule="exact"/>
              <w:rPr>
                <w:sz w:val="20"/>
                <w:szCs w:val="20"/>
                <w:color w:val="auto"/>
              </w:rPr>
            </w:pPr>
            <w:r>
              <w:rPr>
                <w:rFonts w:ascii="Arial" w:cs="Arial" w:eastAsia="Arial" w:hAnsi="Arial"/>
                <w:sz w:val="20"/>
                <w:szCs w:val="20"/>
                <w:i w:val="1"/>
                <w:iCs w:val="1"/>
                <w:color w:val="auto"/>
                <w:w w:val="92"/>
              </w:rPr>
              <w:t>(Dollars</w:t>
            </w:r>
          </w:p>
        </w:tc>
        <w:tc>
          <w:tcPr>
            <w:tcW w:w="100" w:type="dxa"/>
            <w:vAlign w:val="bottom"/>
          </w:tcPr>
          <w:p>
            <w:pPr>
              <w:spacing w:after="0"/>
              <w:rPr>
                <w:sz w:val="18"/>
                <w:szCs w:val="18"/>
                <w:color w:val="auto"/>
              </w:rPr>
            </w:pPr>
          </w:p>
        </w:tc>
        <w:tc>
          <w:tcPr>
            <w:tcW w:w="920" w:type="dxa"/>
            <w:vAlign w:val="bottom"/>
            <w:gridSpan w:val="3"/>
          </w:tcPr>
          <w:p>
            <w:pPr>
              <w:spacing w:after="0" w:line="209" w:lineRule="exact"/>
              <w:rPr>
                <w:sz w:val="20"/>
                <w:szCs w:val="20"/>
                <w:color w:val="auto"/>
              </w:rPr>
            </w:pPr>
            <w:r>
              <w:rPr>
                <w:rFonts w:ascii="Arial" w:cs="Arial" w:eastAsia="Arial" w:hAnsi="Arial"/>
                <w:sz w:val="20"/>
                <w:szCs w:val="20"/>
                <w:i w:val="1"/>
                <w:iCs w:val="1"/>
                <w:color w:val="auto"/>
                <w:w w:val="95"/>
              </w:rPr>
              <w:t>in Millions)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Cash Provided by Operating Activities:</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60"/>
              <w:spacing w:after="0" w:line="202" w:lineRule="exact"/>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08"/>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right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300" w:type="dxa"/>
            <w:vAlign w:val="bottom"/>
          </w:tcPr>
          <w:p>
            <w:pPr>
              <w:jc w:val="right"/>
              <w:ind w:right="108"/>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Cash Provided by (Used for) Investing Activities: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(143)</w:t>
            </w: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1"/>
              <w:spacing w:after="0" w:line="196" w:lineRule="exact"/>
              <w:rPr>
                <w:sz w:val="20"/>
                <w:szCs w:val="20"/>
                <w:color w:val="auto"/>
              </w:rPr>
            </w:pPr>
            <w:r>
              <w:rPr>
                <w:rFonts w:ascii="Arial" w:cs="Arial" w:eastAsia="Arial" w:hAnsi="Arial"/>
                <w:sz w:val="18"/>
                <w:szCs w:val="18"/>
                <w:color w:val="auto"/>
              </w:rPr>
              <w:t>(262)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0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b w:val="1"/>
                <w:bCs w:val="1"/>
                <w:color w:val="auto"/>
              </w:rPr>
              <w:t>Cash Used for Financing Activities:</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60"/>
              <w:spacing w:after="0" w:line="202" w:lineRule="exact"/>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108"/>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(314)</w:t>
            </w:r>
          </w:p>
        </w:tc>
        <w:tc>
          <w:tcPr>
            <w:tcW w:w="28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6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(523)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right w:val="single" w:sz="8" w:color="CFF0FC"/>
            </w:tcBorders>
            <w:gridSpan w:val="2"/>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Pr>
          <w:p>
            <w:pPr>
              <w:spacing w:after="0"/>
              <w:rPr>
                <w:sz w:val="17"/>
                <w:szCs w:val="17"/>
                <w:color w:val="auto"/>
              </w:rPr>
            </w:pPr>
          </w:p>
        </w:tc>
        <w:tc>
          <w:tcPr>
            <w:tcW w:w="300" w:type="dxa"/>
            <w:vAlign w:val="bottom"/>
          </w:tcPr>
          <w:p>
            <w:pPr>
              <w:jc w:val="right"/>
              <w:ind w:right="108"/>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(314)</w:t>
            </w:r>
          </w:p>
        </w:tc>
        <w:tc>
          <w:tcPr>
            <w:tcW w:w="280" w:type="dxa"/>
            <w:vAlign w:val="bottom"/>
          </w:tcPr>
          <w:p>
            <w:pPr>
              <w:spacing w:after="0"/>
              <w:rPr>
                <w:sz w:val="17"/>
                <w:szCs w:val="17"/>
                <w:color w:val="auto"/>
              </w:rPr>
            </w:pPr>
          </w:p>
        </w:tc>
        <w:tc>
          <w:tcPr>
            <w:tcW w:w="2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60" w:type="dxa"/>
            <w:vAlign w:val="bottom"/>
            <w:gridSpan w:val="2"/>
          </w:tcPr>
          <w:p>
            <w:pPr>
              <w:jc w:val="right"/>
              <w:ind w:right="141"/>
              <w:spacing w:after="0" w:line="196" w:lineRule="exact"/>
              <w:rPr>
                <w:sz w:val="20"/>
                <w:szCs w:val="20"/>
                <w:color w:val="auto"/>
              </w:rPr>
            </w:pPr>
            <w:r>
              <w:rPr>
                <w:rFonts w:ascii="Arial" w:cs="Arial" w:eastAsia="Arial" w:hAnsi="Arial"/>
                <w:sz w:val="18"/>
                <w:szCs w:val="18"/>
                <w:color w:val="auto"/>
              </w:rPr>
              <w:t>(525)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-3222625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-3205480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-1516380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-1516380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-702310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-685165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-702310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-685165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-161925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-161925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8" w:name="page29"/>
    <w:bookmarkEnd w:id="28"/>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34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Cash provided by operating activities for the three months ended March 31, 2026 and 2025 was $227 million and $218 million, respectively. Operating cash flow is substantially derived from consolidated net earnings before deducting depreciation, depletion and amortization and the impact of changes in working capital requirements. In the quarter ended March 31, 2026, operating cash flow reflects deducting the noncash gain on the QUIKRETE transaction from net earnings.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seasonal nature of construction activity impacts the Company’s interim operating cash flow when compared with the full year. Full-year 2025 net cash provided by operating activities was $1.8 billion.</w:t>
      </w:r>
    </w:p>
    <w:p>
      <w:pPr>
        <w:spacing w:after="0" w:line="4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During the three months ended March 31, 2026 and 2025, the Company paid $186 million and $233 million, respectively, for additions to property, plant and equipment.</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As part of the QUIKRETE asset exchange, the Company received $450 million in cash, which is included in net cash provided by investing activities for discontinued operations.</w:t>
      </w:r>
    </w:p>
    <w:p>
      <w:pPr>
        <w:spacing w:after="0" w:line="4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During the first three months of 2026, the Company repurchased 325,455 shares of common stock at an average price of $614.52 and an aggregate cost of $200 million. At March 31, 2026, 10.7 million shares of common stock remain under the Company’s repurchase authorization.</w:t>
      </w:r>
    </w:p>
    <w:p>
      <w:pPr>
        <w:spacing w:after="0" w:line="6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through a wholly-owned special-purpose subsidiary, has a $400 million trade receivable securitization facility (the Trade Receivable Facility) that matures on September 16, 2026. The Trade Receivable Facility contains a cross-default provision to the Company’s other debt agreements. There were no amounts outstanding on the Trade Receivable Facility as of March 31, 2026.</w:t>
      </w:r>
    </w:p>
    <w:p>
      <w:pPr>
        <w:spacing w:after="0" w:line="6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Company has an $800 million five-year senior unsecured revolving facility (the Revolving Facility), which matures in December 2030. There were no outstanding borrowings on the Revolving Facility as of March 31, 2026. The Revolving Facility requires the Company’s ratio of consolidated net debt-to-consolidated EBITDA, as defined, for the trailing-twelve-month period (the Ratio) to not exceed 3.50 times as of the end of any fiscal quarter, provided that the Company may exclude from the Ratio debt incurred in connection with certain acquisitions during the quarter or the three preceding quarters so long as the Ratio calculated without such exclusion does not exceed 4.25 times. Additionally, if there are no amounts outstanding under the Revolving Facility and the Trade Receivable Facility, consolidated debt, including debt for which the Company is a guarantor, shall be reduced in an amount equal to the lesser of $ 500 million or the sum of the Company’s unrestricted cash and temporary investments, for purposes of the covenant calculation. The Company was in compliance with the Ratio at March 31, 2026. In the event of a default on the Ratio, the lenders can terminate the Revolving Facility and Trade Receivable Facility and declare any outstanding balances as immediately due.</w:t>
      </w:r>
    </w:p>
    <w:p>
      <w:pPr>
        <w:spacing w:after="0" w:line="7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allow for payment of dividends for the foreseeable future and allow the repurchase of shares of the Company’s common stock. At March 31, 2026, the Company had $1.2 billion of unused borrowing capacity under its Revolving Facility and Trade Receivable Facility, subject to complying with the related leverage covenant. Historically, the Company has successfully extended the maturity dates of these credit facilities.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2025. Management continues to evaluate its exposure to all operating risks on an ongoing basis.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9" w:name="page30"/>
    <w:bookmarkEnd w:id="29"/>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9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earnings release contains forward-looking statements under the federal securities laws, including the Private Securities Litigation Reform Act of 1995 that involve risks and uncertainties and are based on assumptions that the Company believes are reasonable, but which may differ materially from actual results. These statements reflect the Company’s expectations or forecasts of future events. You can identify these statements because they do not relate only to historical or current facts and may use words such as “anticipate,” “may,” “expect,” “should,” “believe,” “project,” “intend,” “will,” and other words of similar meaning in connection with future events or future operating or financial performance. Any, or all of, management’s forward-looking statements herein and in other publications may prove to be incorrect.</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outlook is subject to risks and uncertainties and is based on assumptions that the Company believes are reasonable but which may differ materially from actual results. Factors that the Company currently believes could cause actual results to differ materially from the forward-looking statements in this Form 10-Q include, but are not limited to:</w:t>
      </w:r>
    </w:p>
    <w:p>
      <w:pPr>
        <w:spacing w:after="0" w:line="63" w:lineRule="exact"/>
        <w:rPr>
          <w:sz w:val="20"/>
          <w:szCs w:val="20"/>
          <w:color w:val="auto"/>
        </w:rPr>
      </w:pPr>
    </w:p>
    <w:p>
      <w:pPr>
        <w:ind w:left="1020" w:hanging="503"/>
        <w:spacing w:after="0" w:line="234"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Company’s ability to address challenges, including shipment declines caused by economic and weather events beyond its control;</w:t>
      </w:r>
    </w:p>
    <w:p>
      <w:pPr>
        <w:ind w:left="1020" w:hanging="503"/>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A widespread decline in aggregates pricing, including reduced shipment volume negatively affecting price;</w:t>
      </w:r>
    </w:p>
    <w:p>
      <w:pPr>
        <w:ind w:left="1020" w:hanging="503"/>
        <w:spacing w:after="0" w:line="224"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The termination, capping, reduction or suspension of federal and/or state fuel tax(es) or other revenue related to public construction;</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The impact of the Administration on the availability and timing of federal and state infrastructure investment;</w:t>
      </w:r>
    </w:p>
    <w:p>
      <w:pPr>
        <w:jc w:val="both"/>
        <w:ind w:left="1020" w:hanging="503"/>
        <w:spacing w:after="0" w:line="225"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The level and timing of federal, state or local transportation or infrastructure or public projects funding, including any issues arising from such budgets, particularly in Texas, North Carolina, Colorado, California, Georgia, Florida, South Carolina, Arizona, Iowa and Minnesota;</w:t>
      </w:r>
    </w:p>
    <w:p>
      <w:pPr>
        <w:ind w:left="1020" w:hanging="503"/>
        <w:spacing w:after="0" w:line="224"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The United States Congress’ inability to reach agreement internally or with the Executive Branch of the United States Federal government on policy affecting the federal budget;</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The ability of states and/or other entities to finance approved projects through tax revenues or alternative financing;</w:t>
      </w:r>
    </w:p>
    <w:p>
      <w:pPr>
        <w:ind w:left="1020" w:hanging="503"/>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Construction spending levels in the Company's markets;</w:t>
      </w:r>
    </w:p>
    <w:p>
      <w:pPr>
        <w:ind w:left="1020" w:hanging="503"/>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Reductions in defense spending and impacts on construction activity on or near military bases;</w:t>
      </w:r>
    </w:p>
    <w:p>
      <w:pPr>
        <w:ind w:left="1020" w:hanging="503"/>
        <w:spacing w:after="0" w:line="224"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Declines in energy-related construction due to sustained low global oil prices or changes in oil production or capital spending, particularly in Texas;</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Sustained high mortgage interest rates and factors leading to a slowdown in private construction in some areas;</w:t>
      </w:r>
    </w:p>
    <w:p>
      <w:pPr>
        <w:ind w:left="1020" w:hanging="503"/>
        <w:spacing w:after="0" w:line="224"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Unfavorable weather, including storms, hurricanes, wildfires, timing of seasons, drought, rainfall or extreme temperatures affecting production schedules, shipment volumes, product/geographic mix and profitability;</w:t>
      </w:r>
    </w:p>
    <w:p>
      <w:pPr>
        <w:spacing w:after="0" w:line="1" w:lineRule="exact"/>
        <w:rPr>
          <w:rFonts w:ascii="Times New Roman" w:cs="Times New Roman" w:eastAsia="Times New Roman" w:hAnsi="Times New Roman"/>
          <w:sz w:val="20"/>
          <w:szCs w:val="20"/>
          <w:color w:val="auto"/>
        </w:rPr>
      </w:pPr>
    </w:p>
    <w:p>
      <w:pPr>
        <w:ind w:left="1020" w:hanging="503"/>
        <w:spacing w:after="0" w:line="224"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Volatility of fuel and energy costs, including diesel, electricity, natural gas and consumables, like steel, explosives, tires and conveyor belts, as well as natural gas for the Company’s Specialties business;</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Increased raw materials costs, such as bitumen;</w:t>
      </w:r>
    </w:p>
    <w:p>
      <w:pPr>
        <w:ind w:left="1020" w:hanging="503"/>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Rising costs of repair and supply parts;</w:t>
      </w:r>
    </w:p>
    <w:p>
      <w:pPr>
        <w:ind w:left="1020" w:hanging="503"/>
        <w:spacing w:after="0" w:line="238"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Construction labor shortages or supply chain challenges;</w:t>
      </w:r>
    </w:p>
    <w:p>
      <w:pPr>
        <w:ind w:left="1020" w:hanging="503"/>
        <w:spacing w:after="0" w:line="224"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Labor relations risks, such as unionization efforts, work stoppages or strikes (particularly in jurisdictions with evolving labor laws);</w:t>
      </w:r>
    </w:p>
    <w:p>
      <w:pPr>
        <w:spacing w:after="0" w:line="1" w:lineRule="exact"/>
        <w:rPr>
          <w:rFonts w:ascii="Times New Roman" w:cs="Times New Roman" w:eastAsia="Times New Roman" w:hAnsi="Times New Roman"/>
          <w:sz w:val="20"/>
          <w:szCs w:val="20"/>
          <w:color w:val="auto"/>
        </w:rPr>
      </w:pPr>
    </w:p>
    <w:p>
      <w:pPr>
        <w:ind w:left="1020" w:hanging="503"/>
        <w:spacing w:after="0" w:line="224"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Workforce demographics-related challenges in recruiting and retaining skilled employees, particularly for physically demanding roles in rural or less-populated areas;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0" w:name="page31"/>
    <w:bookmarkEnd w:id="30"/>
    <w:p>
      <w:pPr>
        <w:jc w:val="center"/>
        <w:ind w:right="557"/>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557"/>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ind w:right="497"/>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ind w:right="497"/>
        <w:spacing w:after="0"/>
        <w:rPr>
          <w:sz w:val="20"/>
          <w:szCs w:val="20"/>
          <w:color w:val="auto"/>
        </w:rPr>
      </w:pPr>
      <w:r>
        <w:rPr>
          <w:rFonts w:ascii="Arial" w:cs="Arial" w:eastAsia="Arial" w:hAnsi="Arial"/>
          <w:sz w:val="20"/>
          <w:szCs w:val="20"/>
          <w:color w:val="auto"/>
        </w:rPr>
        <w:t>MANAGEMENT’S DISCUSSION AND ANALYSIS OF FINANCIAL CONDITION AND</w:t>
      </w:r>
    </w:p>
    <w:p>
      <w:pPr>
        <w:jc w:val="center"/>
        <w:ind w:right="497"/>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457"/>
        <w:spacing w:after="0"/>
        <w:rPr>
          <w:sz w:val="20"/>
          <w:szCs w:val="20"/>
          <w:color w:val="auto"/>
        </w:rPr>
      </w:pPr>
      <w:r>
        <w:rPr>
          <w:rFonts w:ascii="Arial" w:cs="Arial" w:eastAsia="Arial" w:hAnsi="Arial"/>
          <w:sz w:val="20"/>
          <w:szCs w:val="20"/>
          <w:color w:val="auto"/>
        </w:rPr>
        <w:t>(Continued)</w:t>
      </w:r>
    </w:p>
    <w:p>
      <w:pPr>
        <w:spacing w:after="0" w:line="130" w:lineRule="exact"/>
        <w:rPr>
          <w:sz w:val="20"/>
          <w:szCs w:val="20"/>
          <w:color w:val="auto"/>
        </w:rPr>
      </w:pPr>
    </w:p>
    <w:p>
      <w:pPr>
        <w:ind w:left="503" w:hanging="503"/>
        <w:spacing w:after="0"/>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Unexpected equipment failures, unscheduled maintenance, industrial accident or prolonged production disruption;</w:t>
      </w:r>
    </w:p>
    <w:p>
      <w:pPr>
        <w:spacing w:after="0" w:line="16" w:lineRule="exact"/>
        <w:rPr>
          <w:rFonts w:ascii="Times New Roman" w:cs="Times New Roman" w:eastAsia="Times New Roman" w:hAnsi="Times New Roman"/>
          <w:sz w:val="20"/>
          <w:szCs w:val="20"/>
          <w:color w:val="auto"/>
        </w:rPr>
      </w:pP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Resiliency and potential declines of the Company's construction end-use markets;</w:t>
      </w:r>
    </w:p>
    <w:p>
      <w:pPr>
        <w:ind w:left="503"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impacts of disease outbreaks, epidemics, pandemics, or similar health threats, or fear of such events, and related economic/societal responses, affecting suppliers, customers, partners or employees;</w:t>
      </w:r>
    </w:p>
    <w:p>
      <w:pPr>
        <w:spacing w:after="0" w:line="1" w:lineRule="exact"/>
        <w:rPr>
          <w:rFonts w:ascii="Times New Roman" w:cs="Times New Roman" w:eastAsia="Times New Roman" w:hAnsi="Times New Roman"/>
          <w:sz w:val="20"/>
          <w:szCs w:val="20"/>
          <w:color w:val="auto"/>
        </w:rPr>
      </w:pP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The performance of the overall United States economy;</w:t>
      </w: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Governmental regulation, including environmental laws and climate change regulations at state and federal levels;</w:t>
      </w:r>
    </w:p>
    <w:p>
      <w:pPr>
        <w:ind w:left="503"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Implementation of emissions taxes, carbon-pricing schemes, or stricter climate-related rules that could increase operating costs or restrict Specialties production;</w:t>
      </w:r>
    </w:p>
    <w:p>
      <w:pPr>
        <w:spacing w:after="0" w:line="1" w:lineRule="exact"/>
        <w:rPr>
          <w:rFonts w:ascii="Times New Roman" w:cs="Times New Roman" w:eastAsia="Times New Roman" w:hAnsi="Times New Roman"/>
          <w:sz w:val="20"/>
          <w:szCs w:val="20"/>
          <w:color w:val="auto"/>
        </w:rPr>
      </w:pPr>
    </w:p>
    <w:p>
      <w:pPr>
        <w:ind w:left="503" w:right="20"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Delays or difficulties in securing timely land use approvals or environmental permits amid changing regulatory expectations;</w:t>
      </w:r>
    </w:p>
    <w:p>
      <w:pPr>
        <w:spacing w:after="0" w:line="1" w:lineRule="exact"/>
        <w:rPr>
          <w:rFonts w:ascii="Times New Roman" w:cs="Times New Roman" w:eastAsia="Times New Roman" w:hAnsi="Times New Roman"/>
          <w:sz w:val="20"/>
          <w:szCs w:val="20"/>
          <w:color w:val="auto"/>
        </w:rPr>
      </w:pPr>
    </w:p>
    <w:p>
      <w:pPr>
        <w:ind w:left="503" w:right="20"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Increasing legal actions or public pressure related to environmental impact, emissions, or land use could result in reputational harm or financial liability;</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Failure to meet evolving environmental, social, and governance (ESG) standards or investor benchmarks may affect access to capital or shareholder confidence;</w:t>
      </w:r>
    </w:p>
    <w:p>
      <w:pPr>
        <w:spacing w:after="0" w:line="1" w:lineRule="exact"/>
        <w:rPr>
          <w:rFonts w:ascii="Times New Roman" w:cs="Times New Roman" w:eastAsia="Times New Roman" w:hAnsi="Times New Roman"/>
          <w:sz w:val="20"/>
          <w:szCs w:val="20"/>
          <w:color w:val="auto"/>
        </w:rPr>
      </w:pP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external ESG ratings or methodologies could affect investor sentiment or index inclusion;</w:t>
      </w:r>
    </w:p>
    <w:p>
      <w:pPr>
        <w:ind w:left="503"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Increasing competition for water access or stricter water usage regulations could impact production, especially in drought-prone regions;</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Outcomes of environmental or land-use proceedings, or increased costs associated with regulatory obligations, including site reclamation;</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Elevated premiums or reduced coverage availability for property, casualty, or environmental liability could increase risk exposure;</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Online misinformation campaigns or social media-driven reputational harm could affect stakeholder trust and market perception;</w:t>
      </w:r>
    </w:p>
    <w:p>
      <w:pPr>
        <w:spacing w:after="0" w:line="1" w:lineRule="exact"/>
        <w:rPr>
          <w:rFonts w:ascii="Times New Roman" w:cs="Times New Roman" w:eastAsia="Times New Roman" w:hAnsi="Times New Roman"/>
          <w:sz w:val="20"/>
          <w:szCs w:val="20"/>
          <w:color w:val="auto"/>
        </w:rPr>
      </w:pPr>
    </w:p>
    <w:p>
      <w:pPr>
        <w:jc w:val="both"/>
        <w:ind w:left="503" w:hanging="503"/>
        <w:spacing w:after="0" w:line="225"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Transportation availability and investment in rail infrastructure impacting the movement of materials especially to the Company’s Texas, Southeast and Gulf Coast markets, the movement of essential dolomitic lime to the Company’s Specialties plant in Manistee, Michigan and its customers and the movement of magnesite from its Specialties' Gabbs, Nevada facility to processing plants in North Carolina, Indiana and Pennsylvania and the Company's customers;</w:t>
      </w:r>
    </w:p>
    <w:p>
      <w:pPr>
        <w:spacing w:after="0" w:line="1" w:lineRule="exact"/>
        <w:rPr>
          <w:rFonts w:ascii="Times New Roman" w:cs="Times New Roman" w:eastAsia="Times New Roman" w:hAnsi="Times New Roman"/>
          <w:sz w:val="20"/>
          <w:szCs w:val="20"/>
          <w:color w:val="auto"/>
        </w:rPr>
      </w:pPr>
    </w:p>
    <w:p>
      <w:pPr>
        <w:ind w:left="503"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Increased transportation costs, including increases from energy price fluctuations, fuel surcharges, and compliance with tightening regulations, including water shipments;</w:t>
      </w:r>
    </w:p>
    <w:p>
      <w:pPr>
        <w:spacing w:after="0" w:line="1" w:lineRule="exact"/>
        <w:rPr>
          <w:rFonts w:ascii="Times New Roman" w:cs="Times New Roman" w:eastAsia="Times New Roman" w:hAnsi="Times New Roman"/>
          <w:sz w:val="20"/>
          <w:szCs w:val="20"/>
          <w:color w:val="auto"/>
        </w:rPr>
      </w:pP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Availability of trucks and licensed drivers for material transport;</w:t>
      </w: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Availability and cost of construction equipment in the United States;</w:t>
      </w: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Weakness in the steel industry markets served by the Company’s dolomitic lime products;</w:t>
      </w:r>
    </w:p>
    <w:p>
      <w:pPr>
        <w:ind w:left="503" w:hanging="503"/>
        <w:spacing w:after="0" w:line="224"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Geopolitical risks affecting costs, supply chain, oil and gas prices, including conflict zones such as Iran, Russia-Ukraine, Israel-Middle East and potential China-Taiwan tensions;</w:t>
      </w:r>
    </w:p>
    <w:p>
      <w:pPr>
        <w:spacing w:after="0" w:line="1" w:lineRule="exact"/>
        <w:rPr>
          <w:rFonts w:ascii="Times New Roman" w:cs="Times New Roman" w:eastAsia="Times New Roman" w:hAnsi="Times New Roman"/>
          <w:sz w:val="20"/>
          <w:szCs w:val="20"/>
          <w:color w:val="auto"/>
        </w:rPr>
      </w:pP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Trade disputes and tariffs impacting the U.S. economy;</w:t>
      </w: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Unplanned cost changes or customer realignments affecting earnings, including in the Specialties business;</w:t>
      </w: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Dependence on information technology and automated systems;</w:t>
      </w: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Risks related to third-party vendors, including exposure to cybersecurity vulnerabilities or service outages;</w:t>
      </w: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Inflation pressures on production and interest costs;</w:t>
      </w: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Customer concentration in construction markets increasing the risk of potential losses on customer receivables;</w:t>
      </w:r>
    </w:p>
    <w:p>
      <w:pPr>
        <w:ind w:left="503" w:hanging="503"/>
        <w:spacing w:after="0" w:line="238" w:lineRule="auto"/>
        <w:tabs>
          <w:tab w:leader="none" w:pos="503"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Demand levels, production volumes and cost management affecting operating leverage and profitability;</w:t>
      </w:r>
    </w:p>
    <w:p>
      <w:pPr>
        <w:spacing w:after="0" w:line="1" w:lineRule="exact"/>
        <w:rPr>
          <w:sz w:val="20"/>
          <w:szCs w:val="20"/>
          <w:color w:val="auto"/>
        </w:rPr>
      </w:pPr>
    </w:p>
    <w:p>
      <w:pPr>
        <w:ind w:left="4483"/>
        <w:spacing w:after="0"/>
        <w:rPr>
          <w:sz w:val="20"/>
          <w:szCs w:val="20"/>
          <w:color w:val="auto"/>
        </w:rPr>
      </w:pPr>
      <w:r>
        <w:rPr>
          <w:rFonts w:ascii="Arial" w:cs="Arial" w:eastAsia="Arial" w:hAnsi="Arial"/>
          <w:sz w:val="20"/>
          <w:szCs w:val="20"/>
          <w:color w:val="auto"/>
        </w:rPr>
        <w:t>Page 31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461010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6" w:right="339" w:bottom="1440" w:gutter="0" w:footer="0" w:header="0"/>
        </w:sectPr>
      </w:pPr>
    </w:p>
    <w:bookmarkStart w:id="31" w:name="page32"/>
    <w:bookmarkEnd w:id="31"/>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jc w:val="center"/>
        <w:spacing w:after="0" w:line="229" w:lineRule="auto"/>
        <w:rPr>
          <w:sz w:val="20"/>
          <w:szCs w:val="20"/>
          <w:color w:val="auto"/>
        </w:rPr>
      </w:pPr>
      <w:r>
        <w:rPr>
          <w:rFonts w:ascii="Arial" w:cs="Arial" w:eastAsia="Arial" w:hAnsi="Arial"/>
          <w:sz w:val="20"/>
          <w:szCs w:val="20"/>
          <w:color w:val="auto"/>
        </w:rPr>
        <w:t>RESULTS OF OPERATIONS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(Continued)</w:t>
      </w:r>
    </w:p>
    <w:p>
      <w:pPr>
        <w:spacing w:after="0" w:line="130" w:lineRule="exact"/>
        <w:rPr>
          <w:sz w:val="20"/>
          <w:szCs w:val="20"/>
          <w:color w:val="auto"/>
        </w:rPr>
      </w:pPr>
    </w:p>
    <w:p>
      <w:pPr>
        <w:ind w:left="1020" w:hanging="503"/>
        <w:spacing w:after="0" w:line="234"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Risks related to the Company's QUIKRETE transaction, including, integration challenges, market conditions, and the impact of the transaction on the Company's stakeholders;</w:t>
      </w:r>
    </w:p>
    <w:p>
      <w:pPr>
        <w:ind w:left="1020" w:right="20" w:hanging="503"/>
        <w:spacing w:after="0" w:line="224"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The possibility that acquisition synergies may not be realized as expected or within anticipated timeframes, potentially impacting profitability and debt covenant compliance;</w:t>
      </w:r>
    </w:p>
    <w:p>
      <w:pPr>
        <w:spacing w:after="0" w:line="1" w:lineRule="exact"/>
        <w:rPr>
          <w:rFonts w:ascii="Times New Roman" w:cs="Times New Roman" w:eastAsia="Times New Roman" w:hAnsi="Times New Roman"/>
          <w:sz w:val="20"/>
          <w:szCs w:val="20"/>
          <w:color w:val="auto"/>
        </w:rPr>
      </w:pPr>
    </w:p>
    <w:p>
      <w:pPr>
        <w:ind w:left="1020" w:hanging="503"/>
        <w:spacing w:after="0" w:line="224"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Risks related to executive succession, retention, leadership development critical to strategy execution, including impacts from unexpected leadership changes;</w:t>
      </w:r>
    </w:p>
    <w:p>
      <w:pPr>
        <w:spacing w:after="0" w:line="1" w:lineRule="exact"/>
        <w:rPr>
          <w:rFonts w:ascii="Times New Roman" w:cs="Times New Roman" w:eastAsia="Times New Roman" w:hAnsi="Times New Roman"/>
          <w:sz w:val="20"/>
          <w:szCs w:val="20"/>
          <w:color w:val="auto"/>
        </w:rPr>
      </w:pPr>
    </w:p>
    <w:p>
      <w:pPr>
        <w:ind w:left="1020" w:hanging="503"/>
        <w:spacing w:after="0" w:line="224"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tax laws or interpretations, including those related to acquisitions or divestitures, which could increase tax rates;</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Violation of the Company’s debt covenants in the event of price and/or volume instability;</w:t>
      </w:r>
    </w:p>
    <w:p>
      <w:pPr>
        <w:ind w:left="1020" w:hanging="503"/>
        <w:spacing w:after="0" w:line="238"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New or revised accounting rules could impact financial reporting, asset valuations, or covenant compliance;</w:t>
      </w:r>
    </w:p>
    <w:p>
      <w:pPr>
        <w:ind w:left="1020" w:hanging="503"/>
        <w:spacing w:after="0" w:line="224"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Challenges in implementing new technologies or automation systems could lead to inefficiencies, cost overruns, or operational disruptions;</w:t>
      </w:r>
    </w:p>
    <w:p>
      <w:pPr>
        <w:spacing w:after="0" w:line="1" w:lineRule="exact"/>
        <w:rPr>
          <w:rFonts w:ascii="Times New Roman" w:cs="Times New Roman" w:eastAsia="Times New Roman" w:hAnsi="Times New Roman"/>
          <w:sz w:val="20"/>
          <w:szCs w:val="20"/>
          <w:color w:val="auto"/>
        </w:rPr>
      </w:pPr>
    </w:p>
    <w:p>
      <w:pPr>
        <w:ind w:left="1020" w:right="20" w:hanging="503"/>
        <w:spacing w:after="0" w:line="224"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Improper use or reliance on predictive analytics or AI-driven decision-making could result in flawed forecasting, compliance issues, or reputational damage;</w:t>
      </w:r>
    </w:p>
    <w:p>
      <w:pPr>
        <w:spacing w:after="0" w:line="1" w:lineRule="exact"/>
        <w:rPr>
          <w:rFonts w:ascii="Times New Roman" w:cs="Times New Roman" w:eastAsia="Times New Roman" w:hAnsi="Times New Roman"/>
          <w:sz w:val="20"/>
          <w:szCs w:val="20"/>
          <w:color w:val="auto"/>
        </w:rPr>
      </w:pPr>
    </w:p>
    <w:p>
      <w:pPr>
        <w:ind w:left="1020" w:hanging="503"/>
        <w:spacing w:after="0" w:line="238"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Cybersecurity risks;</w:t>
      </w:r>
    </w:p>
    <w:p>
      <w:pPr>
        <w:ind w:left="1020" w:hanging="503"/>
        <w:spacing w:after="0" w:line="238"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Downward pressure on the Company’s common stock price affecting goodwill impairment evaluations;</w:t>
      </w:r>
    </w:p>
    <w:p>
      <w:pPr>
        <w:ind w:left="1020" w:hanging="503"/>
        <w:spacing w:after="0" w:line="238" w:lineRule="auto"/>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credit rating downgrades to non-investment grade; and</w:t>
      </w:r>
    </w:p>
    <w:p>
      <w:pPr>
        <w:ind w:left="1020" w:hanging="503"/>
        <w:spacing w:after="0"/>
        <w:tabs>
          <w:tab w:leader="none" w:pos="1020" w:val="left"/>
        </w:tabs>
        <w:numPr>
          <w:ilvl w:val="0"/>
          <w:numId w:val="14"/>
        </w:numPr>
        <w:rPr>
          <w:rFonts w:ascii="Times New Roman" w:cs="Times New Roman" w:eastAsia="Times New Roman" w:hAnsi="Times New Roman"/>
          <w:sz w:val="20"/>
          <w:szCs w:val="20"/>
          <w:color w:val="auto"/>
        </w:rPr>
      </w:pPr>
      <w:r>
        <w:rPr>
          <w:rFonts w:ascii="Arial" w:cs="Arial" w:eastAsia="Arial" w:hAnsi="Arial"/>
          <w:sz w:val="20"/>
          <w:szCs w:val="20"/>
          <w:color w:val="auto"/>
        </w:rPr>
        <w:t>Other risk factors listed from time to time in the Company’s SEC filings.</w:t>
      </w:r>
    </w:p>
    <w:p>
      <w:pPr>
        <w:spacing w:after="0" w:line="8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should also review the risk factors included herein and other periodic SEC filings. All forward-looking statements should be evaluated with these considerations in mind. Other risks and uncertainties not presently known or currently deemed immaterial may also affect the Company’s performance or the accuracy of forward-looking statements. The Company undertakes no obligation to update any such forward-looking statements.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2025, by writing to:</w:t>
      </w:r>
    </w:p>
    <w:p>
      <w:pPr>
        <w:spacing w:after="0" w:line="4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ind w:left="260"/>
        <w:spacing w:after="0" w:line="229" w:lineRule="auto"/>
        <w:rPr>
          <w:sz w:val="20"/>
          <w:szCs w:val="20"/>
          <w:color w:val="auto"/>
        </w:rPr>
      </w:pPr>
      <w:r>
        <w:rPr>
          <w:rFonts w:ascii="Arial" w:cs="Arial" w:eastAsia="Arial" w:hAnsi="Arial"/>
          <w:sz w:val="20"/>
          <w:szCs w:val="20"/>
          <w:color w:val="auto"/>
        </w:rPr>
        <w:t>Attn: Corporate Secretary</w:t>
      </w:r>
    </w:p>
    <w:p>
      <w:pPr>
        <w:ind w:left="260"/>
        <w:spacing w:after="0" w:line="226" w:lineRule="auto"/>
        <w:rPr>
          <w:sz w:val="20"/>
          <w:szCs w:val="20"/>
          <w:color w:val="auto"/>
        </w:rPr>
      </w:pPr>
      <w:r>
        <w:rPr>
          <w:rFonts w:ascii="Arial" w:cs="Arial" w:eastAsia="Arial" w:hAnsi="Arial"/>
          <w:sz w:val="20"/>
          <w:szCs w:val="20"/>
          <w:color w:val="auto"/>
        </w:rPr>
        <w:t>4123 Parklake Avenue</w:t>
      </w:r>
    </w:p>
    <w:p>
      <w:pPr>
        <w:ind w:left="260"/>
        <w:spacing w:after="0"/>
        <w:rPr>
          <w:sz w:val="20"/>
          <w:szCs w:val="20"/>
          <w:color w:val="auto"/>
        </w:rPr>
      </w:pPr>
      <w:r>
        <w:rPr>
          <w:rFonts w:ascii="Arial" w:cs="Arial" w:eastAsia="Arial" w:hAnsi="Arial"/>
          <w:sz w:val="20"/>
          <w:szCs w:val="20"/>
          <w:color w:val="auto"/>
        </w:rPr>
        <w:t>Raleigh, North Carolina 27612</w:t>
      </w:r>
    </w:p>
    <w:p>
      <w:pPr>
        <w:spacing w:after="0" w:line="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510-4736</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76" w:lineRule="exact"/>
        <w:rPr>
          <w:sz w:val="20"/>
          <w:szCs w:val="20"/>
          <w:color w:val="auto"/>
        </w:rPr>
      </w:pPr>
    </w:p>
    <w:p>
      <w:pPr>
        <w:ind w:left="5000" w:right="1300" w:hanging="4999"/>
        <w:spacing w:after="0" w:line="257" w:lineRule="auto"/>
        <w:rPr>
          <w:sz w:val="20"/>
          <w:szCs w:val="20"/>
          <w:color w:val="auto"/>
        </w:rPr>
      </w:pPr>
      <w:r>
        <w:rPr>
          <w:rFonts w:ascii="Arial" w:cs="Arial" w:eastAsia="Arial" w:hAnsi="Arial"/>
          <w:sz w:val="20"/>
          <w:szCs w:val="20"/>
          <w:color w:val="auto"/>
        </w:rPr>
        <w:t>Information included on the Company’s website is not incorporated into, or otherwise creates a part of, this report. Page 32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2" w:name="page33"/>
    <w:bookmarkEnd w:id="32"/>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the Quarter Ended March 31, 2026</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The Company’s operations are highly dependent upon the interest rate-sensitive construction and steelmaking industries.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Consequently, these marketplaces could experience lower levels of economic activity in an environment of rising interest rates.</w:t>
      </w:r>
    </w:p>
    <w:p>
      <w:pPr>
        <w:spacing w:after="0" w:line="7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Management has considered the current economic environment and its potential impact to the Company's business. Demand for aggregates products, particularly in the infrastructure construction market, is affected by federal, state and local budget and deficit issues. Further, delays or cancellations of capital projects in the nonresidential and residential construction markets could occur if companies and consumers are unable to obtain affordable financing for construction projects or if consumer confidence is eroded by economic uncertainty.</w:t>
      </w:r>
    </w:p>
    <w:p>
      <w:pPr>
        <w:spacing w:after="0" w:line="67"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Demand in the nonresidential and residential construction markets is affected by interest rates. While unchanged since December 31, 2025, the benchmark federal funds rate remains above the current rate of inflation, resulting in continued restrictive monetary policy.</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Aside from these inherent risks from within its operations, the Company’s earnings are also affected by changes in short-term interest rates and changes in enacted tax laws.</w:t>
      </w:r>
    </w:p>
    <w:p>
      <w:pPr>
        <w:spacing w:after="0" w:line="4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March 31, 2026, the Company had an $800 million Revolving Facility and a $400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Trade Receivable Facility. Borrowings under these facilities bear interest at a variable interest rate. There were no borrowings outstanding at March 31, 2026. However, any future borrowings under the credit facilities or outstanding variable-rate debt are exposed to interest rate risk.</w:t>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 xml:space="preserve">Pension Expense. </w:t>
      </w:r>
      <w:r>
        <w:rPr>
          <w:rFonts w:ascii="Arial" w:cs="Arial" w:eastAsia="Arial" w:hAnsi="Arial"/>
          <w:sz w:val="20"/>
          <w:szCs w:val="20"/>
          <w:color w:val="auto"/>
        </w:rPr>
        <w:t>The Company’s results of operations are affected by its pension expense. Assumptions that affect pension</w:t>
      </w:r>
      <w:r>
        <w:rPr>
          <w:rFonts w:ascii="Arial" w:cs="Arial" w:eastAsia="Arial" w:hAnsi="Arial"/>
          <w:sz w:val="20"/>
          <w:szCs w:val="20"/>
          <w:i w:val="1"/>
          <w:iCs w:val="1"/>
          <w:color w:val="auto"/>
        </w:rPr>
        <w:t xml:space="preserve"> </w:t>
      </w:r>
      <w:r>
        <w:rPr>
          <w:rFonts w:ascii="Arial" w:cs="Arial" w:eastAsia="Arial" w:hAnsi="Arial"/>
          <w:sz w:val="20"/>
          <w:szCs w:val="20"/>
          <w:color w:val="auto"/>
        </w:rPr>
        <w:t>expense include 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2025.</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 xml:space="preserve">Income Tax. </w:t>
      </w:r>
      <w:r>
        <w:rPr>
          <w:rFonts w:ascii="Arial" w:cs="Arial" w:eastAsia="Arial" w:hAnsi="Arial"/>
          <w:sz w:val="20"/>
          <w:szCs w:val="20"/>
          <w:color w:val="auto"/>
        </w:rPr>
        <w:t>Any changes in enacted tax laws, rules or regulatory or judicial interpretations, or any change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pronouncements relating to accounting for income taxes could materially impact the Company’s effective tax rate, tax payments, cash flow, financial condition and results of operations.</w:t>
      </w:r>
    </w:p>
    <w:p>
      <w:pPr>
        <w:spacing w:after="0" w:line="6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electricity, coal and petroleum coke, represent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production costs of the Company. The Company may be unable to pass along increases in the costs of energy to customers in the form of price increases for the Company’s products. The Specialties business has varying fixed-price agreements for a portion of its 2026 energy requirements. A hypothetical 10% change in the Company’s energy prices in 2026 as compared with 2025, assuming comparable volumes, would change 2026 energy expense for continuing operations by $29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9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i w:val="1"/>
          <w:iCs w:val="1"/>
          <w:color w:val="auto"/>
        </w:rPr>
        <w:t xml:space="preserve">Evaluation of Disclosure Controls and Procedures. </w:t>
      </w:r>
      <w:r>
        <w:rPr>
          <w:rFonts w:ascii="Arial" w:cs="Arial" w:eastAsia="Arial" w:hAnsi="Arial"/>
          <w:sz w:val="20"/>
          <w:szCs w:val="20"/>
          <w:color w:val="auto"/>
        </w:rPr>
        <w:t>As of March 31, 2026, an evaluation was performed under the supervision</w:t>
      </w:r>
      <w:r>
        <w:rPr>
          <w:rFonts w:ascii="Arial" w:cs="Arial" w:eastAsia="Arial" w:hAnsi="Arial"/>
          <w:sz w:val="20"/>
          <w:szCs w:val="20"/>
          <w:i w:val="1"/>
          <w:iCs w:val="1"/>
          <w:color w:val="auto"/>
        </w:rPr>
        <w:t xml:space="preserve"> </w:t>
      </w:r>
      <w:r>
        <w:rPr>
          <w:rFonts w:ascii="Arial" w:cs="Arial" w:eastAsia="Arial" w:hAnsi="Arial"/>
          <w:sz w:val="20"/>
          <w:szCs w:val="20"/>
          <w:color w:val="auto"/>
        </w:rPr>
        <w:t>and with 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March 31, 2026.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rPr>
          <w:sz w:val="20"/>
          <w:szCs w:val="20"/>
          <w:color w:val="auto"/>
        </w:rPr>
      </w:pPr>
      <w:r>
        <w:rPr>
          <w:rFonts w:ascii="Arial" w:cs="Arial" w:eastAsia="Arial" w:hAnsi="Arial"/>
          <w:sz w:val="20"/>
          <w:szCs w:val="20"/>
          <w:color w:val="auto"/>
        </w:rPr>
        <w:t>PART II. OTHER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See </w:t>
      </w:r>
      <w:r>
        <w:rPr>
          <w:rFonts w:ascii="Arial" w:cs="Arial" w:eastAsia="Arial" w:hAnsi="Arial"/>
          <w:sz w:val="20"/>
          <w:szCs w:val="20"/>
          <w:u w:val="single" w:color="auto"/>
          <w:color w:val="0000FF"/>
        </w:rPr>
        <w:t>Note 9 Commitments and Contingencies, Legal and Administrative Proceedings</w:t>
      </w:r>
      <w:r>
        <w:rPr>
          <w:rFonts w:ascii="Arial" w:cs="Arial" w:eastAsia="Arial" w:hAnsi="Arial"/>
          <w:sz w:val="20"/>
          <w:szCs w:val="20"/>
          <w:color w:val="auto"/>
        </w:rPr>
        <w:t xml:space="preserve"> to the unaudited consolidated financial statements of this Form 10-Q.</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An investment in Martin Marietta common stock or debt securities involves risks and uncertainties. You should consider the following factors carefully, in addition to the other information contained in this Form 10-Q and in our Annual Report on Form 10-K for the year ended December 31, 2025, before deciding to purchase or otherwise trade the Company’s securities.</w:t>
      </w:r>
    </w:p>
    <w:p>
      <w:pPr>
        <w:spacing w:after="0" w:line="63" w:lineRule="exact"/>
        <w:rPr>
          <w:sz w:val="20"/>
          <w:szCs w:val="20"/>
          <w:color w:val="auto"/>
        </w:rPr>
      </w:pPr>
    </w:p>
    <w:p>
      <w:pPr>
        <w:jc w:val="both"/>
        <w:spacing w:after="0" w:line="223" w:lineRule="exact"/>
        <w:rPr>
          <w:sz w:val="20"/>
          <w:szCs w:val="20"/>
          <w:color w:val="auto"/>
        </w:rPr>
      </w:pPr>
      <w:r>
        <w:rPr>
          <w:rFonts w:ascii="Arial" w:cs="Arial" w:eastAsia="Arial" w:hAnsi="Arial"/>
          <w:sz w:val="20"/>
          <w:szCs w:val="20"/>
          <w:color w:val="auto"/>
        </w:rPr>
        <w:t>This Form 10-Q and other written reports and oral statements made from time to time by the Company contain statements that, to the extent they are not recitations of historical fact, constitute forward-looking statements within the meaning of federal securities law. Investors are cautioned that all forward-looking statements involve risks and uncertainties, and are based on assumptions that the Company believes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w:t>
      </w:r>
      <w:r>
        <w:rPr>
          <w:rFonts w:ascii="MS PGothic" w:cs="MS PGothic" w:eastAsia="MS PGothic" w:hAnsi="MS PGothic"/>
          <w:sz w:val="20"/>
          <w:szCs w:val="20"/>
          <w:color w:val="auto"/>
        </w:rPr>
        <w:t>‑</w:t>
      </w:r>
      <w:r>
        <w:rPr>
          <w:rFonts w:ascii="Arial" w:cs="Arial" w:eastAsia="Arial" w:hAnsi="Arial"/>
          <w:sz w:val="20"/>
          <w:szCs w:val="20"/>
          <w:color w:val="auto"/>
        </w:rPr>
        <w:t>Q and in other publications may turn out to be wrong.</w:t>
      </w:r>
    </w:p>
    <w:p>
      <w:pPr>
        <w:spacing w:after="0" w:line="6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Statements and assumptions on future revenues, income and cash flows, performance, economic trends, the outcome of litigation, regulatory compliance, and environmental remediation cost estimates are examples of forward-looking statements. Numerous factors, including potentially the risk factors described in this section, could affect the Company's forward-looking statements and actual performance.</w:t>
      </w:r>
    </w:p>
    <w:p>
      <w:pPr>
        <w:spacing w:after="0" w:line="6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Investors are also cautioned that it is not possible to predict or identify all such factors. Consequently, the reader should not consider these risk factors to be a complete statement of all potential risks or uncertainties. Other factors besides those set forth herein may adversely affect the Company and may be material to the Company. The Company has listed the known material risks it considers relevant in evaluating the Company and its operations. The forward-looking statements in this document are intended to be subject to the safe harbor protection provided by Section 27A of the Securities Act of 1933 and Section 21E of the Exchange Act. These forward-looking statements are made as of the date hereof based on management’s current expectations, and the Company does not undertake an obligation to update such statements, whether as a result of new information, future events, or otherwise, other than as required by law.</w:t>
      </w:r>
    </w:p>
    <w:p>
      <w:pPr>
        <w:spacing w:after="0" w:line="6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For a discussion identifying some important factors that could cause actual results to vary materially from those anticipated in the forward-looking statements, see the factors listed below, along with </w:t>
      </w:r>
      <w:r>
        <w:rPr>
          <w:rFonts w:ascii="Arial" w:cs="Arial" w:eastAsia="Arial" w:hAnsi="Arial"/>
          <w:sz w:val="20"/>
          <w:szCs w:val="20"/>
          <w:u w:val="single" w:color="auto"/>
          <w:color w:val="0000FF"/>
        </w:rPr>
        <w:t>Management’s Discussion and Analysis of Financial</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Condition and Results of Operations</w:t>
      </w:r>
      <w:r>
        <w:rPr>
          <w:rFonts w:ascii="Arial" w:cs="Arial" w:eastAsia="Arial" w:hAnsi="Arial"/>
          <w:sz w:val="20"/>
          <w:szCs w:val="20"/>
          <w:color w:val="0000FF"/>
        </w:rPr>
        <w:t xml:space="preserve"> </w:t>
      </w:r>
      <w:r>
        <w:rPr>
          <w:rFonts w:ascii="Arial" w:cs="Arial" w:eastAsia="Arial" w:hAnsi="Arial"/>
          <w:sz w:val="20"/>
          <w:szCs w:val="20"/>
          <w:color w:val="000000"/>
        </w:rPr>
        <w:t>under Item 2 of this Form 10-Q, and</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Note 1: Significant Accounting Policies</w:t>
      </w:r>
      <w:r>
        <w:rPr>
          <w:rFonts w:ascii="Arial" w:cs="Arial" w:eastAsia="Arial" w:hAnsi="Arial"/>
          <w:sz w:val="20"/>
          <w:szCs w:val="20"/>
          <w:color w:val="0000FF"/>
        </w:rPr>
        <w:t xml:space="preserve"> </w:t>
      </w:r>
      <w:r>
        <w:rPr>
          <w:rFonts w:ascii="Arial" w:cs="Arial" w:eastAsia="Arial" w:hAnsi="Arial"/>
          <w:sz w:val="20"/>
          <w:szCs w:val="20"/>
          <w:color w:val="000000"/>
        </w:rPr>
        <w:t>and</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Note 9:</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Commitments and Contingencies</w:t>
      </w:r>
      <w:r>
        <w:rPr>
          <w:rFonts w:ascii="Arial" w:cs="Arial" w:eastAsia="Arial" w:hAnsi="Arial"/>
          <w:sz w:val="20"/>
          <w:szCs w:val="20"/>
          <w:color w:val="0000FF"/>
        </w:rPr>
        <w:t xml:space="preserve"> </w:t>
      </w:r>
      <w:r>
        <w:rPr>
          <w:rFonts w:ascii="Arial" w:cs="Arial" w:eastAsia="Arial" w:hAnsi="Arial"/>
          <w:sz w:val="20"/>
          <w:szCs w:val="20"/>
          <w:color w:val="000000"/>
        </w:rPr>
        <w:t>of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Notes to Financial Statements</w:t>
      </w:r>
      <w:r>
        <w:rPr>
          <w:rFonts w:ascii="Arial" w:cs="Arial" w:eastAsia="Arial" w:hAnsi="Arial"/>
          <w:sz w:val="20"/>
          <w:szCs w:val="20"/>
          <w:color w:val="0000FF"/>
        </w:rPr>
        <w:t xml:space="preserve"> </w:t>
      </w:r>
      <w:r>
        <w:rPr>
          <w:rFonts w:ascii="Arial" w:cs="Arial" w:eastAsia="Arial" w:hAnsi="Arial"/>
          <w:sz w:val="20"/>
          <w:szCs w:val="20"/>
          <w:color w:val="000000"/>
        </w:rPr>
        <w:t>of the Company’s unaudited consolidated financial</w:t>
      </w:r>
      <w:r>
        <w:rPr>
          <w:rFonts w:ascii="Arial" w:cs="Arial" w:eastAsia="Arial" w:hAnsi="Arial"/>
          <w:sz w:val="20"/>
          <w:szCs w:val="20"/>
          <w:color w:val="0000FF"/>
        </w:rPr>
        <w:t xml:space="preserve"> </w:t>
      </w:r>
      <w:r>
        <w:rPr>
          <w:rFonts w:ascii="Arial" w:cs="Arial" w:eastAsia="Arial" w:hAnsi="Arial"/>
          <w:sz w:val="20"/>
          <w:szCs w:val="20"/>
          <w:color w:val="000000"/>
        </w:rPr>
        <w:t xml:space="preserve">statements included under </w:t>
      </w:r>
      <w:r>
        <w:rPr>
          <w:rFonts w:ascii="Arial" w:cs="Arial" w:eastAsia="Arial" w:hAnsi="Arial"/>
          <w:sz w:val="20"/>
          <w:szCs w:val="20"/>
          <w:u w:val="single" w:color="auto"/>
          <w:color w:val="0000FF"/>
        </w:rPr>
        <w:t>Item 1, Financial Statements</w:t>
      </w:r>
      <w:r>
        <w:rPr>
          <w:rFonts w:ascii="Arial" w:cs="Arial" w:eastAsia="Arial" w:hAnsi="Arial"/>
          <w:sz w:val="20"/>
          <w:szCs w:val="20"/>
          <w:color w:val="000000"/>
        </w:rPr>
        <w:t xml:space="preserv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4150360</wp:posOffset>
            </wp:positionH>
            <wp:positionV relativeFrom="paragraph">
              <wp:posOffset>-440690</wp:posOffset>
            </wp:positionV>
            <wp:extent cx="29851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9851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206121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61210" cy="8255"/>
                    </a:xfrm>
                    <a:prstGeom prst="rect">
                      <a:avLst/>
                    </a:prstGeom>
                    <a:noFill/>
                  </pic:spPr>
                </pic:pic>
              </a:graphicData>
            </a:graphic>
          </wp:anchor>
        </w:drawing>
        <w:drawing>
          <wp:anchor simplePos="0" relativeHeight="251657728" behindDoc="1" locked="0" layoutInCell="0" allowOverlap="1">
            <wp:simplePos x="0" y="0"/>
            <wp:positionH relativeFrom="column">
              <wp:posOffset>4227195</wp:posOffset>
            </wp:positionH>
            <wp:positionV relativeFrom="paragraph">
              <wp:posOffset>-303530</wp:posOffset>
            </wp:positionV>
            <wp:extent cx="21869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8694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-166370</wp:posOffset>
            </wp:positionV>
            <wp:extent cx="17614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614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-29210</wp:posOffset>
            </wp:positionV>
            <wp:extent cx="159194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91945" cy="889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Risk Factors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i w:val="1"/>
          <w:iCs w:val="1"/>
          <w:color w:val="auto"/>
        </w:rPr>
        <w:t>Our business depends on construction activity, which is cyclical and sensitive to macroeconomic, funding and operating conditions.</w:t>
      </w:r>
    </w:p>
    <w:p>
      <w:pPr>
        <w:spacing w:after="0" w:line="26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Demand for our construction materials is inherently cyclical and may decline or become more volatile due to economic and political uncertainty, elevated interest rates and inflation, reduced housing affordability, lower private nonresidential investment, or tightening credit conditions that delay, downsize, or cancel projects. Our products are used in public infrastructure projects, which include the construction, maintenance and improvement of highways, streets, roads,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4" w:name="page35"/>
    <w:bookmarkEnd w:id="34"/>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bridges, schools and similar projects. Public infrastructure activity depends on federal, state, and local budgets and bid schedules. Changes in fuel-tax or other alternative financing, prolonged federal budget disputes or government shutdowns or other factors can reduce, defer, cap, suspend, or reprioritize transportation spending. The level and timing of federal, state or local transportation or infrastructure or public projects funding, including any issues arising from such budgets, particularly in our Building Materials business’ top ten revenue-generating states of Texas, North Carolina, Colorado, California, Georgia, Florida, South Carolina, Arizona, Iowa and Minnesota, can have an adverse impact on our business and construction projects that we supply.</w:t>
      </w:r>
    </w:p>
    <w:p>
      <w:pPr>
        <w:spacing w:after="0" w:line="28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We sell most of our aggregates (our primary business) to the construction industry and, therefore, our results depend on that industry’s strength. Because our businesses depend on construction spending, which can be cyclical, our profits are sensitive to national, regional and local economic conditions and the intensity of the underlying spending on aggregates. Construction spending is affected by economic conditions, changes in interest rates, inflation, employment levels, demographic and population shifts, and changes in construction budgets by federal, state and local governments. Further, delays or cancellations of projects in the nonresidential and residential construction markets, which combined accounted for 58% of aggregates shipments in 2025, could occur if companies and consumers are unable to obtain financing for construction projects or if consumer confidence continues to be eroded or affected by economic uncertainty.</w:t>
      </w:r>
    </w:p>
    <w:p>
      <w:pPr>
        <w:spacing w:after="0" w:line="28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addition, reductions in defense spending and declines in energy-related construction could lower demand in certain markets and adversely affect our business. A portion of our aggregates and downstream shipments is tied to construction activity funded by, or adjacent to, U.S. Department of Defense installations and to private energy-related projects. If federal defense budgets are reduced, appropriations are delayed, base realignments occur or military construction and related projects are deferred or canceled, construction activity on or near affected installations may slow, resulting in lower shipments and increased pricing pressure in the surrounding local markets. Similarly, energy-sector cyclicality can materially impact construction demand, particularly in Texas and other energy-intensive regions.</w:t>
      </w:r>
    </w:p>
    <w:p>
      <w:pPr>
        <w:spacing w:after="0" w:line="28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While our business operations cover a wide geographic area, our earnings depend on the strength of the local economies in which we operate due to the high cost to transport our products relative to their selling price. If economic conditions and construction spending decline significantly in one or more areas, particularly in our Building Materials business’ top ten revenue-generating states, our profitability could be adversely affected.</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i w:val="1"/>
          <w:iCs w:val="1"/>
          <w:color w:val="auto"/>
        </w:rPr>
        <w:t>Widespread declines in aggregates pricing could adversely affect our business, financial condition, and results of operations.</w:t>
      </w:r>
    </w:p>
    <w:p>
      <w:pPr>
        <w:spacing w:after="0" w:line="26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Aggregates pricing is set locally and is sensitive to supply-demand conditions within each market. A broad decline in construction activity or shifts in project timing can reduce shipment volumes and intensify price competition. Lower volumes can also negatively impact fixed-cost absorption and prompt competitors or customers to seek price concessions, leading to further pricing pressure. Pricing could deteriorate due to one or more of the following, alone or in combination:</w:t>
      </w:r>
    </w:p>
    <w:p>
      <w:pPr>
        <w:spacing w:after="0" w:line="280" w:lineRule="exact"/>
        <w:rPr>
          <w:sz w:val="20"/>
          <w:szCs w:val="20"/>
          <w:color w:val="auto"/>
        </w:rPr>
      </w:pPr>
    </w:p>
    <w:p>
      <w:pPr>
        <w:ind w:left="800" w:hanging="395"/>
        <w:spacing w:after="0"/>
        <w:tabs>
          <w:tab w:leader="none" w:pos="80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color w:val="auto"/>
        </w:rPr>
        <w:t>Reduced demand across residential, nonresidential, or public infrastructure markets;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color w:val="auto"/>
        </w:rPr>
        <w:t>Delays or deferrals in the release of projects for bidding;</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color w:val="auto"/>
        </w:rPr>
        <w:t>Excess industry capacity in a local market, new market entrants, imports or long-haul supply;</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color w:val="auto"/>
        </w:rPr>
        <w:t>Product and geographic mix shifting towards lower-value stone, shorter haul lengths or smaller jobs;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specifications that reduce value differentiation;</w:t>
      </w:r>
    </w:p>
    <w:p>
      <w:pPr>
        <w:spacing w:after="0" w:line="322" w:lineRule="exact"/>
        <w:rPr>
          <w:rFonts w:ascii="Times New Roman" w:cs="Times New Roman" w:eastAsia="Times New Roman" w:hAnsi="Times New Roman"/>
          <w:sz w:val="20"/>
          <w:szCs w:val="20"/>
          <w:color w:val="auto"/>
        </w:rPr>
      </w:pPr>
    </w:p>
    <w:p>
      <w:pPr>
        <w:ind w:left="5000" w:right="1500" w:hanging="4595"/>
        <w:spacing w:after="0" w:line="496" w:lineRule="auto"/>
        <w:tabs>
          <w:tab w:leader="none" w:pos="790" w:val="left"/>
        </w:tabs>
        <w:numPr>
          <w:ilvl w:val="0"/>
          <w:numId w:val="15"/>
        </w:numPr>
        <w:rPr>
          <w:rFonts w:ascii="Times New Roman" w:cs="Times New Roman" w:eastAsia="Times New Roman" w:hAnsi="Times New Roman"/>
          <w:sz w:val="20"/>
          <w:szCs w:val="20"/>
          <w:color w:val="auto"/>
        </w:rPr>
      </w:pPr>
      <w:r>
        <w:rPr>
          <w:rFonts w:ascii="Arial" w:cs="Arial" w:eastAsia="Arial" w:hAnsi="Arial"/>
          <w:sz w:val="20"/>
          <w:szCs w:val="20"/>
          <w:color w:val="auto"/>
        </w:rPr>
        <w:t>Contract structures that limit or delay price adjustments, particularly when input costs remain elevated; Page 35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5" w:name="page36"/>
    <w:bookmarkEnd w:id="35"/>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rPr>
          <w:sz w:val="20"/>
          <w:szCs w:val="20"/>
          <w:color w:val="auto"/>
        </w:rPr>
      </w:pPr>
      <w:r>
        <w:rPr>
          <w:rFonts w:ascii="Arial" w:cs="Arial" w:eastAsia="Arial" w:hAnsi="Arial"/>
          <w:sz w:val="20"/>
          <w:szCs w:val="20"/>
          <w:color w:val="auto"/>
        </w:rPr>
        <w:t>(Continued)</w:t>
      </w:r>
    </w:p>
    <w:p>
      <w:pPr>
        <w:spacing w:after="0" w:line="76" w:lineRule="exact"/>
        <w:rPr>
          <w:sz w:val="20"/>
          <w:szCs w:val="20"/>
          <w:color w:val="auto"/>
        </w:rPr>
      </w:pPr>
    </w:p>
    <w:p>
      <w:pPr>
        <w:ind w:left="800" w:hanging="395"/>
        <w:spacing w:after="0"/>
        <w:tabs>
          <w:tab w:leader="none" w:pos="80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color w:val="auto"/>
        </w:rPr>
        <w:t>Inability to pass through increases in costs on a timely or complete basis, resulting in price-cost spread compression.</w:t>
      </w:r>
    </w:p>
    <w:p>
      <w:pPr>
        <w:spacing w:after="0" w:line="215"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There is no assurance that market prices will stabilize or improve if demand recovers. Prolonged or widespread price declines, especially if accompanied by reduced shipments, could decrease margins and cash flows, reduce returns on invested capital, negatively affect the carrying value of long-lived assets or goodwill, limit capital available for growth and increase the risk of not meeting our net debt-to-consolidated EBITDA ratio under our five-year senior unsecured revolving facility.</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i w:val="1"/>
          <w:iCs w:val="1"/>
          <w:color w:val="auto"/>
        </w:rPr>
        <w:t>Our Building Materials business is seasonal and sensitive to weather and climate-related conditions that can significantly disrupt operations, shipments and demand.</w:t>
      </w:r>
    </w:p>
    <w:p>
      <w:pPr>
        <w:spacing w:after="0" w:line="26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heavy-side construction business is conducted outdoors. Accordingly, our production, distribution, and customer demand are affected by seasonal weather patterns and adverse weather. Adverse weather conditions, including hurricanes and tropical storms, extreme temperatures, snow, heavy or sustained rainfall, wildfires and earthquakes, reduce construction activity, restrict the demand for our products and impede our ability to efficiently transport material. Severe events can close or damage transportation networks or constrain logistics capacity, slowing our ability to move materials and increasing costs. Adverse weather conditions also increase our costs and reduce our production output as a result of power loss, additional plant and equipment repairs, time required to remove water from flooded operations and similar events. Severe drought conditions can restrict available water supplies and constrain production. Production and shipment levels of the Building Materials business’ products follow activity in the construction industry, which typically is strongest in the spring, summer and fall. Because of the weather’s effect on the construction industry’s activity, the production and shipment levels for our Building Materials business, including all of our aggregates-related downstream operations, vary by quarter. The second and third quarters are generally subject to heavy precipitation, and, thus, are more profitable if precipitation is lighter. The first and fourth quarters, which are subject to the impacts of winter weather, are generally the least profitable, but can be more profitable if the impact of winter weather is less severe. Our operations in coastal markets near the Atlantic Ocean and Gulf Coast and in The Bahamas are exposed to hurricanes and tropical storms, while our California operations face risks from Pacific storms, wildfires, mudslides and water use restrictions during periods of severe drought. The physical impacts described above may be exacerbated by the effects of climate change over time.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 and Growth Risk Factors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i w:val="1"/>
          <w:iCs w:val="1"/>
          <w:color w:val="auto"/>
        </w:rPr>
        <w:t>Our Building Materials business depends on identifying, acquiring, permitting and developing quality aggregates reserves within an economic haul radius and our ability to mine and transport those reserves.</w:t>
      </w:r>
    </w:p>
    <w:p>
      <w:pPr>
        <w:spacing w:after="0" w:line="26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Our ability to sustain and grow the business depends on replacing depleting reserves with quality aggregates deposits that we can mine economically, with appropriate permits, near either growing markets or long-haul transportation corridors that can economically serve applicable markets. Quality deposits that meet customer specifications are increasingly difficult to secure near growing markets due to competing land uses, zoning and land-use restrictions, and community opposition. We try to meet this challenge by identifying and permitting sites prior to economic expansion, buying more land around our existing quarries to increase our mineral reserves, developing underground mines, and expanding a distribution network that transports aggregates products by various methods, including rail and water. Even when deposits are identified, we may be unable to obtain or renew necessary land-use approvals, environmental permits, or other governmental authorizations on acceptable terms or timelines, or at all. If we are unable to timely replace reserves accessible to our markets, obtain or maintain required permits and approvals, secure necessary property and access rights on acceptable terms, or economically transport materials to demand centers, our ability to serve customers and our results of operations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6" w:name="page37"/>
    <w:bookmarkEnd w:id="36"/>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i w:val="1"/>
          <w:iCs w:val="1"/>
          <w:color w:val="auto"/>
        </w:rPr>
        <w:t>Our future growth depends in part on disciplined acquisitions and strategic investments, and we may use shares of our common stock as consideration.</w:t>
      </w:r>
    </w:p>
    <w:p>
      <w:pPr>
        <w:spacing w:after="0" w:line="28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We expect to continue to pursue acquisitions, joint ventures, leaseholds, licenses and other strategic transactions to strengthen our existing locations, expand our operations and enter new geographic markets. The success of this strategy depends on our ability to identify, evaluate, negotiate, finance, close, and integrate opportunities on acceptable terms and timelines. Suitable targets may be scarce and sellers may prefer structures or terms that increase complexity or risk. There is no assurance that we will identify opportunities that meet our return thresholds or that, if completed, such transactions will generate expected cash flows or strategic benefits within anticipated time frames.</w:t>
      </w:r>
    </w:p>
    <w:p>
      <w:pPr>
        <w:spacing w:after="0" w:line="6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Proposed acquisitions are subject to risks and uncertainties before closing. Our diligence may not identify or fully mitigate all risks, including environmental liabilities, geologic or reserve quality, title, access constraints, water or power availability, legacy tax or legal exposures, labor and workforce issues, or cybersecurity vulnerabilities. Transactions may require antitrust and other regulatory approvals and could be delayed, conditioned, or prohibited. Required divestitures or other remedies can reduce expected benefits of transactions. Target businesses may depend on permits, licenses, mineral or water rights, easements, leases, or other approvals that must be transferred, renewed, or re-issued; these processes can be uncertain, time-consuming and costly. Volatile debt and equity market conditions, interest-rate movements, and changes in our credit ratings can affect the availability and cost of financing.</w:t>
      </w:r>
    </w:p>
    <w:p>
      <w:pPr>
        <w:spacing w:after="0" w:line="6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We may finance transactions with cash, debt, equity or a combination of such consideration. Using our common stock – whether as acquisition consideration or for related capital raises – can dilute existing shareholders and cause the price of our stock to decline, and market volatility between signing and closing can affect the value delivered to sellers or the economics of the transaction. Debt financing increases interest expense and financial leverage and may reduce flexibility under our debt covenants and capital-allocation priorities. Joint ventures and minority investments can involve governance constraints, differing strategic objectives or disputes that limit our ability to direct operations or realize anticipated benefits.</w:t>
      </w:r>
    </w:p>
    <w:p>
      <w:pPr>
        <w:spacing w:after="0" w:line="28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i w:val="1"/>
          <w:iCs w:val="1"/>
          <w:color w:val="auto"/>
        </w:rPr>
        <w:t>Integrating acquired businesses may be more difficult, costly, or time-consuming than expected, and we may not realize anticipated benefits.</w:t>
      </w:r>
    </w:p>
    <w:p>
      <w:pPr>
        <w:spacing w:after="0" w:line="26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have a successful history of business acquisitions and combinations and integration of these businesses into our heritage operations. However, in connection with the integration of any business that we may acquire, there is a risk that we will not be able to complete integration in a successful manner or on the time schedule we have projected or in a way that will achieve the level of synergies, cost savings or operating efficiencies we expected from the acquisition. Integration requires the alignment of cultures, safety and operating practices, internal controls, information technology and cybersecurity, procurement, logistics networks, and sales and pricing processes. We may not realize our expected synergies or financial expectations due to customer or supplier reactions, regulatory or permitting limits, or market changes.</w:t>
      </w:r>
    </w:p>
    <w:p>
      <w:pPr>
        <w:spacing w:after="0" w:line="38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Any significant business acquisition or combination we might choose to undertake may require that we devote significant management attention and resources to preparing for and then integrating our business practices and operations. Based on our history, we believe we will be successful in this integration process. Nevertheless, we may fail to realize some of the anticipated benefits of any potential acquisition or other business combination that we pursue in the future if the integration process takes longer or is more costly than expected. Potential difficulties we may encounter in the integration process include the following:</w:t>
      </w:r>
    </w:p>
    <w:p>
      <w:pPr>
        <w:spacing w:after="0" w:line="275" w:lineRule="exact"/>
        <w:rPr>
          <w:sz w:val="20"/>
          <w:szCs w:val="20"/>
          <w:color w:val="auto"/>
        </w:rPr>
      </w:pPr>
    </w:p>
    <w:p>
      <w:pPr>
        <w:jc w:val="both"/>
        <w:ind w:left="800" w:hanging="395"/>
        <w:spacing w:after="0" w:line="241" w:lineRule="auto"/>
        <w:tabs>
          <w:tab w:leader="none" w:pos="80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20"/>
          <w:szCs w:val="20"/>
          <w:color w:val="auto"/>
        </w:rPr>
        <w:t>inability to successfully combine operations in a manner that permits us to achieve the synergies anticipated to result from the proposed acquisition or business combination, which would result in the anticipated benefits of the acquisition or business combination not being realized partly or wholly in the anticipated time frame or at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7" w:name="page38"/>
    <w:bookmarkEnd w:id="37"/>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rPr>
          <w:sz w:val="20"/>
          <w:szCs w:val="20"/>
          <w:color w:val="auto"/>
        </w:rPr>
      </w:pPr>
      <w:r>
        <w:rPr>
          <w:rFonts w:ascii="Arial" w:cs="Arial" w:eastAsia="Arial" w:hAnsi="Arial"/>
          <w:sz w:val="20"/>
          <w:szCs w:val="20"/>
          <w:color w:val="auto"/>
        </w:rPr>
        <w:t>(Continued)</w:t>
      </w:r>
    </w:p>
    <w:p>
      <w:pPr>
        <w:spacing w:after="0" w:line="76" w:lineRule="exact"/>
        <w:rPr>
          <w:sz w:val="20"/>
          <w:szCs w:val="20"/>
          <w:color w:val="auto"/>
        </w:rPr>
      </w:pPr>
    </w:p>
    <w:p>
      <w:pPr>
        <w:ind w:left="800" w:right="80" w:hanging="395"/>
        <w:spacing w:after="0" w:line="256" w:lineRule="auto"/>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inability to retain key employees or align cultures, compensation, safety practices, and operating disciplines, which can impair performance;</w:t>
      </w:r>
    </w:p>
    <w:p>
      <w:pPr>
        <w:spacing w:after="0" w:line="264" w:lineRule="exact"/>
        <w:rPr>
          <w:rFonts w:ascii="Times New Roman" w:cs="Times New Roman" w:eastAsia="Times New Roman" w:hAnsi="Times New Roman"/>
          <w:sz w:val="20"/>
          <w:szCs w:val="20"/>
          <w:color w:val="auto"/>
        </w:rPr>
      </w:pPr>
    </w:p>
    <w:p>
      <w:pPr>
        <w:jc w:val="both"/>
        <w:ind w:left="800" w:hanging="395"/>
        <w:spacing w:after="0" w:line="241" w:lineRule="auto"/>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adverse reactions from customers or suppliers, including loss of business, pricing pressure, or renegotiation of terms, as well as change-of-control, consent, or exclusivity provisions that restrict our ability to integrate or rationalize product and customer portfolios;</w:t>
      </w:r>
    </w:p>
    <w:p>
      <w:pPr>
        <w:spacing w:after="0" w:line="278" w:lineRule="exact"/>
        <w:rPr>
          <w:rFonts w:ascii="Times New Roman" w:cs="Times New Roman" w:eastAsia="Times New Roman" w:hAnsi="Times New Roman"/>
          <w:sz w:val="20"/>
          <w:szCs w:val="20"/>
          <w:color w:val="auto"/>
        </w:rPr>
      </w:pPr>
    </w:p>
    <w:p>
      <w:pPr>
        <w:ind w:left="800" w:right="520" w:hanging="395"/>
        <w:spacing w:after="0" w:line="256" w:lineRule="auto"/>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dependencies on transition services arrangements and the timely separation and migration of enterprise systems, ERPs, and data;</w:t>
      </w:r>
    </w:p>
    <w:p>
      <w:pPr>
        <w:spacing w:after="0" w:line="264" w:lineRule="exact"/>
        <w:rPr>
          <w:rFonts w:ascii="Times New Roman" w:cs="Times New Roman" w:eastAsia="Times New Roman" w:hAnsi="Times New Roman"/>
          <w:sz w:val="20"/>
          <w:szCs w:val="20"/>
          <w:color w:val="auto"/>
        </w:rPr>
      </w:pPr>
    </w:p>
    <w:p>
      <w:pPr>
        <w:ind w:left="800" w:right="200" w:hanging="395"/>
        <w:spacing w:after="0" w:line="256" w:lineRule="auto"/>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delays or defects in information technology integration, cybersecurity controls, or data privacy compliance can disrupt operations, increase costs, or expose us to cyber incidents;</w:t>
      </w:r>
    </w:p>
    <w:p>
      <w:pPr>
        <w:spacing w:after="0" w:line="264" w:lineRule="exact"/>
        <w:rPr>
          <w:rFonts w:ascii="Times New Roman" w:cs="Times New Roman" w:eastAsia="Times New Roman" w:hAnsi="Times New Roman"/>
          <w:sz w:val="20"/>
          <w:szCs w:val="20"/>
          <w:color w:val="auto"/>
        </w:rPr>
      </w:pPr>
    </w:p>
    <w:p>
      <w:pPr>
        <w:ind w:left="800" w:right="300" w:hanging="395"/>
        <w:spacing w:after="0" w:line="256" w:lineRule="auto"/>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challenges transferring, renewing, or aligning permits, licenses, title, mineral or water rights, leases, easements, and other approvals;</w:t>
      </w:r>
    </w:p>
    <w:p>
      <w:pPr>
        <w:spacing w:after="0" w:line="264" w:lineRule="exact"/>
        <w:rPr>
          <w:rFonts w:ascii="Times New Roman" w:cs="Times New Roman" w:eastAsia="Times New Roman" w:hAnsi="Times New Roman"/>
          <w:sz w:val="20"/>
          <w:szCs w:val="20"/>
          <w:color w:val="auto"/>
        </w:rPr>
      </w:pPr>
    </w:p>
    <w:p>
      <w:pPr>
        <w:ind w:left="800" w:right="500" w:hanging="395"/>
        <w:spacing w:after="0" w:line="256" w:lineRule="auto"/>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site-specific environmental, geologic, or title conditions may limit operating plans or increase capital and operating costs;</w:t>
      </w:r>
    </w:p>
    <w:p>
      <w:pPr>
        <w:spacing w:after="0" w:line="264"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complexities associated with managing the combined operations;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integration of personnel;</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creation of uniform standards, internal controls, procedures, policies and information systems;</w:t>
      </w:r>
    </w:p>
    <w:p>
      <w:pPr>
        <w:spacing w:after="0" w:line="322" w:lineRule="exact"/>
        <w:rPr>
          <w:rFonts w:ascii="Times New Roman" w:cs="Times New Roman" w:eastAsia="Times New Roman" w:hAnsi="Times New Roman"/>
          <w:sz w:val="20"/>
          <w:szCs w:val="20"/>
          <w:color w:val="auto"/>
        </w:rPr>
      </w:pPr>
    </w:p>
    <w:p>
      <w:pPr>
        <w:ind w:left="800" w:right="80" w:hanging="395"/>
        <w:spacing w:after="0" w:line="256" w:lineRule="auto"/>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discovery of previously unknown liabilities and unforeseen increased expenses, delays or regulatory issues associated with integrating the remaining operations; and</w:t>
      </w:r>
    </w:p>
    <w:p>
      <w:pPr>
        <w:spacing w:after="0" w:line="264" w:lineRule="exact"/>
        <w:rPr>
          <w:rFonts w:ascii="Times New Roman" w:cs="Times New Roman" w:eastAsia="Times New Roman" w:hAnsi="Times New Roman"/>
          <w:sz w:val="20"/>
          <w:szCs w:val="20"/>
          <w:color w:val="auto"/>
        </w:rPr>
      </w:pPr>
    </w:p>
    <w:p>
      <w:pPr>
        <w:ind w:left="800" w:right="40" w:hanging="388"/>
        <w:spacing w:after="0" w:line="256" w:lineRule="auto"/>
        <w:tabs>
          <w:tab w:leader="none" w:pos="80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performance shortfalls at business units as a result of the diversion of management attention caused by completing the remaining integration of the operations.</w:t>
      </w:r>
    </w:p>
    <w:p>
      <w:pPr>
        <w:spacing w:after="0" w:line="48"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b w:val="1"/>
          <w:bCs w:val="1"/>
          <w:i w:val="1"/>
          <w:iCs w:val="1"/>
          <w:color w:val="auto"/>
        </w:rPr>
        <w:t>Acquisitions and divestitures may not occur on expected terms or timelines, may be more costly or complex than anticipated, and may not deliver expected benefits.</w:t>
      </w:r>
    </w:p>
    <w:p>
      <w:pPr>
        <w:spacing w:after="0" w:line="26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pursuing our business strategy, we conduct discussions, evaluate opportunities and enter into acquisition and divestiture agreements. Transaction activity involves execution, regulatory, and operational risks that could reduce or delay expected benefits or create additional costs and liabilities, including the following:</w:t>
      </w:r>
    </w:p>
    <w:p>
      <w:pPr>
        <w:spacing w:after="0" w:line="279" w:lineRule="exact"/>
        <w:rPr>
          <w:sz w:val="20"/>
          <w:szCs w:val="20"/>
          <w:color w:val="auto"/>
        </w:rPr>
      </w:pPr>
    </w:p>
    <w:p>
      <w:pPr>
        <w:ind w:left="800" w:hanging="395"/>
        <w:spacing w:after="0"/>
        <w:tabs>
          <w:tab w:leader="none" w:pos="80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we may not obtain required regulatory approvals and/or required financing on favorable terms or at all;</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we may not be able to satisfy closing conditions;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we may not realize a satisfactory return on our investment;</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we may not be able to retain key personnel of acquired businesses;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we may experience difficulty in integrating new employees, business systems and technology;</w:t>
      </w:r>
    </w:p>
    <w:p>
      <w:pPr>
        <w:spacing w:after="0" w:line="322" w:lineRule="exact"/>
        <w:rPr>
          <w:rFonts w:ascii="Times New Roman" w:cs="Times New Roman" w:eastAsia="Times New Roman" w:hAnsi="Times New Roman"/>
          <w:sz w:val="20"/>
          <w:szCs w:val="20"/>
          <w:color w:val="auto"/>
        </w:rPr>
      </w:pPr>
    </w:p>
    <w:p>
      <w:pPr>
        <w:ind w:left="800" w:right="160" w:hanging="395"/>
        <w:spacing w:after="0" w:line="256" w:lineRule="auto"/>
        <w:tabs>
          <w:tab w:leader="none" w:pos="80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our due diligence process may not identify compliance issues or other liabilities that are in existence at the time of our acquisition;</w:t>
      </w:r>
    </w:p>
    <w:p>
      <w:pPr>
        <w:spacing w:after="0" w:line="48" w:lineRule="exact"/>
        <w:rPr>
          <w:rFonts w:ascii="Times New Roman" w:cs="Times New Roman" w:eastAsia="Times New Roman" w:hAnsi="Times New Roman"/>
          <w:sz w:val="20"/>
          <w:szCs w:val="20"/>
          <w:color w:val="auto"/>
        </w:rPr>
      </w:pPr>
    </w:p>
    <w:p>
      <w:pPr>
        <w:ind w:left="800" w:right="860" w:hanging="395"/>
        <w:spacing w:after="0" w:line="256" w:lineRule="auto"/>
        <w:tabs>
          <w:tab w:leader="none" w:pos="800" w:val="left"/>
        </w:tabs>
        <w:numPr>
          <w:ilvl w:val="0"/>
          <w:numId w:val="19"/>
        </w:numPr>
        <w:rPr>
          <w:rFonts w:ascii="Times New Roman" w:cs="Times New Roman" w:eastAsia="Times New Roman" w:hAnsi="Times New Roman"/>
          <w:sz w:val="20"/>
          <w:szCs w:val="20"/>
          <w:color w:val="auto"/>
        </w:rPr>
      </w:pPr>
      <w:r>
        <w:rPr>
          <w:rFonts w:ascii="Arial" w:cs="Arial" w:eastAsia="Arial" w:hAnsi="Arial"/>
          <w:sz w:val="20"/>
          <w:szCs w:val="20"/>
          <w:color w:val="auto"/>
        </w:rPr>
        <w:t>we may not be able to bring the acquired business up to our expected levels of safety standards as quickly as anticipated;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671" w:gutter="0" w:footer="0" w:header="0"/>
        </w:sectPr>
      </w:pPr>
    </w:p>
    <w:bookmarkStart w:id="38" w:name="page39"/>
    <w:bookmarkEnd w:id="38"/>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rPr>
          <w:sz w:val="20"/>
          <w:szCs w:val="20"/>
          <w:color w:val="auto"/>
        </w:rPr>
      </w:pPr>
      <w:r>
        <w:rPr>
          <w:rFonts w:ascii="Arial" w:cs="Arial" w:eastAsia="Arial" w:hAnsi="Arial"/>
          <w:sz w:val="20"/>
          <w:szCs w:val="20"/>
          <w:color w:val="auto"/>
        </w:rPr>
        <w:t>(Continued)</w:t>
      </w:r>
    </w:p>
    <w:p>
      <w:pPr>
        <w:spacing w:after="0" w:line="76" w:lineRule="exact"/>
        <w:rPr>
          <w:sz w:val="20"/>
          <w:szCs w:val="20"/>
          <w:color w:val="auto"/>
        </w:rPr>
      </w:pPr>
    </w:p>
    <w:p>
      <w:pPr>
        <w:ind w:left="800" w:hanging="395"/>
        <w:spacing w:after="0"/>
        <w:tabs>
          <w:tab w:leader="none" w:pos="80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we may have difficulty entering into new geographic markets in which we are not experienced; or</w:t>
      </w:r>
    </w:p>
    <w:p>
      <w:pPr>
        <w:spacing w:after="0" w:line="322" w:lineRule="exact"/>
        <w:rPr>
          <w:rFonts w:ascii="Times New Roman" w:cs="Times New Roman" w:eastAsia="Times New Roman" w:hAnsi="Times New Roman"/>
          <w:sz w:val="20"/>
          <w:szCs w:val="20"/>
          <w:color w:val="auto"/>
        </w:rPr>
      </w:pPr>
    </w:p>
    <w:p>
      <w:pPr>
        <w:ind w:right="1320" w:firstLine="412"/>
        <w:spacing w:after="0" w:line="496" w:lineRule="auto"/>
        <w:tabs>
          <w:tab w:leader="none" w:pos="793"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we may be unable to retain the customers and partners of acquired businesses following the acquisition. Divestitures also involve significant challenges and risks, including risks that:</w:t>
      </w:r>
    </w:p>
    <w:p>
      <w:pPr>
        <w:spacing w:after="0" w:line="33" w:lineRule="exact"/>
        <w:rPr>
          <w:rFonts w:ascii="Times New Roman" w:cs="Times New Roman" w:eastAsia="Times New Roman" w:hAnsi="Times New Roman"/>
          <w:sz w:val="20"/>
          <w:szCs w:val="20"/>
          <w:color w:val="auto"/>
        </w:rPr>
      </w:pPr>
    </w:p>
    <w:p>
      <w:pPr>
        <w:ind w:left="800" w:right="200" w:hanging="395"/>
        <w:spacing w:after="0" w:line="256" w:lineRule="auto"/>
        <w:tabs>
          <w:tab w:leader="none" w:pos="80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we may not obtain required regulatory approvals or our counterparties may not obtain required financing on favorable terms or at all;</w:t>
      </w:r>
    </w:p>
    <w:p>
      <w:pPr>
        <w:spacing w:after="0" w:line="264"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management time and attention may be diverted to businesses held for sale;</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we may have to write off certain assets, including those relating to goodwill and other intangibles;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we may experience difficulties in the separation of operations; and</w:t>
      </w:r>
    </w:p>
    <w:p>
      <w:pPr>
        <w:spacing w:after="0" w:line="322" w:lineRule="exact"/>
        <w:rPr>
          <w:rFonts w:ascii="Times New Roman" w:cs="Times New Roman" w:eastAsia="Times New Roman" w:hAnsi="Times New Roman"/>
          <w:sz w:val="20"/>
          <w:szCs w:val="20"/>
          <w:color w:val="auto"/>
        </w:rPr>
      </w:pPr>
    </w:p>
    <w:p>
      <w:pPr>
        <w:ind w:left="800" w:hanging="388"/>
        <w:spacing w:after="0"/>
        <w:tabs>
          <w:tab w:leader="none" w:pos="80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we may lose key employees.</w:t>
      </w:r>
    </w:p>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If we are unable to complete transactions on acceptable terms and in a timely manner, or realize expected benefits, our business, financial condition, and results of operations could be adversely affected.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Economic, Political and Legal Risk Factors</w:t>
      </w:r>
    </w:p>
    <w:p>
      <w:pPr>
        <w:spacing w:after="0" w:line="23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b w:val="1"/>
          <w:bCs w:val="1"/>
          <w:i w:val="1"/>
          <w:iCs w:val="1"/>
          <w:color w:val="auto"/>
        </w:rPr>
        <w:t>Changes in laws, regulations, and enforcement practices, including zoning, land use, the environment, health and safety, as well as litigation relating to these matters, affect our businesses. Our operations expose us to the risk of material environmental liabilities.</w:t>
      </w:r>
    </w:p>
    <w:p>
      <w:pPr>
        <w:spacing w:after="0" w:line="4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Many federal, state and local requirements governing zoning, land use, air emissions (including carbon dioxide and other greenhouse gases), water use, allocation and discharges, waste management, noise and dust control, blasting, mining, land reclamation and other environmental, health and safety matters govern our operations. Many of our operations require permits, which may impose additional operating standards and are subject to modification, renewal and revocation. Agencies may change standards, apply them more stringently, or increase inspection and enforcement emphasis, which can extend timelines, increase capital and operating expenditures, or restrict development or expansion of our sites. If we cannot obtain, renew, or maintain required approvals on acceptable terms and schedules, we may be forced to curtail production, delay projects, or cease operations at affected facilities. Certain of our operations may from time to time involve the use of substances that are classified as toxic or hazardous within the meaning of these laws and regulations. Despite our extensive efforts to remain in strict compliance at all times with all applicable laws and regulations, the risk of liabilities, particularly environmental liabilities, is inherent in the operation of our businesses. These potential liabilities could result in material costs, including fines or personal injury or damages claims, which could have an adverse impact on our operations and profitability.</w:t>
      </w:r>
    </w:p>
    <w:p>
      <w:pPr>
        <w:spacing w:after="0" w:line="310"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Future events, including changes in existing laws or regulations or enforcement policies, or further investigation or evaluation of the potential health hazards of some of our products or business activities, may result in additional or unanticipated compliance and other costs. We could be required to invest in preventive or remedial action, like pollution control facilities, which investments could be substantial or could result in restrictions on our operations or delays in obtaining required permits or other approvals. Because future regulatory actions and enforcement priorities are uncertain, we may be unable to predict or fully mitigate their impact on our results.</w:t>
      </w:r>
    </w:p>
    <w:p>
      <w:pPr>
        <w:spacing w:after="0" w:line="38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operations involve inherent environmental, manufacturing, operating and handling risks. These risks include the related storage and transportation of raw materials, explosives, products, hazardous substances and wastes, storage tank leaks, explosions, discharges or releases of hazardous substances, exposure to dust, and the operation of mobile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9" w:name="page40"/>
    <w:bookmarkEnd w:id="39"/>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equipment and manufacturing machinery. We are also subject to Mine Safety and Health Administration (MSHA) and Occupational Safety and Health Administration (OSHA) requirements for worker health and safety.</w:t>
      </w:r>
    </w:p>
    <w:p>
      <w:pPr>
        <w:spacing w:after="0" w:line="28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These risks can subject us to potentially significant liabilities relating to personal injury, death or property damage, and may result in significant civil or criminal penalties, which could damage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 to investigate or clean up such contamination.</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Failure to comply with applicable laws, regulations, permits, or orders, or adverse changes in those requirements or their enforcement, could result in fines, penalties, operational restrictions, mandated capital projects, denial or revocation of permits, reputational damage, and increased costs, any of which could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and other legal proceedings are inherent in our operations and could result in significant costs or liabilities.</w:t>
      </w:r>
    </w:p>
    <w:p>
      <w:pPr>
        <w:spacing w:after="0" w:line="337" w:lineRule="exact"/>
        <w:rPr>
          <w:sz w:val="20"/>
          <w:szCs w:val="20"/>
          <w:color w:val="auto"/>
        </w:rPr>
      </w:pPr>
    </w:p>
    <w:p>
      <w:pPr>
        <w:jc w:val="both"/>
        <w:ind w:right="20"/>
        <w:spacing w:after="0" w:line="233" w:lineRule="auto"/>
        <w:rPr>
          <w:sz w:val="20"/>
          <w:szCs w:val="20"/>
          <w:color w:val="auto"/>
        </w:rPr>
      </w:pPr>
      <w:r>
        <w:rPr>
          <w:rFonts w:ascii="Arial" w:cs="Arial" w:eastAsia="Arial" w:hAnsi="Arial"/>
          <w:sz w:val="20"/>
          <w:szCs w:val="20"/>
          <w:color w:val="auto"/>
        </w:rPr>
        <w:t>We are involved from time to time in litigation and claims arising from our operations. While we do not believe the outcome of pending or threatened litigation will have a material adverse effect on our operations or our financial condition, an unexpected and material adverse outcome in a pending or future legal action could potentially have a material negative effect on our Company. Even when we believe we have meritorious defenses or when we are seeking legal remedies, legal proceedings can be costly and time-consuming, divert management attention, and create reputational risk, and there can be no assurance as to the ultimate outcome of any litigation.</w:t>
      </w:r>
    </w:p>
    <w:p>
      <w:pPr>
        <w:spacing w:after="0" w:line="30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b w:val="1"/>
          <w:bCs w:val="1"/>
          <w:i w:val="1"/>
          <w:iCs w:val="1"/>
          <w:color w:val="auto"/>
        </w:rPr>
        <w:t>Legislation, regulation, and policy initiatives addressing climate change and the transition to a low-carbon economy may increase our costs, constrain operations, or alter customer demand, which could adversely impact our business and financial results.</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Governmental authorities continue to propose and implement climate-related requirements, including greenhouse gas (GHG) emissions limits, the use of alternative fuels, carbon credits (such as a cap-and-trade system), carbon taxes, and mandatory GHG monitoring, reporting, and assurance. The manufacturing operations of our Specialties business release GHGs such as carbon dioxide, methane and nitrous oxides during the production of lime, magnesium oxide and hydroxide products.</w:t>
      </w:r>
    </w:p>
    <w:p>
      <w:pPr>
        <w:spacing w:after="0" w:line="6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Any additional regulatory restrictions on emissions of GHGs imposed by the United States Environmental Protection Agency (USEPA) would likely impact our magnesia-based chemicals operations in Woodville, Ohio, Manistee, Michigan, and Gabbs, Nevada which are subject to comprehensive regulations with respect to GHG emissions. Any changes to those regulations that restrict or limit GHG emissions could require implementation of technologies that increase operating costs for the Company. Although several large-scale projects for carbon reduction or capture are in development, no technologies or methods for reducing or capturing GHGs have been proven commercially viable at scale in the lime industry, other than improvements in fuel efficiency. We may not be able to recover any increased operating costs, taxes or capital investments (other than with respect to any carbon reduction or capture technologies) relating to GHG emission limitations at those plants from our customers in order to remain competitive in pricing in the relevant markets. Our businesses also are dependent on reliable sources of energy and fuels. We could incur increased costs or disruptions in our operations if climate change legislation and regulation (including regulatory changes with respect to alternative fuel use) or severe weather affect the price or availability of purchased energy or fuels or other materials used in our operations.</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States where we operate may adopt additional or more stringent requirements, such as market-based emissions programs, mandated use of alternative fuels, or climate-disclosure regimes which could add measurement, verification / assurance, reporting, and compliance costs and increase potential enforcement exposure.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0" w:name="page41"/>
    <w:bookmarkEnd w:id="40"/>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ind w:right="-19"/>
        <w:spacing w:after="0" w:line="226" w:lineRule="auto"/>
        <w:rPr>
          <w:sz w:val="20"/>
          <w:szCs w:val="20"/>
          <w:color w:val="auto"/>
        </w:rPr>
      </w:pPr>
      <w:r>
        <w:rPr>
          <w:rFonts w:ascii="Arial" w:cs="Arial" w:eastAsia="Arial" w:hAnsi="Arial"/>
          <w:sz w:val="20"/>
          <w:szCs w:val="20"/>
          <w:color w:val="auto"/>
        </w:rPr>
        <w:t>For the Quarter Ended March 31, 2026</w:t>
      </w:r>
    </w:p>
    <w:p>
      <w:pPr>
        <w:jc w:val="center"/>
        <w:ind w:right="-19"/>
        <w:spacing w:after="0" w:line="225" w:lineRule="auto"/>
        <w:rPr>
          <w:sz w:val="20"/>
          <w:szCs w:val="20"/>
          <w:color w:val="auto"/>
        </w:rPr>
      </w:pPr>
      <w:r>
        <w:rPr>
          <w:rFonts w:ascii="Arial" w:cs="Arial" w:eastAsia="Arial" w:hAnsi="Arial"/>
          <w:sz w:val="20"/>
          <w:szCs w:val="20"/>
          <w:color w:val="auto"/>
        </w:rPr>
        <w:t>PART II. OTHER INFORMATION</w:t>
      </w:r>
    </w:p>
    <w:p>
      <w:pPr>
        <w:jc w:val="center"/>
        <w:ind w:right="-19"/>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Compliance with current or future climate-related rules could require capital investments, changes in operating practices, procurement of emissions allowances or credits, or participation in carbon markets. While we do not currently believe such requirements will have a material adverse effect on the financial condition or results of the operations of either the Specialties business or Building Materials business, in light of the various regulatory uncertainties, the Company cannot presently predict the costs of any future compliance requirements. We continue to monitor GHG regulations and legislation and its potential impact on our business, financial condition and product demand.</w:t>
      </w:r>
    </w:p>
    <w:p>
      <w:pPr>
        <w:spacing w:after="0" w:line="172"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i w:val="1"/>
          <w:iCs w:val="1"/>
          <w:color w:val="auto"/>
        </w:rPr>
        <w:t>Sustained high or rising interest rates may reduce construction demand, increase our financing costs, and adversely affect our results of operations and financial condition.</w:t>
      </w:r>
    </w:p>
    <w:p>
      <w:pPr>
        <w:spacing w:after="0" w:line="26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businesses are sensitive to interest-rate and credit conditions because a substantial portion of demand for our products is tied to the construction markets. Therefore, our business in these industries may experience declines from sustained high or rising interest rates and cost increases.</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Notably, demand in the residential construction market in which we sell our aggregates products is affected by interest rates. While the Federal Reserve lowered interest rates several times during 2025, they remain above the current rate of inflation resulting in continued restrictive monetary policy. Sustained high interest rates may affect our business in an adverse manner. The residential construction market accounted for 22% of our 2025 aggregates shipments. Higher mortgage rates and reduced affordability can dampen new residential construction. Higher borrowing costs and return thresholds can delay or cancel private nonresidential projects. Elevated municipal and state borrowing costs can affect the timing and scope of infrastructure lettings. Any of these dynamics can lower volumes and pressure pricing in the local markets we serve.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Rising interest rates could also result in disruptions in the credit markets, which could affect our business.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b w:val="1"/>
          <w:bCs w:val="1"/>
          <w:i w:val="1"/>
          <w:iCs w:val="1"/>
          <w:color w:val="auto"/>
        </w:rPr>
        <w:t>Changes in tax laws, interpretations, enforcement practices, and our business mix could increase our effective income tax rate, reduce deferred tax assets, or otherwise adversely affect our results of operations and cash flows.</w:t>
      </w:r>
    </w:p>
    <w:p>
      <w:pPr>
        <w:spacing w:after="0" w:line="2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effective tax rate is influenced by many factors, including changes in federal, state and local laws and regulations, administrative guidance and court decisions. Because tax rules are complex and change over time our effective tax rate and cash taxes may be volatile and difficult to predict and may be influenced by the following factors among others:</w:t>
      </w:r>
    </w:p>
    <w:p>
      <w:pPr>
        <w:spacing w:after="0" w:line="279" w:lineRule="exact"/>
        <w:rPr>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governmental authorities increasing tax rates or eliminating deductions, particularly the depletion deduction;</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the mix of earnings from depletable versus non-depletable businesses;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the jurisdictions in which earnings are taxed;</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the resolution of issues arising from tax audits with various tax authorities;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the valuation of our deferred tax assets and liabilities;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adjustments to estimated taxes upon finalization of various tax returns;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the availability of tax credits;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stock-based compensation deductions;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the write-off of nondeductible goodwill resulting from divestitures or impairments;</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tax audits, examinations or litigation;</w:t>
      </w:r>
    </w:p>
    <w:p>
      <w:pPr>
        <w:spacing w:after="0" w:line="322" w:lineRule="exact"/>
        <w:rPr>
          <w:rFonts w:ascii="Times New Roman" w:cs="Times New Roman" w:eastAsia="Times New Roman" w:hAnsi="Times New Roman"/>
          <w:sz w:val="20"/>
          <w:szCs w:val="20"/>
          <w:color w:val="auto"/>
        </w:rPr>
      </w:pPr>
    </w:p>
    <w:p>
      <w:pPr>
        <w:ind w:left="800" w:hanging="395"/>
        <w:spacing w:after="0"/>
        <w:tabs>
          <w:tab w:leader="none" w:pos="800" w:val="left"/>
        </w:tabs>
        <w:numPr>
          <w:ilvl w:val="0"/>
          <w:numId w:val="21"/>
        </w:numPr>
        <w:rPr>
          <w:rFonts w:ascii="Times New Roman" w:cs="Times New Roman" w:eastAsia="Times New Roman" w:hAnsi="Times New Roman"/>
          <w:sz w:val="20"/>
          <w:szCs w:val="20"/>
          <w:color w:val="auto"/>
        </w:rPr>
      </w:pPr>
      <w:r>
        <w:rPr>
          <w:rFonts w:ascii="Arial" w:cs="Arial" w:eastAsia="Arial" w:hAnsi="Arial"/>
          <w:sz w:val="20"/>
          <w:szCs w:val="20"/>
          <w:color w:val="auto"/>
        </w:rPr>
        <w:t>other changes in tax laws; and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41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1" w:name="page42"/>
    <w:bookmarkEnd w:id="41"/>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rPr>
          <w:sz w:val="20"/>
          <w:szCs w:val="20"/>
          <w:color w:val="auto"/>
        </w:rPr>
      </w:pPr>
      <w:r>
        <w:rPr>
          <w:rFonts w:ascii="Arial" w:cs="Arial" w:eastAsia="Arial" w:hAnsi="Arial"/>
          <w:sz w:val="20"/>
          <w:szCs w:val="20"/>
          <w:color w:val="auto"/>
        </w:rPr>
        <w:t>(Continued)</w:t>
      </w:r>
    </w:p>
    <w:p>
      <w:pPr>
        <w:spacing w:after="0" w:line="76" w:lineRule="exact"/>
        <w:rPr>
          <w:sz w:val="20"/>
          <w:szCs w:val="20"/>
          <w:color w:val="auto"/>
        </w:rPr>
      </w:pPr>
    </w:p>
    <w:p>
      <w:pPr>
        <w:ind w:left="800" w:hanging="395"/>
        <w:spacing w:after="0"/>
        <w:tabs>
          <w:tab w:leader="none" w:pos="800" w:val="left"/>
        </w:tabs>
        <w:numPr>
          <w:ilvl w:val="0"/>
          <w:numId w:val="22"/>
        </w:numPr>
        <w:rPr>
          <w:rFonts w:ascii="Times New Roman" w:cs="Times New Roman" w:eastAsia="Times New Roman" w:hAnsi="Times New Roman"/>
          <w:sz w:val="20"/>
          <w:szCs w:val="20"/>
          <w:color w:val="auto"/>
        </w:rPr>
      </w:pPr>
      <w:r>
        <w:rPr>
          <w:rFonts w:ascii="Arial" w:cs="Arial" w:eastAsia="Arial" w:hAnsi="Arial"/>
          <w:sz w:val="20"/>
          <w:szCs w:val="20"/>
          <w:color w:val="auto"/>
        </w:rPr>
        <w:t>the interpretation of tax laws and/or administrative practices.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Any significant increase in our future effective income tax rate could reduce our net earnings and free cash flow for future periods.</w:t>
      </w:r>
    </w:p>
    <w:p>
      <w:pPr>
        <w:spacing w:after="0" w:line="47"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b w:val="1"/>
          <w:bCs w:val="1"/>
          <w:i w:val="1"/>
          <w:iCs w:val="1"/>
          <w:color w:val="auto"/>
        </w:rPr>
        <w:t>Investor and stakeholder focus on climate change and sustainability matters and any related reporting obligations may increase our costs and impact our businesses.</w:t>
      </w:r>
    </w:p>
    <w:p>
      <w:pPr>
        <w:spacing w:after="0" w:line="26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Investors, other stakeholders, and U.S. and international regulators are often focused on climate change and sustainability matters. For example, new and proposed laws, regulations and investor and proxy advisory guidelines relating to and requiring disclosure of such matters, including those relating to sustainability, emissions, supply chain, and human capital management, are under consideration or being adopted, or may be proposed in the future. These requirements have resulted in and may continue to result in our need to make additional investments and implement new practices and reporting processes, all entailing management attention and additional compliance risk. We have announced certain sustainability-related goals, targets, or ambitions, including GHG-reduction objectives. Any failure or perceived failure to achieve or accurately report on our current or future sustainability-related commitments, including our GHG reduction and net zero ambition and targets, and any differences between our commitments and those of any companies to which we are compared, could harm our reputation, adversely affect our ability to effectively compete (including as a result of disclosure of proprietary information regarding our plants or changes in our ability to raise capital), adversely affect our recruitment and retention efforts or expose us to potential legal liability. Achieving these outcomes may depend on factors outside our control, such as the pace of technology development and deployment, grid decarbonization, the availability and cost of renewable energy or lower-carbon inputs. While we are committed to pursuing our sustainability objectives, there is no assurance that we will achieve any of our sustainability goals or commitments, that low- or non-carbon-based energy sources and technologies required to meet long-term emissions reductions in some of the sectors in which we operate will be available at scale in the United States on an economically feasible basis or that we or our suppliers can meet sustainability, emissions reductions and other standards that are required by current or future laws or established as investment criteria, voting guidelines or activism triggers by our investors and other stakeholders. Failure to meet these commitments could result in reputational harm to our Company and changes regarding climate risk management and practices may result in higher regulatory and compliance risks and costs.</w:t>
      </w:r>
    </w:p>
    <w:p>
      <w:pPr>
        <w:spacing w:after="0" w:line="21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b w:val="1"/>
          <w:bCs w:val="1"/>
          <w:i w:val="1"/>
          <w:iCs w:val="1"/>
          <w:color w:val="auto"/>
        </w:rPr>
        <w:t>Public health events including outbreaks of disease, epidemics, or pandemics, or fears of such an event and related governmental, societal and market responses could adversely affect our operations, demand for our products, costs, and financial results.</w:t>
      </w:r>
    </w:p>
    <w:p>
      <w:pPr>
        <w:spacing w:after="0" w:line="4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Our businesses could be negatively impacted by the widespread outbreak of an illness or other communicable disease, or any other public health crisis that results in economic and trade disruptions. Public health threats can negatively impact economic activity, consumer confidence and discretionary spending, and overall market conditions and these conditions could have an impact on our Company. Further, outbreaks of illnesses could negatively affect the health of our employees, employee productivity, customer purchasing patterns and fulfillment of purchase orders, availability of supplies, pricing for raw materials and the ability to transport materials via the Company’s distribution network. We actively monitor public health situations as part of our health and safety measures to comply with federal, state and local mandates and to protect the health and safety of our employees. We may take further actions that alter our business operations, including any that may be required by federal, state or local authorities or that we determine are in the best interests of our employees, customers, suppliers, vendors, communities and other stakeholders as we adapt to public health events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Personnel Risks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Labor disputes could disrupt operations of our businesses.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2" w:name="page43"/>
    <w:bookmarkEnd w:id="42"/>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Labor unions represented 13% of the hourly employees of our Building Materials business and 59% of the hourly employees of our Specialties business as of December 31, 2025. Our collective bargaining agreements for employees of our Specialties business at the Woodville, Ohio lime plant, the Manistee, Michigan synthetic magnesia plant and the Gabbs, Nevada magnesia mine and processing plant expire in June 2026, August 2027 and June 2028, respectively.</w:t>
      </w:r>
    </w:p>
    <w:p>
      <w:pPr>
        <w:spacing w:after="0" w:line="173"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Disputes with our trade unions, or the inability to renew our labor agreements, could lead to work stoppages or other actions that could disrupt our businesses, raise costs and reduce revenues and earnings from the affected locations.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Labor actions by our suppliers, contractors, railroads, ports, trucking firms, or other logistics providers may interrupt inbound materials or outbound deliveries, increase delivered costs, or require us to source alternatives. Tight labor markets, especially for skilled trades and licensed commercial drivers, can constrain operating days, raise turnover and training costs, and delay maintenance or capital projects.</w:t>
      </w:r>
    </w:p>
    <w:p>
      <w:pPr>
        <w:spacing w:after="0" w:line="172"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If we are unable to maintain stable labor relations, renew agreements on acceptable terms, staff operations adequately, or mitigate third-party labor disruptions, our production, shipments, costs and results of operations could be adversely affected.</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b w:val="1"/>
          <w:bCs w:val="1"/>
          <w:i w:val="1"/>
          <w:iCs w:val="1"/>
          <w:color w:val="auto"/>
        </w:rPr>
        <w:t>We depend on the recruitment and retention of qualified personnel, and our failure to attract and retain such personnel could adversely affect our business, disrupt our operations or increase costs.</w:t>
      </w:r>
    </w:p>
    <w:p>
      <w:pPr>
        <w:spacing w:after="0" w:line="26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Our success depends to a significant degree upon the continued services of, and on our ability to attract and retain, our key personnel and executive officers, including qualified management, technical, marketing and sales, and support personnel. Competition for such personnel is intense, and we may not be successful in attracting or retaining such qualified personnel, which could negatively affect our business.</w:t>
      </w:r>
    </w:p>
    <w:p>
      <w:pPr>
        <w:jc w:val="both"/>
        <w:spacing w:after="0" w:line="232" w:lineRule="auto"/>
        <w:rPr>
          <w:sz w:val="20"/>
          <w:szCs w:val="20"/>
          <w:color w:val="auto"/>
        </w:rPr>
      </w:pPr>
      <w:r>
        <w:rPr>
          <w:rFonts w:ascii="Arial" w:cs="Arial" w:eastAsia="Arial" w:hAnsi="Arial"/>
          <w:sz w:val="20"/>
          <w:szCs w:val="20"/>
          <w:color w:val="auto"/>
        </w:rPr>
        <w:t>Our geographically dispersed footprint and the physically demanding nature of many roles can intensify recruiting and retention challenges, particularly in rural or less-populated areas. If we are unable to fill vacancies timely, maintain appropriate crew sizes, or retain key personnel and subject-matter experts, we may experience more frequent equipment downtime, slower maintenance or capital work, reduced operating days, and delays in customer service or project support.</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addition, because of our reliance on our senior management team, the unanticipated departure of any key member could have an adverse effect on our business. 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long-term success and strategy execution. Failure to ensure effective transfer of knowledge and smooth transitions involving key employees could hinder our strategic planning and execution.</w:t>
      </w:r>
    </w:p>
    <w:p>
      <w:pPr>
        <w:spacing w:after="0" w:line="199"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i w:val="1"/>
          <w:iCs w:val="1"/>
          <w:color w:val="auto"/>
        </w:rPr>
        <w:t>Our reputation, ability to do business and results of operations could be impaired by improper conduct by any of our employees, agents or business partners.</w:t>
      </w:r>
    </w:p>
    <w:p>
      <w:pPr>
        <w:spacing w:after="0" w:line="26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We are subject to regulation under a wide variety of U.S. federal and state and some non-U.S. laws, regulations and policies, including laws related to anticorruption, antibribery, export and import compliance, antitrust and money laundering. We cannot provide assurance that our compliance policies and internal controls will always protect us from the improper conduct of our employees, agents and business partners. Any violations of law or improper conduct could damage our reputation and, depending on the circumstances, subject us to, among other things, civil and criminal penalties, material fines, equitable remedies (including profit disgorgement and injunctions on future conduct), securities litigation and a general loss of investor confidence, any one of which could have a material adverse impact on our business prospects, financial condition, results of operations, cash flows and the market value of our stock.</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Accounting and Cost Management Risk Factors</w:t>
      </w:r>
    </w:p>
    <w:p>
      <w:pPr>
        <w:spacing w:after="0" w:line="20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Page 43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3" w:name="page44"/>
    <w:bookmarkEnd w:id="43"/>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ind w:right="20"/>
        <w:spacing w:after="0" w:line="238" w:lineRule="auto"/>
        <w:rPr>
          <w:sz w:val="20"/>
          <w:szCs w:val="20"/>
          <w:color w:val="auto"/>
        </w:rPr>
      </w:pPr>
      <w:r>
        <w:rPr>
          <w:rFonts w:ascii="Arial" w:cs="Arial" w:eastAsia="Arial" w:hAnsi="Arial"/>
          <w:sz w:val="20"/>
          <w:szCs w:val="20"/>
          <w:b w:val="1"/>
          <w:bCs w:val="1"/>
          <w:i w:val="1"/>
          <w:iCs w:val="1"/>
          <w:color w:val="auto"/>
        </w:rPr>
        <w:t>Our business requires significant and sustained capital investment; delays, cost increases, or underperformance on capital projects, or constraints on funding, could adversely affect our operations, competitiveness, and financial results.</w:t>
      </w:r>
    </w:p>
    <w:p>
      <w:pPr>
        <w:spacing w:after="0" w:line="5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property and machinery needed to produce our products are very costly. Therefore, we require large amounts of cash to operate our businesses. In addition to capital expenditures, our businesses incur significant repair and maintenance costs for critical equipment and replacement parts. Prices and lead times for parts and contractor services can be volatile due to supply-chain disruptions, limited supplier alternatives, inflation, labor availability, and logistics constraints. Unexpected equipment failures or extended outages can further increase repair spending and parts consumption. We believe that our cash on hand, along with our projected operating cash flows and our available financing resources, is adequate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reduce or delay planned capital or operating expenditures.</w:t>
      </w:r>
    </w:p>
    <w:p>
      <w:pPr>
        <w:spacing w:after="0" w:line="199"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b w:val="1"/>
          <w:bCs w:val="1"/>
          <w:i w:val="1"/>
          <w:iCs w:val="1"/>
          <w:color w:val="auto"/>
        </w:rPr>
        <w:t>Unexpected equipment failures, catastrophic events and scheduled maintenance may lead to production curtailments or shutdowns.</w:t>
      </w:r>
    </w:p>
    <w:p>
      <w:pPr>
        <w:spacing w:after="0" w:line="26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manufacturing processes are dependent upon critical pieces of equipment, such as our kilns and finishing mills. This equipment, on occasion, is out of service as a result of planned or unplanned maintenance, equipment failures or damage during accidents. In addition to equipment failures, our facilities are also subject to the risk of catastrophic loss due to unanticipated events, such as fires, explosions or violent weather conditions. We have scheduled outages that can range from one week to several weeks at least once a year to refurbish our dolomitic lime production facilities. In 2025, our Specialties operations incurred shutdown costs of $8 million. Any significant interruption in production capability may require us to make significant capital expenditures to remedy problems or damage as well as cause us to lose revenue due to lost production time.</w:t>
      </w:r>
    </w:p>
    <w:p>
      <w:pPr>
        <w:spacing w:after="0" w:line="64"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b w:val="1"/>
          <w:bCs w:val="1"/>
          <w:i w:val="1"/>
          <w:iCs w:val="1"/>
          <w:color w:val="auto"/>
        </w:rPr>
        <w:t>Our earnings are affected by the application of accounting standards and our critical accounting policies, which involve subjective estimates and assumptions by our management, which could be wrong.</w:t>
      </w:r>
    </w:p>
    <w:p>
      <w:pPr>
        <w:spacing w:after="0" w:line="2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accounting standards we use in preparing our financial statements are often complex and require that we make significant estimates and assumptions in interpreting and applying those standards. These estimates and assumptions involve matters that are inherently uncertain and require subjective and complex judgments. If we used different estimates and assumptions or used different ways to determine these estimates, our financial results could differ.</w:t>
      </w:r>
    </w:p>
    <w:p>
      <w:pPr>
        <w:spacing w:after="0" w:line="172" w:lineRule="exact"/>
        <w:rPr>
          <w:sz w:val="20"/>
          <w:szCs w:val="20"/>
          <w:color w:val="auto"/>
        </w:rPr>
      </w:pPr>
    </w:p>
    <w:p>
      <w:pPr>
        <w:jc w:val="both"/>
        <w:spacing w:after="0" w:line="237" w:lineRule="auto"/>
        <w:rPr>
          <w:rFonts w:ascii="Arial" w:cs="Arial" w:eastAsia="Arial" w:hAnsi="Arial"/>
          <w:sz w:val="20"/>
          <w:szCs w:val="20"/>
          <w:color w:val="0000FF"/>
        </w:rPr>
      </w:pPr>
      <w:r>
        <w:rPr>
          <w:rFonts w:ascii="Arial" w:cs="Arial" w:eastAsia="Arial" w:hAnsi="Arial"/>
          <w:sz w:val="20"/>
          <w:szCs w:val="20"/>
          <w:color w:val="auto"/>
        </w:rPr>
        <w:t xml:space="preserve">While we believe our estimates and assumptions are appropriate, we could be wrong. Accordingly, our financial results could be </w:t>
      </w:r>
      <w:hyperlink r:id="rId311">
        <w:r>
          <w:rPr>
            <w:rFonts w:ascii="Arial" w:cs="Arial" w:eastAsia="Arial" w:hAnsi="Arial"/>
            <w:sz w:val="20"/>
            <w:szCs w:val="20"/>
            <w:color w:val="auto"/>
          </w:rPr>
          <w:t xml:space="preserve">different, either higher or lower. We urge you to read </w:t>
        </w:r>
        <w:r>
          <w:rPr>
            <w:rFonts w:ascii="Arial" w:cs="Arial" w:eastAsia="Arial" w:hAnsi="Arial"/>
            <w:sz w:val="20"/>
            <w:szCs w:val="20"/>
            <w:u w:val="single" w:color="auto"/>
            <w:color w:val="007DC6"/>
          </w:rPr>
          <w:t>Critical Accounting Policies and Estimates</w:t>
        </w:r>
        <w:r>
          <w:rPr>
            <w:rFonts w:ascii="Arial" w:cs="Arial" w:eastAsia="Arial" w:hAnsi="Arial"/>
            <w:sz w:val="20"/>
            <w:szCs w:val="20"/>
            <w:color w:val="auto"/>
          </w:rPr>
          <w:t xml:space="preserve"> included under </w:t>
        </w:r>
        <w:r>
          <w:rPr>
            <w:rFonts w:ascii="Arial" w:cs="Arial" w:eastAsia="Arial" w:hAnsi="Arial"/>
            <w:sz w:val="20"/>
            <w:szCs w:val="20"/>
            <w:u w:val="single" w:color="auto"/>
            <w:color w:val="0000FF"/>
          </w:rPr>
          <w:t>Item 7,</w:t>
        </w:r>
      </w:hyperlink>
      <w:r>
        <w:rPr>
          <w:rFonts w:ascii="Arial" w:cs="Arial" w:eastAsia="Arial" w:hAnsi="Arial"/>
          <w:sz w:val="20"/>
          <w:szCs w:val="20"/>
          <w:color w:val="auto"/>
        </w:rPr>
        <w:t xml:space="preserve"> </w:t>
      </w:r>
      <w:hyperlink r:id="rId311">
        <w:r>
          <w:rPr>
            <w:rFonts w:ascii="Arial" w:cs="Arial" w:eastAsia="Arial" w:hAnsi="Arial"/>
            <w:sz w:val="20"/>
            <w:szCs w:val="20"/>
            <w:u w:val="single" w:color="auto"/>
            <w:color w:val="0000FF"/>
          </w:rPr>
          <w:t>Management’s Discussion and Analysis of Financial Condition and Results of Operations</w:t>
        </w:r>
        <w:r>
          <w:rPr>
            <w:rFonts w:ascii="Arial" w:cs="Arial" w:eastAsia="Arial" w:hAnsi="Arial"/>
            <w:sz w:val="20"/>
            <w:szCs w:val="20"/>
            <w:color w:val="0000FF"/>
          </w:rPr>
          <w:t xml:space="preserve"> </w:t>
        </w:r>
        <w:r>
          <w:rPr>
            <w:rFonts w:ascii="Arial" w:cs="Arial" w:eastAsia="Arial" w:hAnsi="Arial"/>
            <w:sz w:val="20"/>
            <w:szCs w:val="20"/>
            <w:color w:val="000000"/>
          </w:rPr>
          <w:t>of our Annual Report on Form 10-K for</w:t>
        </w:r>
      </w:hyperlink>
      <w:r>
        <w:rPr>
          <w:rFonts w:ascii="Arial" w:cs="Arial" w:eastAsia="Arial" w:hAnsi="Arial"/>
          <w:sz w:val="20"/>
          <w:szCs w:val="20"/>
          <w:color w:val="0000FF"/>
        </w:rPr>
        <w:t xml:space="preserve"> </w:t>
      </w:r>
      <w:r>
        <w:rPr>
          <w:rFonts w:ascii="Arial" w:cs="Arial" w:eastAsia="Arial" w:hAnsi="Arial"/>
          <w:sz w:val="20"/>
          <w:szCs w:val="20"/>
          <w:color w:val="000000"/>
        </w:rPr>
        <w:t>the year ended December 31, 2025 and in our quarterly reports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-305435</wp:posOffset>
            </wp:positionV>
            <wp:extent cx="4184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418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49447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494474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adoption of new accounting standards may affect our financial results.</w:t>
      </w:r>
    </w:p>
    <w:p>
      <w:pPr>
        <w:spacing w:after="0" w:line="33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The accounting standards we apply in preparing our financial statements are reviewed by regulatory bodies and change periodically. New or revised accounting standards could, either positively or negatively, affect results reported for periods after adoption of the standards as compared with the prior periods, or require retrospective application changing results reported for prior periods. We urge you to read about our accounting policies and new accounting pronouncements in </w:t>
      </w:r>
      <w:r>
        <w:rPr>
          <w:rFonts w:ascii="Arial" w:cs="Arial" w:eastAsia="Arial" w:hAnsi="Arial"/>
          <w:sz w:val="20"/>
          <w:szCs w:val="20"/>
          <w:u w:val="single" w:color="auto"/>
          <w:color w:val="0000FF"/>
        </w:rPr>
        <w:t>Note 1: Significant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Accounting Policies</w:t>
      </w:r>
      <w:r>
        <w:rPr>
          <w:rFonts w:ascii="Arial" w:cs="Arial" w:eastAsia="Arial" w:hAnsi="Arial"/>
          <w:sz w:val="20"/>
          <w:szCs w:val="20"/>
          <w:color w:val="0000FF"/>
        </w:rPr>
        <w:t xml:space="preserve"> </w:t>
      </w:r>
      <w:r>
        <w:rPr>
          <w:rFonts w:ascii="Arial" w:cs="Arial" w:eastAsia="Arial" w:hAnsi="Arial"/>
          <w:sz w:val="20"/>
          <w:szCs w:val="20"/>
          <w:color w:val="000000"/>
        </w:rPr>
        <w:t>of the Notes to Financial Statements of the Company’s unaudited consolidated financial statements</w:t>
      </w:r>
      <w:r>
        <w:rPr>
          <w:rFonts w:ascii="Arial" w:cs="Arial" w:eastAsia="Arial" w:hAnsi="Arial"/>
          <w:sz w:val="20"/>
          <w:szCs w:val="20"/>
          <w:color w:val="0000FF"/>
        </w:rPr>
        <w:t xml:space="preserve"> </w:t>
      </w:r>
      <w:r>
        <w:rPr>
          <w:rFonts w:ascii="Arial" w:cs="Arial" w:eastAsia="Arial" w:hAnsi="Arial"/>
          <w:sz w:val="20"/>
          <w:szCs w:val="20"/>
          <w:color w:val="000000"/>
        </w:rPr>
        <w:t xml:space="preserve">included under </w:t>
      </w:r>
      <w:r>
        <w:rPr>
          <w:rFonts w:ascii="Arial" w:cs="Arial" w:eastAsia="Arial" w:hAnsi="Arial"/>
          <w:sz w:val="20"/>
          <w:szCs w:val="20"/>
          <w:u w:val="single" w:color="auto"/>
          <w:color w:val="0000FF"/>
        </w:rPr>
        <w:t>Item 1, Financial Statements</w:t>
      </w:r>
      <w:r>
        <w:rPr>
          <w:rFonts w:ascii="Arial" w:cs="Arial" w:eastAsia="Arial" w:hAnsi="Arial"/>
          <w:sz w:val="20"/>
          <w:szCs w:val="20"/>
          <w:color w:val="000000"/>
        </w:rPr>
        <w:t xml:space="preserv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6087745</wp:posOffset>
            </wp:positionH>
            <wp:positionV relativeFrom="paragraph">
              <wp:posOffset>-304800</wp:posOffset>
            </wp:positionV>
            <wp:extent cx="104521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04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112395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123950" cy="8890"/>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-30480</wp:posOffset>
            </wp:positionV>
            <wp:extent cx="15919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591945" cy="8890"/>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4" w:name="page45"/>
    <w:bookmarkEnd w:id="44"/>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Reports from the Public Company Accounting Oversight Board’s (PCAOB) inspections of public accounting firms continue to outline findings and recommendations that could require these firms to perform additional work as part of their financial statement audits. Our costs to respond to these additional requirements may increase.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charges could have a material adverse effect on our financial results.</w:t>
      </w:r>
    </w:p>
    <w:p>
      <w:pPr>
        <w:spacing w:after="0" w:line="33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Goodwill and other acquired intangible assets expected to contribute indefinitely to our cash flows are not amortized, but must be evaluated for impairment by management at least annually. If the carrying value of a reporting unit exceeds its fair value, the reporting unit's goodwill is considered impaired and a non-cash charge to earnings is recorded for the difference. If the carrying value of an indefinite-lived intangible asset is greater than its fair value, the intangible asset is considered impaired and is reduced to fair value via a non-cash charge to earnings. Future events may occur that would adversely affect the fair value of our goodwill or other acquired intangible assets and require impairment charges. Such events may include, but are not limited to, lower-than-forecasted revenues or profitability, construction growth rates that fall below our assumptions, actions of key customers, increases in interest rates, continued economic uncertainty, higher levels of unemployment, weak consumer confidence, lower levels of discretionary consumer spending and a decline in the trading price of our common stock. We continue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w:t>
      </w:r>
      <w:r>
        <w:rPr>
          <w:rFonts w:ascii="Arial" w:cs="Arial" w:eastAsia="Arial" w:hAnsi="Arial"/>
          <w:sz w:val="21"/>
          <w:szCs w:val="21"/>
          <w:color w:val="auto"/>
        </w:rPr>
        <w:t>.</w:t>
      </w:r>
    </w:p>
    <w:p>
      <w:pPr>
        <w:spacing w:after="0" w:line="218"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b w:val="1"/>
          <w:bCs w:val="1"/>
          <w:i w:val="1"/>
          <w:iCs w:val="1"/>
          <w:color w:val="auto"/>
        </w:rPr>
        <w:t>Credit-market stress and tighter financing conditions could reduce construction demand, slow customer payments, constrain our liquidity, and increase our cost of capital.</w:t>
      </w:r>
    </w:p>
    <w:p>
      <w:pPr>
        <w:spacing w:after="0" w:line="26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Demand for aggregates products, particularly in the infrastructure construction market, has historically been negatively affected by federal and state budget challenges and uncertainty over future highway funding levels. Further, delays to or cancellations of capital projects in the nonresidential and residential construction markets could occur if companies and consumers are unable to obtain financing for construction projects or if consumer confidence is eroded by economic uncertainty.</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 recessionary construction economy can also increase the likelihood we will not be able to collect all our accounts receivable from our customers. While we are protected in part by payment bonds posted by many of our customers or end-users, as well as statutory lien rights, we have experienced delays in payment from some of our customers during downturns, especially in the construction markets, and expect that we would experience such delays in the future, which would negatively affect operating cash flows.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Our access to and cost of capital may be adversely affected. Additional financing or refinancing might not be available and, if available, may not be on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financially economical interest rates, which could negatively affect our business.</w:t>
      </w:r>
    </w:p>
    <w:p>
      <w:pPr>
        <w:spacing w:after="0" w:line="17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We may be required to obtain financing to fund certain strategic acquisitions, if they arise, or to refinance our outstanding debt or for other corporate purposes. It is possible a large strategic acquisition would require that we issue new equity and debt securities to maintain our investment-grade credit rating and could result in a ratings downgrade notwithstanding our issuance of equity securities to fund the transaction. We are also exposed to risks from tightening credit markets, through the interest payable on any variable-rate debt, including the interest cost on future borrowings under our credit facilities. Although we maintain committed credit facilities and actively manage liquidity, there is no assurance financing will be available when needed or on acceptable terms, that customers will remain current, or that public-sector funding will be insulated from market conditions. If credit markets tighten or remain volatile, the combined effects, lower private and public construction activity, slower collections, higher input and delivered costs, increased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5" w:name="page46"/>
    <w:bookmarkEnd w:id="45"/>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interest expense, reduced covenant flexibility, or ratings pressure, could adversely affect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Specialties business faces currency risks from its overseas activities.</w:t>
      </w:r>
    </w:p>
    <w:p>
      <w:pPr>
        <w:spacing w:after="0" w:line="33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Specialties business sells some of its products outside the United States. Therefore, the operations of the Specialties business are affected from time to time by the fluctuating values of the currency exchange rates of the countries in which it does business in relation to the value of the U.S. Dollar. The business tries to mitigate the short-term effects of currency exchange rates by denominating sales in the U.S. Dollar.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ready mixed concrete, asphalt and paving operations present additional risks to our business.</w:t>
      </w:r>
    </w:p>
    <w:p>
      <w:pPr>
        <w:spacing w:after="0" w:line="33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Our paving operations face challenges when our contracts have penalties for late completion. In some instances, including many of our fixed-price contracts, we guarantee project completion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lower profit or a loss on the project. In our paving operations, we also have fixed-price and fixed-unit-price contracts where our profits can be adversely affected by a number of factors beyond our control, which can cause our actual costs to materially exceed the costs estimated at the time of our original bid. These same issues and risks can also impact some of our contracts in our asphalt and ready mixed concrete operations. These risks are somewhat mitigated by the fact that a majority of our road paving contracts are for short-term projects. Our ready mixed concrete, asphalt and paving operations typically generate lower profit margins than our aggregates operations due to potentially volatile input costs and highly competitive market dynamics.</w:t>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b w:val="1"/>
          <w:bCs w:val="1"/>
          <w:i w:val="1"/>
          <w:iCs w:val="1"/>
          <w:color w:val="auto"/>
        </w:rPr>
        <w:t>Investment returns on our pension assets may be lower than expected, or interest rates may decline, requiring us to make significant additional cash contributions to our benefit plans.</w:t>
      </w:r>
    </w:p>
    <w:p>
      <w:pPr>
        <w:spacing w:after="0" w:line="26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 portion of our current and former employees has accrued benefits under our defined benefit pension plans. Requirements for funding our pension plan liabilities are based on a number of actuarial assumptions, including the expected rate of return on our plan assets and the discount rate applied to our pension plan obligations. Fluctuations in equity market returns and changes in long-term interest rates could increase our costs under our defined benefit pension plans and may significantly affect future contribution requirements. It is unknown what the actual investment return on our pension assets will be in future years and what interest rates may be at any given point in time. We cannot therefore provide any assurance of what our actual pension plan costs will be in the future, or whether we will be required under applicable law to make future material plan contributions.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Suppliers, Raw Materials and Energy Costs Risk Factors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i w:val="1"/>
          <w:iCs w:val="1"/>
          <w:color w:val="auto"/>
        </w:rPr>
        <w:t>Volatility or shortages in fuel, energy and raw materials can increase costs, disrupt operations, and adversely affect our results.</w:t>
      </w:r>
    </w:p>
    <w:p>
      <w:pPr>
        <w:spacing w:after="0" w:line="269"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Our businesses require a continued supply of diesel fuel, natural gas, coal, petroleum coke and other energy. Therefore, the cost of energy is one of our largest expenses. Prices and availability for these inputs are subject to and influenced by market forces largely beyond our control, including global and regional supply-demand dynamics, refining and generation capacity, weather and other physical risks, transportation and labor constraints, geopolitics and trade policy, regulatory changes and supplier operating issues and can therefore be volatile. These factors can cause rapid, significant, and uneven price movements across our footprint and may limit supply in one or more markets. Cost increases that we are unable to pass through to the customer in the form of price increases for our products or disruption of the uninterrupted supply of fuel and electricity have historically adversely affected our financial results and could adversely affect our financial results in the future. Changes in energy costs also affect the prices that we pay for related supplies, including explosives, conveyor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6" w:name="page47"/>
    <w:bookmarkEnd w:id="46"/>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belting and tires. While we can contract for some fuels and sources of energy, such as fixed-price supply contracts for natural gas, coal and petroleum coke, significant increases in costs or reduced availability of these items have and may in the future reduce our financial results. Moreover, fluctuations in the supply and costs of these fuels and energy can make planning for our businesses more difficult. Because of the fluctuating trends in diesel fuel prices, we may enter into fixed-price fuel agreements from time to time for a portion of our diesel fuel to reduce our diesel fuel price risk.</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Even where supply is available, our delivered costs can rise due to logistics constraints. Limited availability or higher rates for trucks and licensed drivers, rail service and cars, port capacity, or pipeline interruptions can delay deliveries, reduce operating days, or force us to source from higher-cost alternatives. Utility interruptions or curtailments (electricity, natural gas, or water) can further constrain output or alter our product and geographic mix, particularly at energy-intensive facilities.</w:t>
      </w:r>
    </w:p>
    <w:p>
      <w:pPr>
        <w:spacing w:after="0" w:line="38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Our downstream operations require a continued supply of liquid asphalt and cement, which serve as key raw materials in the production of hot mix asphalt and ready mixed concrete, respectively. Some of these raw materials we produce internally, but most are purchased from third parties. These purchased raw materials are subject to potential supply constraints and significant price fluctuations, which are beyond our control. The financial results of our ready mixed concrete, asphalt and paving operations have been affected by the short supply or high costs of these raw materials. We generally see frequent volatility in the prices for these raw materials.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Specialties business depends in part on the steel industry and the supply of reasonably priced fuels.</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Specialties business sells some of its products to companies in the steel industry. Accordingly, this business is dependent, in part, on the strength of the cyclical steel industry. Our Specialties business also requires significant amounts of natural gas, coal and petroleum coke, and financial results are negatively affected by increases in fuel prices or shortages. Our Specialties business has fixed-price agreements for 34% of its anticipated 2026 coal, petroleum coke and natural gas needs.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 and Information Security Risk Factors</w:t>
      </w: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We depend on information technology; cybersecurity, data-protection, and systems-reliability risks — including at our third party vendors — could disrupt operations, compromise data, increase costs, or otherwise adversely affect our business and results.</w:t>
      </w:r>
    </w:p>
    <w:p>
      <w:pPr>
        <w:spacing w:after="0" w:line="4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rely on information technology systems and networks, some of which are managed by third-party vendors, including cloud-based systems and managed service providers, to operate our business and to securely process, store and transmit confidential, sensitive and proprietary information relating to our business operations, including sensitive information about our customers and employees. Cyber threats are rapidly evolving as threat actors have become increasingly sophisticated and carry out direct large-scale, complex attacks against a company and are reportedly using artificial intelligence to increase the virulence of attacks. In addition, we have relied on our information technology infrastructure to support remote work from time to time and may need to do so in the future, which can increase cyber risks. We are not able to anticipate or prevent all such attacks and could be held liable for any resulting material security breach or data loss. In addition, it is not always possible to deter or detect misconduct by employees or third-party vendors.</w:t>
      </w:r>
    </w:p>
    <w:p>
      <w:pPr>
        <w:spacing w:after="0" w:line="17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While we have experienced attacks to breach the security of our information technology systems, we are not aware that we have experienced a material cybersecurity incident during the first quarter of 2026. Breaches of our technology systems and those of acquired companies, or those of our vendors and customers, whether from circumvention of security systems, denial-of-service attacks or other cyber-attacks, hacking, “phishing” or similar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Company’s or such vendors’ and customers’ websites, applications, data processing and certain products and services, or disruption of other business operations. Furthermore, any such breaches could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7" w:name="page48"/>
    <w:bookmarkEnd w:id="47"/>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compromise the confidentiality and integrity of material information held by our Company (including information about our business, employees or customers), as well as sensitive personally identifiable information, the disclosure of which could lead to identity theft and liability under data privacy laws. Breaches of products and equipment that we use that rely on technology and internet connectivity can expose our Company to product and other liability risk and reputational harm. Measures that we take to avoid, detect, mitigate or recover from material incidents may be insufficient, circumvented, or may become ineffective.</w:t>
      </w:r>
    </w:p>
    <w:p>
      <w:pPr>
        <w:spacing w:after="0" w:line="17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have invested and continue to invest in risk management and information security and data privacy measures in order to protect our systems and data, including employee training, organizational investments, incident response plans, table top exercises and technical defenses. The cost and operational consequences of implementing, maintaining and enhancing further data or system protection measures could increase significantly to overcome increasingly intense, complex and sophisticated global cyber threats. Despite our efforts, we are not fully insulated from data breaches and system disruptions. In addition, we are subject to complex and evolving laws, rules and regulations related to cybersecurity. These laws or regulations may be subject to uncertain or inconsistent interpretations and enforcement.</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Any material breaches of cybersecurity, including the accidental loss, inadvertent disclosure or unapproved dissemination of proprietary information or sensitive or confidential data, or failure or perceived failure by us to comply with applicable laws, rules, or regulations, or any media reports of perceived security vulnerabilities to our systems, products and services or those of third parties relied upon by our Company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our Company. The report, rumor or assumption regarding a potential breach may have similar results, even if no breach has been attempted or occurred. Any of the foregoing may have a material adverse effect on our business, operating results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Delays or interruptions in shipping products of our businesses could affect our operations.</w:t>
      </w:r>
    </w:p>
    <w:p>
      <w:pPr>
        <w:spacing w:after="0" w:line="22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Transportation logistics play an important role in allowing us to supply products to our customers, whether by road, rail or water. We also rely heavily on third-party truck and rail transportation to ship coal, natural gas and other fuels to our plants. Any significant delays, disruptions or the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and timely means to transport our products or fuels at a reasonable cost, which could lead to interruptions or slowdowns in our businesses or increases in our costs.</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availability of railcars can also affect our ability to transport our products. Railcars can be used to transport many different types of products across all of our segments. If owners sell or lease railcars for use in other industries, we may not have enough railcars to transport our products.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have agreements with shipping companies to provide ships to transport our aggregates products from our Bahamas and Nova Scotia operations to various coastal ports that expire in 2026 and 2027, respectively. Our inability to renew these agreements or enter into new ones with other shipping companies on favorable terms could affect our ability to transport our products.</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Some of our products are distributed by barges along rivers in Ohio and West Virginia. We may experience, to a lesser degree, risks associated with distributing our products by barges, including significant delays, disruptions or the non-availability of our barge transportation system that could negatively affect our operations, water levels that could affect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8" w:name="page49"/>
    <w:bookmarkEnd w:id="48"/>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40"/>
        <w:spacing w:after="0" w:line="229" w:lineRule="auto"/>
        <w:rPr>
          <w:sz w:val="20"/>
          <w:szCs w:val="20"/>
          <w:color w:val="auto"/>
        </w:rPr>
      </w:pPr>
      <w:r>
        <w:rPr>
          <w:rFonts w:ascii="Arial" w:cs="Arial" w:eastAsia="Arial" w:hAnsi="Arial"/>
          <w:sz w:val="20"/>
          <w:szCs w:val="20"/>
          <w:color w:val="auto"/>
        </w:rPr>
        <w:t>FORM 10-Q</w:t>
      </w:r>
    </w:p>
    <w:p>
      <w:pPr>
        <w:jc w:val="center"/>
        <w:spacing w:after="0" w:line="226" w:lineRule="auto"/>
        <w:rPr>
          <w:sz w:val="20"/>
          <w:szCs w:val="20"/>
          <w:color w:val="auto"/>
        </w:rPr>
      </w:pPr>
      <w:r>
        <w:rPr>
          <w:rFonts w:ascii="Arial" w:cs="Arial" w:eastAsia="Arial" w:hAnsi="Arial"/>
          <w:sz w:val="20"/>
          <w:szCs w:val="20"/>
          <w:color w:val="auto"/>
        </w:rPr>
        <w:t>For the Quarter Ended March 31, 2026</w:t>
      </w:r>
    </w:p>
    <w:p>
      <w:pPr>
        <w:jc w:val="center"/>
        <w:spacing w:after="0" w:line="225" w:lineRule="auto"/>
        <w:rPr>
          <w:sz w:val="20"/>
          <w:szCs w:val="20"/>
          <w:color w:val="auto"/>
        </w:rPr>
      </w:pPr>
      <w:r>
        <w:rPr>
          <w:rFonts w:ascii="Arial" w:cs="Arial" w:eastAsia="Arial" w:hAnsi="Arial"/>
          <w:sz w:val="20"/>
          <w:szCs w:val="20"/>
          <w:color w:val="auto"/>
        </w:rPr>
        <w:t>PART II. OTHER INFORMATION</w:t>
      </w:r>
    </w:p>
    <w:p>
      <w:pPr>
        <w:jc w:val="center"/>
        <w:spacing w:after="0" w:line="225" w:lineRule="auto"/>
        <w:rPr>
          <w:sz w:val="20"/>
          <w:szCs w:val="20"/>
          <w:color w:val="auto"/>
        </w:rPr>
      </w:pPr>
      <w:r>
        <w:rPr>
          <w:rFonts w:ascii="Arial" w:cs="Arial" w:eastAsia="Arial" w:hAnsi="Arial"/>
          <w:sz w:val="20"/>
          <w:szCs w:val="20"/>
          <w:color w:val="auto"/>
        </w:rPr>
        <w:t>(Continued)</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our ability to transport our products by barge, and barges that may not be available in quantities that we might need from time to time to support our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articles of incorporation and bylaws and North Carolina law may inhibit a change in control that you may favor.</w:t>
      </w:r>
    </w:p>
    <w:p>
      <w:pPr>
        <w:spacing w:after="0" w:line="22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Our restated articles of incorporation and restated bylaws and North Carolina law contain provisions that may delay, deter or inhibit a future acquisition of us not approved by our Board of Directors. This could occur even if our shareholders are offered an attractive value for their shares or if many or even a majority of our shareholders believe the takeover is in their best interest. These provisions are intended to encourage any person interested in acquiring us to negotiate with and obtain the approval of our Board of Directors in connection with such a transaction. Provisions that could delay, deter or inhibit a future acquisition include the following:</w:t>
      </w:r>
    </w:p>
    <w:p>
      <w:pPr>
        <w:spacing w:after="0" w:line="280" w:lineRule="exact"/>
        <w:rPr>
          <w:sz w:val="20"/>
          <w:szCs w:val="20"/>
          <w:color w:val="auto"/>
        </w:rPr>
      </w:pPr>
    </w:p>
    <w:p>
      <w:pPr>
        <w:ind w:left="420" w:hanging="401"/>
        <w:spacing w:after="0"/>
        <w:tabs>
          <w:tab w:leader="none" w:pos="420"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the ability of our Board of Directors to establish the terms of, and issue, preferred stock without shareholder approval;</w:t>
      </w:r>
    </w:p>
    <w:p>
      <w:pPr>
        <w:spacing w:after="0" w:line="106" w:lineRule="exact"/>
        <w:rPr>
          <w:rFonts w:ascii="Times New Roman" w:cs="Times New Roman" w:eastAsia="Times New Roman" w:hAnsi="Times New Roman"/>
          <w:sz w:val="20"/>
          <w:szCs w:val="20"/>
          <w:color w:val="auto"/>
        </w:rPr>
      </w:pPr>
    </w:p>
    <w:p>
      <w:pPr>
        <w:ind w:left="420" w:hanging="401"/>
        <w:spacing w:after="0"/>
        <w:tabs>
          <w:tab w:leader="none" w:pos="420"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the requirement that our shareholders may remove directors only for cause;</w:t>
      </w:r>
    </w:p>
    <w:p>
      <w:pPr>
        <w:spacing w:after="0" w:line="106" w:lineRule="exact"/>
        <w:rPr>
          <w:rFonts w:ascii="Times New Roman" w:cs="Times New Roman" w:eastAsia="Times New Roman" w:hAnsi="Times New Roman"/>
          <w:sz w:val="20"/>
          <w:szCs w:val="20"/>
          <w:color w:val="auto"/>
        </w:rPr>
      </w:pPr>
    </w:p>
    <w:p>
      <w:pPr>
        <w:ind w:left="420" w:hanging="401"/>
        <w:spacing w:after="0"/>
        <w:tabs>
          <w:tab w:leader="none" w:pos="420"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the inability of our shareholders to call special meetings of shareholders;</w:t>
      </w:r>
    </w:p>
    <w:p>
      <w:pPr>
        <w:spacing w:after="0" w:line="106" w:lineRule="exact"/>
        <w:rPr>
          <w:rFonts w:ascii="Times New Roman" w:cs="Times New Roman" w:eastAsia="Times New Roman" w:hAnsi="Times New Roman"/>
          <w:sz w:val="20"/>
          <w:szCs w:val="20"/>
          <w:color w:val="auto"/>
        </w:rPr>
      </w:pPr>
    </w:p>
    <w:p>
      <w:pPr>
        <w:ind w:left="420" w:right="960" w:hanging="401"/>
        <w:spacing w:after="0" w:line="256" w:lineRule="auto"/>
        <w:tabs>
          <w:tab w:leader="none" w:pos="420"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super-majority shareholder approval requirements for business combination transactions with certain five percent shareholders; and</w:t>
      </w:r>
    </w:p>
    <w:p>
      <w:pPr>
        <w:spacing w:after="0" w:line="48" w:lineRule="exact"/>
        <w:rPr>
          <w:rFonts w:ascii="Times New Roman" w:cs="Times New Roman" w:eastAsia="Times New Roman" w:hAnsi="Times New Roman"/>
          <w:sz w:val="20"/>
          <w:szCs w:val="20"/>
          <w:color w:val="auto"/>
        </w:rPr>
      </w:pPr>
    </w:p>
    <w:p>
      <w:pPr>
        <w:ind w:left="420" w:right="240" w:hanging="396"/>
        <w:spacing w:after="0" w:line="256" w:lineRule="auto"/>
        <w:tabs>
          <w:tab w:leader="none" w:pos="420" w:val="left"/>
        </w:tabs>
        <w:numPr>
          <w:ilvl w:val="0"/>
          <w:numId w:val="23"/>
        </w:numPr>
        <w:rPr>
          <w:rFonts w:ascii="Times New Roman" w:cs="Times New Roman" w:eastAsia="Times New Roman" w:hAnsi="Times New Roman"/>
          <w:sz w:val="20"/>
          <w:szCs w:val="20"/>
          <w:color w:val="auto"/>
        </w:rPr>
      </w:pPr>
      <w:r>
        <w:rPr>
          <w:rFonts w:ascii="Arial" w:cs="Arial" w:eastAsia="Arial" w:hAnsi="Arial"/>
          <w:sz w:val="20"/>
          <w:szCs w:val="20"/>
          <w:color w:val="auto"/>
        </w:rPr>
        <w:t>advance notice requirements for nominations for election to our board or for proposing matters that can be acted upon by our shareholders at shareholder meetings.</w:t>
      </w:r>
    </w:p>
    <w:p>
      <w:pPr>
        <w:spacing w:after="0" w:line="264"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Additionally, the occurrence of certain change-of-control events could result in an event of default under certain of our existing or future debt instruments.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Total Number of Shares</w:t>
            </w:r>
          </w:p>
        </w:tc>
        <w:tc>
          <w:tcPr>
            <w:tcW w:w="2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Maximum Number of</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Purchased as Part of</w:t>
            </w:r>
          </w:p>
        </w:tc>
        <w:tc>
          <w:tcPr>
            <w:tcW w:w="200" w:type="dxa"/>
            <w:vAlign w:val="bottom"/>
          </w:tcPr>
          <w:p>
            <w:pPr>
              <w:spacing w:after="0"/>
              <w:rPr>
                <w:sz w:val="17"/>
                <w:szCs w:val="17"/>
                <w:color w:val="auto"/>
              </w:rPr>
            </w:pPr>
          </w:p>
        </w:tc>
        <w:tc>
          <w:tcPr>
            <w:tcW w:w="20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Shares that May Yet</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Total Number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Average Price</w:t>
            </w:r>
          </w:p>
        </w:tc>
        <w:tc>
          <w:tcPr>
            <w:tcW w:w="22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Publicly Announced</w:t>
            </w:r>
          </w:p>
        </w:tc>
        <w:tc>
          <w:tcPr>
            <w:tcW w:w="200" w:type="dxa"/>
            <w:vAlign w:val="bottom"/>
          </w:tcPr>
          <w:p>
            <w:pPr>
              <w:spacing w:after="0"/>
              <w:rPr>
                <w:sz w:val="17"/>
                <w:szCs w:val="17"/>
                <w:color w:val="auto"/>
              </w:rPr>
            </w:pPr>
          </w:p>
        </w:tc>
        <w:tc>
          <w:tcPr>
            <w:tcW w:w="20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be Purchased Under</w:t>
            </w:r>
          </w:p>
        </w:tc>
      </w:tr>
      <w:tr>
        <w:trPr>
          <w:trHeight w:val="221"/>
        </w:trPr>
        <w:tc>
          <w:tcPr>
            <w:tcW w:w="3280" w:type="dxa"/>
            <w:vAlign w:val="bottom"/>
          </w:tcPr>
          <w:p>
            <w:pPr>
              <w:ind w:left="138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Shares Purchased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w w:val="98"/>
              </w:rPr>
              <w:t>Paid per Share</w:t>
            </w:r>
          </w:p>
        </w:tc>
        <w:tc>
          <w:tcPr>
            <w:tcW w:w="2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Plans or Programs</w:t>
            </w:r>
          </w:p>
        </w:tc>
        <w:tc>
          <w:tcPr>
            <w:tcW w:w="200" w:type="dxa"/>
            <w:vAlign w:val="bottom"/>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the Plans or Programs</w:t>
            </w:r>
          </w:p>
        </w:tc>
      </w:tr>
      <w:tr>
        <w:trPr>
          <w:trHeight w:val="196"/>
        </w:trPr>
        <w:tc>
          <w:tcPr>
            <w:tcW w:w="32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January 1, 2026 - January 31, 2026</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11,024,507</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February 1, 2026 - February 28, 2026</w:t>
            </w:r>
          </w:p>
        </w:tc>
        <w:tc>
          <w:tcPr>
            <w:tcW w:w="1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36,897</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677.55</w:t>
            </w:r>
          </w:p>
        </w:tc>
        <w:tc>
          <w:tcPr>
            <w:tcW w:w="2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36,897</w:t>
            </w:r>
          </w:p>
        </w:tc>
        <w:tc>
          <w:tcPr>
            <w:tcW w:w="2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10,987,610</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March 1, 2026 - March 31, 2026</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288,558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606.46</w:t>
            </w:r>
          </w:p>
        </w:tc>
        <w:tc>
          <w:tcPr>
            <w:tcW w:w="2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288,558</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10,699,052</w:t>
            </w:r>
          </w:p>
        </w:tc>
        <w:tc>
          <w:tcPr>
            <w:tcW w:w="100" w:type="dxa"/>
            <w:vAlign w:val="bottom"/>
          </w:tcPr>
          <w:p>
            <w:pPr>
              <w:spacing w:after="0"/>
              <w:rPr>
                <w:sz w:val="17"/>
                <w:szCs w:val="17"/>
                <w:color w:val="auto"/>
              </w:rPr>
            </w:pPr>
          </w:p>
        </w:tc>
      </w:tr>
      <w:tr>
        <w:trPr>
          <w:trHeight w:val="236"/>
        </w:trPr>
        <w:tc>
          <w:tcPr>
            <w:tcW w:w="328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325,455</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325,455</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9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-25400</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-162560</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-162560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Reference is made to the Company's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9" w:name="page50"/>
    <w:bookmarkEnd w:id="49"/>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jc w:val="center"/>
        <w:ind w:right="60"/>
        <w:spacing w:after="0" w:line="229" w:lineRule="auto"/>
        <w:rPr>
          <w:sz w:val="20"/>
          <w:szCs w:val="20"/>
          <w:color w:val="auto"/>
        </w:rPr>
      </w:pPr>
      <w:r>
        <w:rPr>
          <w:rFonts w:ascii="Arial" w:cs="Arial" w:eastAsia="Arial" w:hAnsi="Arial"/>
          <w:sz w:val="20"/>
          <w:szCs w:val="20"/>
          <w:color w:val="auto"/>
        </w:rPr>
        <w:t>FORM 10-Q</w:t>
      </w:r>
    </w:p>
    <w:p>
      <w:pPr>
        <w:jc w:val="center"/>
        <w:ind w:right="-19"/>
        <w:spacing w:after="0" w:line="226" w:lineRule="auto"/>
        <w:rPr>
          <w:sz w:val="20"/>
          <w:szCs w:val="20"/>
          <w:color w:val="auto"/>
        </w:rPr>
      </w:pPr>
      <w:r>
        <w:rPr>
          <w:rFonts w:ascii="Arial" w:cs="Arial" w:eastAsia="Arial" w:hAnsi="Arial"/>
          <w:sz w:val="20"/>
          <w:szCs w:val="20"/>
          <w:color w:val="auto"/>
        </w:rPr>
        <w:t>For the Quarter Ended March 31, 2026</w:t>
      </w:r>
    </w:p>
    <w:p>
      <w:pPr>
        <w:jc w:val="center"/>
        <w:ind w:right="-19"/>
        <w:spacing w:after="0" w:line="225" w:lineRule="auto"/>
        <w:rPr>
          <w:sz w:val="20"/>
          <w:szCs w:val="20"/>
          <w:color w:val="auto"/>
        </w:rPr>
      </w:pPr>
      <w:r>
        <w:rPr>
          <w:rFonts w:ascii="Arial" w:cs="Arial" w:eastAsia="Arial" w:hAnsi="Arial"/>
          <w:sz w:val="20"/>
          <w:szCs w:val="20"/>
          <w:color w:val="auto"/>
        </w:rPr>
        <w:t>PART II. OTHER INFORMATION</w:t>
      </w:r>
    </w:p>
    <w:p>
      <w:pPr>
        <w:jc w:val="center"/>
        <w:ind w:right="-19"/>
        <w:spacing w:after="0"/>
        <w:rPr>
          <w:sz w:val="20"/>
          <w:szCs w:val="20"/>
          <w:color w:val="auto"/>
        </w:rPr>
      </w:pPr>
      <w:r>
        <w:rPr>
          <w:rFonts w:ascii="Arial" w:cs="Arial" w:eastAsia="Arial" w:hAnsi="Arial"/>
          <w:sz w:val="20"/>
          <w:szCs w:val="20"/>
          <w:color w:val="auto"/>
        </w:rPr>
        <w:t>(Continued)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5. Other Information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50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jc w:val="center"/>
        <w:ind w:right="-19"/>
        <w:spacing w:after="0" w:line="225" w:lineRule="auto"/>
        <w:rPr>
          <w:sz w:val="20"/>
          <w:szCs w:val="20"/>
          <w:color w:val="auto"/>
        </w:rPr>
      </w:pPr>
      <w:r>
        <w:rPr>
          <w:rFonts w:ascii="Arial" w:cs="Arial" w:eastAsia="Arial" w:hAnsi="Arial"/>
          <w:sz w:val="20"/>
          <w:szCs w:val="20"/>
          <w:color w:val="auto"/>
        </w:rPr>
        <w:t>For the Quarter Ended March 31, 2026</w:t>
      </w:r>
    </w:p>
    <w:p>
      <w:pPr>
        <w:jc w:val="center"/>
        <w:ind w:right="-19"/>
        <w:spacing w:after="0" w:line="225" w:lineRule="auto"/>
        <w:rPr>
          <w:sz w:val="20"/>
          <w:szCs w:val="20"/>
          <w:color w:val="auto"/>
        </w:rPr>
      </w:pPr>
      <w:r>
        <w:rPr>
          <w:rFonts w:ascii="Arial" w:cs="Arial" w:eastAsia="Arial" w:hAnsi="Arial"/>
          <w:sz w:val="20"/>
          <w:szCs w:val="20"/>
          <w:color w:val="auto"/>
        </w:rPr>
        <w:t>PART II. OTHER INFORMATION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(Continued)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6. Exhibits.</w:t>
      </w:r>
    </w:p>
    <w:p>
      <w:pPr>
        <w:sectPr>
          <w:pgSz w:w="11900" w:h="16838" w:orient="portrait"/>
          <w:cols w:equalWidth="0" w:num="1">
            <w:col w:w="11220"/>
          </w:cols>
          <w:pgMar w:left="320" w:top="766" w:right="359" w:bottom="1440" w:gutter="0" w:footer="0" w:header="0"/>
        </w:sect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9"/>
          <w:szCs w:val="19"/>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1470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31.01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14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14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62490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Certification dated April 30, 2026 of Chief Executive Officer pursuant to Securities and Exchange Act of 1934 Rule 13a-14 as adopted pursuant to Section 302 of the Sarbanes-Oxley Act of 2002</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Certification dated April 30, 2026 of Chief Financial Officer pursuant to Securities and Exchange Act of 1934 Rule 13a-14 as adopted pursuant to Section 302 of the Sarbanes-Oxley Act of 2002</w:t>
      </w:r>
    </w:p>
    <w:p>
      <w:pPr>
        <w:spacing w:after="0" w:line="61" w:lineRule="exact"/>
        <w:rPr>
          <w:sz w:val="20"/>
          <w:szCs w:val="20"/>
          <w:color w:val="auto"/>
        </w:rPr>
      </w:pPr>
    </w:p>
    <w:p>
      <w:pPr>
        <w:sectPr>
          <w:pgSz w:w="11900" w:h="16838" w:orient="portrait"/>
          <w:cols w:equalWidth="0" w:num="2">
            <w:col w:w="1120" w:space="280"/>
            <w:col w:w="9820"/>
          </w:cols>
          <w:pgMar w:left="320" w:top="766" w:right="359" w:bottom="1440" w:gutter="0" w:footer="0" w:header="0"/>
          <w:type w:val="continuous"/>
        </w:sectPr>
      </w:pPr>
    </w:p>
    <w:p>
      <w:pPr>
        <w:ind w:left="1400" w:hanging="1389"/>
        <w:spacing w:after="0" w:line="257" w:lineRule="auto"/>
        <w:tabs>
          <w:tab w:leader="none" w:pos="1380" w:val="left"/>
        </w:tabs>
        <w:rPr>
          <w:sz w:val="20"/>
          <w:szCs w:val="20"/>
          <w:color w:val="auto"/>
        </w:rPr>
      </w:pPr>
      <w:r>
        <w:rPr>
          <w:rFonts w:ascii="Arial" w:cs="Arial" w:eastAsia="Arial" w:hAnsi="Arial"/>
          <w:sz w:val="20"/>
          <w:szCs w:val="20"/>
          <w:u w:val="single" w:color="auto"/>
          <w:color w:val="0000FF"/>
        </w:rPr>
        <w:t>32.01</w:t>
      </w:r>
      <w:r>
        <w:rPr>
          <w:sz w:val="20"/>
          <w:szCs w:val="20"/>
          <w:color w:val="auto"/>
        </w:rPr>
        <w:tab/>
      </w:r>
      <w:r>
        <w:rPr>
          <w:rFonts w:ascii="Arial" w:cs="Arial" w:eastAsia="Arial" w:hAnsi="Arial"/>
          <w:sz w:val="20"/>
          <w:szCs w:val="20"/>
          <w:color w:val="auto"/>
        </w:rPr>
        <w:t>Written Statement dated April 30, 2026 of Chief Executive Officer required by 18 U.S.C.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3143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41" w:lineRule="exact"/>
        <w:rPr>
          <w:sz w:val="20"/>
          <w:szCs w:val="20"/>
          <w:color w:val="auto"/>
        </w:rPr>
      </w:pPr>
    </w:p>
    <w:p>
      <w:pPr>
        <w:ind w:left="1400" w:hanging="1389"/>
        <w:spacing w:after="0" w:line="257" w:lineRule="auto"/>
        <w:tabs>
          <w:tab w:leader="none" w:pos="1380" w:val="left"/>
        </w:tabs>
        <w:rPr>
          <w:sz w:val="20"/>
          <w:szCs w:val="20"/>
          <w:color w:val="auto"/>
        </w:rPr>
      </w:pPr>
      <w:r>
        <w:rPr>
          <w:rFonts w:ascii="Arial" w:cs="Arial" w:eastAsia="Arial" w:hAnsi="Arial"/>
          <w:sz w:val="20"/>
          <w:szCs w:val="20"/>
          <w:u w:val="single" w:color="auto"/>
          <w:color w:val="0000FF"/>
        </w:rPr>
        <w:t>32.02</w:t>
      </w:r>
      <w:r>
        <w:rPr>
          <w:sz w:val="20"/>
          <w:szCs w:val="20"/>
          <w:color w:val="auto"/>
        </w:rPr>
        <w:tab/>
      </w:r>
      <w:r>
        <w:rPr>
          <w:rFonts w:ascii="Arial" w:cs="Arial" w:eastAsia="Arial" w:hAnsi="Arial"/>
          <w:sz w:val="20"/>
          <w:szCs w:val="20"/>
          <w:color w:val="auto"/>
        </w:rPr>
        <w:t>Written Statement dated April 30, 2026 of Chief Financial Officer required by 18 U.S.C.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314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41" w:lineRule="exact"/>
        <w:rPr>
          <w:sz w:val="20"/>
          <w:szCs w:val="20"/>
          <w:color w:val="auto"/>
        </w:rPr>
      </w:pPr>
    </w:p>
    <w:p>
      <w:pPr>
        <w:ind w:left="1400" w:hanging="1392"/>
        <w:spacing w:after="0"/>
        <w:tabs>
          <w:tab w:leader="none" w:pos="1400" w:val="left"/>
        </w:tabs>
        <w:numPr>
          <w:ilvl w:val="0"/>
          <w:numId w:val="24"/>
        </w:numPr>
        <w:rPr>
          <w:rFonts w:ascii="Arial" w:cs="Arial" w:eastAsia="Arial" w:hAnsi="Arial"/>
          <w:sz w:val="20"/>
          <w:szCs w:val="20"/>
          <w:u w:val="single" w:color="auto"/>
          <w:color w:val="0000FF"/>
        </w:rPr>
      </w:pPr>
      <w:r>
        <w:rPr>
          <w:rFonts w:ascii="Arial" w:cs="Arial" w:eastAsia="Arial" w:hAnsi="Arial"/>
          <w:sz w:val="20"/>
          <w:szCs w:val="20"/>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397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20"/>
                <w:szCs w:val="20"/>
                <w:color w:val="auto"/>
              </w:rPr>
              <w:t>101.INS</w:t>
            </w:r>
          </w:p>
        </w:tc>
        <w:tc>
          <w:tcPr>
            <w:tcW w:w="10120" w:type="dxa"/>
            <w:vAlign w:val="bottom"/>
          </w:tcPr>
          <w:p>
            <w:pPr>
              <w:ind w:left="300"/>
              <w:spacing w:after="0"/>
              <w:rPr>
                <w:sz w:val="20"/>
                <w:szCs w:val="20"/>
                <w:color w:val="auto"/>
              </w:rPr>
            </w:pPr>
            <w:r>
              <w:rPr>
                <w:rFonts w:ascii="Arial" w:cs="Arial" w:eastAsia="Arial" w:hAnsi="Arial"/>
                <w:sz w:val="20"/>
                <w:szCs w:val="20"/>
                <w:color w:val="auto"/>
                <w:w w:val="99"/>
              </w:rPr>
              <w:t>Inline XBRL Instance Document – The instance document does not appear in the Interactive Data File because</w:t>
            </w:r>
          </w:p>
        </w:tc>
      </w:tr>
      <w:tr>
        <w:trPr>
          <w:trHeight w:val="261"/>
        </w:trPr>
        <w:tc>
          <w:tcPr>
            <w:tcW w:w="1100" w:type="dxa"/>
            <w:vAlign w:val="bottom"/>
          </w:tcPr>
          <w:p>
            <w:pPr>
              <w:spacing w:after="0"/>
              <w:rPr>
                <w:sz w:val="22"/>
                <w:szCs w:val="22"/>
                <w:color w:val="auto"/>
              </w:rPr>
            </w:pPr>
          </w:p>
        </w:tc>
        <w:tc>
          <w:tcPr>
            <w:tcW w:w="10120" w:type="dxa"/>
            <w:vAlign w:val="bottom"/>
          </w:tcPr>
          <w:p>
            <w:pPr>
              <w:ind w:left="300"/>
              <w:spacing w:after="0"/>
              <w:rPr>
                <w:sz w:val="20"/>
                <w:szCs w:val="20"/>
                <w:color w:val="auto"/>
              </w:rPr>
            </w:pPr>
            <w:r>
              <w:rPr>
                <w:rFonts w:ascii="Arial" w:cs="Arial" w:eastAsia="Arial" w:hAnsi="Arial"/>
                <w:sz w:val="20"/>
                <w:szCs w:val="20"/>
                <w:color w:val="auto"/>
              </w:rPr>
              <w:t>its XBRL tags are embedded within the Inline XBRL document.</w:t>
            </w:r>
          </w:p>
        </w:tc>
      </w:tr>
      <w:tr>
        <w:trPr>
          <w:trHeight w:val="338"/>
        </w:trPr>
        <w:tc>
          <w:tcPr>
            <w:tcW w:w="1100" w:type="dxa"/>
            <w:vAlign w:val="bottom"/>
          </w:tcPr>
          <w:p>
            <w:pPr>
              <w:spacing w:after="0"/>
              <w:rPr>
                <w:sz w:val="20"/>
                <w:szCs w:val="20"/>
                <w:color w:val="auto"/>
              </w:rPr>
            </w:pPr>
            <w:r>
              <w:rPr>
                <w:rFonts w:ascii="Arial" w:cs="Arial" w:eastAsia="Arial" w:hAnsi="Arial"/>
                <w:sz w:val="20"/>
                <w:szCs w:val="20"/>
                <w:color w:val="auto"/>
              </w:rPr>
              <w:t>101.SCH</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Schema Document</w:t>
            </w:r>
          </w:p>
        </w:tc>
      </w:tr>
      <w:tr>
        <w:trPr>
          <w:trHeight w:val="337"/>
        </w:trPr>
        <w:tc>
          <w:tcPr>
            <w:tcW w:w="1100" w:type="dxa"/>
            <w:vAlign w:val="bottom"/>
          </w:tcPr>
          <w:p>
            <w:pPr>
              <w:spacing w:after="0"/>
              <w:rPr>
                <w:sz w:val="20"/>
                <w:szCs w:val="20"/>
                <w:color w:val="auto"/>
              </w:rPr>
            </w:pPr>
            <w:r>
              <w:rPr>
                <w:rFonts w:ascii="Arial" w:cs="Arial" w:eastAsia="Arial" w:hAnsi="Arial"/>
                <w:sz w:val="20"/>
                <w:szCs w:val="20"/>
                <w:color w:val="auto"/>
              </w:rPr>
              <w:t>101.CAL</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38"/>
        </w:trPr>
        <w:tc>
          <w:tcPr>
            <w:tcW w:w="1100" w:type="dxa"/>
            <w:vAlign w:val="bottom"/>
          </w:tcPr>
          <w:p>
            <w:pPr>
              <w:spacing w:after="0"/>
              <w:rPr>
                <w:sz w:val="20"/>
                <w:szCs w:val="20"/>
                <w:color w:val="auto"/>
              </w:rPr>
            </w:pPr>
            <w:r>
              <w:rPr>
                <w:rFonts w:ascii="Arial" w:cs="Arial" w:eastAsia="Arial" w:hAnsi="Arial"/>
                <w:sz w:val="20"/>
                <w:szCs w:val="20"/>
                <w:color w:val="auto"/>
              </w:rPr>
              <w:t>101.LAB</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38"/>
        </w:trPr>
        <w:tc>
          <w:tcPr>
            <w:tcW w:w="1100" w:type="dxa"/>
            <w:vAlign w:val="bottom"/>
          </w:tcPr>
          <w:p>
            <w:pPr>
              <w:spacing w:after="0"/>
              <w:rPr>
                <w:sz w:val="20"/>
                <w:szCs w:val="20"/>
                <w:color w:val="auto"/>
              </w:rPr>
            </w:pPr>
            <w:r>
              <w:rPr>
                <w:rFonts w:ascii="Arial" w:cs="Arial" w:eastAsia="Arial" w:hAnsi="Arial"/>
                <w:sz w:val="20"/>
                <w:szCs w:val="20"/>
                <w:color w:val="auto"/>
              </w:rPr>
              <w:t>101.PRE</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38"/>
        </w:trPr>
        <w:tc>
          <w:tcPr>
            <w:tcW w:w="1100" w:type="dxa"/>
            <w:vAlign w:val="bottom"/>
          </w:tcPr>
          <w:p>
            <w:pPr>
              <w:spacing w:after="0"/>
              <w:rPr>
                <w:sz w:val="20"/>
                <w:szCs w:val="20"/>
                <w:color w:val="auto"/>
              </w:rPr>
            </w:pPr>
            <w:r>
              <w:rPr>
                <w:rFonts w:ascii="Arial" w:cs="Arial" w:eastAsia="Arial" w:hAnsi="Arial"/>
                <w:sz w:val="20"/>
                <w:szCs w:val="20"/>
                <w:color w:val="auto"/>
              </w:rPr>
              <w:t>101.DEF</w:t>
            </w:r>
          </w:p>
        </w:tc>
        <w:tc>
          <w:tcPr>
            <w:tcW w:w="10120" w:type="dxa"/>
            <w:vAlign w:val="bottom"/>
          </w:tcPr>
          <w:p>
            <w:pPr>
              <w:ind w:left="300"/>
              <w:spacing w:after="0"/>
              <w:rPr>
                <w:sz w:val="20"/>
                <w:szCs w:val="20"/>
                <w:color w:val="auto"/>
              </w:rPr>
            </w:pPr>
            <w:r>
              <w:rPr>
                <w:rFonts w:ascii="Arial" w:cs="Arial" w:eastAsia="Arial" w:hAnsi="Arial"/>
                <w:sz w:val="20"/>
                <w:szCs w:val="20"/>
                <w:color w:val="auto"/>
              </w:rPr>
              <w:t>Inline XBRL Taxonomy Extension Definition Linkbase</w:t>
            </w:r>
          </w:p>
        </w:tc>
      </w:tr>
    </w:tbl>
    <w:p>
      <w:pPr>
        <w:spacing w:after="0" w:line="76" w:lineRule="exact"/>
        <w:rPr>
          <w:sz w:val="20"/>
          <w:szCs w:val="20"/>
          <w:color w:val="auto"/>
        </w:rPr>
      </w:pPr>
    </w:p>
    <w:p>
      <w:pPr>
        <w:ind w:left="1400" w:hanging="1392"/>
        <w:spacing w:after="0"/>
        <w:tabs>
          <w:tab w:leader="none" w:pos="14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5" w:lineRule="exact"/>
        <w:rPr>
          <w:rFonts w:ascii="Arial" w:cs="Arial" w:eastAsia="Arial" w:hAnsi="Arial"/>
          <w:sz w:val="20"/>
          <w:szCs w:val="20"/>
          <w:color w:val="auto"/>
        </w:rPr>
      </w:pPr>
    </w:p>
    <w:p>
      <w:pPr>
        <w:ind w:left="5000"/>
        <w:spacing w:after="0"/>
        <w:rPr>
          <w:rFonts w:ascii="Arial" w:cs="Arial" w:eastAsia="Arial" w:hAnsi="Arial"/>
          <w:sz w:val="20"/>
          <w:szCs w:val="20"/>
          <w:color w:val="auto"/>
        </w:rPr>
      </w:pPr>
      <w:r>
        <w:rPr>
          <w:rFonts w:ascii="Arial" w:cs="Arial" w:eastAsia="Arial" w:hAnsi="Arial"/>
          <w:sz w:val="20"/>
          <w:szCs w:val="20"/>
          <w:color w:val="auto"/>
        </w:rPr>
        <w:t>Page 51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20"/>
          <w:szCs w:val="20"/>
          <w:color w:val="auto"/>
        </w:rPr>
        <w:t>SIGNATURES</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MARTIN MARIETTA MATERIALS, INC.</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(Registrant)</w:t>
      </w:r>
    </w:p>
    <w:p>
      <w:pPr>
        <w:spacing w:after="0" w:line="184" w:lineRule="exact"/>
        <w:rPr>
          <w:sz w:val="20"/>
          <w:szCs w:val="20"/>
          <w:color w:val="auto"/>
        </w:rPr>
      </w:pPr>
    </w:p>
    <w:p>
      <w:pPr>
        <w:spacing w:after="0"/>
        <w:tabs>
          <w:tab w:leader="none" w:pos="5720" w:val="left"/>
        </w:tabs>
        <w:rPr>
          <w:sz w:val="20"/>
          <w:szCs w:val="20"/>
          <w:color w:val="auto"/>
        </w:rPr>
      </w:pPr>
      <w:r>
        <w:rPr>
          <w:rFonts w:ascii="Arial" w:cs="Arial" w:eastAsia="Arial" w:hAnsi="Arial"/>
          <w:sz w:val="20"/>
          <w:szCs w:val="20"/>
          <w:color w:val="auto"/>
        </w:rPr>
        <w:t>Date: April 30, 2026</w:t>
      </w:r>
      <w:r>
        <w:rPr>
          <w:sz w:val="20"/>
          <w:szCs w:val="20"/>
          <w:color w:val="auto"/>
        </w:rPr>
        <w:tab/>
      </w:r>
      <w:r>
        <w:rPr>
          <w:rFonts w:ascii="Arial" w:cs="Arial" w:eastAsia="Arial" w:hAnsi="Arial"/>
          <w:sz w:val="20"/>
          <w:szCs w:val="20"/>
          <w:color w:val="auto"/>
        </w:rPr>
        <w:t>By:  /s/ 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5080</wp:posOffset>
            </wp:positionV>
            <wp:extent cx="32061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0"/>
          <w:szCs w:val="20"/>
          <w:color w:val="auto"/>
        </w:rPr>
        <w:t>Michael J. Petro</w:t>
      </w:r>
    </w:p>
    <w:p>
      <w:pPr>
        <w:ind w:left="6200"/>
        <w:spacing w:after="0" w:line="225" w:lineRule="auto"/>
        <w:rPr>
          <w:sz w:val="20"/>
          <w:szCs w:val="20"/>
          <w:color w:val="auto"/>
        </w:rPr>
      </w:pPr>
      <w:r>
        <w:rPr>
          <w:rFonts w:ascii="Arial" w:cs="Arial" w:eastAsia="Arial" w:hAnsi="Arial"/>
          <w:sz w:val="20"/>
          <w:szCs w:val="20"/>
          <w:color w:val="auto"/>
        </w:rPr>
        <w:t>Senior Vice President and Chief Financial Officer</w:t>
      </w:r>
    </w:p>
    <w:p>
      <w:pPr>
        <w:ind w:left="6200"/>
        <w:spacing w:after="0"/>
        <w:rPr>
          <w:sz w:val="20"/>
          <w:szCs w:val="20"/>
          <w:color w:val="auto"/>
        </w:rPr>
      </w:pPr>
      <w:r>
        <w:rPr>
          <w:rFonts w:ascii="Arial" w:cs="Arial" w:eastAsia="Arial" w:hAnsi="Arial"/>
          <w:sz w:val="20"/>
          <w:szCs w:val="20"/>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52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18"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02" w:lineRule="exact"/>
        <w:rPr>
          <w:sz w:val="20"/>
          <w:szCs w:val="20"/>
          <w:color w:val="auto"/>
        </w:rPr>
      </w:pPr>
    </w:p>
    <w:p>
      <w:pPr>
        <w:ind w:left="1140" w:hanging="383"/>
        <w:spacing w:after="0"/>
        <w:tabs>
          <w:tab w:leader="none" w:pos="1140" w:val="left"/>
        </w:tabs>
        <w:numPr>
          <w:ilvl w:val="0"/>
          <w:numId w:val="26"/>
        </w:numPr>
        <w:rPr>
          <w:rFonts w:ascii="Calibri" w:cs="Calibri" w:eastAsia="Calibri" w:hAnsi="Calibri"/>
          <w:sz w:val="20"/>
          <w:szCs w:val="20"/>
          <w:color w:val="auto"/>
        </w:rPr>
      </w:pPr>
      <w:r>
        <w:rPr>
          <w:rFonts w:ascii="Arial" w:cs="Arial" w:eastAsia="Arial" w:hAnsi="Arial"/>
          <w:sz w:val="20"/>
          <w:szCs w:val="20"/>
          <w:color w:val="auto"/>
        </w:rPr>
        <w:t>I have reviewed this Form 10-Q of Martin Marietta Materials, Inc.;</w:t>
      </w:r>
    </w:p>
    <w:p>
      <w:pPr>
        <w:spacing w:after="0" w:line="228"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26"/>
        </w:numPr>
        <w:rPr>
          <w:rFonts w:ascii="Calibri" w:cs="Calibri" w:eastAsia="Calibri" w:hAnsi="Calibri"/>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26"/>
        </w:numPr>
        <w:rPr>
          <w:rFonts w:ascii="Calibri" w:cs="Calibri" w:eastAsia="Calibri" w:hAnsi="Calibri"/>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26"/>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26"/>
        </w:numPr>
        <w:rPr>
          <w:rFonts w:ascii="Calibri" w:cs="Calibri" w:eastAsia="Calibri" w:hAnsi="Calibri"/>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26"/>
        </w:numPr>
        <w:rPr>
          <w:rFonts w:ascii="Calibri" w:cs="Calibri" w:eastAsia="Calibri" w:hAnsi="Calibri"/>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3"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26"/>
        </w:numPr>
        <w:rPr>
          <w:rFonts w:ascii="Calibri" w:cs="Calibri" w:eastAsia="Calibri" w:hAnsi="Calibri"/>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26"/>
        </w:numPr>
        <w:rPr>
          <w:rFonts w:ascii="Calibri" w:cs="Calibri" w:eastAsia="Calibri" w:hAnsi="Calibri"/>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140" w:hanging="383"/>
        <w:spacing w:after="0" w:line="236" w:lineRule="auto"/>
        <w:tabs>
          <w:tab w:leader="none" w:pos="1140" w:val="left"/>
        </w:tabs>
        <w:numPr>
          <w:ilvl w:val="0"/>
          <w:numId w:val="27"/>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27"/>
        </w:numPr>
        <w:rPr>
          <w:rFonts w:ascii="Calibri" w:cs="Calibri" w:eastAsia="Calibri" w:hAnsi="Calibri"/>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Calibri" w:cs="Calibri" w:eastAsia="Calibri" w:hAnsi="Calibri"/>
          <w:sz w:val="20"/>
          <w:szCs w:val="20"/>
          <w:color w:val="auto"/>
        </w:rPr>
      </w:pPr>
    </w:p>
    <w:p>
      <w:pPr>
        <w:ind w:left="1880" w:hanging="375"/>
        <w:spacing w:after="0" w:line="243" w:lineRule="auto"/>
        <w:tabs>
          <w:tab w:leader="none" w:pos="1880" w:val="left"/>
        </w:tabs>
        <w:numPr>
          <w:ilvl w:val="1"/>
          <w:numId w:val="27"/>
        </w:numPr>
        <w:rPr>
          <w:rFonts w:ascii="Calibri" w:cs="Calibri" w:eastAsia="Calibri" w:hAnsi="Calibri"/>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400" w:lineRule="exact"/>
        <w:rPr>
          <w:sz w:val="20"/>
          <w:szCs w:val="20"/>
          <w:color w:val="auto"/>
        </w:rPr>
      </w:pPr>
    </w:p>
    <w:p>
      <w:pPr>
        <w:spacing w:after="0"/>
        <w:tabs>
          <w:tab w:leader="none" w:pos="6640" w:val="left"/>
          <w:tab w:leader="none" w:pos="7180" w:val="left"/>
        </w:tabs>
        <w:rPr>
          <w:sz w:val="20"/>
          <w:szCs w:val="20"/>
          <w:color w:val="auto"/>
        </w:rPr>
      </w:pPr>
      <w:r>
        <w:rPr>
          <w:rFonts w:ascii="Arial" w:cs="Arial" w:eastAsia="Arial" w:hAnsi="Arial"/>
          <w:sz w:val="20"/>
          <w:szCs w:val="20"/>
          <w:color w:val="auto"/>
        </w:rPr>
        <w:t>Date: April 30,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5080</wp:posOffset>
            </wp:positionV>
            <wp:extent cx="25628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200"/>
        <w:spacing w:after="0"/>
        <w:rPr>
          <w:sz w:val="20"/>
          <w:szCs w:val="20"/>
          <w:color w:val="auto"/>
        </w:rPr>
      </w:pPr>
      <w:r>
        <w:rPr>
          <w:rFonts w:ascii="Arial" w:cs="Arial" w:eastAsia="Arial" w:hAnsi="Arial"/>
          <w:sz w:val="20"/>
          <w:szCs w:val="20"/>
          <w:color w:val="auto"/>
        </w:rPr>
        <w:t>C. Howard Nye</w:t>
      </w:r>
    </w:p>
    <w:p>
      <w:pPr>
        <w:ind w:left="7200"/>
        <w:spacing w:after="0" w:line="225" w:lineRule="auto"/>
        <w:rPr>
          <w:sz w:val="20"/>
          <w:szCs w:val="20"/>
          <w:color w:val="auto"/>
        </w:rPr>
      </w:pPr>
      <w:r>
        <w:rPr>
          <w:rFonts w:ascii="Arial" w:cs="Arial" w:eastAsia="Arial" w:hAnsi="Arial"/>
          <w:sz w:val="20"/>
          <w:szCs w:val="20"/>
          <w:color w:val="auto"/>
        </w:rPr>
        <w:t>Chair, President and</w:t>
      </w:r>
    </w:p>
    <w:p>
      <w:pPr>
        <w:ind w:left="736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18"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I, Michael J. Petro, certify that:</w:t>
      </w:r>
    </w:p>
    <w:p>
      <w:pPr>
        <w:spacing w:after="0" w:line="202" w:lineRule="exact"/>
        <w:rPr>
          <w:sz w:val="20"/>
          <w:szCs w:val="20"/>
          <w:color w:val="auto"/>
        </w:rPr>
      </w:pPr>
    </w:p>
    <w:p>
      <w:pPr>
        <w:ind w:left="1140" w:hanging="383"/>
        <w:spacing w:after="0"/>
        <w:tabs>
          <w:tab w:leader="none" w:pos="1140" w:val="left"/>
        </w:tabs>
        <w:numPr>
          <w:ilvl w:val="0"/>
          <w:numId w:val="28"/>
        </w:numPr>
        <w:rPr>
          <w:rFonts w:ascii="Calibri" w:cs="Calibri" w:eastAsia="Calibri" w:hAnsi="Calibri"/>
          <w:sz w:val="20"/>
          <w:szCs w:val="20"/>
          <w:color w:val="auto"/>
        </w:rPr>
      </w:pPr>
      <w:r>
        <w:rPr>
          <w:rFonts w:ascii="Arial" w:cs="Arial" w:eastAsia="Arial" w:hAnsi="Arial"/>
          <w:sz w:val="20"/>
          <w:szCs w:val="20"/>
          <w:color w:val="auto"/>
        </w:rPr>
        <w:t>I have reviewed this Form 10-Q of Martin Marietta Materials, Inc.;</w:t>
      </w:r>
    </w:p>
    <w:p>
      <w:pPr>
        <w:spacing w:after="0" w:line="228"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28"/>
        </w:numPr>
        <w:rPr>
          <w:rFonts w:ascii="Calibri" w:cs="Calibri" w:eastAsia="Calibri" w:hAnsi="Calibri"/>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28"/>
        </w:numPr>
        <w:rPr>
          <w:rFonts w:ascii="Calibri" w:cs="Calibri" w:eastAsia="Calibri" w:hAnsi="Calibri"/>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7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28"/>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28"/>
        </w:numPr>
        <w:rPr>
          <w:rFonts w:ascii="Calibri" w:cs="Calibri" w:eastAsia="Calibri" w:hAnsi="Calibri"/>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28"/>
        </w:numPr>
        <w:rPr>
          <w:rFonts w:ascii="Calibri" w:cs="Calibri" w:eastAsia="Calibri" w:hAnsi="Calibri"/>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3"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28"/>
        </w:numPr>
        <w:rPr>
          <w:rFonts w:ascii="Calibri" w:cs="Calibri" w:eastAsia="Calibri" w:hAnsi="Calibri"/>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Calibri" w:cs="Calibri" w:eastAsia="Calibri" w:hAnsi="Calibri"/>
          <w:sz w:val="20"/>
          <w:szCs w:val="20"/>
          <w:color w:val="auto"/>
        </w:rPr>
      </w:pPr>
    </w:p>
    <w:p>
      <w:pPr>
        <w:jc w:val="both"/>
        <w:ind w:left="1880" w:hanging="375"/>
        <w:spacing w:after="0" w:line="233" w:lineRule="auto"/>
        <w:tabs>
          <w:tab w:leader="none" w:pos="1880" w:val="left"/>
        </w:tabs>
        <w:numPr>
          <w:ilvl w:val="1"/>
          <w:numId w:val="28"/>
        </w:numPr>
        <w:rPr>
          <w:rFonts w:ascii="Calibri" w:cs="Calibri" w:eastAsia="Calibri" w:hAnsi="Calibri"/>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140" w:hanging="383"/>
        <w:spacing w:after="0" w:line="236" w:lineRule="auto"/>
        <w:tabs>
          <w:tab w:leader="none" w:pos="1140" w:val="left"/>
        </w:tabs>
        <w:numPr>
          <w:ilvl w:val="0"/>
          <w:numId w:val="29"/>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Calibri" w:cs="Calibri" w:eastAsia="Calibri" w:hAnsi="Calibri"/>
          <w:sz w:val="20"/>
          <w:szCs w:val="20"/>
          <w:color w:val="auto"/>
        </w:rPr>
      </w:pPr>
    </w:p>
    <w:p>
      <w:pPr>
        <w:jc w:val="both"/>
        <w:ind w:left="1880" w:hanging="375"/>
        <w:spacing w:after="0" w:line="236" w:lineRule="auto"/>
        <w:tabs>
          <w:tab w:leader="none" w:pos="1880" w:val="left"/>
        </w:tabs>
        <w:numPr>
          <w:ilvl w:val="1"/>
          <w:numId w:val="29"/>
        </w:numPr>
        <w:rPr>
          <w:rFonts w:ascii="Calibri" w:cs="Calibri" w:eastAsia="Calibri" w:hAnsi="Calibri"/>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Calibri" w:cs="Calibri" w:eastAsia="Calibri" w:hAnsi="Calibri"/>
          <w:sz w:val="20"/>
          <w:szCs w:val="20"/>
          <w:color w:val="auto"/>
        </w:rPr>
      </w:pPr>
    </w:p>
    <w:p>
      <w:pPr>
        <w:ind w:left="1880" w:hanging="375"/>
        <w:spacing w:after="0" w:line="243" w:lineRule="auto"/>
        <w:tabs>
          <w:tab w:leader="none" w:pos="1880" w:val="left"/>
        </w:tabs>
        <w:numPr>
          <w:ilvl w:val="1"/>
          <w:numId w:val="29"/>
        </w:numPr>
        <w:rPr>
          <w:rFonts w:ascii="Calibri" w:cs="Calibri" w:eastAsia="Calibri" w:hAnsi="Calibri"/>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spacing w:after="0"/>
        <w:tabs>
          <w:tab w:leader="none" w:pos="5180" w:val="left"/>
        </w:tabs>
        <w:rPr>
          <w:sz w:val="20"/>
          <w:szCs w:val="20"/>
          <w:color w:val="auto"/>
        </w:rPr>
      </w:pPr>
      <w:r>
        <w:rPr>
          <w:rFonts w:ascii="Arial" w:cs="Arial" w:eastAsia="Arial" w:hAnsi="Arial"/>
          <w:sz w:val="20"/>
          <w:szCs w:val="20"/>
          <w:color w:val="auto"/>
        </w:rPr>
        <w:t>Date: April 30, 2026</w:t>
      </w:r>
      <w:r>
        <w:rPr>
          <w:sz w:val="20"/>
          <w:szCs w:val="20"/>
          <w:color w:val="auto"/>
        </w:rPr>
        <w:tab/>
      </w:r>
      <w:r>
        <w:rPr>
          <w:rFonts w:ascii="Arial" w:cs="Arial" w:eastAsia="Arial" w:hAnsi="Arial"/>
          <w:sz w:val="19"/>
          <w:szCs w:val="19"/>
          <w:color w:val="auto"/>
        </w:rPr>
        <w:t>By:  /s/ 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5080</wp:posOffset>
            </wp:positionV>
            <wp:extent cx="3566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Michael J. Petro</w:t>
      </w:r>
    </w:p>
    <w:p>
      <w:pPr>
        <w:ind w:left="5620"/>
        <w:spacing w:after="0"/>
        <w:rPr>
          <w:sz w:val="20"/>
          <w:szCs w:val="20"/>
          <w:color w:val="auto"/>
        </w:rPr>
      </w:pPr>
      <w:r>
        <w:rPr>
          <w:rFonts w:ascii="Arial" w:cs="Arial" w:eastAsia="Arial" w:hAnsi="Arial"/>
          <w:sz w:val="20"/>
          <w:szCs w:val="20"/>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32.01</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84"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In connection with the Quarterly Report on Form 10-Q for the period ended March 31, 2026 (the “Report”) of Martin Marietta Materials, Inc. (the “Registrant”), as filed with the Securities and Exchange Commission on the date hereof, I, C. Howard Nye, the Chief Executive Officer of the Registrant, certify, to the best of my knowledge, that:</w:t>
      </w:r>
    </w:p>
    <w:p>
      <w:pPr>
        <w:spacing w:after="0" w:line="171" w:lineRule="exact"/>
        <w:rPr>
          <w:sz w:val="20"/>
          <w:szCs w:val="20"/>
          <w:color w:val="auto"/>
        </w:rPr>
      </w:pPr>
    </w:p>
    <w:p>
      <w:pPr>
        <w:ind w:left="1500" w:hanging="743"/>
        <w:spacing w:after="0" w:line="243" w:lineRule="auto"/>
        <w:tabs>
          <w:tab w:leader="none" w:pos="1500" w:val="left"/>
        </w:tabs>
        <w:numPr>
          <w:ilvl w:val="0"/>
          <w:numId w:val="30"/>
        </w:numPr>
        <w:rPr>
          <w:rFonts w:ascii="Calibri" w:cs="Calibri" w:eastAsia="Calibri" w:hAnsi="Calibri"/>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67" w:lineRule="exact"/>
        <w:rPr>
          <w:rFonts w:ascii="Calibri" w:cs="Calibri" w:eastAsia="Calibri" w:hAnsi="Calibri"/>
          <w:sz w:val="20"/>
          <w:szCs w:val="20"/>
          <w:color w:val="auto"/>
        </w:rPr>
      </w:pPr>
    </w:p>
    <w:p>
      <w:pPr>
        <w:ind w:left="1500" w:hanging="743"/>
        <w:spacing w:after="0" w:line="243" w:lineRule="auto"/>
        <w:tabs>
          <w:tab w:leader="none" w:pos="1500" w:val="left"/>
        </w:tabs>
        <w:numPr>
          <w:ilvl w:val="0"/>
          <w:numId w:val="30"/>
        </w:numPr>
        <w:rPr>
          <w:rFonts w:ascii="Calibri" w:cs="Calibri" w:eastAsia="Calibri" w:hAnsi="Calibri"/>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384"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5080</wp:posOffset>
            </wp:positionV>
            <wp:extent cx="28460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ind w:left="6760"/>
        <w:spacing w:after="0" w:line="225" w:lineRule="auto"/>
        <w:rPr>
          <w:sz w:val="20"/>
          <w:szCs w:val="20"/>
          <w:color w:val="auto"/>
        </w:rPr>
      </w:pPr>
      <w:r>
        <w:rPr>
          <w:rFonts w:ascii="Arial" w:cs="Arial" w:eastAsia="Arial" w:hAnsi="Arial"/>
          <w:sz w:val="20"/>
          <w:szCs w:val="20"/>
          <w:color w:val="auto"/>
        </w:rPr>
        <w:t>Chair, President and</w:t>
      </w:r>
    </w:p>
    <w:p>
      <w:pPr>
        <w:ind w:left="6920"/>
        <w:spacing w:after="0"/>
        <w:rPr>
          <w:sz w:val="20"/>
          <w:szCs w:val="20"/>
          <w:color w:val="auto"/>
        </w:rPr>
      </w:pPr>
      <w:r>
        <w:rPr>
          <w:rFonts w:ascii="Arial" w:cs="Arial" w:eastAsia="Arial" w:hAnsi="Arial"/>
          <w:sz w:val="20"/>
          <w:szCs w:val="20"/>
          <w:color w:val="auto"/>
        </w:rPr>
        <w:t>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Dated: April 30, 2026</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1138555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32.02</w:t>
      </w: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184" w:lineRule="exact"/>
        <w:rPr>
          <w:sz w:val="20"/>
          <w:szCs w:val="20"/>
          <w:color w:val="auto"/>
        </w:rPr>
      </w:pPr>
    </w:p>
    <w:p>
      <w:pPr>
        <w:jc w:val="both"/>
        <w:ind w:right="20" w:firstLine="749"/>
        <w:spacing w:after="0" w:line="241" w:lineRule="auto"/>
        <w:rPr>
          <w:sz w:val="20"/>
          <w:szCs w:val="20"/>
          <w:color w:val="auto"/>
        </w:rPr>
      </w:pPr>
      <w:r>
        <w:rPr>
          <w:rFonts w:ascii="Arial" w:cs="Arial" w:eastAsia="Arial" w:hAnsi="Arial"/>
          <w:sz w:val="20"/>
          <w:szCs w:val="20"/>
          <w:color w:val="auto"/>
        </w:rPr>
        <w:t>In connection with the Quarterly Report on Form 10-Q for the period ended March 31, 2026 (the “Report”) of Martin Marietta Materials, Inc. (the “Registrant”), as filed with the Securities and Exchange Commission on the date hereof, I, Michael J. Petro, the Chief Financial Officer of the Registrant, certify, to the best of my knowledge, that:</w:t>
      </w:r>
    </w:p>
    <w:p>
      <w:pPr>
        <w:spacing w:after="0" w:line="171" w:lineRule="exact"/>
        <w:rPr>
          <w:sz w:val="20"/>
          <w:szCs w:val="20"/>
          <w:color w:val="auto"/>
        </w:rPr>
      </w:pPr>
    </w:p>
    <w:p>
      <w:pPr>
        <w:ind w:left="1500" w:hanging="743"/>
        <w:spacing w:after="0" w:line="243" w:lineRule="auto"/>
        <w:tabs>
          <w:tab w:leader="none" w:pos="1500" w:val="left"/>
        </w:tabs>
        <w:numPr>
          <w:ilvl w:val="0"/>
          <w:numId w:val="31"/>
        </w:numPr>
        <w:rPr>
          <w:rFonts w:ascii="Calibri" w:cs="Calibri" w:eastAsia="Calibri" w:hAnsi="Calibri"/>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67" w:lineRule="exact"/>
        <w:rPr>
          <w:rFonts w:ascii="Calibri" w:cs="Calibri" w:eastAsia="Calibri" w:hAnsi="Calibri"/>
          <w:sz w:val="20"/>
          <w:szCs w:val="20"/>
          <w:color w:val="auto"/>
        </w:rPr>
      </w:pPr>
    </w:p>
    <w:p>
      <w:pPr>
        <w:ind w:left="1500" w:hanging="743"/>
        <w:spacing w:after="0" w:line="243" w:lineRule="auto"/>
        <w:tabs>
          <w:tab w:leader="none" w:pos="1500" w:val="left"/>
        </w:tabs>
        <w:numPr>
          <w:ilvl w:val="0"/>
          <w:numId w:val="31"/>
        </w:numPr>
        <w:rPr>
          <w:rFonts w:ascii="Calibri" w:cs="Calibri" w:eastAsia="Calibri" w:hAnsi="Calibri"/>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38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/s/ 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5080</wp:posOffset>
            </wp:positionV>
            <wp:extent cx="36347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20"/>
          <w:szCs w:val="20"/>
          <w:color w:val="auto"/>
        </w:rPr>
        <w:t>Michael J. Petro</w:t>
      </w:r>
    </w:p>
    <w:p>
      <w:pPr>
        <w:ind w:left="5520"/>
        <w:spacing w:after="0"/>
        <w:rPr>
          <w:sz w:val="20"/>
          <w:szCs w:val="20"/>
          <w:color w:val="auto"/>
        </w:rPr>
      </w:pPr>
      <w:r>
        <w:rPr>
          <w:rFonts w:ascii="Arial" w:cs="Arial" w:eastAsia="Arial" w:hAnsi="Arial"/>
          <w:sz w:val="20"/>
          <w:szCs w:val="20"/>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Dated: April 30, 2026</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1138555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operation of the Company’s domestic aggregates quarries and mines is subject to regulation by the federal Mine Safety and Health Administration (MSHA) under the Federal Mine Safety and Health Act of 1977 (the Mine Act). MSHA inspects the Company’s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they are sometimes dismissed.</w:t>
      </w:r>
    </w:p>
    <w:p>
      <w:pPr>
        <w:spacing w:after="0" w:line="17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(i.e.,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Company’s quarries and mines operated outside the United States.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presents the following items regarding certain mining safety and health matters for the three months ended March 31, 2026:</w:t>
      </w:r>
    </w:p>
    <w:p>
      <w:pPr>
        <w:spacing w:after="0" w:line="155" w:lineRule="exact"/>
        <w:rPr>
          <w:sz w:val="20"/>
          <w:szCs w:val="20"/>
          <w:color w:val="auto"/>
        </w:rPr>
      </w:pPr>
    </w:p>
    <w:p>
      <w:pPr>
        <w:jc w:val="both"/>
        <w:ind w:left="380" w:hanging="372"/>
        <w:spacing w:after="0" w:line="246" w:lineRule="auto"/>
        <w:tabs>
          <w:tab w:leader="none" w:pos="380" w:val="left"/>
        </w:tabs>
        <w:numPr>
          <w:ilvl w:val="0"/>
          <w:numId w:val="32"/>
        </w:numPr>
        <w:rPr>
          <w:rFonts w:ascii="Times New Roman" w:cs="Times New Roman" w:eastAsia="Times New Roman" w:hAnsi="Times New Roman"/>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Company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53" w:lineRule="exact"/>
        <w:rPr>
          <w:rFonts w:ascii="Times New Roman" w:cs="Times New Roman" w:eastAsia="Times New Roman" w:hAnsi="Times New Roman"/>
          <w:sz w:val="19"/>
          <w:szCs w:val="19"/>
          <w:b w:val="1"/>
          <w:bCs w:val="1"/>
          <w:color w:val="auto"/>
        </w:rPr>
      </w:pPr>
    </w:p>
    <w:p>
      <w:pPr>
        <w:jc w:val="both"/>
        <w:ind w:left="380" w:hanging="372"/>
        <w:spacing w:after="0" w:line="236" w:lineRule="auto"/>
        <w:tabs>
          <w:tab w:leader="none" w:pos="380" w:val="left"/>
        </w:tabs>
        <w:numPr>
          <w:ilvl w:val="0"/>
          <w:numId w:val="32"/>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32"/>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18" w:lineRule="exact"/>
        <w:rPr>
          <w:sz w:val="20"/>
          <w:szCs w:val="20"/>
          <w:color w:val="auto"/>
        </w:rPr>
      </w:pPr>
    </w:p>
    <w:p>
      <w:pPr>
        <w:jc w:val="both"/>
        <w:ind w:left="380"/>
        <w:spacing w:after="0" w:line="257"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55" w:lineRule="exact"/>
        <w:rPr>
          <w:sz w:val="20"/>
          <w:szCs w:val="20"/>
          <w:color w:val="auto"/>
        </w:rPr>
      </w:pPr>
    </w:p>
    <w:p>
      <w:pPr>
        <w:jc w:val="both"/>
        <w:ind w:left="380" w:hanging="372"/>
        <w:spacing w:after="0" w:line="234" w:lineRule="auto"/>
        <w:tabs>
          <w:tab w:leader="none" w:pos="380" w:val="left"/>
        </w:tabs>
        <w:numPr>
          <w:ilvl w:val="0"/>
          <w:numId w:val="3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4" w:lineRule="auto"/>
        <w:tabs>
          <w:tab w:leader="none" w:pos="380" w:val="left"/>
        </w:tabs>
        <w:numPr>
          <w:ilvl w:val="0"/>
          <w:numId w:val="3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4" w:lineRule="auto"/>
        <w:tabs>
          <w:tab w:leader="none" w:pos="380" w:val="left"/>
        </w:tabs>
        <w:numPr>
          <w:ilvl w:val="0"/>
          <w:numId w:val="3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6" w:lineRule="auto"/>
        <w:tabs>
          <w:tab w:leader="none" w:pos="380" w:val="left"/>
        </w:tabs>
        <w:numPr>
          <w:ilvl w:val="0"/>
          <w:numId w:val="3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74" w:lineRule="exact"/>
        <w:rPr>
          <w:rFonts w:ascii="Times New Roman" w:cs="Times New Roman" w:eastAsia="Times New Roman" w:hAnsi="Times New Roman"/>
          <w:sz w:val="20"/>
          <w:szCs w:val="20"/>
          <w:b w:val="1"/>
          <w:bCs w:val="1"/>
          <w:color w:val="auto"/>
        </w:rPr>
      </w:pPr>
    </w:p>
    <w:p>
      <w:pPr>
        <w:jc w:val="both"/>
        <w:ind w:left="380" w:hanging="372"/>
        <w:spacing w:after="0" w:line="234" w:lineRule="auto"/>
        <w:tabs>
          <w:tab w:leader="none" w:pos="380" w:val="left"/>
        </w:tabs>
        <w:numPr>
          <w:ilvl w:val="0"/>
          <w:numId w:val="3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3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1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3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1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33"/>
        </w:numPr>
        <w:rPr>
          <w:rFonts w:ascii="Times New Roman" w:cs="Times New Roman" w:eastAsia="Times New Roman" w:hAnsi="Times New Roman"/>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1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penalties they have received from MSHA, or complaints of discrimination by miners under Section 105 of the Mine Act. Appendix 1 shows, for each of the Company’s quarries and mines identified, as of March 31, 2026,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61"/>
        </w:trPr>
        <w:tc>
          <w:tcPr>
            <w:tcW w:w="1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Recei</w:t>
            </w: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gridSpan w:val="2"/>
          </w:tcPr>
          <w:p>
            <w:pPr>
              <w:ind w:left="320"/>
              <w:spacing w:after="0"/>
              <w:rPr>
                <w:sz w:val="20"/>
                <w:szCs w:val="20"/>
                <w:color w:val="auto"/>
              </w:rPr>
            </w:pPr>
            <w:r>
              <w:rPr>
                <w:rFonts w:ascii="Arial" w:cs="Arial" w:eastAsia="Arial" w:hAnsi="Arial"/>
                <w:sz w:val="20"/>
                <w:szCs w:val="20"/>
                <w:color w:val="auto"/>
                <w:w w:val="95"/>
              </w:rPr>
              <w:t>Appendix 1</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ved</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ind w:left="20"/>
              <w:spacing w:after="0" w:line="216" w:lineRule="exact"/>
              <w:rPr>
                <w:sz w:val="20"/>
                <w:szCs w:val="20"/>
                <w:color w:val="auto"/>
              </w:rPr>
            </w:pPr>
            <w:r>
              <w:rPr>
                <w:rFonts w:ascii="Arial" w:cs="Arial" w:eastAsia="Arial" w:hAnsi="Arial"/>
                <w:sz w:val="20"/>
                <w:szCs w:val="20"/>
                <w:b w:val="1"/>
                <w:bCs w:val="1"/>
                <w:color w:val="auto"/>
                <w:w w:val="94"/>
              </w:rPr>
              <w:t>Notice</w:t>
            </w:r>
          </w:p>
        </w:tc>
        <w:tc>
          <w:tcPr>
            <w:tcW w:w="82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Receive</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of</w:t>
            </w:r>
          </w:p>
        </w:tc>
        <w:tc>
          <w:tcPr>
            <w:tcW w:w="8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gridSpan w:val="2"/>
          </w:tcPr>
          <w:p>
            <w:pPr>
              <w:ind w:left="40"/>
              <w:spacing w:after="0" w:line="216" w:lineRule="exact"/>
              <w:rPr>
                <w:sz w:val="20"/>
                <w:szCs w:val="20"/>
                <w:color w:val="auto"/>
              </w:rPr>
            </w:pPr>
            <w:r>
              <w:rPr>
                <w:rFonts w:ascii="Arial" w:cs="Arial" w:eastAsia="Arial" w:hAnsi="Arial"/>
                <w:sz w:val="20"/>
                <w:szCs w:val="20"/>
                <w:b w:val="1"/>
                <w:bCs w:val="1"/>
                <w:color w:val="auto"/>
                <w:w w:val="97"/>
              </w:rPr>
              <w:t>Patter d Notice</w:t>
            </w:r>
          </w:p>
        </w:tc>
        <w:tc>
          <w:tcPr>
            <w:tcW w:w="760" w:type="dxa"/>
            <w:vAlign w:val="bottom"/>
          </w:tcPr>
          <w:p>
            <w:pPr>
              <w:spacing w:after="0"/>
              <w:rPr>
                <w:sz w:val="18"/>
                <w:szCs w:val="18"/>
                <w:color w:val="auto"/>
              </w:rPr>
            </w:pPr>
          </w:p>
        </w:tc>
        <w:tc>
          <w:tcPr>
            <w:tcW w:w="6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Legal</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Total</w:t>
            </w: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n of</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of</w:t>
            </w:r>
          </w:p>
        </w:tc>
        <w:tc>
          <w:tcPr>
            <w:tcW w:w="7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Legal</w:t>
            </w:r>
          </w:p>
        </w:tc>
        <w:tc>
          <w:tcPr>
            <w:tcW w:w="620" w:type="dxa"/>
            <w:vAlign w:val="bottom"/>
            <w:vMerge w:val="continue"/>
          </w:tcPr>
          <w:p>
            <w:pPr>
              <w:spacing w:after="0"/>
              <w:rPr>
                <w:sz w:val="18"/>
                <w:szCs w:val="18"/>
                <w:color w:val="auto"/>
              </w:rPr>
            </w:pPr>
          </w:p>
        </w:tc>
        <w:tc>
          <w:tcPr>
            <w:tcW w:w="6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5"/>
              </w:rPr>
              <w:t>Legal</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Sectio</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40" w:type="dxa"/>
            <w:vAlign w:val="bottom"/>
            <w:gridSpan w:val="2"/>
          </w:tcPr>
          <w:p>
            <w:pPr>
              <w:ind w:left="20"/>
              <w:spacing w:after="0" w:line="216" w:lineRule="exact"/>
              <w:rPr>
                <w:sz w:val="20"/>
                <w:szCs w:val="20"/>
                <w:color w:val="auto"/>
              </w:rPr>
            </w:pPr>
            <w:r>
              <w:rPr>
                <w:rFonts w:ascii="Arial" w:cs="Arial" w:eastAsia="Arial" w:hAnsi="Arial"/>
                <w:sz w:val="20"/>
                <w:szCs w:val="20"/>
                <w:b w:val="1"/>
                <w:bCs w:val="1"/>
                <w:color w:val="auto"/>
                <w:w w:val="96"/>
              </w:rPr>
              <w:t>Violati Potentia</w:t>
            </w:r>
          </w:p>
        </w:tc>
        <w:tc>
          <w:tcPr>
            <w:tcW w:w="760" w:type="dxa"/>
            <w:vAlign w:val="bottom"/>
            <w:vMerge w:val="continue"/>
          </w:tcPr>
          <w:p>
            <w:pPr>
              <w:spacing w:after="0"/>
              <w:rPr>
                <w:sz w:val="18"/>
                <w:szCs w:val="18"/>
                <w:color w:val="auto"/>
              </w:rPr>
            </w:pP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Actio</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Secti</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Numb</w:t>
            </w: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on</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l to</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Actions</w:t>
            </w: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ns</w:t>
            </w: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Action</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ind w:left="340"/>
              <w:spacing w:after="0" w:line="216" w:lineRule="exact"/>
              <w:rPr>
                <w:sz w:val="20"/>
                <w:szCs w:val="20"/>
                <w:color w:val="auto"/>
              </w:rPr>
            </w:pPr>
            <w:r>
              <w:rPr>
                <w:rFonts w:ascii="Arial" w:cs="Arial" w:eastAsia="Arial" w:hAnsi="Arial"/>
                <w:sz w:val="20"/>
                <w:szCs w:val="20"/>
                <w:b w:val="1"/>
                <w:bCs w:val="1"/>
                <w:color w:val="auto"/>
              </w:rPr>
              <w:t>n</w:t>
            </w:r>
          </w:p>
        </w:tc>
        <w:tc>
          <w:tcPr>
            <w:tcW w:w="7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TotalDollar</w:t>
            </w:r>
          </w:p>
        </w:tc>
        <w:tc>
          <w:tcPr>
            <w:tcW w:w="7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6"/>
              </w:rPr>
              <w:t>er of</w:t>
            </w:r>
          </w:p>
        </w:tc>
        <w:tc>
          <w:tcPr>
            <w:tcW w:w="620" w:type="dxa"/>
            <w:vAlign w:val="bottom"/>
          </w:tcPr>
          <w:p>
            <w:pPr>
              <w:ind w:left="20"/>
              <w:spacing w:after="0" w:line="216" w:lineRule="exact"/>
              <w:rPr>
                <w:sz w:val="20"/>
                <w:szCs w:val="20"/>
                <w:color w:val="auto"/>
              </w:rPr>
            </w:pPr>
            <w:r>
              <w:rPr>
                <w:rFonts w:ascii="Arial" w:cs="Arial" w:eastAsia="Arial" w:hAnsi="Arial"/>
                <w:sz w:val="20"/>
                <w:szCs w:val="20"/>
                <w:b w:val="1"/>
                <w:bCs w:val="1"/>
                <w:color w:val="auto"/>
              </w:rPr>
              <w:t>Under</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have</w:t>
            </w:r>
          </w:p>
        </w:tc>
        <w:tc>
          <w:tcPr>
            <w:tcW w:w="1380" w:type="dxa"/>
            <w:vAlign w:val="bottom"/>
            <w:gridSpan w:val="2"/>
          </w:tcPr>
          <w:p>
            <w:pPr>
              <w:ind w:left="40"/>
              <w:spacing w:after="0" w:line="216" w:lineRule="exact"/>
              <w:rPr>
                <w:sz w:val="20"/>
                <w:szCs w:val="20"/>
                <w:color w:val="auto"/>
              </w:rPr>
            </w:pPr>
            <w:r>
              <w:rPr>
                <w:rFonts w:ascii="Arial" w:cs="Arial" w:eastAsia="Arial" w:hAnsi="Arial"/>
                <w:sz w:val="20"/>
                <w:szCs w:val="20"/>
                <w:b w:val="1"/>
                <w:bCs w:val="1"/>
                <w:color w:val="auto"/>
                <w:w w:val="99"/>
              </w:rPr>
              <w:t>Pendin Institu</w:t>
            </w: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89"/>
              </w:rPr>
              <w:t>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gridSpan w:val="4"/>
          </w:tcPr>
          <w:p>
            <w:pPr>
              <w:ind w:left="20"/>
              <w:spacing w:after="0" w:line="216" w:lineRule="exact"/>
              <w:rPr>
                <w:sz w:val="20"/>
                <w:szCs w:val="20"/>
                <w:color w:val="auto"/>
              </w:rPr>
            </w:pPr>
            <w:r>
              <w:rPr>
                <w:rFonts w:ascii="Arial" w:cs="Arial" w:eastAsia="Arial" w:hAnsi="Arial"/>
                <w:sz w:val="20"/>
                <w:szCs w:val="20"/>
                <w:b w:val="1"/>
                <w:bCs w:val="1"/>
                <w:color w:val="auto"/>
              </w:rPr>
              <w:t>Sectio Sectio 104(d) Section</w:t>
            </w:r>
          </w:p>
        </w:tc>
        <w:tc>
          <w:tcPr>
            <w:tcW w:w="5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on</w:t>
            </w:r>
          </w:p>
        </w:tc>
        <w:tc>
          <w:tcPr>
            <w:tcW w:w="1180" w:type="dxa"/>
            <w:vAlign w:val="bottom"/>
            <w:gridSpan w:val="2"/>
            <w:vMerge w:val="continue"/>
          </w:tcPr>
          <w:p>
            <w:pPr>
              <w:spacing w:after="0"/>
              <w:rPr>
                <w:sz w:val="18"/>
                <w:szCs w:val="18"/>
                <w:color w:val="auto"/>
              </w:rPr>
            </w:pPr>
          </w:p>
        </w:tc>
        <w:tc>
          <w:tcPr>
            <w:tcW w:w="2140" w:type="dxa"/>
            <w:vAlign w:val="bottom"/>
            <w:gridSpan w:val="3"/>
          </w:tcPr>
          <w:p>
            <w:pPr>
              <w:ind w:left="60"/>
              <w:spacing w:after="0" w:line="216" w:lineRule="exact"/>
              <w:rPr>
                <w:sz w:val="20"/>
                <w:szCs w:val="20"/>
                <w:color w:val="auto"/>
              </w:rPr>
            </w:pPr>
            <w:r>
              <w:rPr>
                <w:rFonts w:ascii="Arial" w:cs="Arial" w:eastAsia="Arial" w:hAnsi="Arial"/>
                <w:sz w:val="20"/>
                <w:szCs w:val="20"/>
                <w:b w:val="1"/>
                <w:bCs w:val="1"/>
                <w:color w:val="auto"/>
              </w:rPr>
              <w:t>Mining Sectio Pattern</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g as of</w:t>
            </w: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3"/>
              </w:rPr>
              <w:t>ted</w:t>
            </w:r>
          </w:p>
        </w:tc>
        <w:tc>
          <w:tcPr>
            <w:tcW w:w="680" w:type="dxa"/>
            <w:vAlign w:val="bottom"/>
          </w:tcPr>
          <w:p>
            <w:pPr>
              <w:ind w:left="20"/>
              <w:spacing w:after="0" w:line="216" w:lineRule="exact"/>
              <w:rPr>
                <w:sz w:val="20"/>
                <w:szCs w:val="20"/>
                <w:color w:val="auto"/>
              </w:rPr>
            </w:pPr>
            <w:r>
              <w:rPr>
                <w:rFonts w:ascii="Arial" w:cs="Arial" w:eastAsia="Arial" w:hAnsi="Arial"/>
                <w:sz w:val="20"/>
                <w:szCs w:val="20"/>
                <w:b w:val="1"/>
                <w:bCs w:val="1"/>
                <w:color w:val="auto"/>
                <w:w w:val="97"/>
              </w:rPr>
              <w:t>Resolv</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ind w:left="40"/>
              <w:spacing w:after="0" w:line="216" w:lineRule="exact"/>
              <w:rPr>
                <w:sz w:val="20"/>
                <w:szCs w:val="20"/>
                <w:color w:val="auto"/>
              </w:rPr>
            </w:pPr>
            <w:r>
              <w:rPr>
                <w:rFonts w:ascii="Arial" w:cs="Arial" w:eastAsia="Arial" w:hAnsi="Arial"/>
                <w:sz w:val="20"/>
                <w:szCs w:val="20"/>
                <w:b w:val="1"/>
                <w:bCs w:val="1"/>
                <w:color w:val="auto"/>
              </w:rPr>
              <w:t>n 104</w:t>
            </w:r>
          </w:p>
        </w:tc>
        <w:tc>
          <w:tcPr>
            <w:tcW w:w="600" w:type="dxa"/>
            <w:vAlign w:val="bottom"/>
          </w:tcPr>
          <w:p>
            <w:pPr>
              <w:ind w:left="280"/>
              <w:spacing w:after="0" w:line="216" w:lineRule="exact"/>
              <w:rPr>
                <w:sz w:val="20"/>
                <w:szCs w:val="20"/>
                <w:color w:val="auto"/>
              </w:rPr>
            </w:pPr>
            <w:r>
              <w:rPr>
                <w:rFonts w:ascii="Arial" w:cs="Arial" w:eastAsia="Arial" w:hAnsi="Arial"/>
                <w:sz w:val="20"/>
                <w:szCs w:val="20"/>
                <w:b w:val="1"/>
                <w:bCs w:val="1"/>
                <w:color w:val="auto"/>
              </w:rPr>
              <w:t>n</w:t>
            </w:r>
          </w:p>
        </w:tc>
        <w:tc>
          <w:tcPr>
            <w:tcW w:w="8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Citatio</w:t>
            </w:r>
          </w:p>
        </w:tc>
        <w:tc>
          <w:tcPr>
            <w:tcW w:w="7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110(b)</w:t>
            </w:r>
          </w:p>
        </w:tc>
        <w:tc>
          <w:tcPr>
            <w:tcW w:w="1760" w:type="dxa"/>
            <w:vAlign w:val="bottom"/>
            <w:gridSpan w:val="3"/>
          </w:tcPr>
          <w:p>
            <w:pPr>
              <w:ind w:left="60"/>
              <w:spacing w:after="0" w:line="216" w:lineRule="exact"/>
              <w:rPr>
                <w:sz w:val="20"/>
                <w:szCs w:val="20"/>
                <w:color w:val="auto"/>
              </w:rPr>
            </w:pPr>
            <w:r>
              <w:rPr>
                <w:rFonts w:ascii="Arial" w:cs="Arial" w:eastAsia="Arial" w:hAnsi="Arial"/>
                <w:sz w:val="20"/>
                <w:szCs w:val="20"/>
                <w:b w:val="1"/>
                <w:bCs w:val="1"/>
                <w:color w:val="auto"/>
              </w:rPr>
              <w:t>107(a ValueofMS</w:t>
            </w:r>
          </w:p>
        </w:tc>
        <w:tc>
          <w:tcPr>
            <w:tcW w:w="7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Relate</w:t>
            </w: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n</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under</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Last</w:t>
            </w:r>
          </w:p>
        </w:tc>
        <w:tc>
          <w:tcPr>
            <w:tcW w:w="620" w:type="dxa"/>
            <w:vAlign w:val="bottom"/>
          </w:tcPr>
          <w:p>
            <w:pPr>
              <w:ind w:left="60"/>
              <w:spacing w:after="0" w:line="216" w:lineRule="exact"/>
              <w:rPr>
                <w:sz w:val="20"/>
                <w:szCs w:val="20"/>
                <w:color w:val="auto"/>
              </w:rPr>
            </w:pPr>
            <w:r>
              <w:rPr>
                <w:rFonts w:ascii="Arial" w:cs="Arial" w:eastAsia="Arial" w:hAnsi="Arial"/>
                <w:sz w:val="20"/>
                <w:szCs w:val="20"/>
                <w:b w:val="1"/>
                <w:bCs w:val="1"/>
                <w:color w:val="auto"/>
              </w:rPr>
              <w:t>Durin</w:t>
            </w: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4"/>
              </w:rPr>
              <w:t>ed</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ind w:left="100"/>
              <w:spacing w:after="0" w:line="216" w:lineRule="exact"/>
              <w:rPr>
                <w:sz w:val="20"/>
                <w:szCs w:val="20"/>
                <w:color w:val="auto"/>
              </w:rPr>
            </w:pPr>
            <w:r>
              <w:rPr>
                <w:rFonts w:ascii="Arial" w:cs="Arial" w:eastAsia="Arial" w:hAnsi="Arial"/>
                <w:sz w:val="20"/>
                <w:szCs w:val="20"/>
                <w:b w:val="1"/>
                <w:bCs w:val="1"/>
                <w:color w:val="auto"/>
              </w:rPr>
              <w:t>S&amp;S</w:t>
            </w:r>
          </w:p>
        </w:tc>
        <w:tc>
          <w:tcPr>
            <w:tcW w:w="1400" w:type="dxa"/>
            <w:vAlign w:val="bottom"/>
            <w:gridSpan w:val="2"/>
          </w:tcPr>
          <w:p>
            <w:pPr>
              <w:ind w:left="40"/>
              <w:spacing w:after="0" w:line="216" w:lineRule="exact"/>
              <w:rPr>
                <w:sz w:val="20"/>
                <w:szCs w:val="20"/>
                <w:color w:val="auto"/>
              </w:rPr>
            </w:pPr>
            <w:r>
              <w:rPr>
                <w:rFonts w:ascii="Arial" w:cs="Arial" w:eastAsia="Arial" w:hAnsi="Arial"/>
                <w:sz w:val="20"/>
                <w:szCs w:val="20"/>
                <w:b w:val="1"/>
                <w:bCs w:val="1"/>
                <w:color w:val="auto"/>
              </w:rPr>
              <w:t>104(b) ns and</w:t>
            </w:r>
          </w:p>
        </w:tc>
        <w:tc>
          <w:tcPr>
            <w:tcW w:w="740" w:type="dxa"/>
            <w:vAlign w:val="bottom"/>
          </w:tcPr>
          <w:p>
            <w:pPr>
              <w:jc w:val="right"/>
              <w:ind w:right="181"/>
              <w:spacing w:after="0" w:line="216" w:lineRule="exact"/>
              <w:rPr>
                <w:sz w:val="20"/>
                <w:szCs w:val="20"/>
                <w:color w:val="auto"/>
              </w:rPr>
            </w:pPr>
            <w:r>
              <w:rPr>
                <w:rFonts w:ascii="Arial" w:cs="Arial" w:eastAsia="Arial" w:hAnsi="Arial"/>
                <w:sz w:val="20"/>
                <w:szCs w:val="20"/>
                <w:b w:val="1"/>
                <w:bCs w:val="1"/>
                <w:color w:val="auto"/>
              </w:rPr>
              <w:t>(2)</w:t>
            </w:r>
          </w:p>
        </w:tc>
        <w:tc>
          <w:tcPr>
            <w:tcW w:w="580" w:type="dxa"/>
            <w:vAlign w:val="bottom"/>
          </w:tcPr>
          <w:p>
            <w:pPr>
              <w:ind w:left="260"/>
              <w:spacing w:after="0" w:line="216" w:lineRule="exact"/>
              <w:rPr>
                <w:sz w:val="20"/>
                <w:szCs w:val="20"/>
                <w:color w:val="auto"/>
              </w:rPr>
            </w:pPr>
            <w:r>
              <w:rPr>
                <w:rFonts w:ascii="Arial" w:cs="Arial" w:eastAsia="Arial" w:hAnsi="Arial"/>
                <w:sz w:val="20"/>
                <w:szCs w:val="20"/>
                <w:b w:val="1"/>
                <w:bCs w:val="1"/>
                <w:color w:val="auto"/>
              </w:rPr>
              <w:t>)</w:t>
            </w:r>
          </w:p>
        </w:tc>
        <w:tc>
          <w:tcPr>
            <w:tcW w:w="1180" w:type="dxa"/>
            <w:vAlign w:val="bottom"/>
            <w:gridSpan w:val="2"/>
          </w:tcPr>
          <w:p>
            <w:pPr>
              <w:ind w:left="80"/>
              <w:spacing w:after="0" w:line="216" w:lineRule="exact"/>
              <w:rPr>
                <w:sz w:val="20"/>
                <w:szCs w:val="20"/>
                <w:color w:val="auto"/>
              </w:rPr>
            </w:pPr>
            <w:r>
              <w:rPr>
                <w:rFonts w:ascii="Arial" w:cs="Arial" w:eastAsia="Arial" w:hAnsi="Arial"/>
                <w:sz w:val="20"/>
                <w:szCs w:val="20"/>
                <w:b w:val="1"/>
                <w:bCs w:val="1"/>
                <w:color w:val="auto"/>
              </w:rPr>
              <w:t>HAAssess</w:t>
            </w:r>
          </w:p>
        </w:tc>
        <w:tc>
          <w:tcPr>
            <w:tcW w:w="7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d</w:t>
            </w:r>
          </w:p>
        </w:tc>
        <w:tc>
          <w:tcPr>
            <w:tcW w:w="1440" w:type="dxa"/>
            <w:vAlign w:val="bottom"/>
            <w:gridSpan w:val="2"/>
          </w:tcPr>
          <w:p>
            <w:pPr>
              <w:ind w:left="20"/>
              <w:spacing w:after="0" w:line="216" w:lineRule="exact"/>
              <w:rPr>
                <w:sz w:val="20"/>
                <w:szCs w:val="20"/>
                <w:color w:val="auto"/>
              </w:rPr>
            </w:pPr>
            <w:r>
              <w:rPr>
                <w:rFonts w:ascii="Arial" w:cs="Arial" w:eastAsia="Arial" w:hAnsi="Arial"/>
                <w:sz w:val="20"/>
                <w:szCs w:val="20"/>
                <w:b w:val="1"/>
                <w:bCs w:val="1"/>
                <w:color w:val="auto"/>
              </w:rPr>
              <w:t>104(e) Section</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Day of</w:t>
            </w:r>
          </w:p>
        </w:tc>
        <w:tc>
          <w:tcPr>
            <w:tcW w:w="6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g</w:t>
            </w:r>
          </w:p>
        </w:tc>
        <w:tc>
          <w:tcPr>
            <w:tcW w:w="6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During</w:t>
            </w:r>
          </w:p>
        </w:tc>
        <w:tc>
          <w:tcPr>
            <w:tcW w:w="0" w:type="dxa"/>
            <w:vAlign w:val="bottom"/>
          </w:tcPr>
          <w:p>
            <w:pPr>
              <w:spacing w:after="0"/>
              <w:rPr>
                <w:sz w:val="1"/>
                <w:szCs w:val="1"/>
                <w:color w:val="auto"/>
              </w:rPr>
            </w:pPr>
          </w:p>
        </w:tc>
      </w:tr>
      <w:tr>
        <w:trPr>
          <w:trHeight w:val="216"/>
        </w:trPr>
        <w:tc>
          <w:tcPr>
            <w:tcW w:w="1760" w:type="dxa"/>
            <w:vAlign w:val="bottom"/>
            <w:vMerge w:val="restart"/>
          </w:tcPr>
          <w:p>
            <w:pPr>
              <w:ind w:left="500"/>
              <w:spacing w:after="0"/>
              <w:rPr>
                <w:sz w:val="20"/>
                <w:szCs w:val="20"/>
                <w:color w:val="auto"/>
              </w:rPr>
            </w:pPr>
            <w:r>
              <w:rPr>
                <w:rFonts w:ascii="Arial" w:cs="Arial" w:eastAsia="Arial" w:hAnsi="Arial"/>
                <w:sz w:val="20"/>
                <w:szCs w:val="20"/>
                <w:b w:val="1"/>
                <w:bCs w:val="1"/>
                <w:color w:val="auto"/>
              </w:rPr>
              <w:t>Location</w:t>
            </w:r>
          </w:p>
        </w:tc>
        <w:tc>
          <w:tcPr>
            <w:tcW w:w="4760" w:type="dxa"/>
            <w:vAlign w:val="bottom"/>
            <w:gridSpan w:val="7"/>
          </w:tcPr>
          <w:p>
            <w:pPr>
              <w:jc w:val="center"/>
              <w:spacing w:after="0" w:line="216" w:lineRule="exact"/>
              <w:rPr>
                <w:sz w:val="20"/>
                <w:szCs w:val="20"/>
                <w:color w:val="auto"/>
              </w:rPr>
            </w:pPr>
            <w:r>
              <w:rPr>
                <w:rFonts w:ascii="Arial" w:cs="Arial" w:eastAsia="Arial" w:hAnsi="Arial"/>
                <w:sz w:val="20"/>
                <w:szCs w:val="20"/>
                <w:b w:val="1"/>
                <w:bCs w:val="1"/>
                <w:color w:val="auto"/>
                <w:w w:val="99"/>
              </w:rPr>
              <w:t>MSHA Citatio Orders Orders Violatio Orderment/$</w:t>
            </w:r>
          </w:p>
        </w:tc>
        <w:tc>
          <w:tcPr>
            <w:tcW w:w="520" w:type="dxa"/>
            <w:vAlign w:val="bottom"/>
          </w:tcPr>
          <w:p>
            <w:pPr>
              <w:jc w:val="right"/>
              <w:spacing w:after="0" w:line="216" w:lineRule="exact"/>
              <w:rPr>
                <w:sz w:val="20"/>
                <w:szCs w:val="20"/>
                <w:color w:val="auto"/>
              </w:rPr>
            </w:pPr>
            <w:r>
              <w:rPr>
                <w:rFonts w:ascii="Arial" w:cs="Arial" w:eastAsia="Arial" w:hAnsi="Arial"/>
                <w:sz w:val="20"/>
                <w:szCs w:val="20"/>
                <w:b w:val="1"/>
                <w:bCs w:val="1"/>
                <w:color w:val="auto"/>
                <w:w w:val="92"/>
              </w:rPr>
              <w:t>Prop</w:t>
            </w:r>
          </w:p>
        </w:tc>
        <w:tc>
          <w:tcPr>
            <w:tcW w:w="1320" w:type="dxa"/>
            <w:vAlign w:val="bottom"/>
            <w:gridSpan w:val="2"/>
          </w:tcPr>
          <w:p>
            <w:pPr>
              <w:ind w:left="60"/>
              <w:spacing w:after="0" w:line="216" w:lineRule="exact"/>
              <w:rPr>
                <w:sz w:val="20"/>
                <w:szCs w:val="20"/>
                <w:color w:val="auto"/>
              </w:rPr>
            </w:pPr>
            <w:r>
              <w:rPr>
                <w:rFonts w:ascii="Arial" w:cs="Arial" w:eastAsia="Arial" w:hAnsi="Arial"/>
                <w:sz w:val="20"/>
                <w:szCs w:val="20"/>
                <w:b w:val="1"/>
                <w:bCs w:val="1"/>
                <w:color w:val="auto"/>
                <w:w w:val="96"/>
              </w:rPr>
              <w:t>Fataliti (yes/n</w:t>
            </w:r>
          </w:p>
        </w:tc>
        <w:tc>
          <w:tcPr>
            <w:tcW w:w="8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104(e)</w:t>
            </w:r>
          </w:p>
        </w:tc>
        <w:tc>
          <w:tcPr>
            <w:tcW w:w="7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Period</w:t>
            </w:r>
          </w:p>
        </w:tc>
        <w:tc>
          <w:tcPr>
            <w:tcW w:w="1300" w:type="dxa"/>
            <w:vAlign w:val="bottom"/>
            <w:gridSpan w:val="2"/>
          </w:tcPr>
          <w:p>
            <w:pPr>
              <w:ind w:left="60"/>
              <w:spacing w:after="0" w:line="216" w:lineRule="exact"/>
              <w:rPr>
                <w:sz w:val="20"/>
                <w:szCs w:val="20"/>
                <w:color w:val="auto"/>
              </w:rPr>
            </w:pPr>
            <w:r>
              <w:rPr>
                <w:rFonts w:ascii="Arial" w:cs="Arial" w:eastAsia="Arial" w:hAnsi="Arial"/>
                <w:sz w:val="20"/>
                <w:szCs w:val="20"/>
                <w:b w:val="1"/>
                <w:bCs w:val="1"/>
                <w:color w:val="auto"/>
              </w:rPr>
              <w:t>Perio Period</w:t>
            </w:r>
          </w:p>
        </w:tc>
        <w:tc>
          <w:tcPr>
            <w:tcW w:w="0" w:type="dxa"/>
            <w:vAlign w:val="bottom"/>
          </w:tcPr>
          <w:p>
            <w:pPr>
              <w:spacing w:after="0"/>
              <w:rPr>
                <w:sz w:val="1"/>
                <w:szCs w:val="1"/>
                <w:color w:val="auto"/>
              </w:rPr>
            </w:pPr>
          </w:p>
        </w:tc>
      </w:tr>
      <w:tr>
        <w:trPr>
          <w:trHeight w:val="240"/>
        </w:trPr>
        <w:tc>
          <w:tcPr>
            <w:tcW w:w="1760" w:type="dxa"/>
            <w:vAlign w:val="bottom"/>
            <w:vMerge w:val="continue"/>
          </w:tcPr>
          <w:p>
            <w:pPr>
              <w:spacing w:after="0"/>
              <w:rPr>
                <w:sz w:val="20"/>
                <w:szCs w:val="20"/>
                <w:color w:val="auto"/>
              </w:rPr>
            </w:pPr>
          </w:p>
        </w:tc>
        <w:tc>
          <w:tcPr>
            <w:tcW w:w="740" w:type="dxa"/>
            <w:vAlign w:val="bottom"/>
          </w:tcPr>
          <w:p>
            <w:pPr>
              <w:ind w:left="280"/>
              <w:spacing w:after="0"/>
              <w:rPr>
                <w:sz w:val="20"/>
                <w:szCs w:val="20"/>
                <w:color w:val="auto"/>
              </w:rPr>
            </w:pPr>
            <w:r>
              <w:rPr>
                <w:rFonts w:ascii="Arial" w:cs="Arial" w:eastAsia="Arial" w:hAnsi="Arial"/>
                <w:sz w:val="20"/>
                <w:szCs w:val="20"/>
                <w:b w:val="1"/>
                <w:bCs w:val="1"/>
                <w:color w:val="auto"/>
              </w:rPr>
              <w:t>ID</w:t>
            </w:r>
          </w:p>
        </w:tc>
        <w:tc>
          <w:tcPr>
            <w:tcW w:w="640" w:type="dxa"/>
            <w:vAlign w:val="bottom"/>
          </w:tcPr>
          <w:p>
            <w:pPr>
              <w:jc w:val="center"/>
              <w:spacing w:after="0"/>
              <w:rPr>
                <w:sz w:val="20"/>
                <w:szCs w:val="20"/>
                <w:color w:val="auto"/>
              </w:rPr>
            </w:pPr>
            <w:r>
              <w:rPr>
                <w:rFonts w:ascii="Arial" w:cs="Arial" w:eastAsia="Arial" w:hAnsi="Arial"/>
                <w:sz w:val="20"/>
                <w:szCs w:val="20"/>
                <w:b w:val="1"/>
                <w:bCs w:val="1"/>
                <w:color w:val="auto"/>
                <w:w w:val="97"/>
              </w:rPr>
              <w:t>ns (#)</w:t>
            </w:r>
          </w:p>
        </w:tc>
        <w:tc>
          <w:tcPr>
            <w:tcW w:w="600" w:type="dxa"/>
            <w:vAlign w:val="bottom"/>
          </w:tcPr>
          <w:p>
            <w:pPr>
              <w:jc w:val="center"/>
              <w:ind w:left="21"/>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40" w:type="dxa"/>
            <w:vAlign w:val="bottom"/>
          </w:tcPr>
          <w:p>
            <w:pPr>
              <w:jc w:val="right"/>
              <w:ind w:right="1"/>
              <w:spacing w:after="0"/>
              <w:rPr>
                <w:sz w:val="20"/>
                <w:szCs w:val="20"/>
                <w:color w:val="auto"/>
              </w:rPr>
            </w:pPr>
            <w:r>
              <w:rPr>
                <w:rFonts w:ascii="Arial" w:cs="Arial" w:eastAsia="Arial" w:hAnsi="Arial"/>
                <w:sz w:val="20"/>
                <w:szCs w:val="20"/>
                <w:b w:val="1"/>
                <w:bCs w:val="1"/>
                <w:color w:val="auto"/>
              </w:rPr>
              <w:t>ns (#)</w:t>
            </w:r>
          </w:p>
        </w:tc>
        <w:tc>
          <w:tcPr>
            <w:tcW w:w="580" w:type="dxa"/>
            <w:vAlign w:val="bottom"/>
          </w:tcPr>
          <w:p>
            <w:pPr>
              <w:jc w:val="center"/>
              <w:spacing w:after="0"/>
              <w:rPr>
                <w:sz w:val="20"/>
                <w:szCs w:val="20"/>
                <w:color w:val="auto"/>
              </w:rPr>
            </w:pPr>
            <w:r>
              <w:rPr>
                <w:rFonts w:ascii="Arial" w:cs="Arial" w:eastAsia="Arial" w:hAnsi="Arial"/>
                <w:sz w:val="20"/>
                <w:szCs w:val="20"/>
                <w:b w:val="1"/>
                <w:bCs w:val="1"/>
                <w:color w:val="auto"/>
              </w:rPr>
              <w:t>s (#)</w:t>
            </w:r>
          </w:p>
        </w:tc>
        <w:tc>
          <w:tcPr>
            <w:tcW w:w="1180" w:type="dxa"/>
            <w:vAlign w:val="bottom"/>
            <w:gridSpan w:val="2"/>
          </w:tcPr>
          <w:p>
            <w:pPr>
              <w:ind w:left="340"/>
              <w:spacing w:after="0"/>
              <w:rPr>
                <w:sz w:val="20"/>
                <w:szCs w:val="20"/>
                <w:color w:val="auto"/>
              </w:rPr>
            </w:pPr>
            <w:r>
              <w:rPr>
                <w:rFonts w:ascii="Arial" w:cs="Arial" w:eastAsia="Arial" w:hAnsi="Arial"/>
                <w:sz w:val="20"/>
                <w:szCs w:val="20"/>
                <w:b w:val="1"/>
                <w:bCs w:val="1"/>
                <w:color w:val="auto"/>
              </w:rPr>
              <w:t>osed</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9"/>
              </w:rPr>
              <w:t>es (#)</w:t>
            </w:r>
          </w:p>
        </w:tc>
        <w:tc>
          <w:tcPr>
            <w:tcW w:w="620" w:type="dxa"/>
            <w:vAlign w:val="bottom"/>
          </w:tcPr>
          <w:p>
            <w:pPr>
              <w:jc w:val="center"/>
              <w:spacing w:after="0"/>
              <w:rPr>
                <w:sz w:val="20"/>
                <w:szCs w:val="20"/>
                <w:color w:val="auto"/>
              </w:rPr>
            </w:pPr>
            <w:r>
              <w:rPr>
                <w:rFonts w:ascii="Arial" w:cs="Arial" w:eastAsia="Arial" w:hAnsi="Arial"/>
                <w:sz w:val="20"/>
                <w:szCs w:val="20"/>
                <w:b w:val="1"/>
                <w:bCs w:val="1"/>
                <w:color w:val="auto"/>
              </w:rPr>
              <w:t>o)</w:t>
            </w:r>
          </w:p>
        </w:tc>
        <w:tc>
          <w:tcPr>
            <w:tcW w:w="820" w:type="dxa"/>
            <w:vAlign w:val="bottom"/>
          </w:tcPr>
          <w:p>
            <w:pPr>
              <w:ind w:left="40"/>
              <w:spacing w:after="0"/>
              <w:rPr>
                <w:sz w:val="20"/>
                <w:szCs w:val="20"/>
                <w:color w:val="auto"/>
              </w:rPr>
            </w:pPr>
            <w:r>
              <w:rPr>
                <w:rFonts w:ascii="Arial" w:cs="Arial" w:eastAsia="Arial" w:hAnsi="Arial"/>
                <w:sz w:val="20"/>
                <w:szCs w:val="20"/>
                <w:b w:val="1"/>
                <w:bCs w:val="1"/>
                <w:color w:val="auto"/>
                <w:w w:val="99"/>
              </w:rPr>
              <w:t>(yes/no)</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620" w:type="dxa"/>
            <w:vAlign w:val="bottom"/>
          </w:tcPr>
          <w:p>
            <w:pPr>
              <w:jc w:val="center"/>
              <w:spacing w:after="0"/>
              <w:rPr>
                <w:sz w:val="20"/>
                <w:szCs w:val="20"/>
                <w:color w:val="auto"/>
              </w:rPr>
            </w:pPr>
            <w:r>
              <w:rPr>
                <w:rFonts w:ascii="Arial" w:cs="Arial" w:eastAsia="Arial" w:hAnsi="Arial"/>
                <w:sz w:val="20"/>
                <w:szCs w:val="20"/>
                <w:b w:val="1"/>
                <w:bCs w:val="1"/>
                <w:color w:val="auto"/>
                <w:w w:val="99"/>
              </w:rPr>
              <w:t>d (#)</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74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w w:val="98"/>
              </w:rPr>
              <w:t>440000</w:t>
            </w:r>
          </w:p>
        </w:tc>
        <w:tc>
          <w:tcPr>
            <w:tcW w:w="6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Abingdon Quarry</w:t>
            </w:r>
          </w:p>
        </w:tc>
        <w:tc>
          <w:tcPr>
            <w:tcW w:w="740" w:type="dxa"/>
            <w:vAlign w:val="bottom"/>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740" w:type="dxa"/>
            <w:vAlign w:val="bottom"/>
          </w:tcPr>
          <w:p>
            <w:pPr>
              <w:ind w:left="60"/>
              <w:spacing w:after="0" w:line="194" w:lineRule="exact"/>
              <w:rPr>
                <w:sz w:val="20"/>
                <w:szCs w:val="20"/>
                <w:color w:val="auto"/>
              </w:rPr>
            </w:pPr>
            <w:r>
              <w:rPr>
                <w:rFonts w:ascii="Arial" w:cs="Arial" w:eastAsia="Arial" w:hAnsi="Arial"/>
                <w:sz w:val="20"/>
                <w:szCs w:val="20"/>
                <w:color w:val="auto"/>
                <w:w w:val="98"/>
              </w:rPr>
              <w:t>310163</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Alexander Quarry</w:t>
            </w:r>
          </w:p>
        </w:tc>
        <w:tc>
          <w:tcPr>
            <w:tcW w:w="740" w:type="dxa"/>
            <w:vAlign w:val="bottom"/>
          </w:tcPr>
          <w:p>
            <w:pPr>
              <w:ind w:left="60"/>
              <w:spacing w:after="0"/>
              <w:rPr>
                <w:sz w:val="20"/>
                <w:szCs w:val="20"/>
                <w:color w:val="auto"/>
              </w:rPr>
            </w:pPr>
            <w:r>
              <w:rPr>
                <w:rFonts w:ascii="Arial" w:cs="Arial" w:eastAsia="Arial" w:hAnsi="Arial"/>
                <w:sz w:val="20"/>
                <w:szCs w:val="20"/>
                <w:color w:val="auto"/>
              </w:rPr>
              <w:t>6</w:t>
            </w:r>
          </w:p>
        </w:tc>
        <w:tc>
          <w:tcPr>
            <w:tcW w:w="640" w:type="dxa"/>
            <w:vAlign w:val="bottom"/>
          </w:tcPr>
          <w:p>
            <w:pPr>
              <w:jc w:val="center"/>
              <w:spacing w:after="0"/>
              <w:rPr>
                <w:sz w:val="20"/>
                <w:szCs w:val="20"/>
                <w:color w:val="auto"/>
              </w:rPr>
            </w:pPr>
            <w:r>
              <w:rPr>
                <w:rFonts w:ascii="Arial" w:cs="Arial" w:eastAsia="Arial" w:hAnsi="Arial"/>
                <w:sz w:val="20"/>
                <w:szCs w:val="20"/>
                <w:color w:val="auto"/>
              </w:rPr>
              <w:t>0</w:t>
            </w:r>
          </w:p>
        </w:tc>
        <w:tc>
          <w:tcPr>
            <w:tcW w:w="600" w:type="dxa"/>
            <w:vAlign w:val="bottom"/>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74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w w:val="98"/>
              </w:rPr>
              <w:t>010201</w:t>
            </w:r>
          </w:p>
        </w:tc>
        <w:tc>
          <w:tcPr>
            <w:tcW w:w="6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Allsboro Quarry</w:t>
            </w:r>
          </w:p>
        </w:tc>
        <w:tc>
          <w:tcPr>
            <w:tcW w:w="740" w:type="dxa"/>
            <w:vAlign w:val="bottom"/>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740" w:type="dxa"/>
            <w:vAlign w:val="bottom"/>
          </w:tcPr>
          <w:p>
            <w:pPr>
              <w:ind w:left="60"/>
              <w:spacing w:after="0" w:line="194" w:lineRule="exact"/>
              <w:rPr>
                <w:sz w:val="20"/>
                <w:szCs w:val="20"/>
                <w:color w:val="auto"/>
              </w:rPr>
            </w:pPr>
            <w:r>
              <w:rPr>
                <w:rFonts w:ascii="Arial" w:cs="Arial" w:eastAsia="Arial" w:hAnsi="Arial"/>
                <w:sz w:val="20"/>
                <w:szCs w:val="20"/>
                <w:color w:val="auto"/>
                <w:w w:val="98"/>
              </w:rPr>
              <w:t>440737</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Amelia Quarry</w:t>
            </w:r>
          </w:p>
        </w:tc>
        <w:tc>
          <w:tcPr>
            <w:tcW w:w="740" w:type="dxa"/>
            <w:vAlign w:val="bottom"/>
          </w:tcPr>
          <w:p>
            <w:pPr>
              <w:ind w:left="60"/>
              <w:spacing w:after="0"/>
              <w:rPr>
                <w:sz w:val="20"/>
                <w:szCs w:val="20"/>
                <w:color w:val="auto"/>
              </w:rPr>
            </w:pPr>
            <w:r>
              <w:rPr>
                <w:rFonts w:ascii="Arial" w:cs="Arial" w:eastAsia="Arial" w:hAnsi="Arial"/>
                <w:sz w:val="20"/>
                <w:szCs w:val="20"/>
                <w:color w:val="auto"/>
              </w:rPr>
              <w:t>2</w:t>
            </w:r>
          </w:p>
        </w:tc>
        <w:tc>
          <w:tcPr>
            <w:tcW w:w="640" w:type="dxa"/>
            <w:vAlign w:val="bottom"/>
          </w:tcPr>
          <w:p>
            <w:pPr>
              <w:jc w:val="center"/>
              <w:spacing w:after="0"/>
              <w:rPr>
                <w:sz w:val="20"/>
                <w:szCs w:val="20"/>
                <w:color w:val="auto"/>
              </w:rPr>
            </w:pPr>
            <w:r>
              <w:rPr>
                <w:rFonts w:ascii="Arial" w:cs="Arial" w:eastAsia="Arial" w:hAnsi="Arial"/>
                <w:sz w:val="20"/>
                <w:szCs w:val="20"/>
                <w:color w:val="auto"/>
              </w:rPr>
              <w:t>0</w:t>
            </w:r>
          </w:p>
        </w:tc>
        <w:tc>
          <w:tcPr>
            <w:tcW w:w="600" w:type="dxa"/>
            <w:vAlign w:val="bottom"/>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74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w w:val="98"/>
              </w:rPr>
              <w:t>310018</w:t>
            </w:r>
          </w:p>
        </w:tc>
        <w:tc>
          <w:tcPr>
            <w:tcW w:w="6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American Stone</w:t>
            </w:r>
          </w:p>
        </w:tc>
        <w:tc>
          <w:tcPr>
            <w:tcW w:w="740" w:type="dxa"/>
            <w:vAlign w:val="bottom"/>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Anderson Creek</w:t>
            </w:r>
          </w:p>
        </w:tc>
        <w:tc>
          <w:tcPr>
            <w:tcW w:w="740" w:type="dxa"/>
            <w:vAlign w:val="bottom"/>
          </w:tcPr>
          <w:p>
            <w:pPr>
              <w:ind w:left="60"/>
              <w:spacing w:after="0" w:line="194" w:lineRule="exact"/>
              <w:rPr>
                <w:sz w:val="20"/>
                <w:szCs w:val="20"/>
                <w:color w:val="auto"/>
              </w:rPr>
            </w:pPr>
            <w:r>
              <w:rPr>
                <w:rFonts w:ascii="Arial" w:cs="Arial" w:eastAsia="Arial" w:hAnsi="Arial"/>
                <w:sz w:val="20"/>
                <w:szCs w:val="20"/>
                <w:color w:val="auto"/>
                <w:w w:val="98"/>
              </w:rPr>
              <w:t>440296</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Quarry</w:t>
            </w:r>
          </w:p>
        </w:tc>
        <w:tc>
          <w:tcPr>
            <w:tcW w:w="740" w:type="dxa"/>
            <w:vAlign w:val="bottom"/>
          </w:tcPr>
          <w:p>
            <w:pPr>
              <w:ind w:left="60"/>
              <w:spacing w:after="0"/>
              <w:rPr>
                <w:sz w:val="20"/>
                <w:szCs w:val="20"/>
                <w:color w:val="auto"/>
              </w:rPr>
            </w:pPr>
            <w:r>
              <w:rPr>
                <w:rFonts w:ascii="Arial" w:cs="Arial" w:eastAsia="Arial" w:hAnsi="Arial"/>
                <w:sz w:val="20"/>
                <w:szCs w:val="20"/>
                <w:color w:val="auto"/>
              </w:rPr>
              <w:t>3</w:t>
            </w:r>
          </w:p>
        </w:tc>
        <w:tc>
          <w:tcPr>
            <w:tcW w:w="640" w:type="dxa"/>
            <w:vAlign w:val="bottom"/>
          </w:tcPr>
          <w:p>
            <w:pPr>
              <w:jc w:val="center"/>
              <w:spacing w:after="0"/>
              <w:rPr>
                <w:sz w:val="20"/>
                <w:szCs w:val="20"/>
                <w:color w:val="auto"/>
              </w:rPr>
            </w:pPr>
            <w:r>
              <w:rPr>
                <w:rFonts w:ascii="Arial" w:cs="Arial" w:eastAsia="Arial" w:hAnsi="Arial"/>
                <w:sz w:val="20"/>
                <w:szCs w:val="20"/>
                <w:color w:val="auto"/>
              </w:rPr>
              <w:t>0</w:t>
            </w:r>
          </w:p>
        </w:tc>
        <w:tc>
          <w:tcPr>
            <w:tcW w:w="600" w:type="dxa"/>
            <w:vAlign w:val="bottom"/>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74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w w:val="98"/>
              </w:rPr>
              <w:t>090108</w:t>
            </w:r>
          </w:p>
        </w:tc>
        <w:tc>
          <w:tcPr>
            <w:tcW w:w="6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740" w:type="dxa"/>
            <w:vAlign w:val="bottom"/>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740" w:type="dxa"/>
            <w:vAlign w:val="bottom"/>
          </w:tcPr>
          <w:p>
            <w:pPr>
              <w:ind w:left="60"/>
              <w:spacing w:after="0" w:line="194" w:lineRule="exact"/>
              <w:rPr>
                <w:sz w:val="20"/>
                <w:szCs w:val="20"/>
                <w:color w:val="auto"/>
              </w:rPr>
            </w:pPr>
            <w:r>
              <w:rPr>
                <w:rFonts w:ascii="Arial" w:cs="Arial" w:eastAsia="Arial" w:hAnsi="Arial"/>
                <w:sz w:val="20"/>
                <w:szCs w:val="20"/>
                <w:color w:val="auto"/>
                <w:w w:val="98"/>
              </w:rPr>
              <w:t>310005</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151</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Arrowood Quarry</w:t>
            </w:r>
          </w:p>
        </w:tc>
        <w:tc>
          <w:tcPr>
            <w:tcW w:w="740" w:type="dxa"/>
            <w:vAlign w:val="bottom"/>
          </w:tcPr>
          <w:p>
            <w:pPr>
              <w:ind w:left="60"/>
              <w:spacing w:after="0"/>
              <w:rPr>
                <w:sz w:val="20"/>
                <w:szCs w:val="20"/>
                <w:color w:val="auto"/>
              </w:rPr>
            </w:pPr>
            <w:r>
              <w:rPr>
                <w:rFonts w:ascii="Arial" w:cs="Arial" w:eastAsia="Arial" w:hAnsi="Arial"/>
                <w:sz w:val="20"/>
                <w:szCs w:val="20"/>
                <w:color w:val="auto"/>
              </w:rPr>
              <w:t>9</w:t>
            </w:r>
          </w:p>
        </w:tc>
        <w:tc>
          <w:tcPr>
            <w:tcW w:w="640" w:type="dxa"/>
            <w:vAlign w:val="bottom"/>
          </w:tcPr>
          <w:p>
            <w:pPr>
              <w:jc w:val="center"/>
              <w:spacing w:after="0"/>
              <w:rPr>
                <w:sz w:val="20"/>
                <w:szCs w:val="20"/>
                <w:color w:val="auto"/>
              </w:rPr>
            </w:pPr>
            <w:r>
              <w:rPr>
                <w:rFonts w:ascii="Arial" w:cs="Arial" w:eastAsia="Arial" w:hAnsi="Arial"/>
                <w:sz w:val="20"/>
                <w:szCs w:val="20"/>
                <w:color w:val="auto"/>
              </w:rPr>
              <w:t>1</w:t>
            </w:r>
          </w:p>
        </w:tc>
        <w:tc>
          <w:tcPr>
            <w:tcW w:w="600" w:type="dxa"/>
            <w:vAlign w:val="bottom"/>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1</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74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w w:val="98"/>
              </w:rPr>
              <w:t>310006</w:t>
            </w:r>
          </w:p>
        </w:tc>
        <w:tc>
          <w:tcPr>
            <w:tcW w:w="6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Asheboro Quarry</w:t>
            </w:r>
          </w:p>
        </w:tc>
        <w:tc>
          <w:tcPr>
            <w:tcW w:w="740" w:type="dxa"/>
            <w:vAlign w:val="bottom"/>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740" w:type="dxa"/>
            <w:vAlign w:val="bottom"/>
          </w:tcPr>
          <w:p>
            <w:pPr>
              <w:ind w:left="60"/>
              <w:spacing w:after="0" w:line="194" w:lineRule="exact"/>
              <w:rPr>
                <w:sz w:val="20"/>
                <w:szCs w:val="20"/>
                <w:color w:val="auto"/>
              </w:rPr>
            </w:pPr>
            <w:r>
              <w:rPr>
                <w:rFonts w:ascii="Arial" w:cs="Arial" w:eastAsia="Arial" w:hAnsi="Arial"/>
                <w:sz w:val="20"/>
                <w:szCs w:val="20"/>
                <w:color w:val="auto"/>
                <w:w w:val="98"/>
              </w:rPr>
              <w:t>010000</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Auburn Al Quarry</w:t>
            </w:r>
          </w:p>
        </w:tc>
        <w:tc>
          <w:tcPr>
            <w:tcW w:w="740" w:type="dxa"/>
            <w:vAlign w:val="bottom"/>
          </w:tcPr>
          <w:p>
            <w:pPr>
              <w:ind w:left="60"/>
              <w:spacing w:after="0"/>
              <w:rPr>
                <w:sz w:val="20"/>
                <w:szCs w:val="20"/>
                <w:color w:val="auto"/>
              </w:rPr>
            </w:pPr>
            <w:r>
              <w:rPr>
                <w:rFonts w:ascii="Arial" w:cs="Arial" w:eastAsia="Arial" w:hAnsi="Arial"/>
                <w:sz w:val="20"/>
                <w:szCs w:val="20"/>
                <w:color w:val="auto"/>
              </w:rPr>
              <w:t>6</w:t>
            </w:r>
          </w:p>
        </w:tc>
        <w:tc>
          <w:tcPr>
            <w:tcW w:w="640" w:type="dxa"/>
            <w:vAlign w:val="bottom"/>
          </w:tcPr>
          <w:p>
            <w:pPr>
              <w:jc w:val="center"/>
              <w:spacing w:after="0"/>
              <w:rPr>
                <w:sz w:val="20"/>
                <w:szCs w:val="20"/>
                <w:color w:val="auto"/>
              </w:rPr>
            </w:pPr>
            <w:r>
              <w:rPr>
                <w:rFonts w:ascii="Arial" w:cs="Arial" w:eastAsia="Arial" w:hAnsi="Arial"/>
                <w:sz w:val="20"/>
                <w:szCs w:val="20"/>
                <w:color w:val="auto"/>
              </w:rPr>
              <w:t>0</w:t>
            </w:r>
          </w:p>
        </w:tc>
        <w:tc>
          <w:tcPr>
            <w:tcW w:w="600" w:type="dxa"/>
            <w:vAlign w:val="bottom"/>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74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w w:val="98"/>
              </w:rPr>
              <w:t>090043</w:t>
            </w:r>
          </w:p>
        </w:tc>
        <w:tc>
          <w:tcPr>
            <w:tcW w:w="6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Auburn GA Quarry</w:t>
            </w:r>
          </w:p>
        </w:tc>
        <w:tc>
          <w:tcPr>
            <w:tcW w:w="740" w:type="dxa"/>
            <w:vAlign w:val="bottom"/>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740" w:type="dxa"/>
            <w:vAlign w:val="bottom"/>
          </w:tcPr>
          <w:p>
            <w:pPr>
              <w:ind w:left="60"/>
              <w:spacing w:after="0" w:line="194" w:lineRule="exact"/>
              <w:rPr>
                <w:sz w:val="20"/>
                <w:szCs w:val="20"/>
                <w:color w:val="auto"/>
              </w:rPr>
            </w:pPr>
            <w:r>
              <w:rPr>
                <w:rFonts w:ascii="Arial" w:cs="Arial" w:eastAsia="Arial" w:hAnsi="Arial"/>
                <w:sz w:val="20"/>
                <w:szCs w:val="20"/>
                <w:color w:val="auto"/>
                <w:w w:val="98"/>
              </w:rPr>
              <w:t>090006</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151</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00" w:type="dxa"/>
            <w:vAlign w:val="bottom"/>
            <w:gridSpan w:val="2"/>
          </w:tcPr>
          <w:p>
            <w:pPr>
              <w:spacing w:after="0"/>
              <w:rPr>
                <w:sz w:val="20"/>
                <w:szCs w:val="20"/>
                <w:color w:val="auto"/>
              </w:rPr>
            </w:pPr>
            <w:r>
              <w:rPr>
                <w:rFonts w:ascii="Arial" w:cs="Arial" w:eastAsia="Arial" w:hAnsi="Arial"/>
                <w:sz w:val="20"/>
                <w:szCs w:val="20"/>
                <w:color w:val="auto"/>
              </w:rPr>
              <w:t>Augusta GA Quarry 5</w:t>
            </w:r>
          </w:p>
        </w:tc>
        <w:tc>
          <w:tcPr>
            <w:tcW w:w="640" w:type="dxa"/>
            <w:vAlign w:val="bottom"/>
          </w:tcPr>
          <w:p>
            <w:pPr>
              <w:jc w:val="center"/>
              <w:spacing w:after="0"/>
              <w:rPr>
                <w:sz w:val="20"/>
                <w:szCs w:val="20"/>
                <w:color w:val="auto"/>
              </w:rPr>
            </w:pPr>
            <w:r>
              <w:rPr>
                <w:rFonts w:ascii="Arial" w:cs="Arial" w:eastAsia="Arial" w:hAnsi="Arial"/>
                <w:sz w:val="20"/>
                <w:szCs w:val="20"/>
                <w:color w:val="auto"/>
              </w:rPr>
              <w:t>1</w:t>
            </w:r>
          </w:p>
        </w:tc>
        <w:tc>
          <w:tcPr>
            <w:tcW w:w="600" w:type="dxa"/>
            <w:vAlign w:val="bottom"/>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74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w w:val="98"/>
              </w:rPr>
              <w:t>310007</w:t>
            </w:r>
          </w:p>
        </w:tc>
        <w:tc>
          <w:tcPr>
            <w:tcW w:w="6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Bakers Quarry</w:t>
            </w:r>
          </w:p>
        </w:tc>
        <w:tc>
          <w:tcPr>
            <w:tcW w:w="740" w:type="dxa"/>
            <w:vAlign w:val="bottom"/>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64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00" w:type="dxa"/>
            <w:vAlign w:val="bottom"/>
            <w:shd w:val="clear" w:color="auto" w:fill="CFF0FC"/>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520" w:type="dxa"/>
            <w:vAlign w:val="bottom"/>
            <w:vMerge w:val="continue"/>
            <w:shd w:val="clear" w:color="auto" w:fill="CFF0FC"/>
          </w:tcPr>
          <w:p>
            <w:pPr>
              <w:spacing w:after="0"/>
              <w:rPr>
                <w:sz w:val="20"/>
                <w:szCs w:val="20"/>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820" w:type="dxa"/>
            <w:vAlign w:val="bottom"/>
            <w:shd w:val="clear" w:color="auto" w:fill="CFF0FC"/>
          </w:tcPr>
          <w:p>
            <w:pPr>
              <w:ind w:left="2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740" w:type="dxa"/>
            <w:vAlign w:val="bottom"/>
          </w:tcPr>
          <w:p>
            <w:pPr>
              <w:ind w:left="60"/>
              <w:spacing w:after="0" w:line="194" w:lineRule="exact"/>
              <w:rPr>
                <w:sz w:val="20"/>
                <w:szCs w:val="20"/>
                <w:color w:val="auto"/>
              </w:rPr>
            </w:pPr>
            <w:r>
              <w:rPr>
                <w:rFonts w:ascii="Arial" w:cs="Arial" w:eastAsia="Arial" w:hAnsi="Arial"/>
                <w:sz w:val="20"/>
                <w:szCs w:val="20"/>
                <w:color w:val="auto"/>
                <w:w w:val="98"/>
              </w:rPr>
              <w:t>090095</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w:t>
            </w: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60" w:type="dxa"/>
            <w:vAlign w:val="bottom"/>
          </w:tcPr>
          <w:p>
            <w:pPr>
              <w:spacing w:after="0"/>
              <w:rPr>
                <w:sz w:val="20"/>
                <w:szCs w:val="20"/>
                <w:color w:val="auto"/>
              </w:rPr>
            </w:pPr>
            <w:r>
              <w:rPr>
                <w:rFonts w:ascii="Arial" w:cs="Arial" w:eastAsia="Arial" w:hAnsi="Arial"/>
                <w:sz w:val="20"/>
                <w:szCs w:val="20"/>
                <w:color w:val="auto"/>
              </w:rPr>
              <w:t>Ball Ground Quarry</w:t>
            </w:r>
          </w:p>
        </w:tc>
        <w:tc>
          <w:tcPr>
            <w:tcW w:w="740" w:type="dxa"/>
            <w:vAlign w:val="bottom"/>
          </w:tcPr>
          <w:p>
            <w:pPr>
              <w:ind w:left="60"/>
              <w:spacing w:after="0"/>
              <w:rPr>
                <w:sz w:val="20"/>
                <w:szCs w:val="20"/>
                <w:color w:val="auto"/>
              </w:rPr>
            </w:pPr>
            <w:r>
              <w:rPr>
                <w:rFonts w:ascii="Arial" w:cs="Arial" w:eastAsia="Arial" w:hAnsi="Arial"/>
                <w:sz w:val="20"/>
                <w:szCs w:val="20"/>
                <w:color w:val="auto"/>
              </w:rPr>
              <w:t>5</w:t>
            </w:r>
          </w:p>
        </w:tc>
        <w:tc>
          <w:tcPr>
            <w:tcW w:w="640" w:type="dxa"/>
            <w:vAlign w:val="bottom"/>
          </w:tcPr>
          <w:p>
            <w:pPr>
              <w:jc w:val="center"/>
              <w:spacing w:after="0"/>
              <w:rPr>
                <w:sz w:val="20"/>
                <w:szCs w:val="20"/>
                <w:color w:val="auto"/>
              </w:rPr>
            </w:pPr>
            <w:r>
              <w:rPr>
                <w:rFonts w:ascii="Arial" w:cs="Arial" w:eastAsia="Arial" w:hAnsi="Arial"/>
                <w:sz w:val="20"/>
                <w:szCs w:val="20"/>
                <w:color w:val="auto"/>
              </w:rPr>
              <w:t>0</w:t>
            </w:r>
          </w:p>
        </w:tc>
        <w:tc>
          <w:tcPr>
            <w:tcW w:w="600" w:type="dxa"/>
            <w:vAlign w:val="bottom"/>
          </w:tcPr>
          <w:p>
            <w:pPr>
              <w:jc w:val="center"/>
              <w:ind w:left="21"/>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580" w:type="dxa"/>
            <w:vAlign w:val="bottom"/>
          </w:tcPr>
          <w:p>
            <w:pPr>
              <w:ind w:left="260"/>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ind w:left="20"/>
              <w:spacing w:after="0"/>
              <w:rPr>
                <w:sz w:val="20"/>
                <w:szCs w:val="20"/>
                <w:color w:val="auto"/>
              </w:rPr>
            </w:pPr>
            <w:r>
              <w:rPr>
                <w:rFonts w:ascii="Arial" w:cs="Arial" w:eastAsia="Arial" w:hAnsi="Arial"/>
                <w:sz w:val="20"/>
                <w:szCs w:val="20"/>
                <w:color w:val="auto"/>
              </w:rPr>
              <w:t>no</w:t>
            </w:r>
          </w:p>
        </w:tc>
        <w:tc>
          <w:tcPr>
            <w:tcW w:w="820" w:type="dxa"/>
            <w:vAlign w:val="bottom"/>
          </w:tcPr>
          <w:p>
            <w:pPr>
              <w:ind w:left="2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rPr>
              <w:t>0</w:t>
            </w:r>
          </w:p>
        </w:tc>
        <w:tc>
          <w:tcPr>
            <w:tcW w:w="6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680" w:type="dxa"/>
            <w:vAlign w:val="bottom"/>
          </w:tcPr>
          <w:p>
            <w:pPr>
              <w:jc w:val="center"/>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1740" w:type="dxa"/>
            <w:vAlign w:val="bottom"/>
            <w:shd w:val="clear" w:color="auto" w:fill="CFF0FC"/>
          </w:tcPr>
          <w:p>
            <w:pPr>
              <w:spacing w:after="0"/>
              <w:rPr>
                <w:sz w:val="17"/>
                <w:szCs w:val="17"/>
                <w:color w:val="auto"/>
              </w:rPr>
            </w:pPr>
          </w:p>
        </w:tc>
        <w:tc>
          <w:tcPr>
            <w:tcW w:w="880" w:type="dxa"/>
            <w:vAlign w:val="bottom"/>
            <w:shd w:val="clear" w:color="auto" w:fill="CFF0FC"/>
          </w:tcPr>
          <w:p>
            <w:pPr>
              <w:ind w:left="80"/>
              <w:spacing w:after="0" w:line="202" w:lineRule="exact"/>
              <w:rPr>
                <w:sz w:val="20"/>
                <w:szCs w:val="20"/>
                <w:color w:val="auto"/>
              </w:rPr>
            </w:pPr>
            <w:r>
              <w:rPr>
                <w:rFonts w:ascii="Arial" w:cs="Arial" w:eastAsia="Arial" w:hAnsi="Arial"/>
                <w:sz w:val="20"/>
                <w:szCs w:val="20"/>
                <w:color w:val="auto"/>
              </w:rPr>
              <w:t>310006</w:t>
            </w:r>
          </w:p>
        </w:tc>
        <w:tc>
          <w:tcPr>
            <w:tcW w:w="5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Belgrade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310197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Benson Quarry</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380007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929</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Berkeley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5</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Bessemer City</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310110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Quarry</w:t>
            </w:r>
          </w:p>
        </w:tc>
        <w:tc>
          <w:tcPr>
            <w:tcW w:w="880" w:type="dxa"/>
            <w:vAlign w:val="bottom"/>
          </w:tcPr>
          <w:p>
            <w:pPr>
              <w:ind w:left="8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310196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Bonds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180002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Arial" w:cs="Arial" w:eastAsia="Arial" w:hAnsi="Arial"/>
                <w:sz w:val="20"/>
                <w:szCs w:val="20"/>
                <w:color w:val="auto"/>
              </w:rPr>
              <w:t>Boonesboro Quarry 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310004</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Burlington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310186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Caldwell Quarry</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400339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Calhoun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380071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Calhoun Sand</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Castle Hayne</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310006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380001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Cayce</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4</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Central Rock</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310005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Charlotte Portable</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310234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Plant 1</w:t>
            </w:r>
          </w:p>
        </w:tc>
        <w:tc>
          <w:tcPr>
            <w:tcW w:w="880" w:type="dxa"/>
            <w:vAlign w:val="bottom"/>
          </w:tcPr>
          <w:p>
            <w:pPr>
              <w:ind w:left="8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310005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Charlotte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400315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Arial" w:cs="Arial" w:eastAsia="Arial" w:hAnsi="Arial"/>
                <w:sz w:val="20"/>
                <w:szCs w:val="20"/>
                <w:color w:val="auto"/>
              </w:rPr>
              <w:t>Chattanooga Quarry9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180001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Churchville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310200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Clarks Quarry</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400246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Coy Stone Plant</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49"/>
        </w:trPr>
        <w:tc>
          <w:tcPr>
            <w:tcW w:w="1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61"/>
        </w:trPr>
        <w:tc>
          <w:tcPr>
            <w:tcW w:w="2620" w:type="dxa"/>
            <w:vAlign w:val="bottom"/>
            <w:gridSpan w:val="2"/>
            <w:vMerge w:val="restart"/>
          </w:tcPr>
          <w:p>
            <w:pPr>
              <w:spacing w:after="0"/>
              <w:rPr>
                <w:sz w:val="20"/>
                <w:szCs w:val="20"/>
                <w:color w:val="auto"/>
              </w:rPr>
            </w:pPr>
            <w:r>
              <w:rPr>
                <w:rFonts w:ascii="Arial" w:cs="Arial" w:eastAsia="Arial" w:hAnsi="Arial"/>
                <w:sz w:val="20"/>
                <w:szCs w:val="20"/>
                <w:color w:val="auto"/>
              </w:rPr>
              <w:t>Cumberland Quarry 150003</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(Kentucky)</w:t>
            </w:r>
          </w:p>
        </w:tc>
        <w:tc>
          <w:tcPr>
            <w:tcW w:w="840" w:type="dxa"/>
            <w:vAlign w:val="bottom"/>
          </w:tcPr>
          <w:p>
            <w:pPr>
              <w:ind w:left="4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090046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Cumming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310197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Denver Quarry</w:t>
            </w:r>
          </w:p>
        </w:tc>
        <w:tc>
          <w:tcPr>
            <w:tcW w:w="840" w:type="dxa"/>
            <w:vAlign w:val="bottom"/>
          </w:tcPr>
          <w:p>
            <w:pPr>
              <w:ind w:left="4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440004</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Doswell Quarry VA</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090002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Douglasville Quarry</w:t>
            </w:r>
          </w:p>
        </w:tc>
        <w:tc>
          <w:tcPr>
            <w:tcW w:w="840" w:type="dxa"/>
            <w:vAlign w:val="bottom"/>
          </w:tcPr>
          <w:p>
            <w:pPr>
              <w:ind w:left="4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East Alamance</w:t>
            </w: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310202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380073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Edgefield Quarry</w:t>
            </w:r>
          </w:p>
        </w:tc>
        <w:tc>
          <w:tcPr>
            <w:tcW w:w="840" w:type="dxa"/>
            <w:vAlign w:val="bottom"/>
          </w:tcPr>
          <w:p>
            <w:pPr>
              <w:ind w:left="4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380066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Edmund Sand</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400307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Arial" w:cs="Arial" w:eastAsia="Arial" w:hAnsi="Arial"/>
                <w:sz w:val="20"/>
                <w:szCs w:val="20"/>
                <w:color w:val="auto"/>
              </w:rPr>
              <w:t>Elizabethton Quarry 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Forks of The River</w:t>
            </w: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400161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080120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Fort Myers Quarry</w:t>
            </w:r>
          </w:p>
        </w:tc>
        <w:tc>
          <w:tcPr>
            <w:tcW w:w="840" w:type="dxa"/>
            <w:vAlign w:val="bottom"/>
          </w:tcPr>
          <w:p>
            <w:pPr>
              <w:ind w:left="4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3</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310213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Franklin Quarry</w:t>
            </w:r>
          </w:p>
        </w:tc>
        <w:tc>
          <w:tcPr>
            <w:tcW w:w="840" w:type="dxa"/>
            <w:vAlign w:val="bottom"/>
          </w:tcPr>
          <w:p>
            <w:pPr>
              <w:ind w:left="4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180001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310205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Fuquay Quarry</w:t>
            </w:r>
          </w:p>
        </w:tc>
        <w:tc>
          <w:tcPr>
            <w:tcW w:w="840" w:type="dxa"/>
            <w:vAlign w:val="bottom"/>
          </w:tcPr>
          <w:p>
            <w:pPr>
              <w:ind w:left="4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line="194" w:lineRule="exact"/>
              <w:rPr>
                <w:sz w:val="20"/>
                <w:szCs w:val="20"/>
                <w:color w:val="auto"/>
              </w:rPr>
            </w:pPr>
            <w:r>
              <w:rPr>
                <w:rFonts w:ascii="Arial" w:cs="Arial" w:eastAsia="Arial" w:hAnsi="Arial"/>
                <w:sz w:val="20"/>
                <w:szCs w:val="20"/>
                <w:color w:val="auto"/>
              </w:rPr>
              <w:t>Georgetown II</w:t>
            </w: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380052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302</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Quarry</w:t>
            </w:r>
          </w:p>
        </w:tc>
        <w:tc>
          <w:tcPr>
            <w:tcW w:w="840" w:type="dxa"/>
            <w:vAlign w:val="bottom"/>
          </w:tcPr>
          <w:p>
            <w:pPr>
              <w:ind w:left="4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400313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Grasselli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400248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80" w:type="dxa"/>
            <w:vAlign w:val="bottom"/>
          </w:tcPr>
          <w:p>
            <w:pPr>
              <w:spacing w:after="0"/>
              <w:rPr>
                <w:sz w:val="20"/>
                <w:szCs w:val="20"/>
                <w:color w:val="auto"/>
              </w:rPr>
            </w:pPr>
            <w:r>
              <w:rPr>
                <w:rFonts w:ascii="Arial" w:cs="Arial" w:eastAsia="Arial" w:hAnsi="Arial"/>
                <w:sz w:val="20"/>
                <w:szCs w:val="20"/>
                <w:color w:val="auto"/>
              </w:rPr>
              <w:t>Greenback Quarry</w:t>
            </w:r>
          </w:p>
        </w:tc>
        <w:tc>
          <w:tcPr>
            <w:tcW w:w="840" w:type="dxa"/>
            <w:vAlign w:val="bottom"/>
          </w:tcPr>
          <w:p>
            <w:pPr>
              <w:ind w:left="4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Greensboro</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310233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Portable Plt</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150007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Harlan Quarry</w:t>
            </w:r>
          </w:p>
        </w:tc>
        <w:tc>
          <w:tcPr>
            <w:tcW w:w="880" w:type="dxa"/>
            <w:vAlign w:val="bottom"/>
          </w:tcPr>
          <w:p>
            <w:pPr>
              <w:ind w:left="8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310004</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Hickory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090095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Homer Quarry</w:t>
            </w:r>
          </w:p>
        </w:tc>
        <w:tc>
          <w:tcPr>
            <w:tcW w:w="880" w:type="dxa"/>
            <w:vAlign w:val="bottom"/>
          </w:tcPr>
          <w:p>
            <w:pPr>
              <w:ind w:left="8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010266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Huntsville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400124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I-75 Quarry</w:t>
            </w:r>
          </w:p>
        </w:tc>
        <w:tc>
          <w:tcPr>
            <w:tcW w:w="880" w:type="dxa"/>
            <w:vAlign w:val="bottom"/>
          </w:tcPr>
          <w:p>
            <w:pPr>
              <w:ind w:left="8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310005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Jamestown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090110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Jefferson Quarry</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090102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Junction City Quarry9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310007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Kannapolis Quarry</w:t>
            </w:r>
          </w:p>
        </w:tc>
        <w:tc>
          <w:tcPr>
            <w:tcW w:w="880" w:type="dxa"/>
            <w:vAlign w:val="bottom"/>
          </w:tcPr>
          <w:p>
            <w:pPr>
              <w:ind w:left="8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180074</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Kent Sand &amp; Gravel 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Kings Mountain</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310004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Quarry</w:t>
            </w:r>
          </w:p>
        </w:tc>
        <w:tc>
          <w:tcPr>
            <w:tcW w:w="880" w:type="dxa"/>
            <w:vAlign w:val="bottom"/>
          </w:tcPr>
          <w:p>
            <w:pPr>
              <w:ind w:left="8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Lemon Springs</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310110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090002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Lithonia Quarry</w:t>
            </w:r>
          </w:p>
        </w:tc>
        <w:tc>
          <w:tcPr>
            <w:tcW w:w="880" w:type="dxa"/>
            <w:vAlign w:val="bottom"/>
          </w:tcPr>
          <w:p>
            <w:pPr>
              <w:ind w:left="8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Loamy Sand</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380072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Locust Mount</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400012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Quarry</w:t>
            </w:r>
          </w:p>
        </w:tc>
        <w:tc>
          <w:tcPr>
            <w:tcW w:w="880" w:type="dxa"/>
            <w:vAlign w:val="bottom"/>
          </w:tcPr>
          <w:p>
            <w:pPr>
              <w:ind w:left="8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310212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Mallard Creek</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310200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Quarry</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310208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010063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Arial" w:cs="Arial" w:eastAsia="Arial" w:hAnsi="Arial"/>
                <w:sz w:val="20"/>
                <w:szCs w:val="20"/>
                <w:color w:val="auto"/>
              </w:rPr>
              <w:t>Maylene Quarry</w:t>
            </w:r>
          </w:p>
        </w:tc>
        <w:tc>
          <w:tcPr>
            <w:tcW w:w="880" w:type="dxa"/>
            <w:vAlign w:val="bottom"/>
          </w:tcPr>
          <w:p>
            <w:pPr>
              <w:ind w:left="8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1700" w:type="dxa"/>
            <w:vAlign w:val="bottom"/>
            <w:shd w:val="clear" w:color="auto" w:fill="CFF0FC"/>
          </w:tcPr>
          <w:p>
            <w:pPr>
              <w:spacing w:after="0"/>
              <w:rPr>
                <w:sz w:val="17"/>
                <w:szCs w:val="17"/>
                <w:color w:val="auto"/>
              </w:rPr>
            </w:pPr>
          </w:p>
        </w:tc>
        <w:tc>
          <w:tcPr>
            <w:tcW w:w="920" w:type="dxa"/>
            <w:vAlign w:val="bottom"/>
            <w:shd w:val="clear" w:color="auto" w:fill="CFF0FC"/>
          </w:tcPr>
          <w:p>
            <w:pPr>
              <w:ind w:left="120"/>
              <w:spacing w:after="0" w:line="202" w:lineRule="exact"/>
              <w:rPr>
                <w:sz w:val="20"/>
                <w:szCs w:val="20"/>
                <w:color w:val="auto"/>
              </w:rPr>
            </w:pPr>
            <w:r>
              <w:rPr>
                <w:rFonts w:ascii="Arial" w:cs="Arial" w:eastAsia="Arial" w:hAnsi="Arial"/>
                <w:sz w:val="20"/>
                <w:szCs w:val="20"/>
                <w:color w:val="auto"/>
              </w:rPr>
              <w:t>180003</w:t>
            </w:r>
          </w:p>
        </w:tc>
        <w:tc>
          <w:tcPr>
            <w:tcW w:w="5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Medford 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440376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Midlothian Quarry</w:t>
            </w:r>
          </w:p>
        </w:tc>
        <w:tc>
          <w:tcPr>
            <w:tcW w:w="920" w:type="dxa"/>
            <w:vAlign w:val="bottom"/>
          </w:tcPr>
          <w:p>
            <w:pPr>
              <w:ind w:left="12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400116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Midway 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line="194" w:lineRule="exact"/>
              <w:rPr>
                <w:sz w:val="20"/>
                <w:szCs w:val="20"/>
                <w:color w:val="auto"/>
              </w:rPr>
            </w:pPr>
            <w:r>
              <w:rPr>
                <w:rFonts w:ascii="Arial" w:cs="Arial" w:eastAsia="Arial" w:hAnsi="Arial"/>
                <w:sz w:val="20"/>
                <w:szCs w:val="20"/>
                <w:color w:val="auto"/>
              </w:rPr>
              <w:t>Misc Greensboro</w:t>
            </w: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00B86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District</w:t>
            </w:r>
          </w:p>
        </w:tc>
        <w:tc>
          <w:tcPr>
            <w:tcW w:w="920" w:type="dxa"/>
            <w:vAlign w:val="bottom"/>
          </w:tcPr>
          <w:p>
            <w:pPr>
              <w:ind w:left="120"/>
              <w:spacing w:after="0"/>
              <w:rPr>
                <w:sz w:val="20"/>
                <w:szCs w:val="20"/>
                <w:color w:val="auto"/>
              </w:rPr>
            </w:pPr>
            <w:r>
              <w:rPr>
                <w:rFonts w:ascii="Arial" w:cs="Arial" w:eastAsia="Arial" w:hAnsi="Arial"/>
                <w:sz w:val="20"/>
                <w:szCs w:val="20"/>
                <w:color w:val="auto"/>
              </w:rPr>
              <w:t>11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400079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Monterey Sand</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090112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Morgan County</w:t>
            </w:r>
          </w:p>
        </w:tc>
        <w:tc>
          <w:tcPr>
            <w:tcW w:w="920" w:type="dxa"/>
            <w:vAlign w:val="bottom"/>
          </w:tcPr>
          <w:p>
            <w:pPr>
              <w:ind w:left="12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090089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Newton 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380014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North Columbia</w:t>
            </w:r>
          </w:p>
        </w:tc>
        <w:tc>
          <w:tcPr>
            <w:tcW w:w="920" w:type="dxa"/>
            <w:vAlign w:val="bottom"/>
          </w:tcPr>
          <w:p>
            <w:pPr>
              <w:ind w:left="12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180041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North East 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line="194" w:lineRule="exact"/>
              <w:rPr>
                <w:sz w:val="20"/>
                <w:szCs w:val="20"/>
                <w:color w:val="auto"/>
              </w:rPr>
            </w:pPr>
            <w:r>
              <w:rPr>
                <w:rFonts w:ascii="Arial" w:cs="Arial" w:eastAsia="Arial" w:hAnsi="Arial"/>
                <w:sz w:val="20"/>
                <w:szCs w:val="20"/>
                <w:color w:val="auto"/>
              </w:rPr>
              <w:t>O'Neal Plant  Co</w:t>
            </w: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010307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19</w:t>
            </w:r>
          </w:p>
        </w:tc>
        <w:tc>
          <w:tcPr>
            <w:tcW w:w="920" w:type="dxa"/>
            <w:vAlign w:val="bottom"/>
          </w:tcPr>
          <w:p>
            <w:pPr>
              <w:ind w:left="12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Old Charleston</w:t>
            </w: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380070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310212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Onslow Quarry</w:t>
            </w:r>
          </w:p>
        </w:tc>
        <w:tc>
          <w:tcPr>
            <w:tcW w:w="920" w:type="dxa"/>
            <w:vAlign w:val="bottom"/>
          </w:tcPr>
          <w:p>
            <w:pPr>
              <w:ind w:left="12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Palmetto Sand</w:t>
            </w: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380071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Company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090110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Paulding Quarry</w:t>
            </w:r>
          </w:p>
        </w:tc>
        <w:tc>
          <w:tcPr>
            <w:tcW w:w="920" w:type="dxa"/>
            <w:vAlign w:val="bottom"/>
          </w:tcPr>
          <w:p>
            <w:pPr>
              <w:ind w:left="12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080108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180002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Pinesburg Quarry</w:t>
            </w:r>
          </w:p>
        </w:tc>
        <w:tc>
          <w:tcPr>
            <w:tcW w:w="920" w:type="dxa"/>
            <w:vAlign w:val="bottom"/>
          </w:tcPr>
          <w:p>
            <w:pPr>
              <w:ind w:left="12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310005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Pomona 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line="194" w:lineRule="exact"/>
              <w:rPr>
                <w:sz w:val="20"/>
                <w:szCs w:val="20"/>
                <w:color w:val="auto"/>
              </w:rPr>
            </w:pPr>
            <w:r>
              <w:rPr>
                <w:rFonts w:ascii="Arial" w:cs="Arial" w:eastAsia="Arial" w:hAnsi="Arial"/>
                <w:sz w:val="20"/>
                <w:szCs w:val="20"/>
                <w:color w:val="auto"/>
              </w:rPr>
              <w:t>Raleigh Durham</w:t>
            </w: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310194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ind w:left="12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440007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Red Hill 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49"/>
        </w:trPr>
        <w:tc>
          <w:tcPr>
            <w:tcW w:w="17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61"/>
        </w:trPr>
        <w:tc>
          <w:tcPr>
            <w:tcW w:w="1780" w:type="dxa"/>
            <w:vAlign w:val="bottom"/>
          </w:tcPr>
          <w:p>
            <w:pPr>
              <w:spacing w:after="0"/>
              <w:rPr>
                <w:sz w:val="22"/>
                <w:szCs w:val="22"/>
                <w:color w:val="auto"/>
              </w:rPr>
            </w:pPr>
          </w:p>
        </w:tc>
        <w:tc>
          <w:tcPr>
            <w:tcW w:w="840" w:type="dxa"/>
            <w:vAlign w:val="bottom"/>
            <w:vMerge w:val="restart"/>
          </w:tcPr>
          <w:p>
            <w:pPr>
              <w:ind w:left="40"/>
              <w:spacing w:after="0"/>
              <w:rPr>
                <w:sz w:val="20"/>
                <w:szCs w:val="20"/>
                <w:color w:val="auto"/>
              </w:rPr>
            </w:pPr>
            <w:r>
              <w:rPr>
                <w:rFonts w:ascii="Arial" w:cs="Arial" w:eastAsia="Arial" w:hAnsi="Arial"/>
                <w:sz w:val="20"/>
                <w:szCs w:val="20"/>
                <w:color w:val="auto"/>
              </w:rPr>
              <w:t>090006</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Red Oak Quarry</w:t>
            </w:r>
          </w:p>
        </w:tc>
        <w:tc>
          <w:tcPr>
            <w:tcW w:w="840" w:type="dxa"/>
            <w:vAlign w:val="bottom"/>
          </w:tcPr>
          <w:p>
            <w:pPr>
              <w:ind w:left="4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310006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Reidsville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400322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Riverbend Quarry</w:t>
            </w:r>
          </w:p>
        </w:tc>
        <w:tc>
          <w:tcPr>
            <w:tcW w:w="840" w:type="dxa"/>
            <w:vAlign w:val="bottom"/>
          </w:tcPr>
          <w:p>
            <w:pPr>
              <w:ind w:left="4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380002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Rock Hill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310195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Rocky Point Quarry</w:t>
            </w:r>
          </w:p>
        </w:tc>
        <w:tc>
          <w:tcPr>
            <w:tcW w:w="840" w:type="dxa"/>
            <w:vAlign w:val="bottom"/>
          </w:tcPr>
          <w:p>
            <w:pPr>
              <w:ind w:left="4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090007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380075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Salem Sand</w:t>
            </w:r>
          </w:p>
        </w:tc>
        <w:tc>
          <w:tcPr>
            <w:tcW w:w="840" w:type="dxa"/>
            <w:vAlign w:val="bottom"/>
          </w:tcPr>
          <w:p>
            <w:pPr>
              <w:ind w:left="4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310203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Salem Stone</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line="194" w:lineRule="exact"/>
              <w:rPr>
                <w:sz w:val="20"/>
                <w:szCs w:val="20"/>
                <w:color w:val="auto"/>
              </w:rPr>
            </w:pPr>
            <w:r>
              <w:rPr>
                <w:rFonts w:ascii="Arial" w:cs="Arial" w:eastAsia="Arial" w:hAnsi="Arial"/>
                <w:sz w:val="20"/>
                <w:szCs w:val="20"/>
                <w:color w:val="auto"/>
              </w:rPr>
              <w:t>Salisbury Pink</w:t>
            </w: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line="216" w:lineRule="exact"/>
              <w:rPr>
                <w:sz w:val="20"/>
                <w:szCs w:val="20"/>
                <w:color w:val="auto"/>
              </w:rPr>
            </w:pPr>
            <w:r>
              <w:rPr>
                <w:rFonts w:ascii="Arial" w:cs="Arial" w:eastAsia="Arial" w:hAnsi="Arial"/>
                <w:sz w:val="20"/>
                <w:szCs w:val="20"/>
                <w:color w:val="auto"/>
              </w:rPr>
              <w:t>Quarry (Carolina</w:t>
            </w:r>
          </w:p>
        </w:tc>
        <w:tc>
          <w:tcPr>
            <w:tcW w:w="840" w:type="dxa"/>
            <w:vAlign w:val="bottom"/>
          </w:tcPr>
          <w:p>
            <w:pPr>
              <w:ind w:left="40"/>
              <w:spacing w:after="0" w:line="216" w:lineRule="exact"/>
              <w:rPr>
                <w:sz w:val="20"/>
                <w:szCs w:val="20"/>
                <w:color w:val="auto"/>
              </w:rPr>
            </w:pPr>
            <w:r>
              <w:rPr>
                <w:rFonts w:ascii="Arial" w:cs="Arial" w:eastAsia="Arial" w:hAnsi="Arial"/>
                <w:sz w:val="20"/>
                <w:szCs w:val="20"/>
                <w:color w:val="auto"/>
              </w:rPr>
              <w:t>31-</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Quarry)</w:t>
            </w:r>
          </w:p>
        </w:tc>
        <w:tc>
          <w:tcPr>
            <w:tcW w:w="840" w:type="dxa"/>
            <w:vAlign w:val="bottom"/>
          </w:tcPr>
          <w:p>
            <w:pPr>
              <w:ind w:left="40"/>
              <w:spacing w:after="0"/>
              <w:rPr>
                <w:sz w:val="20"/>
                <w:szCs w:val="20"/>
                <w:color w:val="auto"/>
              </w:rPr>
            </w:pPr>
            <w:r>
              <w:rPr>
                <w:rFonts w:ascii="Arial" w:cs="Arial" w:eastAsia="Arial" w:hAnsi="Arial"/>
                <w:sz w:val="20"/>
                <w:szCs w:val="20"/>
                <w:color w:val="auto"/>
              </w:rPr>
              <w:t>00017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080133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SDI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090114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Six Mile Quarry</w:t>
            </w:r>
          </w:p>
        </w:tc>
        <w:tc>
          <w:tcPr>
            <w:tcW w:w="840" w:type="dxa"/>
            <w:vAlign w:val="bottom"/>
          </w:tcPr>
          <w:p>
            <w:pPr>
              <w:ind w:left="4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St. Marys Sand</w:t>
            </w: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090119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Company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310005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Statesville Quarry</w:t>
            </w:r>
          </w:p>
        </w:tc>
        <w:tc>
          <w:tcPr>
            <w:tcW w:w="840" w:type="dxa"/>
            <w:vAlign w:val="bottom"/>
          </w:tcPr>
          <w:p>
            <w:pPr>
              <w:ind w:left="4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180000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Texas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310147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Thomasville Quarry</w:t>
            </w:r>
          </w:p>
        </w:tc>
        <w:tc>
          <w:tcPr>
            <w:tcW w:w="840" w:type="dxa"/>
            <w:vAlign w:val="bottom"/>
          </w:tcPr>
          <w:p>
            <w:pPr>
              <w:ind w:left="4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Tri Cities Airport</w:t>
            </w: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400165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090030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Tyrone Quarry</w:t>
            </w:r>
          </w:p>
        </w:tc>
        <w:tc>
          <w:tcPr>
            <w:tcW w:w="840" w:type="dxa"/>
            <w:vAlign w:val="bottom"/>
          </w:tcPr>
          <w:p>
            <w:pPr>
              <w:ind w:left="4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400207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Unicoi</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line="194" w:lineRule="exact"/>
              <w:rPr>
                <w:sz w:val="20"/>
                <w:szCs w:val="20"/>
                <w:color w:val="auto"/>
              </w:rPr>
            </w:pPr>
            <w:r>
              <w:rPr>
                <w:rFonts w:ascii="Arial" w:cs="Arial" w:eastAsia="Arial" w:hAnsi="Arial"/>
                <w:sz w:val="20"/>
                <w:szCs w:val="20"/>
                <w:color w:val="auto"/>
              </w:rPr>
              <w:t>Vance Quarry  Co</w:t>
            </w: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010302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19</w:t>
            </w:r>
          </w:p>
        </w:tc>
        <w:tc>
          <w:tcPr>
            <w:tcW w:w="840" w:type="dxa"/>
            <w:vAlign w:val="bottom"/>
          </w:tcPr>
          <w:p>
            <w:pPr>
              <w:ind w:left="4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Warfordsburg</w:t>
            </w: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360016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090058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80" w:type="dxa"/>
            <w:vAlign w:val="bottom"/>
          </w:tcPr>
          <w:p>
            <w:pPr>
              <w:spacing w:after="0"/>
              <w:rPr>
                <w:sz w:val="20"/>
                <w:szCs w:val="20"/>
                <w:color w:val="auto"/>
              </w:rPr>
            </w:pPr>
            <w:r>
              <w:rPr>
                <w:rFonts w:ascii="Arial" w:cs="Arial" w:eastAsia="Arial" w:hAnsi="Arial"/>
                <w:sz w:val="20"/>
                <w:szCs w:val="20"/>
                <w:color w:val="auto"/>
              </w:rPr>
              <w:t>Warrenton Quarry</w:t>
            </w:r>
          </w:p>
        </w:tc>
        <w:tc>
          <w:tcPr>
            <w:tcW w:w="840" w:type="dxa"/>
            <w:vAlign w:val="bottom"/>
          </w:tcPr>
          <w:p>
            <w:pPr>
              <w:ind w:left="4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1740" w:type="dxa"/>
            <w:vAlign w:val="bottom"/>
            <w:shd w:val="clear" w:color="auto" w:fill="CFF0FC"/>
          </w:tcPr>
          <w:p>
            <w:pPr>
              <w:spacing w:after="0"/>
              <w:rPr>
                <w:sz w:val="17"/>
                <w:szCs w:val="17"/>
                <w:color w:val="auto"/>
              </w:rPr>
            </w:pPr>
          </w:p>
        </w:tc>
        <w:tc>
          <w:tcPr>
            <w:tcW w:w="880" w:type="dxa"/>
            <w:vAlign w:val="bottom"/>
            <w:shd w:val="clear" w:color="auto" w:fill="CFF0FC"/>
          </w:tcPr>
          <w:p>
            <w:pPr>
              <w:ind w:left="80"/>
              <w:spacing w:after="0" w:line="202" w:lineRule="exact"/>
              <w:rPr>
                <w:sz w:val="20"/>
                <w:szCs w:val="20"/>
                <w:color w:val="auto"/>
              </w:rPr>
            </w:pPr>
            <w:r>
              <w:rPr>
                <w:rFonts w:ascii="Arial" w:cs="Arial" w:eastAsia="Arial" w:hAnsi="Arial"/>
                <w:sz w:val="20"/>
                <w:szCs w:val="20"/>
                <w:color w:val="auto"/>
              </w:rPr>
              <w:t>400012</w:t>
            </w:r>
          </w:p>
        </w:tc>
        <w:tc>
          <w:tcPr>
            <w:tcW w:w="5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Watauga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310130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Wilmington Sand</w:t>
            </w:r>
          </w:p>
        </w:tc>
        <w:tc>
          <w:tcPr>
            <w:tcW w:w="880" w:type="dxa"/>
            <w:vAlign w:val="bottom"/>
          </w:tcPr>
          <w:p>
            <w:pPr>
              <w:ind w:left="8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310223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Wilson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310006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Woodleaf Quarry</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440001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**Blue Ridge Quarry 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440007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**Fieldale Quarry</w:t>
            </w:r>
          </w:p>
        </w:tc>
        <w:tc>
          <w:tcPr>
            <w:tcW w:w="880" w:type="dxa"/>
            <w:vAlign w:val="bottom"/>
          </w:tcPr>
          <w:p>
            <w:pPr>
              <w:ind w:left="8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**Lawyers Road</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440001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440010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**Mt. Athos Quarry</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**Piney River</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440003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440689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Arial" w:cs="Arial" w:eastAsia="Arial" w:hAnsi="Arial"/>
                <w:sz w:val="20"/>
                <w:szCs w:val="20"/>
                <w:color w:val="auto"/>
              </w:rPr>
              <w:t>**Rich Patch Quarry 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(45) North</w:t>
            </w:r>
          </w:p>
        </w:tc>
        <w:tc>
          <w:tcPr>
            <w:tcW w:w="8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Indianapolis</w:t>
            </w:r>
          </w:p>
        </w:tc>
        <w:tc>
          <w:tcPr>
            <w:tcW w:w="88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120000</w:t>
            </w:r>
          </w:p>
        </w:tc>
        <w:tc>
          <w:tcPr>
            <w:tcW w:w="5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3</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Alden Portable</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130203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Plant #2</w:t>
            </w:r>
          </w:p>
        </w:tc>
        <w:tc>
          <w:tcPr>
            <w:tcW w:w="880" w:type="dxa"/>
            <w:vAlign w:val="bottom"/>
          </w:tcPr>
          <w:p>
            <w:pPr>
              <w:ind w:left="8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Alden Portable</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130203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130022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Alden Quarry</w:t>
            </w:r>
          </w:p>
        </w:tc>
        <w:tc>
          <w:tcPr>
            <w:tcW w:w="880" w:type="dxa"/>
            <w:vAlign w:val="bottom"/>
          </w:tcPr>
          <w:p>
            <w:pPr>
              <w:ind w:left="8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130001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547</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3</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330167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Apple Grove S G</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120191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Belmont Sand</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Bowling Green</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150006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North Quarry</w:t>
            </w:r>
          </w:p>
        </w:tc>
        <w:tc>
          <w:tcPr>
            <w:tcW w:w="880" w:type="dxa"/>
            <w:vAlign w:val="bottom"/>
          </w:tcPr>
          <w:p>
            <w:pPr>
              <w:ind w:left="8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Bowling Green</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150002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South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49"/>
        </w:trPr>
        <w:tc>
          <w:tcPr>
            <w:tcW w:w="1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61"/>
        </w:trPr>
        <w:tc>
          <w:tcPr>
            <w:tcW w:w="1740" w:type="dxa"/>
            <w:vAlign w:val="bottom"/>
            <w:vMerge w:val="restart"/>
          </w:tcPr>
          <w:p>
            <w:pPr>
              <w:spacing w:after="0"/>
              <w:rPr>
                <w:sz w:val="20"/>
                <w:szCs w:val="20"/>
                <w:color w:val="auto"/>
              </w:rPr>
            </w:pPr>
            <w:r>
              <w:rPr>
                <w:rFonts w:ascii="Arial" w:cs="Arial" w:eastAsia="Arial" w:hAnsi="Arial"/>
                <w:sz w:val="20"/>
                <w:szCs w:val="20"/>
                <w:color w:val="auto"/>
              </w:rPr>
              <w:t>Burning Springs</w:t>
            </w:r>
          </w:p>
        </w:tc>
        <w:tc>
          <w:tcPr>
            <w:tcW w:w="880" w:type="dxa"/>
            <w:vAlign w:val="bottom"/>
            <w:vMerge w:val="restart"/>
          </w:tcPr>
          <w:p>
            <w:pPr>
              <w:ind w:left="80"/>
              <w:spacing w:after="0"/>
              <w:rPr>
                <w:sz w:val="20"/>
                <w:szCs w:val="20"/>
                <w:color w:val="auto"/>
              </w:rPr>
            </w:pPr>
            <w:r>
              <w:rPr>
                <w:rFonts w:ascii="Arial" w:cs="Arial" w:eastAsia="Arial" w:hAnsi="Arial"/>
                <w:sz w:val="20"/>
                <w:szCs w:val="20"/>
                <w:color w:val="auto"/>
              </w:rPr>
              <w:t>460886</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17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Mine</w:t>
            </w:r>
          </w:p>
        </w:tc>
        <w:tc>
          <w:tcPr>
            <w:tcW w:w="880" w:type="dxa"/>
            <w:vAlign w:val="bottom"/>
          </w:tcPr>
          <w:p>
            <w:pPr>
              <w:ind w:left="8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120212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Carmel Sand</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Cedar Rapids</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130012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Quarry</w:t>
            </w:r>
          </w:p>
        </w:tc>
        <w:tc>
          <w:tcPr>
            <w:tcW w:w="880" w:type="dxa"/>
            <w:vAlign w:val="bottom"/>
          </w:tcPr>
          <w:p>
            <w:pPr>
              <w:ind w:left="8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330407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Cedarville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120174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Cloverdale Quarry</w:t>
            </w:r>
          </w:p>
        </w:tc>
        <w:tc>
          <w:tcPr>
            <w:tcW w:w="880" w:type="dxa"/>
            <w:vAlign w:val="bottom"/>
          </w:tcPr>
          <w:p>
            <w:pPr>
              <w:ind w:left="8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Des Moines</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130015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Portable</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Des Moines</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130093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Arial" w:cs="Arial" w:eastAsia="Arial" w:hAnsi="Arial"/>
                <w:sz w:val="20"/>
                <w:szCs w:val="20"/>
                <w:color w:val="auto"/>
              </w:rPr>
              <w:t>Portable #2 Primary 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DES MOINES</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130250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PORTABLE SAND</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250104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Dubois Quarry</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130122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E Town Sand</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330427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Gravel</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Earlham Grading</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130177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Crew</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130212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Earlham Quarry</w:t>
            </w:r>
          </w:p>
        </w:tc>
        <w:tc>
          <w:tcPr>
            <w:tcW w:w="880" w:type="dxa"/>
            <w:vAlign w:val="bottom"/>
          </w:tcPr>
          <w:p>
            <w:pPr>
              <w:ind w:left="8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Elk River Wash</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210121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Plant</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Fairfield Sand &amp;</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330139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Gravel</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130012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Fort Calhoun Mine</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250130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590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UG</w:t>
            </w:r>
          </w:p>
        </w:tc>
        <w:tc>
          <w:tcPr>
            <w:tcW w:w="880" w:type="dxa"/>
            <w:vAlign w:val="bottom"/>
          </w:tcPr>
          <w:p>
            <w:pPr>
              <w:ind w:left="8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3</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130003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453</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3</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49"/>
        </w:trPr>
        <w:tc>
          <w:tcPr>
            <w:tcW w:w="1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61"/>
        </w:trPr>
        <w:tc>
          <w:tcPr>
            <w:tcW w:w="1760" w:type="dxa"/>
            <w:vAlign w:val="bottom"/>
            <w:vMerge w:val="restart"/>
          </w:tcPr>
          <w:p>
            <w:pPr>
              <w:spacing w:after="0"/>
              <w:rPr>
                <w:sz w:val="20"/>
                <w:szCs w:val="20"/>
                <w:color w:val="auto"/>
              </w:rPr>
            </w:pPr>
            <w:r>
              <w:rPr>
                <w:rFonts w:ascii="Arial" w:cs="Arial" w:eastAsia="Arial" w:hAnsi="Arial"/>
                <w:sz w:val="20"/>
                <w:szCs w:val="20"/>
                <w:color w:val="auto"/>
              </w:rPr>
              <w:t>Greenwood Quarry</w:t>
            </w:r>
          </w:p>
        </w:tc>
        <w:tc>
          <w:tcPr>
            <w:tcW w:w="860" w:type="dxa"/>
            <w:vAlign w:val="bottom"/>
            <w:vMerge w:val="restart"/>
          </w:tcPr>
          <w:p>
            <w:pPr>
              <w:ind w:left="60"/>
              <w:spacing w:after="0"/>
              <w:rPr>
                <w:sz w:val="20"/>
                <w:szCs w:val="20"/>
                <w:color w:val="auto"/>
              </w:rPr>
            </w:pPr>
            <w:r>
              <w:rPr>
                <w:rFonts w:ascii="Arial" w:cs="Arial" w:eastAsia="Arial" w:hAnsi="Arial"/>
                <w:sz w:val="20"/>
                <w:szCs w:val="20"/>
                <w:color w:val="auto"/>
              </w:rPr>
              <w:t>230014</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New</w:t>
            </w:r>
          </w:p>
        </w:tc>
        <w:tc>
          <w:tcPr>
            <w:tcW w:w="860" w:type="dxa"/>
            <w:vAlign w:val="bottom"/>
          </w:tcPr>
          <w:p>
            <w:pPr>
              <w:ind w:left="6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150009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Hartford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620" w:type="dxa"/>
            <w:vAlign w:val="bottom"/>
            <w:gridSpan w:val="2"/>
          </w:tcPr>
          <w:p>
            <w:pPr>
              <w:spacing w:after="0" w:line="194" w:lineRule="exact"/>
              <w:rPr>
                <w:sz w:val="20"/>
                <w:szCs w:val="20"/>
                <w:color w:val="auto"/>
              </w:rPr>
            </w:pPr>
            <w:r>
              <w:rPr>
                <w:rFonts w:ascii="Arial" w:cs="Arial" w:eastAsia="Arial" w:hAnsi="Arial"/>
                <w:sz w:val="20"/>
                <w:szCs w:val="20"/>
                <w:color w:val="auto"/>
              </w:rPr>
              <w:t>Iowa Grading Plant 130212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854</w:t>
            </w:r>
          </w:p>
        </w:tc>
        <w:tc>
          <w:tcPr>
            <w:tcW w:w="860" w:type="dxa"/>
            <w:vAlign w:val="bottom"/>
          </w:tcPr>
          <w:p>
            <w:pPr>
              <w:ind w:left="6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130231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Iowa Grading 2</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Johnson County</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120250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Sand &amp; Gravel</w:t>
            </w:r>
          </w:p>
        </w:tc>
        <w:tc>
          <w:tcPr>
            <w:tcW w:w="860" w:type="dxa"/>
            <w:vAlign w:val="bottom"/>
          </w:tcPr>
          <w:p>
            <w:pPr>
              <w:ind w:left="6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Kasota Boutwell Pit</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03488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21-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Kasota Davis Pit</w:t>
            </w:r>
          </w:p>
        </w:tc>
        <w:tc>
          <w:tcPr>
            <w:tcW w:w="860" w:type="dxa"/>
            <w:vAlign w:val="bottom"/>
          </w:tcPr>
          <w:p>
            <w:pPr>
              <w:ind w:left="60"/>
              <w:spacing w:after="0"/>
              <w:rPr>
                <w:sz w:val="20"/>
                <w:szCs w:val="20"/>
                <w:color w:val="auto"/>
              </w:rPr>
            </w:pPr>
            <w:r>
              <w:rPr>
                <w:rFonts w:ascii="Arial" w:cs="Arial" w:eastAsia="Arial" w:hAnsi="Arial"/>
                <w:sz w:val="20"/>
                <w:szCs w:val="20"/>
                <w:color w:val="auto"/>
              </w:rPr>
              <w:t>03741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Kasota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02961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120176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Kentucky Ave Mine</w:t>
            </w:r>
          </w:p>
        </w:tc>
        <w:tc>
          <w:tcPr>
            <w:tcW w:w="860" w:type="dxa"/>
            <w:vAlign w:val="bottom"/>
          </w:tcPr>
          <w:p>
            <w:pPr>
              <w:ind w:left="6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120210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Kokomo Mine UG</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120220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Kokomo Sand</w:t>
            </w:r>
          </w:p>
        </w:tc>
        <w:tc>
          <w:tcPr>
            <w:tcW w:w="860" w:type="dxa"/>
            <w:vAlign w:val="bottom"/>
          </w:tcPr>
          <w:p>
            <w:pPr>
              <w:ind w:left="6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Kokomo Stone</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120014</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177</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(Surface)</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3</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400301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Lebanon Quarry</w:t>
            </w:r>
          </w:p>
        </w:tc>
        <w:tc>
          <w:tcPr>
            <w:tcW w:w="860" w:type="dxa"/>
            <w:vAlign w:val="bottom"/>
          </w:tcPr>
          <w:p>
            <w:pPr>
              <w:ind w:left="6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130220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Linn County Sand</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130011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Malcom Mine</w:t>
            </w:r>
          </w:p>
        </w:tc>
        <w:tc>
          <w:tcPr>
            <w:tcW w:w="860" w:type="dxa"/>
            <w:vAlign w:val="bottom"/>
          </w:tcPr>
          <w:p>
            <w:pPr>
              <w:ind w:left="6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Mankato Paulson</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Pit</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03609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Midwest Division</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00A23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OH</w:t>
            </w:r>
          </w:p>
        </w:tc>
        <w:tc>
          <w:tcPr>
            <w:tcW w:w="860" w:type="dxa"/>
            <w:vAlign w:val="bottom"/>
          </w:tcPr>
          <w:p>
            <w:pPr>
              <w:ind w:left="60"/>
              <w:spacing w:after="0"/>
              <w:rPr>
                <w:sz w:val="20"/>
                <w:szCs w:val="20"/>
                <w:color w:val="auto"/>
              </w:rPr>
            </w:pPr>
            <w:r>
              <w:rPr>
                <w:rFonts w:ascii="Arial" w:cs="Arial" w:eastAsia="Arial" w:hAnsi="Arial"/>
                <w:sz w:val="20"/>
                <w:szCs w:val="20"/>
                <w:color w:val="auto"/>
              </w:rPr>
              <w:t>54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210111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MN Portable # 1</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210159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60" w:type="dxa"/>
            <w:vAlign w:val="bottom"/>
          </w:tcPr>
          <w:p>
            <w:pPr>
              <w:spacing w:after="0"/>
              <w:rPr>
                <w:sz w:val="20"/>
                <w:szCs w:val="20"/>
                <w:color w:val="auto"/>
              </w:rPr>
            </w:pPr>
            <w:r>
              <w:rPr>
                <w:rFonts w:ascii="Arial" w:cs="Arial" w:eastAsia="Arial" w:hAnsi="Arial"/>
                <w:sz w:val="20"/>
                <w:szCs w:val="20"/>
                <w:color w:val="auto"/>
              </w:rPr>
              <w:t>MN Portable # 2</w:t>
            </w:r>
          </w:p>
        </w:tc>
        <w:tc>
          <w:tcPr>
            <w:tcW w:w="860" w:type="dxa"/>
            <w:vAlign w:val="bottom"/>
          </w:tcPr>
          <w:p>
            <w:pPr>
              <w:ind w:left="6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1700" w:type="dxa"/>
            <w:vAlign w:val="bottom"/>
            <w:shd w:val="clear" w:color="auto" w:fill="CFF0FC"/>
          </w:tcPr>
          <w:p>
            <w:pPr>
              <w:spacing w:after="0"/>
              <w:rPr>
                <w:sz w:val="17"/>
                <w:szCs w:val="17"/>
                <w:color w:val="auto"/>
              </w:rPr>
            </w:pPr>
          </w:p>
        </w:tc>
        <w:tc>
          <w:tcPr>
            <w:tcW w:w="920" w:type="dxa"/>
            <w:vAlign w:val="bottom"/>
            <w:shd w:val="clear" w:color="auto" w:fill="CFF0FC"/>
          </w:tcPr>
          <w:p>
            <w:pPr>
              <w:ind w:left="120"/>
              <w:spacing w:after="0" w:line="202" w:lineRule="exact"/>
              <w:rPr>
                <w:sz w:val="20"/>
                <w:szCs w:val="20"/>
                <w:color w:val="auto"/>
              </w:rPr>
            </w:pPr>
            <w:r>
              <w:rPr>
                <w:rFonts w:ascii="Arial" w:cs="Arial" w:eastAsia="Arial" w:hAnsi="Arial"/>
                <w:sz w:val="20"/>
                <w:szCs w:val="20"/>
                <w:color w:val="auto"/>
              </w:rPr>
              <w:t>210314</w:t>
            </w:r>
          </w:p>
        </w:tc>
        <w:tc>
          <w:tcPr>
            <w:tcW w:w="5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MN Portable # 3</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210328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MN Portable # 4</w:t>
            </w:r>
          </w:p>
        </w:tc>
        <w:tc>
          <w:tcPr>
            <w:tcW w:w="920" w:type="dxa"/>
            <w:vAlign w:val="bottom"/>
          </w:tcPr>
          <w:p>
            <w:pPr>
              <w:ind w:left="12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210111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MN Portable # 5</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210312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MN Portable # 6</w:t>
            </w:r>
          </w:p>
        </w:tc>
        <w:tc>
          <w:tcPr>
            <w:tcW w:w="920" w:type="dxa"/>
            <w:vAlign w:val="bottom"/>
          </w:tcPr>
          <w:p>
            <w:pPr>
              <w:ind w:left="12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210335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MN Portable # 7</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210184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MN Portable # 8</w:t>
            </w:r>
          </w:p>
        </w:tc>
        <w:tc>
          <w:tcPr>
            <w:tcW w:w="920" w:type="dxa"/>
            <w:vAlign w:val="bottom"/>
          </w:tcPr>
          <w:p>
            <w:pPr>
              <w:ind w:left="12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210369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MN Reclamation</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130218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Moore Quarry</w:t>
            </w:r>
          </w:p>
        </w:tc>
        <w:tc>
          <w:tcPr>
            <w:tcW w:w="920" w:type="dxa"/>
            <w:vAlign w:val="bottom"/>
          </w:tcPr>
          <w:p>
            <w:pPr>
              <w:ind w:left="12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Murfreesboro</w:t>
            </w: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400005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330438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New Miami Plant</w:t>
            </w:r>
          </w:p>
        </w:tc>
        <w:tc>
          <w:tcPr>
            <w:tcW w:w="920" w:type="dxa"/>
            <w:vAlign w:val="bottom"/>
          </w:tcPr>
          <w:p>
            <w:pPr>
              <w:ind w:left="12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21-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New Ulm Quarry</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02959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120199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Noblesville Sand</w:t>
            </w:r>
          </w:p>
        </w:tc>
        <w:tc>
          <w:tcPr>
            <w:tcW w:w="920" w:type="dxa"/>
            <w:vAlign w:val="bottom"/>
          </w:tcPr>
          <w:p>
            <w:pPr>
              <w:ind w:left="12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120217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10,836</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Noblesville Stone</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5</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line="194" w:lineRule="exact"/>
              <w:rPr>
                <w:sz w:val="20"/>
                <w:szCs w:val="20"/>
                <w:color w:val="auto"/>
              </w:rPr>
            </w:pPr>
            <w:r>
              <w:rPr>
                <w:rFonts w:ascii="Arial" w:cs="Arial" w:eastAsia="Arial" w:hAnsi="Arial"/>
                <w:sz w:val="20"/>
                <w:szCs w:val="20"/>
                <w:color w:val="auto"/>
              </w:rPr>
              <w:t>North Indianapolis</w:t>
            </w: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120199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Quarry</w:t>
            </w:r>
          </w:p>
        </w:tc>
        <w:tc>
          <w:tcPr>
            <w:tcW w:w="920" w:type="dxa"/>
            <w:vAlign w:val="bottom"/>
          </w:tcPr>
          <w:p>
            <w:pPr>
              <w:ind w:left="12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250127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FF0FC"/>
          </w:tcPr>
          <w:p>
            <w:pPr>
              <w:spacing w:after="0"/>
              <w:rPr>
                <w:sz w:val="20"/>
                <w:szCs w:val="20"/>
                <w:color w:val="auto"/>
              </w:rPr>
            </w:pPr>
            <w:r>
              <w:rPr>
                <w:rFonts w:ascii="Arial" w:cs="Arial" w:eastAsia="Arial" w:hAnsi="Arial"/>
                <w:sz w:val="20"/>
                <w:szCs w:val="20"/>
                <w:color w:val="auto"/>
              </w:rPr>
              <w:t>North Valley Sand</w:t>
            </w:r>
          </w:p>
        </w:tc>
        <w:tc>
          <w:tcPr>
            <w:tcW w:w="920" w:type="dxa"/>
            <w:vAlign w:val="bottom"/>
            <w:shd w:val="clear" w:color="auto" w:fill="CFF0FC"/>
          </w:tcPr>
          <w:p>
            <w:pPr>
              <w:ind w:left="12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line="194" w:lineRule="exact"/>
              <w:rPr>
                <w:sz w:val="20"/>
                <w:szCs w:val="20"/>
                <w:color w:val="auto"/>
              </w:rPr>
            </w:pPr>
            <w:r>
              <w:rPr>
                <w:rFonts w:ascii="Arial" w:cs="Arial" w:eastAsia="Arial" w:hAnsi="Arial"/>
                <w:sz w:val="20"/>
                <w:szCs w:val="20"/>
                <w:color w:val="auto"/>
              </w:rPr>
              <w:t>Ohio District</w:t>
            </w: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330479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r>
              <w:rPr>
                <w:rFonts w:ascii="Arial" w:cs="Arial" w:eastAsia="Arial" w:hAnsi="Arial"/>
                <w:sz w:val="20"/>
                <w:szCs w:val="20"/>
                <w:color w:val="auto"/>
              </w:rPr>
              <w:t>Portable</w:t>
            </w:r>
          </w:p>
        </w:tc>
        <w:tc>
          <w:tcPr>
            <w:tcW w:w="920" w:type="dxa"/>
            <w:vAlign w:val="bottom"/>
          </w:tcPr>
          <w:p>
            <w:pPr>
              <w:ind w:left="12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shd w:val="clear" w:color="auto" w:fill="CFF0FC"/>
          </w:tcPr>
          <w:p>
            <w:pPr>
              <w:spacing w:after="0"/>
              <w:rPr>
                <w:sz w:val="16"/>
                <w:szCs w:val="16"/>
                <w:color w:val="auto"/>
              </w:rPr>
            </w:pPr>
          </w:p>
        </w:tc>
        <w:tc>
          <w:tcPr>
            <w:tcW w:w="92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140159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316</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Ottawa Quarry New 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920" w:type="dxa"/>
            <w:vAlign w:val="bottom"/>
          </w:tcPr>
          <w:p>
            <w:pPr>
              <w:ind w:left="120"/>
              <w:spacing w:after="0" w:line="194" w:lineRule="exact"/>
              <w:rPr>
                <w:sz w:val="20"/>
                <w:szCs w:val="20"/>
                <w:color w:val="auto"/>
              </w:rPr>
            </w:pPr>
            <w:r>
              <w:rPr>
                <w:rFonts w:ascii="Arial" w:cs="Arial" w:eastAsia="Arial" w:hAnsi="Arial"/>
                <w:sz w:val="20"/>
                <w:szCs w:val="20"/>
                <w:color w:val="auto"/>
              </w:rPr>
              <w:t>130219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00" w:type="dxa"/>
            <w:vAlign w:val="bottom"/>
          </w:tcPr>
          <w:p>
            <w:pPr>
              <w:spacing w:after="0"/>
              <w:rPr>
                <w:sz w:val="20"/>
                <w:szCs w:val="20"/>
                <w:color w:val="auto"/>
              </w:rPr>
            </w:pPr>
            <w:r>
              <w:rPr>
                <w:rFonts w:ascii="Arial" w:cs="Arial" w:eastAsia="Arial" w:hAnsi="Arial"/>
                <w:sz w:val="20"/>
                <w:szCs w:val="20"/>
                <w:color w:val="auto"/>
              </w:rPr>
              <w:t>Pedersen Quarry</w:t>
            </w:r>
          </w:p>
        </w:tc>
        <w:tc>
          <w:tcPr>
            <w:tcW w:w="920" w:type="dxa"/>
            <w:vAlign w:val="bottom"/>
          </w:tcPr>
          <w:p>
            <w:pPr>
              <w:ind w:left="12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Perkinsville Sand</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120237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and Gravel</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Petersburg Ky</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151689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Gravel</w:t>
            </w:r>
          </w:p>
        </w:tc>
        <w:tc>
          <w:tcPr>
            <w:tcW w:w="860" w:type="dxa"/>
            <w:vAlign w:val="bottom"/>
          </w:tcPr>
          <w:p>
            <w:pPr>
              <w:ind w:left="6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330000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Phillipsburg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Portland Quarry</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0"/>
                <w:szCs w:val="20"/>
                <w:color w:val="auto"/>
              </w:rPr>
              <w:t>(Alden Portable</w:t>
            </w:r>
          </w:p>
        </w:tc>
        <w:tc>
          <w:tcPr>
            <w:tcW w:w="860" w:type="dxa"/>
            <w:vAlign w:val="bottom"/>
          </w:tcPr>
          <w:p>
            <w:pPr>
              <w:ind w:left="60"/>
              <w:spacing w:after="0" w:line="216" w:lineRule="exact"/>
              <w:rPr>
                <w:sz w:val="20"/>
                <w:szCs w:val="20"/>
                <w:color w:val="auto"/>
              </w:rPr>
            </w:pPr>
            <w:r>
              <w:rPr>
                <w:rFonts w:ascii="Arial" w:cs="Arial" w:eastAsia="Arial" w:hAnsi="Arial"/>
                <w:sz w:val="20"/>
                <w:szCs w:val="20"/>
                <w:color w:val="auto"/>
              </w:rPr>
              <w:t>130212</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Wash)</w:t>
            </w:r>
          </w:p>
        </w:tc>
        <w:tc>
          <w:tcPr>
            <w:tcW w:w="860" w:type="dxa"/>
            <w:vAlign w:val="bottom"/>
          </w:tcPr>
          <w:p>
            <w:pPr>
              <w:ind w:left="6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120224</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Putnam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Raccoon River</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130231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Sand</w:t>
            </w:r>
          </w:p>
        </w:tc>
        <w:tc>
          <w:tcPr>
            <w:tcW w:w="860" w:type="dxa"/>
            <w:vAlign w:val="bottom"/>
          </w:tcPr>
          <w:p>
            <w:pPr>
              <w:ind w:left="6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230230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906</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Randolph Mine</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6</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130081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Reasnor Sand</w:t>
            </w:r>
          </w:p>
        </w:tc>
        <w:tc>
          <w:tcPr>
            <w:tcW w:w="860" w:type="dxa"/>
            <w:vAlign w:val="bottom"/>
          </w:tcPr>
          <w:p>
            <w:pPr>
              <w:ind w:left="6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130229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330401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Shamrock SG</w:t>
            </w:r>
          </w:p>
        </w:tc>
        <w:tc>
          <w:tcPr>
            <w:tcW w:w="860" w:type="dxa"/>
            <w:vAlign w:val="bottom"/>
          </w:tcPr>
          <w:p>
            <w:pPr>
              <w:ind w:left="6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Sioux Rock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03504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400294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Smyrna Quarry</w:t>
            </w:r>
          </w:p>
        </w:tc>
        <w:tc>
          <w:tcPr>
            <w:tcW w:w="860" w:type="dxa"/>
            <w:vAlign w:val="bottom"/>
          </w:tcPr>
          <w:p>
            <w:pPr>
              <w:ind w:left="6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Spring Valley Cook</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330453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Rd SG</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Spring Valley</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330407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Gravel Divest</w:t>
            </w:r>
          </w:p>
        </w:tc>
        <w:tc>
          <w:tcPr>
            <w:tcW w:w="860" w:type="dxa"/>
            <w:vAlign w:val="bottom"/>
          </w:tcPr>
          <w:p>
            <w:pPr>
              <w:ind w:left="6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210008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St Cloud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230223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Stamper Mine</w:t>
            </w:r>
          </w:p>
        </w:tc>
        <w:tc>
          <w:tcPr>
            <w:tcW w:w="860" w:type="dxa"/>
            <w:vAlign w:val="bottom"/>
          </w:tcPr>
          <w:p>
            <w:pPr>
              <w:ind w:left="6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400341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Stones River Quarry5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130006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Sully Mine</w:t>
            </w:r>
          </w:p>
        </w:tc>
        <w:tc>
          <w:tcPr>
            <w:tcW w:w="860" w:type="dxa"/>
            <w:vAlign w:val="bottom"/>
          </w:tcPr>
          <w:p>
            <w:pPr>
              <w:ind w:left="6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Sunflower Qy  Co</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140155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61</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330167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60" w:type="dxa"/>
            <w:vAlign w:val="bottom"/>
          </w:tcPr>
          <w:p>
            <w:pPr>
              <w:spacing w:after="0"/>
              <w:rPr>
                <w:sz w:val="20"/>
                <w:szCs w:val="20"/>
                <w:color w:val="auto"/>
              </w:rPr>
            </w:pPr>
            <w:r>
              <w:rPr>
                <w:rFonts w:ascii="Arial" w:cs="Arial" w:eastAsia="Arial" w:hAnsi="Arial"/>
                <w:sz w:val="20"/>
                <w:szCs w:val="20"/>
                <w:color w:val="auto"/>
              </w:rPr>
              <w:t>Troy Gravel</w:t>
            </w:r>
          </w:p>
        </w:tc>
        <w:tc>
          <w:tcPr>
            <w:tcW w:w="860" w:type="dxa"/>
            <w:vAlign w:val="bottom"/>
          </w:tcPr>
          <w:p>
            <w:pPr>
              <w:ind w:left="6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1760" w:type="dxa"/>
            <w:vAlign w:val="bottom"/>
            <w:shd w:val="clear" w:color="auto" w:fill="CFF0FC"/>
          </w:tcPr>
          <w:p>
            <w:pPr>
              <w:spacing w:after="0"/>
              <w:rPr>
                <w:sz w:val="17"/>
                <w:szCs w:val="17"/>
                <w:color w:val="auto"/>
              </w:rPr>
            </w:pPr>
          </w:p>
        </w:tc>
        <w:tc>
          <w:tcPr>
            <w:tcW w:w="860" w:type="dxa"/>
            <w:vAlign w:val="bottom"/>
            <w:shd w:val="clear" w:color="auto" w:fill="CFF0FC"/>
          </w:tcPr>
          <w:p>
            <w:pPr>
              <w:ind w:left="60"/>
              <w:spacing w:after="0" w:line="202" w:lineRule="exact"/>
              <w:rPr>
                <w:sz w:val="20"/>
                <w:szCs w:val="20"/>
                <w:color w:val="auto"/>
              </w:rPr>
            </w:pPr>
            <w:r>
              <w:rPr>
                <w:rFonts w:ascii="Arial" w:cs="Arial" w:eastAsia="Arial" w:hAnsi="Arial"/>
                <w:sz w:val="20"/>
                <w:szCs w:val="20"/>
                <w:color w:val="auto"/>
              </w:rPr>
              <w:t>250131</w:t>
            </w:r>
          </w:p>
        </w:tc>
        <w:tc>
          <w:tcPr>
            <w:tcW w:w="5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Walterloo Sand</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120203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Waverly Sand</w:t>
            </w:r>
          </w:p>
        </w:tc>
        <w:tc>
          <w:tcPr>
            <w:tcW w:w="860" w:type="dxa"/>
            <w:vAlign w:val="bottom"/>
          </w:tcPr>
          <w:p>
            <w:pPr>
              <w:ind w:left="6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Weeping Water</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250099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1,887</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Mine</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7</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250123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West Center Sand</w:t>
            </w:r>
          </w:p>
        </w:tc>
        <w:tc>
          <w:tcPr>
            <w:tcW w:w="860" w:type="dxa"/>
            <w:vAlign w:val="bottom"/>
          </w:tcPr>
          <w:p>
            <w:pPr>
              <w:ind w:left="6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330139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Xenia Gravel</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Yellow Medicine</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210003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Quarry</w:t>
            </w:r>
          </w:p>
        </w:tc>
        <w:tc>
          <w:tcPr>
            <w:tcW w:w="860" w:type="dxa"/>
            <w:vAlign w:val="bottom"/>
          </w:tcPr>
          <w:p>
            <w:pPr>
              <w:ind w:left="6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230031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**Buildex</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140147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**Woodbine Quarry</w:t>
            </w:r>
          </w:p>
        </w:tc>
        <w:tc>
          <w:tcPr>
            <w:tcW w:w="860" w:type="dxa"/>
            <w:vAlign w:val="bottom"/>
          </w:tcPr>
          <w:p>
            <w:pPr>
              <w:ind w:left="6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140158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**Onaga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**Leavenworth</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140168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Quarry</w:t>
            </w:r>
          </w:p>
        </w:tc>
        <w:tc>
          <w:tcPr>
            <w:tcW w:w="860" w:type="dxa"/>
            <w:vAlign w:val="bottom"/>
          </w:tcPr>
          <w:p>
            <w:pPr>
              <w:ind w:left="6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140147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**LaCygne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140147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**Grantville Quarry</w:t>
            </w:r>
          </w:p>
        </w:tc>
        <w:tc>
          <w:tcPr>
            <w:tcW w:w="860" w:type="dxa"/>
            <w:vAlign w:val="bottom"/>
          </w:tcPr>
          <w:p>
            <w:pPr>
              <w:ind w:left="6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**Oakland East</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140174</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**Silverlake West</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140170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Sand</w:t>
            </w:r>
          </w:p>
        </w:tc>
        <w:tc>
          <w:tcPr>
            <w:tcW w:w="860" w:type="dxa"/>
            <w:vAlign w:val="bottom"/>
          </w:tcPr>
          <w:p>
            <w:pPr>
              <w:ind w:left="6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140147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**Lone Elm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140160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**Eudora Quarry</w:t>
            </w:r>
          </w:p>
        </w:tc>
        <w:tc>
          <w:tcPr>
            <w:tcW w:w="860" w:type="dxa"/>
            <w:vAlign w:val="bottom"/>
          </w:tcPr>
          <w:p>
            <w:pPr>
              <w:ind w:left="6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140170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**Olathe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140130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**De Soto Sand</w:t>
            </w:r>
          </w:p>
        </w:tc>
        <w:tc>
          <w:tcPr>
            <w:tcW w:w="860" w:type="dxa"/>
            <w:vAlign w:val="bottom"/>
          </w:tcPr>
          <w:p>
            <w:pPr>
              <w:ind w:left="6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140082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right"/>
              <w:ind w:right="141"/>
              <w:spacing w:after="0"/>
              <w:rPr>
                <w:sz w:val="20"/>
                <w:szCs w:val="20"/>
                <w:color w:val="auto"/>
              </w:rPr>
            </w:pPr>
            <w:r>
              <w:rPr>
                <w:rFonts w:ascii="Arial" w:cs="Arial" w:eastAsia="Arial" w:hAnsi="Arial"/>
                <w:sz w:val="20"/>
                <w:szCs w:val="20"/>
                <w:b w:val="1"/>
                <w:bCs w:val="1"/>
                <w:color w:val="auto"/>
              </w:rPr>
              <w:t>$</w:t>
            </w:r>
          </w:p>
        </w:tc>
        <w:tc>
          <w:tcPr>
            <w:tcW w:w="9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**Louisburg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80" w:type="dxa"/>
            <w:vAlign w:val="bottom"/>
            <w:vMerge w:val="continue"/>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49"/>
        </w:trPr>
        <w:tc>
          <w:tcPr>
            <w:tcW w:w="1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61"/>
        </w:trPr>
        <w:tc>
          <w:tcPr>
            <w:tcW w:w="1740" w:type="dxa"/>
            <w:vAlign w:val="bottom"/>
          </w:tcPr>
          <w:p>
            <w:pPr>
              <w:spacing w:after="0"/>
              <w:rPr>
                <w:sz w:val="22"/>
                <w:szCs w:val="22"/>
                <w:color w:val="auto"/>
              </w:rPr>
            </w:pPr>
          </w:p>
        </w:tc>
        <w:tc>
          <w:tcPr>
            <w:tcW w:w="880" w:type="dxa"/>
            <w:vAlign w:val="bottom"/>
            <w:vMerge w:val="restart"/>
          </w:tcPr>
          <w:p>
            <w:pPr>
              <w:ind w:left="80"/>
              <w:spacing w:after="0"/>
              <w:rPr>
                <w:sz w:val="20"/>
                <w:szCs w:val="20"/>
                <w:color w:val="auto"/>
              </w:rPr>
            </w:pPr>
            <w:r>
              <w:rPr>
                <w:rFonts w:ascii="Arial" w:cs="Arial" w:eastAsia="Arial" w:hAnsi="Arial"/>
                <w:sz w:val="20"/>
                <w:szCs w:val="20"/>
                <w:color w:val="auto"/>
              </w:rPr>
              <w:t>230188</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**Lotawana Quarry</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**Big Springs</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230095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230009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**Marshall Quarry</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230009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**Booneville Quarry 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230209</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**Sturgeon Quarry</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230215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**Sedalia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**Auxvasse South</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230200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Quarry</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230158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**Tipton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230190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**Osage Quarry</w:t>
            </w:r>
          </w:p>
        </w:tc>
        <w:tc>
          <w:tcPr>
            <w:tcW w:w="880" w:type="dxa"/>
            <w:vAlign w:val="bottom"/>
          </w:tcPr>
          <w:p>
            <w:pPr>
              <w:ind w:left="8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**Columbia West</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230002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230200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**Huntsville Quarry</w:t>
            </w:r>
          </w:p>
        </w:tc>
        <w:tc>
          <w:tcPr>
            <w:tcW w:w="880" w:type="dxa"/>
            <w:vAlign w:val="bottom"/>
          </w:tcPr>
          <w:p>
            <w:pPr>
              <w:ind w:left="8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230008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**Gilliam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**Columnia East</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230007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Quarry</w:t>
            </w:r>
          </w:p>
        </w:tc>
        <w:tc>
          <w:tcPr>
            <w:tcW w:w="880" w:type="dxa"/>
            <w:vAlign w:val="bottom"/>
          </w:tcPr>
          <w:p>
            <w:pPr>
              <w:ind w:left="8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230258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**Miami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230222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**Jeff City Quarry</w:t>
            </w:r>
          </w:p>
        </w:tc>
        <w:tc>
          <w:tcPr>
            <w:tcW w:w="880" w:type="dxa"/>
            <w:vAlign w:val="bottom"/>
          </w:tcPr>
          <w:p>
            <w:pPr>
              <w:ind w:left="8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230016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**Millersburg Quarry 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230144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**Reform Quarry</w:t>
            </w:r>
          </w:p>
        </w:tc>
        <w:tc>
          <w:tcPr>
            <w:tcW w:w="880" w:type="dxa"/>
            <w:vAlign w:val="bottom"/>
          </w:tcPr>
          <w:p>
            <w:pPr>
              <w:ind w:left="8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**Columbia North</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230189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49"/>
        </w:trPr>
        <w:tc>
          <w:tcPr>
            <w:tcW w:w="1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61"/>
        </w:trPr>
        <w:tc>
          <w:tcPr>
            <w:tcW w:w="1760" w:type="dxa"/>
            <w:vAlign w:val="bottom"/>
          </w:tcPr>
          <w:p>
            <w:pPr>
              <w:spacing w:after="0"/>
              <w:rPr>
                <w:sz w:val="22"/>
                <w:szCs w:val="22"/>
                <w:color w:val="auto"/>
              </w:rPr>
            </w:pPr>
          </w:p>
        </w:tc>
        <w:tc>
          <w:tcPr>
            <w:tcW w:w="860" w:type="dxa"/>
            <w:vAlign w:val="bottom"/>
            <w:vMerge w:val="restart"/>
          </w:tcPr>
          <w:p>
            <w:pPr>
              <w:ind w:left="60"/>
              <w:spacing w:after="0"/>
              <w:rPr>
                <w:sz w:val="20"/>
                <w:szCs w:val="20"/>
                <w:color w:val="auto"/>
              </w:rPr>
            </w:pPr>
            <w:r>
              <w:rPr>
                <w:rFonts w:ascii="Arial" w:cs="Arial" w:eastAsia="Arial" w:hAnsi="Arial"/>
                <w:sz w:val="20"/>
                <w:szCs w:val="20"/>
                <w:color w:val="auto"/>
              </w:rPr>
              <w:t>230008</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**Glasgow Quarry</w:t>
            </w:r>
          </w:p>
        </w:tc>
        <w:tc>
          <w:tcPr>
            <w:tcW w:w="860" w:type="dxa"/>
            <w:vAlign w:val="bottom"/>
          </w:tcPr>
          <w:p>
            <w:pPr>
              <w:ind w:left="6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230211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**Houstonia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230201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**Stoner Sand</w:t>
            </w:r>
          </w:p>
        </w:tc>
        <w:tc>
          <w:tcPr>
            <w:tcW w:w="860" w:type="dxa"/>
            <w:vAlign w:val="bottom"/>
          </w:tcPr>
          <w:p>
            <w:pPr>
              <w:ind w:left="6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**Albany Sand &amp;</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230245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16"/>
                <w:szCs w:val="16"/>
                <w:color w:val="auto"/>
              </w:rPr>
            </w:pP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230155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**Stanberry Quarry</w:t>
            </w:r>
          </w:p>
        </w:tc>
        <w:tc>
          <w:tcPr>
            <w:tcW w:w="860" w:type="dxa"/>
            <w:vAlign w:val="bottom"/>
          </w:tcPr>
          <w:p>
            <w:pPr>
              <w:ind w:left="6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2620" w:type="dxa"/>
            <w:vAlign w:val="bottom"/>
            <w:gridSpan w:val="2"/>
            <w:shd w:val="clear" w:color="auto" w:fill="CFF0FC"/>
          </w:tcPr>
          <w:p>
            <w:pPr>
              <w:spacing w:after="0" w:line="194" w:lineRule="exact"/>
              <w:rPr>
                <w:sz w:val="20"/>
                <w:szCs w:val="20"/>
                <w:color w:val="auto"/>
              </w:rPr>
            </w:pPr>
            <w:r>
              <w:rPr>
                <w:rFonts w:ascii="Arial" w:cs="Arial" w:eastAsia="Arial" w:hAnsi="Arial"/>
                <w:sz w:val="20"/>
                <w:szCs w:val="20"/>
                <w:color w:val="auto"/>
              </w:rPr>
              <w:t>**Plant # 1 (Lathrop 230192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**Norris Quarries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0"/>
                <w:szCs w:val="20"/>
                <w:color w:val="auto"/>
              </w:rPr>
              <w:t>Plant # 80</w:t>
            </w:r>
          </w:p>
        </w:tc>
        <w:tc>
          <w:tcPr>
            <w:tcW w:w="860" w:type="dxa"/>
            <w:vAlign w:val="bottom"/>
          </w:tcPr>
          <w:p>
            <w:pPr>
              <w:ind w:left="60"/>
              <w:spacing w:after="0" w:line="216" w:lineRule="exact"/>
              <w:rPr>
                <w:sz w:val="20"/>
                <w:szCs w:val="20"/>
                <w:color w:val="auto"/>
              </w:rPr>
            </w:pPr>
            <w:r>
              <w:rPr>
                <w:rFonts w:ascii="Arial" w:cs="Arial" w:eastAsia="Arial" w:hAnsi="Arial"/>
                <w:sz w:val="20"/>
                <w:szCs w:val="20"/>
                <w:color w:val="auto"/>
              </w:rPr>
              <w:t>230207</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(Princeton Quarry)</w:t>
            </w:r>
          </w:p>
        </w:tc>
        <w:tc>
          <w:tcPr>
            <w:tcW w:w="860" w:type="dxa"/>
            <w:vAlign w:val="bottom"/>
          </w:tcPr>
          <w:p>
            <w:pPr>
              <w:ind w:left="6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**Plant # 81</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230229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(Maitland 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**Plant # 65 (Breit</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230192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Quarry)</w:t>
            </w:r>
          </w:p>
        </w:tc>
        <w:tc>
          <w:tcPr>
            <w:tcW w:w="860" w:type="dxa"/>
            <w:vAlign w:val="bottom"/>
          </w:tcPr>
          <w:p>
            <w:pPr>
              <w:ind w:left="6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230233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**Plant 83#</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line="216" w:lineRule="exact"/>
              <w:rPr>
                <w:sz w:val="20"/>
                <w:szCs w:val="20"/>
                <w:color w:val="auto"/>
              </w:rPr>
            </w:pPr>
            <w:r>
              <w:rPr>
                <w:rFonts w:ascii="Arial" w:cs="Arial" w:eastAsia="Arial" w:hAnsi="Arial"/>
                <w:sz w:val="20"/>
                <w:szCs w:val="20"/>
                <w:color w:val="auto"/>
              </w:rPr>
              <w:t>**Lippman Rip Rap</w:t>
            </w:r>
          </w:p>
        </w:tc>
        <w:tc>
          <w:tcPr>
            <w:tcW w:w="860" w:type="dxa"/>
            <w:vAlign w:val="bottom"/>
          </w:tcPr>
          <w:p>
            <w:pPr>
              <w:ind w:left="60"/>
              <w:spacing w:after="0" w:line="216" w:lineRule="exact"/>
              <w:rPr>
                <w:sz w:val="20"/>
                <w:szCs w:val="20"/>
                <w:color w:val="auto"/>
              </w:rPr>
            </w:pPr>
            <w:r>
              <w:rPr>
                <w:rFonts w:ascii="Arial" w:cs="Arial" w:eastAsia="Arial" w:hAnsi="Arial"/>
                <w:sz w:val="20"/>
                <w:szCs w:val="20"/>
                <w:color w:val="auto"/>
              </w:rPr>
              <w:t>140709</w:t>
            </w:r>
          </w:p>
        </w:tc>
        <w:tc>
          <w:tcPr>
            <w:tcW w:w="54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line="216" w:lineRule="exact"/>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line="216" w:lineRule="exact"/>
              <w:rPr>
                <w:sz w:val="20"/>
                <w:szCs w:val="20"/>
                <w:color w:val="auto"/>
              </w:rPr>
            </w:pPr>
            <w:r>
              <w:rPr>
                <w:rFonts w:ascii="Arial" w:cs="Arial" w:eastAsia="Arial" w:hAnsi="Arial"/>
                <w:sz w:val="20"/>
                <w:szCs w:val="20"/>
                <w:color w:val="auto"/>
              </w:rPr>
              <w:t>0</w:t>
            </w:r>
          </w:p>
        </w:tc>
        <w:tc>
          <w:tcPr>
            <w:tcW w:w="660" w:type="dxa"/>
            <w:vAlign w:val="bottom"/>
          </w:tcPr>
          <w:p>
            <w:pPr>
              <w:jc w:val="right"/>
              <w:ind w:right="321"/>
              <w:spacing w:after="0" w:line="216" w:lineRule="exact"/>
              <w:rPr>
                <w:sz w:val="20"/>
                <w:szCs w:val="20"/>
                <w:color w:val="auto"/>
              </w:rPr>
            </w:pPr>
            <w:r>
              <w:rPr>
                <w:rFonts w:ascii="Arial" w:cs="Arial" w:eastAsia="Arial" w:hAnsi="Arial"/>
                <w:sz w:val="20"/>
                <w:szCs w:val="20"/>
                <w:b w:val="1"/>
                <w:bCs w:val="1"/>
                <w:color w:val="auto"/>
              </w:rPr>
              <w:t>$</w:t>
            </w:r>
          </w:p>
        </w:tc>
        <w:tc>
          <w:tcPr>
            <w:tcW w:w="740" w:type="dxa"/>
            <w:vAlign w:val="bottom"/>
          </w:tcPr>
          <w:p>
            <w:pPr>
              <w:jc w:val="right"/>
              <w:ind w:right="81"/>
              <w:spacing w:after="0" w:line="216" w:lineRule="exact"/>
              <w:rPr>
                <w:sz w:val="20"/>
                <w:szCs w:val="20"/>
                <w:color w:val="auto"/>
              </w:rPr>
            </w:pPr>
            <w:r>
              <w:rPr>
                <w:rFonts w:ascii="Arial" w:cs="Arial" w:eastAsia="Arial" w:hAnsi="Arial"/>
                <w:sz w:val="20"/>
                <w:szCs w:val="20"/>
                <w:b w:val="1"/>
                <w:bCs w:val="1"/>
                <w:color w:val="auto"/>
              </w:rPr>
              <w:t>0</w:t>
            </w:r>
          </w:p>
        </w:tc>
        <w:tc>
          <w:tcPr>
            <w:tcW w:w="460" w:type="dxa"/>
            <w:vAlign w:val="bottom"/>
          </w:tcPr>
          <w:p>
            <w:pPr>
              <w:jc w:val="right"/>
              <w:ind w:right="41"/>
              <w:spacing w:after="0" w:line="216" w:lineRule="exact"/>
              <w:rPr>
                <w:sz w:val="20"/>
                <w:szCs w:val="20"/>
                <w:color w:val="auto"/>
              </w:rPr>
            </w:pPr>
            <w:r>
              <w:rPr>
                <w:rFonts w:ascii="Arial" w:cs="Arial" w:eastAsia="Arial" w:hAnsi="Arial"/>
                <w:sz w:val="20"/>
                <w:szCs w:val="20"/>
                <w:color w:val="auto"/>
              </w:rPr>
              <w:t>0</w:t>
            </w:r>
          </w:p>
        </w:tc>
        <w:tc>
          <w:tcPr>
            <w:tcW w:w="560" w:type="dxa"/>
            <w:vAlign w:val="bottom"/>
          </w:tcPr>
          <w:p>
            <w:pPr>
              <w:ind w:left="140"/>
              <w:spacing w:after="0" w:line="216" w:lineRule="exact"/>
              <w:rPr>
                <w:sz w:val="20"/>
                <w:szCs w:val="20"/>
                <w:color w:val="auto"/>
              </w:rPr>
            </w:pPr>
            <w:r>
              <w:rPr>
                <w:rFonts w:ascii="Arial" w:cs="Arial" w:eastAsia="Arial" w:hAnsi="Arial"/>
                <w:sz w:val="20"/>
                <w:szCs w:val="20"/>
                <w:color w:val="auto"/>
              </w:rPr>
              <w:t>no</w:t>
            </w:r>
          </w:p>
        </w:tc>
        <w:tc>
          <w:tcPr>
            <w:tcW w:w="880" w:type="dxa"/>
            <w:vAlign w:val="bottom"/>
          </w:tcPr>
          <w:p>
            <w:pPr>
              <w:ind w:left="200"/>
              <w:spacing w:after="0" w:line="216" w:lineRule="exact"/>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rPr>
                <w:sz w:val="16"/>
                <w:szCs w:val="16"/>
                <w:color w:val="auto"/>
              </w:rPr>
            </w:pP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140180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**Astec Portable</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**Hamm Stipping</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Contractor</w:t>
            </w:r>
          </w:p>
        </w:tc>
        <w:tc>
          <w:tcPr>
            <w:tcW w:w="860" w:type="dxa"/>
            <w:vAlign w:val="bottom"/>
          </w:tcPr>
          <w:p>
            <w:pPr>
              <w:ind w:left="60"/>
              <w:spacing w:after="0"/>
              <w:rPr>
                <w:sz w:val="20"/>
                <w:szCs w:val="20"/>
                <w:color w:val="auto"/>
              </w:rPr>
            </w:pPr>
            <w:r>
              <w:rPr>
                <w:rFonts w:ascii="Arial" w:cs="Arial" w:eastAsia="Arial" w:hAnsi="Arial"/>
                <w:sz w:val="20"/>
                <w:szCs w:val="20"/>
                <w:color w:val="auto"/>
              </w:rPr>
              <w:t>B3200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**Eagle Portable</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140181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Plant</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tcPr>
          <w:p>
            <w:pPr>
              <w:spacing w:after="0" w:line="194" w:lineRule="exact"/>
              <w:rPr>
                <w:sz w:val="20"/>
                <w:szCs w:val="20"/>
                <w:color w:val="auto"/>
              </w:rPr>
            </w:pPr>
            <w:r>
              <w:rPr>
                <w:rFonts w:ascii="Arial" w:cs="Arial" w:eastAsia="Arial" w:hAnsi="Arial"/>
                <w:sz w:val="20"/>
                <w:szCs w:val="20"/>
                <w:color w:val="auto"/>
              </w:rPr>
              <w:t>**Columbia East</w:t>
            </w:r>
          </w:p>
        </w:tc>
        <w:tc>
          <w:tcPr>
            <w:tcW w:w="860" w:type="dxa"/>
            <w:vAlign w:val="bottom"/>
          </w:tcPr>
          <w:p>
            <w:pPr>
              <w:ind w:left="60"/>
              <w:spacing w:after="0" w:line="194" w:lineRule="exact"/>
              <w:rPr>
                <w:sz w:val="20"/>
                <w:szCs w:val="20"/>
                <w:color w:val="auto"/>
              </w:rPr>
            </w:pPr>
            <w:r>
              <w:rPr>
                <w:rFonts w:ascii="Arial" w:cs="Arial" w:eastAsia="Arial" w:hAnsi="Arial"/>
                <w:sz w:val="20"/>
                <w:szCs w:val="20"/>
                <w:color w:val="auto"/>
              </w:rPr>
              <w:t>230007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20"/>
                <w:szCs w:val="20"/>
                <w:color w:val="auto"/>
              </w:rPr>
              <w:t>Quarry</w:t>
            </w:r>
          </w:p>
        </w:tc>
        <w:tc>
          <w:tcPr>
            <w:tcW w:w="860" w:type="dxa"/>
            <w:vAlign w:val="bottom"/>
          </w:tcPr>
          <w:p>
            <w:pPr>
              <w:ind w:left="6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6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**Marshall Junction</w:t>
            </w:r>
          </w:p>
        </w:tc>
        <w:tc>
          <w:tcPr>
            <w:tcW w:w="86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230125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60" w:type="dxa"/>
            <w:vAlign w:val="bottom"/>
            <w:shd w:val="clear" w:color="auto" w:fill="CFF0FC"/>
          </w:tcPr>
          <w:p>
            <w:pPr>
              <w:ind w:left="6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49"/>
        </w:trPr>
        <w:tc>
          <w:tcPr>
            <w:tcW w:w="1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61"/>
        </w:trPr>
        <w:tc>
          <w:tcPr>
            <w:tcW w:w="1780" w:type="dxa"/>
            <w:vAlign w:val="bottom"/>
          </w:tcPr>
          <w:p>
            <w:pPr>
              <w:spacing w:after="0"/>
              <w:rPr>
                <w:sz w:val="22"/>
                <w:szCs w:val="22"/>
                <w:color w:val="auto"/>
              </w:rPr>
            </w:pPr>
          </w:p>
        </w:tc>
        <w:tc>
          <w:tcPr>
            <w:tcW w:w="840" w:type="dxa"/>
            <w:vAlign w:val="bottom"/>
            <w:vMerge w:val="restart"/>
          </w:tcPr>
          <w:p>
            <w:pPr>
              <w:ind w:left="40"/>
              <w:spacing w:after="0"/>
              <w:rPr>
                <w:sz w:val="20"/>
                <w:szCs w:val="20"/>
                <w:color w:val="auto"/>
              </w:rPr>
            </w:pPr>
            <w:r>
              <w:rPr>
                <w:rFonts w:ascii="Arial" w:cs="Arial" w:eastAsia="Arial" w:hAnsi="Arial"/>
                <w:sz w:val="20"/>
                <w:szCs w:val="20"/>
                <w:color w:val="auto"/>
              </w:rPr>
              <w:t>230211</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**Houstonia Quarry</w:t>
            </w:r>
          </w:p>
        </w:tc>
        <w:tc>
          <w:tcPr>
            <w:tcW w:w="840" w:type="dxa"/>
            <w:vAlign w:val="bottom"/>
          </w:tcPr>
          <w:p>
            <w:pPr>
              <w:ind w:left="4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230190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**Westphalia Quarry8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line="194" w:lineRule="exact"/>
              <w:rPr>
                <w:sz w:val="20"/>
                <w:szCs w:val="20"/>
                <w:color w:val="auto"/>
              </w:rPr>
            </w:pPr>
            <w:r>
              <w:rPr>
                <w:rFonts w:ascii="Arial" w:cs="Arial" w:eastAsia="Arial" w:hAnsi="Arial"/>
                <w:sz w:val="20"/>
                <w:szCs w:val="20"/>
                <w:color w:val="auto"/>
              </w:rPr>
              <w:t>Bennett Sand &amp;</w:t>
            </w: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050092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Gravel</w:t>
            </w:r>
          </w:p>
        </w:tc>
        <w:tc>
          <w:tcPr>
            <w:tcW w:w="840" w:type="dxa"/>
            <w:vAlign w:val="bottom"/>
          </w:tcPr>
          <w:p>
            <w:pPr>
              <w:ind w:left="4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Clarkdale Sand &amp;</w:t>
            </w: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020252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040015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Clayton</w:t>
            </w:r>
          </w:p>
        </w:tc>
        <w:tc>
          <w:tcPr>
            <w:tcW w:w="840" w:type="dxa"/>
            <w:vAlign w:val="bottom"/>
          </w:tcPr>
          <w:p>
            <w:pPr>
              <w:ind w:left="4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020317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Coolidge Plant 65</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040475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Eagle Valley Plant</w:t>
            </w:r>
          </w:p>
        </w:tc>
        <w:tc>
          <w:tcPr>
            <w:tcW w:w="840" w:type="dxa"/>
            <w:vAlign w:val="bottom"/>
          </w:tcPr>
          <w:p>
            <w:pPr>
              <w:ind w:left="4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Granite Canyon</w:t>
            </w: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480001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line="194" w:lineRule="exact"/>
              <w:rPr>
                <w:sz w:val="20"/>
                <w:szCs w:val="20"/>
                <w:color w:val="auto"/>
              </w:rPr>
            </w:pPr>
            <w:r>
              <w:rPr>
                <w:rFonts w:ascii="Arial" w:cs="Arial" w:eastAsia="Arial" w:hAnsi="Arial"/>
                <w:sz w:val="20"/>
                <w:szCs w:val="20"/>
                <w:color w:val="auto"/>
              </w:rPr>
              <w:t>Greeley 35th Sand</w:t>
            </w: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050461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Gravel</w:t>
            </w:r>
          </w:p>
        </w:tc>
        <w:tc>
          <w:tcPr>
            <w:tcW w:w="840" w:type="dxa"/>
            <w:vAlign w:val="bottom"/>
          </w:tcPr>
          <w:p>
            <w:pPr>
              <w:ind w:left="40"/>
              <w:spacing w:after="0"/>
              <w:rPr>
                <w:sz w:val="20"/>
                <w:szCs w:val="20"/>
                <w:color w:val="auto"/>
              </w:rPr>
            </w:pPr>
            <w:r>
              <w:rPr>
                <w:rFonts w:ascii="Arial" w:cs="Arial" w:eastAsia="Arial" w:hAnsi="Arial"/>
                <w:sz w:val="20"/>
                <w:szCs w:val="20"/>
                <w:color w:val="auto"/>
              </w:rPr>
              <w:t>3</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480000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Guernsey Quarry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020267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Hassayampa</w:t>
            </w:r>
          </w:p>
        </w:tc>
        <w:tc>
          <w:tcPr>
            <w:tcW w:w="840" w:type="dxa"/>
            <w:vAlign w:val="bottom"/>
          </w:tcPr>
          <w:p>
            <w:pPr>
              <w:ind w:left="4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050095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Hatchery</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line="194" w:lineRule="exact"/>
              <w:rPr>
                <w:sz w:val="20"/>
                <w:szCs w:val="20"/>
                <w:color w:val="auto"/>
              </w:rPr>
            </w:pPr>
            <w:r>
              <w:rPr>
                <w:rFonts w:ascii="Arial" w:cs="Arial" w:eastAsia="Arial" w:hAnsi="Arial"/>
                <w:sz w:val="20"/>
                <w:szCs w:val="20"/>
                <w:color w:val="auto"/>
              </w:rPr>
              <w:t>Hughson AGG &amp;</w:t>
            </w: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040176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HMA</w:t>
            </w:r>
          </w:p>
        </w:tc>
        <w:tc>
          <w:tcPr>
            <w:tcW w:w="840" w:type="dxa"/>
            <w:vAlign w:val="bottom"/>
          </w:tcPr>
          <w:p>
            <w:pPr>
              <w:ind w:left="4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rPr>
                <w:sz w:val="16"/>
                <w:szCs w:val="16"/>
                <w:color w:val="auto"/>
              </w:rPr>
            </w:pP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040183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Irwindale Plant</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line="194" w:lineRule="exact"/>
              <w:rPr>
                <w:sz w:val="20"/>
                <w:szCs w:val="20"/>
                <w:color w:val="auto"/>
              </w:rPr>
            </w:pPr>
            <w:r>
              <w:rPr>
                <w:rFonts w:ascii="Arial" w:cs="Arial" w:eastAsia="Arial" w:hAnsi="Arial"/>
                <w:sz w:val="20"/>
                <w:szCs w:val="20"/>
                <w:color w:val="auto"/>
              </w:rPr>
              <w:t>Lakeside Vigilante</w:t>
            </w: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040268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302</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Plant</w:t>
            </w:r>
          </w:p>
        </w:tc>
        <w:tc>
          <w:tcPr>
            <w:tcW w:w="840" w:type="dxa"/>
            <w:vAlign w:val="bottom"/>
          </w:tcPr>
          <w:p>
            <w:pPr>
              <w:ind w:left="4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Maitri Road Sand &amp;</w:t>
            </w: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040415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Gravel Oper</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line="194" w:lineRule="exact"/>
              <w:rPr>
                <w:sz w:val="20"/>
                <w:szCs w:val="20"/>
                <w:color w:val="auto"/>
              </w:rPr>
            </w:pPr>
            <w:r>
              <w:rPr>
                <w:rFonts w:ascii="Arial" w:cs="Arial" w:eastAsia="Arial" w:hAnsi="Arial"/>
                <w:sz w:val="20"/>
                <w:szCs w:val="20"/>
                <w:color w:val="auto"/>
              </w:rPr>
              <w:t>Merced AGG &amp;</w:t>
            </w: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040284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177</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r>
              <w:rPr>
                <w:rFonts w:ascii="Arial" w:cs="Arial" w:eastAsia="Arial" w:hAnsi="Arial"/>
                <w:sz w:val="20"/>
                <w:szCs w:val="20"/>
                <w:color w:val="auto"/>
              </w:rPr>
              <w:t>HMA</w:t>
            </w:r>
          </w:p>
        </w:tc>
        <w:tc>
          <w:tcPr>
            <w:tcW w:w="840" w:type="dxa"/>
            <w:vAlign w:val="bottom"/>
          </w:tcPr>
          <w:p>
            <w:pPr>
              <w:ind w:left="4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Milford Quarry</w:t>
            </w:r>
          </w:p>
        </w:tc>
        <w:tc>
          <w:tcPr>
            <w:tcW w:w="84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color w:val="auto"/>
              </w:rPr>
              <w:t>420217</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80" w:type="dxa"/>
            <w:vAlign w:val="bottom"/>
            <w:shd w:val="clear" w:color="auto" w:fill="CFF0FC"/>
          </w:tcPr>
          <w:p>
            <w:pPr>
              <w:spacing w:after="0"/>
              <w:rPr>
                <w:sz w:val="20"/>
                <w:szCs w:val="20"/>
                <w:color w:val="auto"/>
              </w:rPr>
            </w:pPr>
            <w:r>
              <w:rPr>
                <w:rFonts w:ascii="Arial" w:cs="Arial" w:eastAsia="Arial" w:hAnsi="Arial"/>
                <w:sz w:val="20"/>
                <w:szCs w:val="20"/>
                <w:color w:val="auto"/>
              </w:rPr>
              <w:t>Utah</w:t>
            </w:r>
          </w:p>
        </w:tc>
        <w:tc>
          <w:tcPr>
            <w:tcW w:w="840" w:type="dxa"/>
            <w:vAlign w:val="bottom"/>
            <w:shd w:val="clear" w:color="auto" w:fill="CFF0FC"/>
          </w:tcPr>
          <w:p>
            <w:pPr>
              <w:ind w:left="4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80" w:type="dxa"/>
            <w:vAlign w:val="bottom"/>
          </w:tcPr>
          <w:p>
            <w:pPr>
              <w:spacing w:after="0" w:line="194" w:lineRule="exact"/>
              <w:rPr>
                <w:sz w:val="20"/>
                <w:szCs w:val="20"/>
                <w:color w:val="auto"/>
              </w:rPr>
            </w:pPr>
            <w:r>
              <w:rPr>
                <w:rFonts w:ascii="Arial" w:cs="Arial" w:eastAsia="Arial" w:hAnsi="Arial"/>
                <w:sz w:val="20"/>
                <w:szCs w:val="20"/>
                <w:color w:val="auto"/>
              </w:rPr>
              <w:t>Miramar Recycle</w:t>
            </w:r>
          </w:p>
        </w:tc>
        <w:tc>
          <w:tcPr>
            <w:tcW w:w="840" w:type="dxa"/>
            <w:vAlign w:val="bottom"/>
          </w:tcPr>
          <w:p>
            <w:pPr>
              <w:ind w:left="40"/>
              <w:spacing w:after="0" w:line="194" w:lineRule="exact"/>
              <w:rPr>
                <w:sz w:val="20"/>
                <w:szCs w:val="20"/>
                <w:color w:val="auto"/>
              </w:rPr>
            </w:pPr>
            <w:r>
              <w:rPr>
                <w:rFonts w:ascii="Arial" w:cs="Arial" w:eastAsia="Arial" w:hAnsi="Arial"/>
                <w:sz w:val="20"/>
                <w:szCs w:val="20"/>
                <w:color w:val="auto"/>
              </w:rPr>
              <w:t>040291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80" w:type="dxa"/>
            <w:vAlign w:val="bottom"/>
          </w:tcPr>
          <w:p>
            <w:pPr>
              <w:spacing w:after="0"/>
              <w:rPr>
                <w:sz w:val="20"/>
                <w:szCs w:val="20"/>
                <w:color w:val="auto"/>
              </w:rPr>
            </w:pPr>
            <w:r>
              <w:rPr>
                <w:rFonts w:ascii="Arial" w:cs="Arial" w:eastAsia="Arial" w:hAnsi="Arial"/>
                <w:sz w:val="20"/>
                <w:szCs w:val="20"/>
                <w:color w:val="auto"/>
              </w:rPr>
              <w:t>Plant</w:t>
            </w:r>
          </w:p>
        </w:tc>
        <w:tc>
          <w:tcPr>
            <w:tcW w:w="840" w:type="dxa"/>
            <w:vAlign w:val="bottom"/>
          </w:tcPr>
          <w:p>
            <w:pPr>
              <w:ind w:left="4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Northern Portable</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050453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Crushing #10</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Northern Portable</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050473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Plant 17</w:t>
            </w:r>
          </w:p>
        </w:tc>
        <w:tc>
          <w:tcPr>
            <w:tcW w:w="880" w:type="dxa"/>
            <w:vAlign w:val="bottom"/>
          </w:tcPr>
          <w:p>
            <w:pPr>
              <w:ind w:left="8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Northern Portable</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480156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Plant 4</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450084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Pacific Quarry</w:t>
            </w:r>
          </w:p>
        </w:tc>
        <w:tc>
          <w:tcPr>
            <w:tcW w:w="880" w:type="dxa"/>
            <w:vAlign w:val="bottom"/>
          </w:tcPr>
          <w:p>
            <w:pPr>
              <w:ind w:left="80"/>
              <w:spacing w:after="0"/>
              <w:rPr>
                <w:sz w:val="20"/>
                <w:szCs w:val="20"/>
                <w:color w:val="auto"/>
              </w:rPr>
            </w:pPr>
            <w:r>
              <w:rPr>
                <w:rFonts w:ascii="Arial" w:cs="Arial" w:eastAsia="Arial" w:hAnsi="Arial"/>
                <w:sz w:val="20"/>
                <w:szCs w:val="20"/>
                <w:color w:val="auto"/>
              </w:rPr>
              <w:t>4</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050463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Parkdale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Parsons Sand</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050321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Gravel</w:t>
            </w:r>
          </w:p>
        </w:tc>
        <w:tc>
          <w:tcPr>
            <w:tcW w:w="880" w:type="dxa"/>
            <w:vAlign w:val="bottom"/>
          </w:tcPr>
          <w:p>
            <w:pPr>
              <w:ind w:left="8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Penrose Sand and</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050450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Pier 92 Marine</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040526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Aggregates</w:t>
            </w:r>
          </w:p>
        </w:tc>
        <w:tc>
          <w:tcPr>
            <w:tcW w:w="880" w:type="dxa"/>
            <w:vAlign w:val="bottom"/>
          </w:tcPr>
          <w:p>
            <w:pPr>
              <w:ind w:left="8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Platte Sand and</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050441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050435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Portable Plant 1</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050398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11</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050452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Portable Plant 21</w:t>
            </w:r>
          </w:p>
        </w:tc>
        <w:tc>
          <w:tcPr>
            <w:tcW w:w="880" w:type="dxa"/>
            <w:vAlign w:val="bottom"/>
          </w:tcPr>
          <w:p>
            <w:pPr>
              <w:ind w:left="8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050413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Red Canyon Quarry 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050418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Arial" w:cs="Arial" w:eastAsia="Arial" w:hAnsi="Arial"/>
                <w:sz w:val="20"/>
                <w:szCs w:val="20"/>
                <w:color w:val="auto"/>
              </w:rPr>
              <w:t>Rich Sand &amp; Gravel 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020264</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River Ranch AGG</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Riverbend Sand</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050484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vMerge w:val="restart"/>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Gravel</w:t>
            </w:r>
          </w:p>
        </w:tc>
        <w:tc>
          <w:tcPr>
            <w:tcW w:w="880" w:type="dxa"/>
            <w:vAlign w:val="bottom"/>
          </w:tcPr>
          <w:p>
            <w:pPr>
              <w:ind w:left="8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Salughterhouse</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040225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21"/>
              <w:spacing w:after="0"/>
              <w:rPr>
                <w:sz w:val="20"/>
                <w:szCs w:val="20"/>
                <w:color w:val="auto"/>
              </w:rPr>
            </w:pPr>
            <w:r>
              <w:rPr>
                <w:rFonts w:ascii="Arial" w:cs="Arial" w:eastAsia="Arial" w:hAnsi="Arial"/>
                <w:sz w:val="20"/>
                <w:szCs w:val="20"/>
                <w:b w:val="1"/>
                <w:bCs w:val="1"/>
                <w:color w:val="auto"/>
              </w:rPr>
              <w:t>$</w:t>
            </w:r>
          </w:p>
        </w:tc>
        <w:tc>
          <w:tcPr>
            <w:tcW w:w="7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AGG</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66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49"/>
        </w:trPr>
        <w:tc>
          <w:tcPr>
            <w:tcW w:w="1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61"/>
        </w:trPr>
        <w:tc>
          <w:tcPr>
            <w:tcW w:w="1740" w:type="dxa"/>
            <w:vAlign w:val="bottom"/>
          </w:tcPr>
          <w:p>
            <w:pPr>
              <w:spacing w:after="0"/>
              <w:rPr>
                <w:sz w:val="22"/>
                <w:szCs w:val="22"/>
                <w:color w:val="auto"/>
              </w:rPr>
            </w:pPr>
          </w:p>
        </w:tc>
        <w:tc>
          <w:tcPr>
            <w:tcW w:w="880" w:type="dxa"/>
            <w:vAlign w:val="bottom"/>
            <w:vMerge w:val="restart"/>
          </w:tcPr>
          <w:p>
            <w:pPr>
              <w:ind w:left="80"/>
              <w:spacing w:after="0"/>
              <w:rPr>
                <w:sz w:val="20"/>
                <w:szCs w:val="20"/>
                <w:color w:val="auto"/>
              </w:rPr>
            </w:pPr>
            <w:r>
              <w:rPr>
                <w:rFonts w:ascii="Arial" w:cs="Arial" w:eastAsia="Arial" w:hAnsi="Arial"/>
                <w:sz w:val="20"/>
                <w:szCs w:val="20"/>
                <w:color w:val="auto"/>
              </w:rPr>
              <w:t>040053</w:t>
            </w: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Appendix 1</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San Andreas AGG</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040579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Sanger AGG</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Santa Margarita</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040161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Aggregates</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040556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Santee Plant</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040195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Arial" w:cs="Arial" w:eastAsia="Arial" w:hAnsi="Arial"/>
                <w:sz w:val="20"/>
                <w:szCs w:val="20"/>
                <w:color w:val="auto"/>
              </w:rPr>
              <w:t>Sisquoc Aggregates 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050086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Spec Agg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040185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Sunol Plant</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050452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Taft Sand Gravel</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Tidewater Oakland</w:t>
            </w: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040300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Marine Agg</w:t>
            </w:r>
          </w:p>
        </w:tc>
        <w:tc>
          <w:tcPr>
            <w:tcW w:w="880" w:type="dxa"/>
            <w:vAlign w:val="bottom"/>
          </w:tcPr>
          <w:p>
            <w:pPr>
              <w:ind w:left="8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050393</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Walstrum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5</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020122</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Yavapai AGG</w:t>
            </w:r>
          </w:p>
        </w:tc>
        <w:tc>
          <w:tcPr>
            <w:tcW w:w="880" w:type="dxa"/>
            <w:vAlign w:val="bottom"/>
          </w:tcPr>
          <w:p>
            <w:pPr>
              <w:ind w:left="8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410538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51 Sand &amp; Gravel</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410133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Beckmann Quarry</w:t>
            </w:r>
          </w:p>
        </w:tc>
        <w:tc>
          <w:tcPr>
            <w:tcW w:w="880" w:type="dxa"/>
            <w:vAlign w:val="bottom"/>
          </w:tcPr>
          <w:p>
            <w:pPr>
              <w:ind w:left="8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Bedrock Sand</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410328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3</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410401</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Bells Savoy SG</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030001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410415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Black Spur Quarry</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410000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Bridgeport Stone</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340046</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Broken Bow SG</w:t>
            </w:r>
          </w:p>
        </w:tc>
        <w:tc>
          <w:tcPr>
            <w:tcW w:w="880" w:type="dxa"/>
            <w:vAlign w:val="bottom"/>
          </w:tcPr>
          <w:p>
            <w:pPr>
              <w:ind w:left="8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340129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410390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Arial" w:cs="Arial" w:eastAsia="Arial" w:hAnsi="Arial"/>
                <w:sz w:val="20"/>
                <w:szCs w:val="20"/>
                <w:color w:val="auto"/>
              </w:rPr>
              <w:t>Garfield SG</w:t>
            </w:r>
          </w:p>
        </w:tc>
        <w:tc>
          <w:tcPr>
            <w:tcW w:w="880" w:type="dxa"/>
            <w:vAlign w:val="bottom"/>
          </w:tcPr>
          <w:p>
            <w:pPr>
              <w:ind w:left="80"/>
              <w:spacing w:after="0"/>
              <w:rPr>
                <w:sz w:val="20"/>
                <w:szCs w:val="20"/>
                <w:color w:val="auto"/>
              </w:rPr>
            </w:pPr>
            <w:r>
              <w:rPr>
                <w:rFonts w:ascii="Arial" w:cs="Arial" w:eastAsia="Arial" w:hAnsi="Arial"/>
                <w:sz w:val="20"/>
                <w:szCs w:val="20"/>
                <w:color w:val="auto"/>
              </w:rPr>
              <w:t>9</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1740" w:type="dxa"/>
            <w:vAlign w:val="bottom"/>
            <w:shd w:val="clear" w:color="auto" w:fill="CFF0FC"/>
          </w:tcPr>
          <w:p>
            <w:pPr>
              <w:spacing w:after="0"/>
              <w:rPr>
                <w:sz w:val="17"/>
                <w:szCs w:val="17"/>
                <w:color w:val="auto"/>
              </w:rPr>
            </w:pPr>
          </w:p>
        </w:tc>
        <w:tc>
          <w:tcPr>
            <w:tcW w:w="880" w:type="dxa"/>
            <w:vAlign w:val="bottom"/>
            <w:shd w:val="clear" w:color="auto" w:fill="CFF0FC"/>
          </w:tcPr>
          <w:p>
            <w:pPr>
              <w:ind w:left="80"/>
              <w:spacing w:after="0" w:line="202" w:lineRule="exact"/>
              <w:rPr>
                <w:sz w:val="20"/>
                <w:szCs w:val="20"/>
                <w:color w:val="auto"/>
              </w:rPr>
            </w:pPr>
            <w:r>
              <w:rPr>
                <w:rFonts w:ascii="Arial" w:cs="Arial" w:eastAsia="Arial" w:hAnsi="Arial"/>
                <w:sz w:val="20"/>
                <w:szCs w:val="20"/>
                <w:color w:val="auto"/>
              </w:rPr>
              <w:t>410288</w:t>
            </w:r>
          </w:p>
        </w:tc>
        <w:tc>
          <w:tcPr>
            <w:tcW w:w="5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6</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000C3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GMS</w:t>
            </w:r>
          </w:p>
        </w:tc>
        <w:tc>
          <w:tcPr>
            <w:tcW w:w="880" w:type="dxa"/>
            <w:vAlign w:val="bottom"/>
          </w:tcPr>
          <w:p>
            <w:pPr>
              <w:ind w:left="80"/>
              <w:spacing w:after="0"/>
              <w:rPr>
                <w:sz w:val="20"/>
                <w:szCs w:val="20"/>
                <w:color w:val="auto"/>
              </w:rPr>
            </w:pPr>
            <w:r>
              <w:rPr>
                <w:rFonts w:ascii="Arial" w:cs="Arial" w:eastAsia="Arial" w:hAnsi="Arial"/>
                <w:sz w:val="20"/>
                <w:szCs w:val="20"/>
                <w:color w:val="auto"/>
              </w:rPr>
              <w:t>35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030161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410313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Helotes</w:t>
            </w:r>
          </w:p>
        </w:tc>
        <w:tc>
          <w:tcPr>
            <w:tcW w:w="880" w:type="dxa"/>
            <w:vAlign w:val="bottom"/>
          </w:tcPr>
          <w:p>
            <w:pPr>
              <w:ind w:left="8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Highway 211</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410382</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151</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410470</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Hondo</w:t>
            </w:r>
          </w:p>
        </w:tc>
        <w:tc>
          <w:tcPr>
            <w:tcW w:w="880" w:type="dxa"/>
            <w:vAlign w:val="bottom"/>
          </w:tcPr>
          <w:p>
            <w:pPr>
              <w:ind w:left="80"/>
              <w:spacing w:after="0"/>
              <w:rPr>
                <w:sz w:val="20"/>
                <w:szCs w:val="20"/>
                <w:color w:val="auto"/>
              </w:rPr>
            </w:pPr>
            <w:r>
              <w:rPr>
                <w:rFonts w:ascii="Arial" w:cs="Arial" w:eastAsia="Arial" w:hAnsi="Arial"/>
                <w:sz w:val="20"/>
                <w:szCs w:val="20"/>
                <w:color w:val="auto"/>
              </w:rPr>
              <w:t>8</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340006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Hugo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410523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Hunter Stone</w:t>
            </w:r>
          </w:p>
        </w:tc>
        <w:tc>
          <w:tcPr>
            <w:tcW w:w="880" w:type="dxa"/>
            <w:vAlign w:val="bottom"/>
          </w:tcPr>
          <w:p>
            <w:pPr>
              <w:ind w:left="8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340050</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Idabel Quarry</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030158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Jones Mill Quarry</w:t>
            </w:r>
          </w:p>
        </w:tc>
        <w:tc>
          <w:tcPr>
            <w:tcW w:w="880" w:type="dxa"/>
            <w:vAlign w:val="bottom"/>
          </w:tcPr>
          <w:p>
            <w:pPr>
              <w:ind w:left="80"/>
              <w:spacing w:after="0"/>
              <w:rPr>
                <w:sz w:val="20"/>
                <w:szCs w:val="20"/>
                <w:color w:val="auto"/>
              </w:rPr>
            </w:pPr>
            <w:r>
              <w:rPr>
                <w:rFonts w:ascii="Arial" w:cs="Arial" w:eastAsia="Arial" w:hAnsi="Arial"/>
                <w:sz w:val="20"/>
                <w:szCs w:val="20"/>
                <w:color w:val="auto"/>
              </w:rPr>
              <w:t>6</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410526</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Liberty Ranch Sand 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410517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490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Medina Rock Rail</w:t>
            </w:r>
          </w:p>
        </w:tc>
        <w:tc>
          <w:tcPr>
            <w:tcW w:w="880" w:type="dxa"/>
            <w:vAlign w:val="bottom"/>
          </w:tcPr>
          <w:p>
            <w:pPr>
              <w:ind w:left="8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410384</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Merkel Plant</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8</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410007</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Midlothian Cement</w:t>
            </w:r>
          </w:p>
        </w:tc>
        <w:tc>
          <w:tcPr>
            <w:tcW w:w="880" w:type="dxa"/>
            <w:vAlign w:val="bottom"/>
          </w:tcPr>
          <w:p>
            <w:pPr>
              <w:ind w:left="80"/>
              <w:spacing w:after="0"/>
              <w:rPr>
                <w:sz w:val="20"/>
                <w:szCs w:val="20"/>
                <w:color w:val="auto"/>
              </w:rPr>
            </w:pPr>
            <w:r>
              <w:rPr>
                <w:rFonts w:ascii="Arial" w:cs="Arial" w:eastAsia="Arial" w:hAnsi="Arial"/>
                <w:sz w:val="20"/>
                <w:szCs w:val="20"/>
                <w:color w:val="auto"/>
              </w:rPr>
              <w:t>1</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Mill Creek</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340185</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Limestone</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9</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340128</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Mill Creek Quarry</w:t>
            </w:r>
          </w:p>
        </w:tc>
        <w:tc>
          <w:tcPr>
            <w:tcW w:w="880" w:type="dxa"/>
            <w:vAlign w:val="bottom"/>
          </w:tcPr>
          <w:p>
            <w:pPr>
              <w:ind w:left="8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410438</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North Austin Quarry 0</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North Bridgeport</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line="216" w:lineRule="exact"/>
              <w:rPr>
                <w:sz w:val="20"/>
                <w:szCs w:val="20"/>
                <w:color w:val="auto"/>
              </w:rPr>
            </w:pPr>
            <w:r>
              <w:rPr>
                <w:rFonts w:ascii="Arial" w:cs="Arial" w:eastAsia="Arial" w:hAnsi="Arial"/>
                <w:sz w:val="20"/>
                <w:szCs w:val="20"/>
                <w:color w:val="auto"/>
              </w:rPr>
              <w:t>Quarry (Chico</w:t>
            </w:r>
          </w:p>
        </w:tc>
        <w:tc>
          <w:tcPr>
            <w:tcW w:w="880" w:type="dxa"/>
            <w:vAlign w:val="bottom"/>
          </w:tcPr>
          <w:p>
            <w:pPr>
              <w:ind w:left="80"/>
              <w:spacing w:after="0" w:line="216" w:lineRule="exact"/>
              <w:rPr>
                <w:sz w:val="20"/>
                <w:szCs w:val="20"/>
                <w:color w:val="auto"/>
              </w:rPr>
            </w:pPr>
            <w:r>
              <w:rPr>
                <w:rFonts w:ascii="Arial" w:cs="Arial" w:eastAsia="Arial" w:hAnsi="Arial"/>
                <w:sz w:val="20"/>
                <w:szCs w:val="20"/>
                <w:color w:val="auto"/>
              </w:rPr>
              <w:t>410336</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Quarry)</w:t>
            </w:r>
          </w:p>
        </w:tc>
        <w:tc>
          <w:tcPr>
            <w:tcW w:w="880" w:type="dxa"/>
            <w:vAlign w:val="bottom"/>
          </w:tcPr>
          <w:p>
            <w:pPr>
              <w:ind w:left="80"/>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Perryville</w:t>
            </w: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160141</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Aggregates</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7</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410134</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Poteet Sand</w:t>
            </w:r>
          </w:p>
        </w:tc>
        <w:tc>
          <w:tcPr>
            <w:tcW w:w="880" w:type="dxa"/>
            <w:vAlign w:val="bottom"/>
          </w:tcPr>
          <w:p>
            <w:pPr>
              <w:ind w:left="80"/>
              <w:spacing w:after="0"/>
              <w:rPr>
                <w:sz w:val="20"/>
                <w:szCs w:val="20"/>
                <w:color w:val="auto"/>
              </w:rPr>
            </w:pPr>
            <w:r>
              <w:rPr>
                <w:rFonts w:ascii="Arial" w:cs="Arial" w:eastAsia="Arial" w:hAnsi="Arial"/>
                <w:sz w:val="20"/>
                <w:szCs w:val="20"/>
                <w:color w:val="auto"/>
              </w:rPr>
              <w:t>2</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8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410359</w:t>
            </w:r>
          </w:p>
        </w:tc>
        <w:tc>
          <w:tcPr>
            <w:tcW w:w="5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560" w:type="dxa"/>
            <w:vAlign w:val="bottom"/>
            <w:vMerge w:val="restart"/>
            <w:shd w:val="clear" w:color="auto" w:fill="CFF0FC"/>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Rio Medina</w:t>
            </w:r>
          </w:p>
        </w:tc>
        <w:tc>
          <w:tcPr>
            <w:tcW w:w="880" w:type="dxa"/>
            <w:vAlign w:val="bottom"/>
            <w:shd w:val="clear" w:color="auto" w:fill="CFF0FC"/>
          </w:tcPr>
          <w:p>
            <w:pPr>
              <w:ind w:left="80"/>
              <w:spacing w:after="0"/>
              <w:rPr>
                <w:sz w:val="20"/>
                <w:szCs w:val="20"/>
                <w:color w:val="auto"/>
              </w:rPr>
            </w:pPr>
            <w:r>
              <w:rPr>
                <w:rFonts w:ascii="Arial" w:cs="Arial" w:eastAsia="Arial" w:hAnsi="Arial"/>
                <w:sz w:val="20"/>
                <w:szCs w:val="20"/>
                <w:color w:val="auto"/>
              </w:rPr>
              <w:t>4</w:t>
            </w:r>
          </w:p>
        </w:tc>
        <w:tc>
          <w:tcPr>
            <w:tcW w:w="5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8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80" w:type="dxa"/>
            <w:vAlign w:val="bottom"/>
          </w:tcPr>
          <w:p>
            <w:pPr>
              <w:ind w:left="80"/>
              <w:spacing w:after="0" w:line="194" w:lineRule="exact"/>
              <w:rPr>
                <w:sz w:val="20"/>
                <w:szCs w:val="20"/>
                <w:color w:val="auto"/>
              </w:rPr>
            </w:pPr>
            <w:r>
              <w:rPr>
                <w:rFonts w:ascii="Arial" w:cs="Arial" w:eastAsia="Arial" w:hAnsi="Arial"/>
                <w:sz w:val="20"/>
                <w:szCs w:val="20"/>
                <w:color w:val="auto"/>
              </w:rPr>
              <w:t>410133</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rPr>
              <w:t>$</w:t>
            </w:r>
          </w:p>
        </w:tc>
        <w:tc>
          <w:tcPr>
            <w:tcW w:w="8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Arial" w:cs="Arial" w:eastAsia="Arial" w:hAnsi="Arial"/>
                <w:sz w:val="20"/>
                <w:szCs w:val="20"/>
                <w:color w:val="auto"/>
              </w:rPr>
              <w:t>San Pedro Quarry</w:t>
            </w:r>
          </w:p>
        </w:tc>
        <w:tc>
          <w:tcPr>
            <w:tcW w:w="880" w:type="dxa"/>
            <w:vAlign w:val="bottom"/>
          </w:tcPr>
          <w:p>
            <w:pPr>
              <w:ind w:left="80"/>
              <w:spacing w:after="0"/>
              <w:rPr>
                <w:sz w:val="20"/>
                <w:szCs w:val="20"/>
                <w:color w:val="auto"/>
              </w:rPr>
            </w:pPr>
            <w:r>
              <w:rPr>
                <w:rFonts w:ascii="Arial" w:cs="Arial" w:eastAsia="Arial" w:hAnsi="Arial"/>
                <w:sz w:val="20"/>
                <w:szCs w:val="20"/>
                <w:color w:val="auto"/>
              </w:rPr>
              <w:t>7</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56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80" w:type="dxa"/>
            <w:vAlign w:val="bottom"/>
          </w:tcPr>
          <w:p>
            <w:pPr>
              <w:ind w:left="200"/>
              <w:spacing w:after="0"/>
              <w:rPr>
                <w:sz w:val="20"/>
                <w:szCs w:val="20"/>
                <w:color w:val="auto"/>
              </w:rPr>
            </w:pPr>
            <w:r>
              <w:rPr>
                <w:rFonts w:ascii="Arial" w:cs="Arial" w:eastAsia="Arial" w:hAnsi="Arial"/>
                <w:sz w:val="20"/>
                <w:szCs w:val="20"/>
                <w:color w:val="auto"/>
              </w:rPr>
              <w:t>no</w:t>
            </w:r>
          </w:p>
        </w:tc>
        <w:tc>
          <w:tcPr>
            <w:tcW w:w="8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215"/>
        </w:trPr>
        <w:tc>
          <w:tcPr>
            <w:tcW w:w="1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color w:val="auto"/>
        </w:rPr>
        <w:t>Appendix 1</w:t>
      </w:r>
    </w:p>
    <w:tbl>
      <w:tblPr>
        <w:tblLayout w:type="fixed"/>
        <w:tblInd w:w="0" w:type="dxa"/>
        <w:tblCellMar>
          <w:top w:w="0" w:type="dxa"/>
          <w:left w:w="0" w:type="dxa"/>
          <w:bottom w:w="0" w:type="dxa"/>
          <w:right w:w="0" w:type="dxa"/>
        </w:tblCellMar>
      </w:tblPr>
      <w:tr>
        <w:trPr>
          <w:trHeight w:val="202"/>
        </w:trPr>
        <w:tc>
          <w:tcPr>
            <w:tcW w:w="2560" w:type="dxa"/>
            <w:vAlign w:val="bottom"/>
            <w:gridSpan w:val="2"/>
            <w:shd w:val="clear" w:color="auto" w:fill="CFF0FC"/>
          </w:tcPr>
          <w:p>
            <w:pPr>
              <w:spacing w:after="0" w:line="202" w:lineRule="exact"/>
              <w:rPr>
                <w:sz w:val="20"/>
                <w:szCs w:val="20"/>
                <w:color w:val="auto"/>
              </w:rPr>
            </w:pPr>
            <w:r>
              <w:rPr>
                <w:rFonts w:ascii="Arial" w:cs="Arial" w:eastAsia="Arial" w:hAnsi="Arial"/>
                <w:sz w:val="20"/>
                <w:szCs w:val="20"/>
                <w:color w:val="auto"/>
              </w:rPr>
              <w:t>Sawyer East Quarry 340180</w:t>
            </w:r>
          </w:p>
        </w:tc>
        <w:tc>
          <w:tcPr>
            <w:tcW w:w="6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Portable</w:t>
            </w:r>
          </w:p>
        </w:tc>
        <w:tc>
          <w:tcPr>
            <w:tcW w:w="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9</w:t>
            </w:r>
          </w:p>
        </w:tc>
        <w:tc>
          <w:tcPr>
            <w:tcW w:w="6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20" w:type="dxa"/>
            <w:vAlign w:val="bottom"/>
          </w:tcPr>
          <w:p>
            <w:pPr>
              <w:ind w:left="80"/>
              <w:spacing w:after="0" w:line="194" w:lineRule="exact"/>
              <w:rPr>
                <w:sz w:val="20"/>
                <w:szCs w:val="20"/>
                <w:color w:val="auto"/>
              </w:rPr>
            </w:pPr>
            <w:r>
              <w:rPr>
                <w:rFonts w:ascii="Arial" w:cs="Arial" w:eastAsia="Arial" w:hAnsi="Arial"/>
                <w:sz w:val="20"/>
                <w:szCs w:val="20"/>
                <w:color w:val="auto"/>
              </w:rPr>
              <w:t>340163</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Sawyer Quarry</w:t>
            </w:r>
          </w:p>
        </w:tc>
        <w:tc>
          <w:tcPr>
            <w:tcW w:w="820" w:type="dxa"/>
            <w:vAlign w:val="bottom"/>
          </w:tcPr>
          <w:p>
            <w:pPr>
              <w:ind w:left="80"/>
              <w:spacing w:after="0"/>
              <w:rPr>
                <w:sz w:val="20"/>
                <w:szCs w:val="20"/>
                <w:color w:val="auto"/>
              </w:rPr>
            </w:pPr>
            <w:r>
              <w:rPr>
                <w:rFonts w:ascii="Arial" w:cs="Arial" w:eastAsia="Arial" w:hAnsi="Arial"/>
                <w:sz w:val="20"/>
                <w:szCs w:val="20"/>
                <w:color w:val="auto"/>
              </w:rPr>
              <w:t>4</w:t>
            </w:r>
          </w:p>
        </w:tc>
        <w:tc>
          <w:tcPr>
            <w:tcW w:w="660" w:type="dxa"/>
            <w:vAlign w:val="bottom"/>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40" w:type="dxa"/>
            <w:vAlign w:val="bottom"/>
          </w:tcPr>
          <w:p>
            <w:pPr>
              <w:ind w:left="20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2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410111</w:t>
            </w:r>
          </w:p>
        </w:tc>
        <w:tc>
          <w:tcPr>
            <w:tcW w:w="6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Slaton Plant</w:t>
            </w:r>
          </w:p>
        </w:tc>
        <w:tc>
          <w:tcPr>
            <w:tcW w:w="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6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2</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Smithson Valley</w:t>
            </w:r>
          </w:p>
        </w:tc>
        <w:tc>
          <w:tcPr>
            <w:tcW w:w="820" w:type="dxa"/>
            <w:vAlign w:val="bottom"/>
          </w:tcPr>
          <w:p>
            <w:pPr>
              <w:ind w:left="80"/>
              <w:spacing w:after="0" w:line="194" w:lineRule="exact"/>
              <w:rPr>
                <w:sz w:val="20"/>
                <w:szCs w:val="20"/>
                <w:color w:val="auto"/>
              </w:rPr>
            </w:pPr>
            <w:r>
              <w:rPr>
                <w:rFonts w:ascii="Arial" w:cs="Arial" w:eastAsia="Arial" w:hAnsi="Arial"/>
                <w:sz w:val="20"/>
                <w:szCs w:val="20"/>
                <w:color w:val="auto"/>
              </w:rPr>
              <w:t>410410</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Quarry</w:t>
            </w:r>
          </w:p>
        </w:tc>
        <w:tc>
          <w:tcPr>
            <w:tcW w:w="820" w:type="dxa"/>
            <w:vAlign w:val="bottom"/>
          </w:tcPr>
          <w:p>
            <w:pPr>
              <w:ind w:left="80"/>
              <w:spacing w:after="0"/>
              <w:rPr>
                <w:sz w:val="20"/>
                <w:szCs w:val="20"/>
                <w:color w:val="auto"/>
              </w:rPr>
            </w:pPr>
            <w:r>
              <w:rPr>
                <w:rFonts w:ascii="Arial" w:cs="Arial" w:eastAsia="Arial" w:hAnsi="Arial"/>
                <w:sz w:val="20"/>
                <w:szCs w:val="20"/>
                <w:color w:val="auto"/>
              </w:rPr>
              <w:t>8</w:t>
            </w:r>
          </w:p>
        </w:tc>
        <w:tc>
          <w:tcPr>
            <w:tcW w:w="660" w:type="dxa"/>
            <w:vAlign w:val="bottom"/>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40" w:type="dxa"/>
            <w:vAlign w:val="bottom"/>
          </w:tcPr>
          <w:p>
            <w:pPr>
              <w:ind w:left="20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2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340165</w:t>
            </w:r>
          </w:p>
        </w:tc>
        <w:tc>
          <w:tcPr>
            <w:tcW w:w="6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Snyder Quarry</w:t>
            </w:r>
          </w:p>
        </w:tc>
        <w:tc>
          <w:tcPr>
            <w:tcW w:w="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1</w:t>
            </w:r>
          </w:p>
        </w:tc>
        <w:tc>
          <w:tcPr>
            <w:tcW w:w="6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line="194" w:lineRule="exact"/>
              <w:rPr>
                <w:sz w:val="20"/>
                <w:szCs w:val="20"/>
                <w:color w:val="auto"/>
              </w:rPr>
            </w:pPr>
            <w:r>
              <w:rPr>
                <w:rFonts w:ascii="Arial" w:cs="Arial" w:eastAsia="Arial" w:hAnsi="Arial"/>
                <w:sz w:val="20"/>
                <w:szCs w:val="20"/>
                <w:color w:val="auto"/>
              </w:rPr>
              <w:t>South Texas Port</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line="216" w:lineRule="exact"/>
              <w:rPr>
                <w:sz w:val="20"/>
                <w:szCs w:val="20"/>
                <w:color w:val="auto"/>
              </w:rPr>
            </w:pPr>
            <w:r>
              <w:rPr>
                <w:rFonts w:ascii="Arial" w:cs="Arial" w:eastAsia="Arial" w:hAnsi="Arial"/>
                <w:sz w:val="20"/>
                <w:szCs w:val="20"/>
                <w:color w:val="auto"/>
              </w:rPr>
              <w:t>#2 (Gulf Coast</w:t>
            </w:r>
          </w:p>
        </w:tc>
        <w:tc>
          <w:tcPr>
            <w:tcW w:w="820" w:type="dxa"/>
            <w:vAlign w:val="bottom"/>
          </w:tcPr>
          <w:p>
            <w:pPr>
              <w:ind w:left="80"/>
              <w:spacing w:after="0" w:line="216" w:lineRule="exact"/>
              <w:rPr>
                <w:sz w:val="20"/>
                <w:szCs w:val="20"/>
                <w:color w:val="auto"/>
              </w:rPr>
            </w:pPr>
            <w:r>
              <w:rPr>
                <w:rFonts w:ascii="Arial" w:cs="Arial" w:eastAsia="Arial" w:hAnsi="Arial"/>
                <w:sz w:val="20"/>
                <w:szCs w:val="20"/>
                <w:color w:val="auto"/>
              </w:rPr>
              <w:t>410420</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Portable #2 )</w:t>
            </w:r>
          </w:p>
        </w:tc>
        <w:tc>
          <w:tcPr>
            <w:tcW w:w="820" w:type="dxa"/>
            <w:vAlign w:val="bottom"/>
          </w:tcPr>
          <w:p>
            <w:pPr>
              <w:ind w:left="80"/>
              <w:spacing w:after="0"/>
              <w:rPr>
                <w:sz w:val="20"/>
                <w:szCs w:val="20"/>
                <w:color w:val="auto"/>
              </w:rPr>
            </w:pPr>
            <w:r>
              <w:rPr>
                <w:rFonts w:ascii="Arial" w:cs="Arial" w:eastAsia="Arial" w:hAnsi="Arial"/>
                <w:sz w:val="20"/>
                <w:szCs w:val="20"/>
                <w:color w:val="auto"/>
              </w:rPr>
              <w:t>4</w:t>
            </w:r>
          </w:p>
        </w:tc>
        <w:tc>
          <w:tcPr>
            <w:tcW w:w="660" w:type="dxa"/>
            <w:vAlign w:val="bottom"/>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40" w:type="dxa"/>
            <w:vAlign w:val="bottom"/>
          </w:tcPr>
          <w:p>
            <w:pPr>
              <w:ind w:left="20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2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410285</w:t>
            </w:r>
          </w:p>
        </w:tc>
        <w:tc>
          <w:tcPr>
            <w:tcW w:w="6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Tin Top SG</w:t>
            </w:r>
          </w:p>
        </w:tc>
        <w:tc>
          <w:tcPr>
            <w:tcW w:w="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6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20" w:type="dxa"/>
            <w:vAlign w:val="bottom"/>
          </w:tcPr>
          <w:p>
            <w:pPr>
              <w:ind w:left="80"/>
              <w:spacing w:after="0" w:line="194" w:lineRule="exact"/>
              <w:rPr>
                <w:sz w:val="20"/>
                <w:szCs w:val="20"/>
                <w:color w:val="auto"/>
              </w:rPr>
            </w:pPr>
            <w:r>
              <w:rPr>
                <w:rFonts w:ascii="Arial" w:cs="Arial" w:eastAsia="Arial" w:hAnsi="Arial"/>
                <w:sz w:val="20"/>
                <w:szCs w:val="20"/>
                <w:color w:val="auto"/>
              </w:rPr>
              <w:t>410113</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Vealmoor Plant</w:t>
            </w:r>
          </w:p>
        </w:tc>
        <w:tc>
          <w:tcPr>
            <w:tcW w:w="820" w:type="dxa"/>
            <w:vAlign w:val="bottom"/>
          </w:tcPr>
          <w:p>
            <w:pPr>
              <w:ind w:left="80"/>
              <w:spacing w:after="0"/>
              <w:rPr>
                <w:sz w:val="20"/>
                <w:szCs w:val="20"/>
                <w:color w:val="auto"/>
              </w:rPr>
            </w:pPr>
            <w:r>
              <w:rPr>
                <w:rFonts w:ascii="Arial" w:cs="Arial" w:eastAsia="Arial" w:hAnsi="Arial"/>
                <w:sz w:val="20"/>
                <w:szCs w:val="20"/>
                <w:color w:val="auto"/>
              </w:rPr>
              <w:t>7</w:t>
            </w:r>
          </w:p>
        </w:tc>
        <w:tc>
          <w:tcPr>
            <w:tcW w:w="660" w:type="dxa"/>
            <w:vAlign w:val="bottom"/>
          </w:tcPr>
          <w:p>
            <w:pPr>
              <w:jc w:val="center"/>
              <w:ind w:right="41"/>
              <w:spacing w:after="0"/>
              <w:rPr>
                <w:sz w:val="20"/>
                <w:szCs w:val="20"/>
                <w:color w:val="auto"/>
              </w:rPr>
            </w:pPr>
            <w:r>
              <w:rPr>
                <w:rFonts w:ascii="Arial" w:cs="Arial" w:eastAsia="Arial" w:hAnsi="Arial"/>
                <w:sz w:val="20"/>
                <w:szCs w:val="20"/>
                <w:color w:val="auto"/>
              </w:rPr>
              <w:t>2</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40" w:type="dxa"/>
            <w:vAlign w:val="bottom"/>
          </w:tcPr>
          <w:p>
            <w:pPr>
              <w:ind w:left="20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1</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2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340204</w:t>
            </w:r>
          </w:p>
        </w:tc>
        <w:tc>
          <w:tcPr>
            <w:tcW w:w="6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9</w:t>
            </w:r>
          </w:p>
        </w:tc>
        <w:tc>
          <w:tcPr>
            <w:tcW w:w="6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20" w:type="dxa"/>
            <w:vAlign w:val="bottom"/>
          </w:tcPr>
          <w:p>
            <w:pPr>
              <w:ind w:left="80"/>
              <w:spacing w:after="0" w:line="194" w:lineRule="exact"/>
              <w:rPr>
                <w:sz w:val="20"/>
                <w:szCs w:val="20"/>
                <w:color w:val="auto"/>
              </w:rPr>
            </w:pPr>
            <w:r>
              <w:rPr>
                <w:rFonts w:ascii="Arial" w:cs="Arial" w:eastAsia="Arial" w:hAnsi="Arial"/>
                <w:sz w:val="20"/>
                <w:szCs w:val="20"/>
                <w:color w:val="auto"/>
              </w:rPr>
              <w:t>410436</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Webberville</w:t>
            </w:r>
          </w:p>
        </w:tc>
        <w:tc>
          <w:tcPr>
            <w:tcW w:w="820" w:type="dxa"/>
            <w:vAlign w:val="bottom"/>
          </w:tcPr>
          <w:p>
            <w:pPr>
              <w:ind w:left="80"/>
              <w:spacing w:after="0"/>
              <w:rPr>
                <w:sz w:val="20"/>
                <w:szCs w:val="20"/>
                <w:color w:val="auto"/>
              </w:rPr>
            </w:pPr>
            <w:r>
              <w:rPr>
                <w:rFonts w:ascii="Arial" w:cs="Arial" w:eastAsia="Arial" w:hAnsi="Arial"/>
                <w:sz w:val="20"/>
                <w:szCs w:val="20"/>
                <w:color w:val="auto"/>
              </w:rPr>
              <w:t>3</w:t>
            </w:r>
          </w:p>
        </w:tc>
        <w:tc>
          <w:tcPr>
            <w:tcW w:w="660" w:type="dxa"/>
            <w:vAlign w:val="bottom"/>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40" w:type="dxa"/>
            <w:vAlign w:val="bottom"/>
          </w:tcPr>
          <w:p>
            <w:pPr>
              <w:ind w:left="20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rPr>
                <w:sz w:val="16"/>
                <w:szCs w:val="16"/>
                <w:color w:val="auto"/>
              </w:rPr>
            </w:pPr>
          </w:p>
        </w:tc>
        <w:tc>
          <w:tcPr>
            <w:tcW w:w="82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260000</w:t>
            </w:r>
          </w:p>
        </w:tc>
        <w:tc>
          <w:tcPr>
            <w:tcW w:w="6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Gabbs Mining Ops</w:t>
            </w:r>
          </w:p>
        </w:tc>
        <w:tc>
          <w:tcPr>
            <w:tcW w:w="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2</w:t>
            </w:r>
          </w:p>
        </w:tc>
        <w:tc>
          <w:tcPr>
            <w:tcW w:w="6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2</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20" w:type="dxa"/>
            <w:vAlign w:val="bottom"/>
          </w:tcPr>
          <w:p>
            <w:pPr>
              <w:ind w:left="80"/>
              <w:spacing w:after="0" w:line="194" w:lineRule="exact"/>
              <w:rPr>
                <w:sz w:val="20"/>
                <w:szCs w:val="20"/>
                <w:color w:val="auto"/>
              </w:rPr>
            </w:pPr>
            <w:r>
              <w:rPr>
                <w:rFonts w:ascii="Arial" w:cs="Arial" w:eastAsia="Arial" w:hAnsi="Arial"/>
                <w:sz w:val="20"/>
                <w:szCs w:val="20"/>
                <w:color w:val="auto"/>
              </w:rPr>
              <w:t>330015</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Woodville - Stone</w:t>
            </w:r>
          </w:p>
        </w:tc>
        <w:tc>
          <w:tcPr>
            <w:tcW w:w="820" w:type="dxa"/>
            <w:vAlign w:val="bottom"/>
          </w:tcPr>
          <w:p>
            <w:pPr>
              <w:ind w:left="80"/>
              <w:spacing w:after="0"/>
              <w:rPr>
                <w:sz w:val="20"/>
                <w:szCs w:val="20"/>
                <w:color w:val="auto"/>
              </w:rPr>
            </w:pPr>
            <w:r>
              <w:rPr>
                <w:rFonts w:ascii="Arial" w:cs="Arial" w:eastAsia="Arial" w:hAnsi="Arial"/>
                <w:sz w:val="20"/>
                <w:szCs w:val="20"/>
                <w:color w:val="auto"/>
              </w:rPr>
              <w:t>6</w:t>
            </w:r>
          </w:p>
        </w:tc>
        <w:tc>
          <w:tcPr>
            <w:tcW w:w="660" w:type="dxa"/>
            <w:vAlign w:val="bottom"/>
          </w:tcPr>
          <w:p>
            <w:pPr>
              <w:jc w:val="center"/>
              <w:ind w:right="21"/>
              <w:spacing w:after="0"/>
              <w:rPr>
                <w:sz w:val="20"/>
                <w:szCs w:val="20"/>
                <w:color w:val="auto"/>
              </w:rPr>
            </w:pPr>
            <w:r>
              <w:rPr>
                <w:rFonts w:ascii="Arial" w:cs="Arial" w:eastAsia="Arial" w:hAnsi="Arial"/>
                <w:sz w:val="20"/>
                <w:szCs w:val="20"/>
                <w:color w:val="auto"/>
                <w:w w:val="98"/>
              </w:rPr>
              <w:t>11</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40" w:type="dxa"/>
            <w:vAlign w:val="bottom"/>
          </w:tcPr>
          <w:p>
            <w:pPr>
              <w:ind w:left="20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2</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Geology and</w:t>
            </w:r>
          </w:p>
        </w:tc>
        <w:tc>
          <w:tcPr>
            <w:tcW w:w="820" w:type="dxa"/>
            <w:vAlign w:val="bottom"/>
            <w:shd w:val="clear" w:color="auto" w:fill="CFF0FC"/>
          </w:tcPr>
          <w:p>
            <w:pPr>
              <w:ind w:left="80"/>
              <w:spacing w:after="0" w:line="194" w:lineRule="exact"/>
              <w:rPr>
                <w:sz w:val="20"/>
                <w:szCs w:val="20"/>
                <w:color w:val="auto"/>
              </w:rPr>
            </w:pPr>
            <w:r>
              <w:rPr>
                <w:rFonts w:ascii="Arial" w:cs="Arial" w:eastAsia="Arial" w:hAnsi="Arial"/>
                <w:sz w:val="20"/>
                <w:szCs w:val="20"/>
                <w:color w:val="auto"/>
              </w:rPr>
              <w:t>00B71</w:t>
            </w:r>
          </w:p>
        </w:tc>
        <w:tc>
          <w:tcPr>
            <w:tcW w:w="6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shd w:val="clear" w:color="auto" w:fill="CFF0FC"/>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shd w:val="clear" w:color="auto" w:fill="CFF0FC"/>
          </w:tcPr>
          <w:p>
            <w:pPr>
              <w:spacing w:after="0"/>
              <w:rPr>
                <w:sz w:val="20"/>
                <w:szCs w:val="20"/>
                <w:color w:val="auto"/>
              </w:rPr>
            </w:pPr>
            <w:r>
              <w:rPr>
                <w:rFonts w:ascii="Arial" w:cs="Arial" w:eastAsia="Arial" w:hAnsi="Arial"/>
                <w:sz w:val="20"/>
                <w:szCs w:val="20"/>
                <w:color w:val="auto"/>
              </w:rPr>
              <w:t>Exploration</w:t>
            </w:r>
          </w:p>
        </w:tc>
        <w:tc>
          <w:tcPr>
            <w:tcW w:w="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27</w:t>
            </w:r>
          </w:p>
        </w:tc>
        <w:tc>
          <w:tcPr>
            <w:tcW w:w="660" w:type="dxa"/>
            <w:vAlign w:val="bottom"/>
            <w:shd w:val="clear" w:color="auto" w:fill="CFF0FC"/>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4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no</w:t>
            </w:r>
          </w:p>
        </w:tc>
        <w:tc>
          <w:tcPr>
            <w:tcW w:w="840" w:type="dxa"/>
            <w:vAlign w:val="bottom"/>
            <w:shd w:val="clear" w:color="auto" w:fill="CFF0FC"/>
          </w:tcPr>
          <w:p>
            <w:pPr>
              <w:ind w:left="200"/>
              <w:spacing w:after="0"/>
              <w:rPr>
                <w:sz w:val="20"/>
                <w:szCs w:val="20"/>
                <w:color w:val="auto"/>
              </w:rPr>
            </w:pPr>
            <w:r>
              <w:rPr>
                <w:rFonts w:ascii="Arial" w:cs="Arial" w:eastAsia="Arial" w:hAnsi="Arial"/>
                <w:sz w:val="20"/>
                <w:szCs w:val="20"/>
                <w:color w:val="auto"/>
              </w:rPr>
              <w:t>no</w:t>
            </w:r>
          </w:p>
        </w:tc>
        <w:tc>
          <w:tcPr>
            <w:tcW w:w="92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820" w:type="dxa"/>
            <w:vAlign w:val="bottom"/>
          </w:tcPr>
          <w:p>
            <w:pPr>
              <w:ind w:left="80"/>
              <w:spacing w:after="0" w:line="194" w:lineRule="exact"/>
              <w:rPr>
                <w:sz w:val="20"/>
                <w:szCs w:val="20"/>
                <w:color w:val="auto"/>
              </w:rPr>
            </w:pPr>
            <w:r>
              <w:rPr>
                <w:rFonts w:ascii="Arial" w:cs="Arial" w:eastAsia="Arial" w:hAnsi="Arial"/>
                <w:sz w:val="20"/>
                <w:szCs w:val="20"/>
                <w:color w:val="auto"/>
              </w:rPr>
              <w:t>00B93</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rPr>
              <w:t>0</w:t>
            </w: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Arial" w:cs="Arial" w:eastAsia="Arial" w:hAnsi="Arial"/>
                <w:sz w:val="20"/>
                <w:szCs w:val="20"/>
                <w:color w:val="auto"/>
              </w:rPr>
              <w:t>Salisbury Shop</w:t>
            </w:r>
          </w:p>
        </w:tc>
        <w:tc>
          <w:tcPr>
            <w:tcW w:w="820" w:type="dxa"/>
            <w:vAlign w:val="bottom"/>
          </w:tcPr>
          <w:p>
            <w:pPr>
              <w:ind w:left="80"/>
              <w:spacing w:after="0"/>
              <w:rPr>
                <w:sz w:val="20"/>
                <w:szCs w:val="20"/>
                <w:color w:val="auto"/>
              </w:rPr>
            </w:pPr>
            <w:r>
              <w:rPr>
                <w:rFonts w:ascii="Arial" w:cs="Arial" w:eastAsia="Arial" w:hAnsi="Arial"/>
                <w:sz w:val="20"/>
                <w:szCs w:val="20"/>
                <w:color w:val="auto"/>
              </w:rPr>
              <w:t>38</w:t>
            </w:r>
          </w:p>
        </w:tc>
        <w:tc>
          <w:tcPr>
            <w:tcW w:w="660" w:type="dxa"/>
            <w:vAlign w:val="bottom"/>
          </w:tcPr>
          <w:p>
            <w:pPr>
              <w:jc w:val="center"/>
              <w:ind w:right="4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rPr>
              <w:t>0</w:t>
            </w:r>
          </w:p>
        </w:tc>
        <w:tc>
          <w:tcPr>
            <w:tcW w:w="560" w:type="dxa"/>
            <w:vAlign w:val="bottom"/>
          </w:tcPr>
          <w:p>
            <w:pPr>
              <w:ind w:left="140"/>
              <w:spacing w:after="0"/>
              <w:rPr>
                <w:sz w:val="20"/>
                <w:szCs w:val="20"/>
                <w:color w:val="auto"/>
              </w:rPr>
            </w:pPr>
            <w:r>
              <w:rPr>
                <w:rFonts w:ascii="Arial" w:cs="Arial" w:eastAsia="Arial" w:hAnsi="Arial"/>
                <w:sz w:val="20"/>
                <w:szCs w:val="20"/>
                <w:color w:val="auto"/>
              </w:rPr>
              <w:t>no</w:t>
            </w:r>
          </w:p>
        </w:tc>
        <w:tc>
          <w:tcPr>
            <w:tcW w:w="840" w:type="dxa"/>
            <w:vAlign w:val="bottom"/>
          </w:tcPr>
          <w:p>
            <w:pPr>
              <w:ind w:left="200"/>
              <w:spacing w:after="0"/>
              <w:rPr>
                <w:sz w:val="20"/>
                <w:szCs w:val="20"/>
                <w:color w:val="auto"/>
              </w:rPr>
            </w:pPr>
            <w:r>
              <w:rPr>
                <w:rFonts w:ascii="Arial" w:cs="Arial" w:eastAsia="Arial" w:hAnsi="Arial"/>
                <w:sz w:val="20"/>
                <w:szCs w:val="20"/>
                <w:color w:val="auto"/>
              </w:rPr>
              <w:t>no</w:t>
            </w:r>
          </w:p>
        </w:tc>
        <w:tc>
          <w:tcPr>
            <w:tcW w:w="920" w:type="dxa"/>
            <w:vAlign w:val="bottom"/>
          </w:tcPr>
          <w:p>
            <w:pPr>
              <w:jc w:val="center"/>
              <w:ind w:left="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16"/>
        </w:trPr>
        <w:tc>
          <w:tcPr>
            <w:tcW w:w="174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TOTAL</w:t>
            </w:r>
          </w:p>
        </w:tc>
        <w:tc>
          <w:tcPr>
            <w:tcW w:w="820" w:type="dxa"/>
            <w:vAlign w:val="bottom"/>
            <w:shd w:val="clear" w:color="auto" w:fill="CFF0FC"/>
          </w:tcPr>
          <w:p>
            <w:pPr>
              <w:spacing w:after="0"/>
              <w:rPr>
                <w:sz w:val="18"/>
                <w:szCs w:val="18"/>
                <w:color w:val="auto"/>
              </w:rPr>
            </w:pPr>
          </w:p>
        </w:tc>
        <w:tc>
          <w:tcPr>
            <w:tcW w:w="660" w:type="dxa"/>
            <w:vAlign w:val="bottom"/>
            <w:shd w:val="clear" w:color="auto" w:fill="CFF0FC"/>
          </w:tcPr>
          <w:p>
            <w:pPr>
              <w:jc w:val="center"/>
              <w:ind w:right="41"/>
              <w:spacing w:after="0" w:line="216" w:lineRule="exact"/>
              <w:rPr>
                <w:sz w:val="20"/>
                <w:szCs w:val="20"/>
                <w:color w:val="auto"/>
              </w:rPr>
            </w:pPr>
            <w:r>
              <w:rPr>
                <w:rFonts w:ascii="Arial" w:cs="Arial" w:eastAsia="Arial" w:hAnsi="Arial"/>
                <w:sz w:val="20"/>
                <w:szCs w:val="20"/>
                <w:b w:val="1"/>
                <w:bCs w:val="1"/>
                <w:color w:val="auto"/>
                <w:w w:val="95"/>
              </w:rPr>
              <w:t>112</w:t>
            </w:r>
          </w:p>
        </w:tc>
        <w:tc>
          <w:tcPr>
            <w:tcW w:w="62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jc w:val="right"/>
              <w:ind w:right="221"/>
              <w:spacing w:after="0" w:line="216" w:lineRule="exact"/>
              <w:rPr>
                <w:sz w:val="20"/>
                <w:szCs w:val="20"/>
                <w:color w:val="auto"/>
              </w:rPr>
            </w:pPr>
            <w:r>
              <w:rPr>
                <w:rFonts w:ascii="Arial" w:cs="Arial" w:eastAsia="Arial" w:hAnsi="Arial"/>
                <w:sz w:val="20"/>
                <w:szCs w:val="20"/>
                <w:b w:val="1"/>
                <w:bCs w:val="1"/>
                <w:color w:val="auto"/>
              </w:rPr>
              <w:t>0</w:t>
            </w:r>
          </w:p>
        </w:tc>
        <w:tc>
          <w:tcPr>
            <w:tcW w:w="70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b w:val="1"/>
                <w:bCs w:val="1"/>
                <w:color w:val="auto"/>
              </w:rPr>
              <w:t>0</w:t>
            </w:r>
          </w:p>
        </w:tc>
        <w:tc>
          <w:tcPr>
            <w:tcW w:w="5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b w:val="1"/>
                <w:bCs w:val="1"/>
                <w:color w:val="auto"/>
              </w:rPr>
              <w:t>1</w:t>
            </w:r>
          </w:p>
        </w:tc>
        <w:tc>
          <w:tcPr>
            <w:tcW w:w="42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b w:val="1"/>
                <w:bCs w:val="1"/>
                <w:color w:val="auto"/>
              </w:rPr>
              <w:t>$</w:t>
            </w:r>
          </w:p>
        </w:tc>
        <w:tc>
          <w:tcPr>
            <w:tcW w:w="9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b w:val="1"/>
                <w:bCs w:val="1"/>
                <w:color w:val="auto"/>
              </w:rPr>
              <w:t>20,781</w:t>
            </w:r>
          </w:p>
        </w:tc>
        <w:tc>
          <w:tcPr>
            <w:tcW w:w="46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b w:val="1"/>
                <w:bCs w:val="1"/>
                <w:color w:val="auto"/>
              </w:rPr>
              <w:t>0</w:t>
            </w:r>
          </w:p>
        </w:tc>
        <w:tc>
          <w:tcPr>
            <w:tcW w:w="5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20" w:type="dxa"/>
            <w:vAlign w:val="bottom"/>
            <w:shd w:val="clear" w:color="auto" w:fill="CFF0FC"/>
          </w:tcPr>
          <w:p>
            <w:pPr>
              <w:jc w:val="center"/>
              <w:ind w:left="41"/>
              <w:spacing w:after="0" w:line="216" w:lineRule="exact"/>
              <w:rPr>
                <w:sz w:val="20"/>
                <w:szCs w:val="20"/>
                <w:color w:val="auto"/>
              </w:rPr>
            </w:pPr>
            <w:r>
              <w:rPr>
                <w:rFonts w:ascii="Arial" w:cs="Arial" w:eastAsia="Arial" w:hAnsi="Arial"/>
                <w:sz w:val="20"/>
                <w:szCs w:val="20"/>
                <w:b w:val="1"/>
                <w:bCs w:val="1"/>
                <w:color w:val="auto"/>
                <w:w w:val="98"/>
              </w:rPr>
              <w:t>17</w:t>
            </w:r>
          </w:p>
        </w:tc>
        <w:tc>
          <w:tcPr>
            <w:tcW w:w="64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b w:val="1"/>
                <w:bCs w:val="1"/>
                <w:color w:val="auto"/>
              </w:rPr>
              <w:t>5</w:t>
            </w:r>
          </w:p>
        </w:tc>
        <w:tc>
          <w:tcPr>
            <w:tcW w:w="66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b w:val="1"/>
                <w:bCs w:val="1"/>
                <w:color w:val="auto"/>
              </w:rPr>
              <w:t>2</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*Of the 17 legal actions pending on March 31, 2026, one was a contest of citation or order referenced in Subpart B of CFR Part 2700, which includes contests of citations and orders issued under Section 104 of the Mine Act and contests of imminent danger orders under Section 107 of the Mine Act, 15 were contests of proposed penalties referenced in Subpart C of 29 CFR Part 2700, which are administrative proceedings before the Commission challenging a civil penalty that MSHA has proposed for the violation contained in a citation or order, and one was a contest of an order issued under Section 103 (K) of the Mine Act.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**Site acquired by the Company on February 23rd, 2026 as part of the acquisition of assets from QUIKRETE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1312545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0" w:name="page81"/>
    <w:bookmarkEnd w:id="80"/>
    <w:p>
      <w:pPr>
        <w:ind w:left="9140"/>
        <w:spacing w:after="0"/>
        <w:rPr>
          <w:sz w:val="20"/>
          <w:szCs w:val="20"/>
          <w:color w:val="auto"/>
        </w:rPr>
      </w:pPr>
      <w:r>
        <w:rPr>
          <w:rFonts w:ascii="Arial" w:cs="Arial" w:eastAsia="Arial" w:hAnsi="Arial"/>
          <w:sz w:val="19"/>
          <w:szCs w:val="19"/>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1054100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6"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6"/>
    </w:lvl>
  </w:abstractNum>
  <w:abstractNum w:abstractNumId="6">
    <w:nsid w:val="62BBD95A"/>
    <w:multiLevelType w:val="hybridMultilevel"/>
    <w:lvl w:ilvl="0">
      <w:lvlJc w:val="left"/>
      <w:lvlText w:val="%1."/>
      <w:numFmt w:val="decimal"/>
      <w:start w:val="7"/>
    </w:lvl>
  </w:abstractNum>
  <w:abstractNum w:abstractNumId="7">
    <w:nsid w:val="436C6125"/>
    <w:multiLevelType w:val="hybridMultilevel"/>
    <w:lvl w:ilvl="0">
      <w:lvlJc w:val="left"/>
      <w:lvlText w:val="%1."/>
      <w:numFmt w:val="decimal"/>
      <w:start w:val="9"/>
    </w:lvl>
  </w:abstractNum>
  <w:abstractNum w:abstractNumId="8">
    <w:nsid w:val="628C895D"/>
    <w:multiLevelType w:val="hybridMultilevel"/>
    <w:lvl w:ilvl="0">
      <w:lvlJc w:val="left"/>
      <w:lvlText w:val="%1."/>
      <w:numFmt w:val="decimal"/>
      <w:start w:val="10"/>
    </w:lvl>
  </w:abstractNum>
  <w:abstractNum w:abstractNumId="9">
    <w:nsid w:val="333AB105"/>
    <w:multiLevelType w:val="hybridMultilevel"/>
    <w:lvl w:ilvl="0">
      <w:lvlJc w:val="left"/>
      <w:lvlText w:val="%1."/>
      <w:numFmt w:val="decimal"/>
      <w:start w:val="11"/>
    </w:lvl>
  </w:abstractNum>
  <w:abstractNum w:abstractNumId="10">
    <w:nsid w:val="721DA317"/>
    <w:multiLevelType w:val="hybridMultilevel"/>
    <w:lvl w:ilvl="0">
      <w:lvlJc w:val="left"/>
      <w:lvlText w:val="%1."/>
      <w:numFmt w:val="decimal"/>
      <w:start w:val="13"/>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95"/>
    </w:lvl>
  </w:abstractNum>
  <w:abstractNum w:abstractNumId="24">
    <w:nsid w:val="2901D82"/>
    <w:multiLevelType w:val="hybridMultilevel"/>
    <w:lvl w:ilvl="0">
      <w:lvlJc w:val="left"/>
      <w:lvlText w:val="%1"/>
      <w:numFmt w:val="decimal"/>
      <w:start w:val="104"/>
    </w:lvl>
  </w:abstractNum>
  <w:abstractNum w:abstractNumId="25">
    <w:nsid w:val="3A95F874"/>
    <w:multiLevelType w:val="hybridMultilevel"/>
    <w:lvl w:ilvl="0">
      <w:lvlJc w:val="left"/>
      <w:lvlText w:val="%1."/>
      <w:numFmt w:val="decimal"/>
      <w:start w:val="1"/>
    </w:lvl>
    <w:lvl w:ilvl="1">
      <w:lvlJc w:val="left"/>
      <w:lvlText w:val="%2."/>
      <w:numFmt w:val="lowerLetter"/>
      <w:start w:val="1"/>
    </w:lvl>
  </w:abstractNum>
  <w:abstractNum w:abstractNumId="26">
    <w:nsid w:val="8138641"/>
    <w:multiLevelType w:val="hybridMultilevel"/>
    <w:lvl w:ilvl="0">
      <w:lvlJc w:val="left"/>
      <w:lvlText w:val="%1."/>
      <w:numFmt w:val="decimal"/>
      <w:start w:val="5"/>
    </w:lvl>
    <w:lvl w:ilvl="1">
      <w:lvlJc w:val="left"/>
      <w:lvlText w:val="%2."/>
      <w:numFmt w:val="lowerLetter"/>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5"/>
    </w:lvl>
    <w:lvl w:ilvl="1">
      <w:lvlJc w:val="left"/>
      <w:lvlText w:val="%2."/>
      <w:numFmt w:val="lowerLetter"/>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11" Type="http://schemas.openxmlformats.org/officeDocument/2006/relationships/hyperlink" Target="https://www.sec.gov/ix?doc=/Archives/edgar/data/0000916076/000119312526059193/mlm-20251231.htm#item_7_managements_discussion_analysis_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2026-04-30T12:36:18Z</dcterms:created>
  <dcterms:modified xsi:type="dcterms:W3CDTF">2026-04-30T12:36:18Z</dcterms:modified>
</cp:coreProperties>
</file>