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0"/>
          <w:szCs w:val="20"/>
          <w:b w:val="1"/>
          <w:bCs w:val="1"/>
          <w:color w:val="auto"/>
        </w:rPr>
        <w:t>UNITED STATES</w:t>
      </w:r>
    </w:p>
    <w:p>
      <w:pPr>
        <w:jc w:val="center"/>
        <w:spacing w:after="0" w:line="238" w:lineRule="auto"/>
        <w:rPr>
          <w:sz w:val="20"/>
          <w:szCs w:val="20"/>
          <w:color w:val="auto"/>
        </w:rPr>
      </w:pPr>
      <w:r>
        <w:rPr>
          <w:rFonts w:ascii="Calibri" w:cs="Calibri" w:eastAsia="Calibri" w:hAnsi="Calibri"/>
          <w:sz w:val="20"/>
          <w:szCs w:val="20"/>
          <w:b w:val="1"/>
          <w:bCs w:val="1"/>
          <w:color w:val="auto"/>
        </w:rPr>
        <w:t>SECURITIES AND EXCHANGE COMMISSION</w:t>
      </w:r>
    </w:p>
    <w:p>
      <w:pPr>
        <w:jc w:val="center"/>
        <w:spacing w:after="0"/>
        <w:rPr>
          <w:sz w:val="20"/>
          <w:szCs w:val="20"/>
          <w:color w:val="auto"/>
        </w:rPr>
      </w:pPr>
      <w:r>
        <w:rPr>
          <w:rFonts w:ascii="Calibri" w:cs="Calibri" w:eastAsia="Calibri" w:hAnsi="Calibri"/>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38100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FORM 10-Q</w:t>
      </w:r>
    </w:p>
    <w:p>
      <w:pPr>
        <w:spacing w:after="0" w:line="126"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20" w:right="3420" w:hanging="3912"/>
        <w:spacing w:after="0" w:line="310" w:lineRule="auto"/>
        <w:tabs>
          <w:tab w:leader="none" w:pos="469" w:val="left"/>
        </w:tabs>
        <w:numPr>
          <w:ilvl w:val="0"/>
          <w:numId w:val="1"/>
        </w:numPr>
        <w:rPr>
          <w:rFonts w:ascii="MS PGothic" w:cs="MS PGothic" w:eastAsia="MS PGothic" w:hAnsi="MS PGothic"/>
          <w:sz w:val="17"/>
          <w:szCs w:val="17"/>
          <w:color w:val="auto"/>
          <w:highlight w:val="black"/>
        </w:rPr>
      </w:pPr>
      <w:r>
        <w:rPr>
          <w:rFonts w:ascii="Calibri" w:cs="Calibri" w:eastAsia="Calibri" w:hAnsi="Calibri"/>
          <w:sz w:val="17"/>
          <w:szCs w:val="17"/>
          <w:b w:val="1"/>
          <w:bCs w:val="1"/>
          <w:color w:val="auto"/>
        </w:rPr>
        <w:t>QUARTERLY REPORT PURSUANT TO SECTION 13 OR 15(d) OF THE SECURITIES EXCHANGE ACT OF 1934 For the quarterly period ended March 31, 2022</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OR</w:t>
      </w:r>
    </w:p>
    <w:p>
      <w:pPr>
        <w:spacing w:after="0" w:line="10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Calibri" w:cs="Calibri" w:eastAsia="Calibri" w:hAnsi="Calibri"/>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540"/>
        <w:spacing w:after="0"/>
        <w:tabs>
          <w:tab w:leader="none" w:pos="7440" w:val="left"/>
        </w:tabs>
        <w:rPr>
          <w:sz w:val="20"/>
          <w:szCs w:val="20"/>
          <w:color w:val="auto"/>
        </w:rPr>
      </w:pPr>
      <w:r>
        <w:rPr>
          <w:rFonts w:ascii="Calibri" w:cs="Calibri" w:eastAsia="Calibri" w:hAnsi="Calibri"/>
          <w:sz w:val="18"/>
          <w:szCs w:val="18"/>
          <w:b w:val="1"/>
          <w:bCs w:val="1"/>
          <w:color w:val="auto"/>
        </w:rPr>
        <w:t>For the transiton period from</w:t>
      </w:r>
      <w:r>
        <w:rPr>
          <w:sz w:val="20"/>
          <w:szCs w:val="20"/>
          <w:color w:val="auto"/>
        </w:rPr>
        <w:tab/>
      </w:r>
      <w:r>
        <w:rPr>
          <w:rFonts w:ascii="Calibri" w:cs="Calibri" w:eastAsia="Calibri" w:hAnsi="Calibri"/>
          <w:sz w:val="18"/>
          <w:szCs w:val="18"/>
          <w:b w:val="1"/>
          <w:bCs w:val="1"/>
          <w:color w:val="auto"/>
        </w:rPr>
        <w:t>to</w:t>
      </w:r>
    </w:p>
    <w:p>
      <w:pPr>
        <w:spacing w:after="0" w:line="104"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MARTIN MARIETTA MATERIALS, INC.</w:t>
      </w:r>
    </w:p>
    <w:p>
      <w:pPr>
        <w:spacing w:after="0" w:line="6"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4720" w:type="dxa"/>
            <w:vAlign w:val="bottom"/>
          </w:tcPr>
          <w:p>
            <w:pPr>
              <w:jc w:val="center"/>
              <w:ind w:right="1484"/>
              <w:spacing w:after="0"/>
              <w:rPr>
                <w:sz w:val="20"/>
                <w:szCs w:val="20"/>
                <w:color w:val="auto"/>
              </w:rPr>
            </w:pPr>
            <w:r>
              <w:rPr>
                <w:rFonts w:ascii="Calibri" w:cs="Calibri" w:eastAsia="Calibri" w:hAnsi="Calibri"/>
                <w:sz w:val="18"/>
                <w:szCs w:val="18"/>
                <w:b w:val="1"/>
                <w:bCs w:val="1"/>
                <w:color w:val="auto"/>
                <w:w w:val="98"/>
              </w:rPr>
              <w:t>North Carolina</w:t>
            </w:r>
          </w:p>
        </w:tc>
        <w:tc>
          <w:tcPr>
            <w:tcW w:w="3380" w:type="dxa"/>
            <w:vAlign w:val="bottom"/>
          </w:tcPr>
          <w:p>
            <w:pPr>
              <w:jc w:val="right"/>
              <w:ind w:right="404"/>
              <w:spacing w:after="0"/>
              <w:rPr>
                <w:sz w:val="20"/>
                <w:szCs w:val="20"/>
                <w:color w:val="auto"/>
              </w:rPr>
            </w:pPr>
            <w:r>
              <w:rPr>
                <w:rFonts w:ascii="Calibri" w:cs="Calibri" w:eastAsia="Calibri" w:hAnsi="Calibri"/>
                <w:sz w:val="18"/>
                <w:szCs w:val="18"/>
                <w:b w:val="1"/>
                <w:bCs w:val="1"/>
                <w:color w:val="auto"/>
              </w:rPr>
              <w:t>56-1848578</w:t>
            </w:r>
          </w:p>
        </w:tc>
      </w:tr>
      <w:tr>
        <w:trPr>
          <w:trHeight w:val="150"/>
        </w:trPr>
        <w:tc>
          <w:tcPr>
            <w:tcW w:w="4720" w:type="dxa"/>
            <w:vAlign w:val="bottom"/>
          </w:tcPr>
          <w:p>
            <w:pPr>
              <w:jc w:val="center"/>
              <w:ind w:right="1504"/>
              <w:spacing w:after="0" w:line="150" w:lineRule="exact"/>
              <w:rPr>
                <w:sz w:val="20"/>
                <w:szCs w:val="20"/>
                <w:color w:val="auto"/>
              </w:rPr>
            </w:pPr>
            <w:r>
              <w:rPr>
                <w:rFonts w:ascii="Calibri" w:cs="Calibri" w:eastAsia="Calibri" w:hAnsi="Calibri"/>
                <w:sz w:val="13"/>
                <w:szCs w:val="13"/>
                <w:b w:val="1"/>
                <w:bCs w:val="1"/>
                <w:color w:val="auto"/>
                <w:w w:val="99"/>
              </w:rPr>
              <w:t>( State or other jurisdicton of incorporaton or organizaton)</w:t>
            </w:r>
          </w:p>
        </w:tc>
        <w:tc>
          <w:tcPr>
            <w:tcW w:w="3380" w:type="dxa"/>
            <w:vAlign w:val="bottom"/>
          </w:tcPr>
          <w:p>
            <w:pPr>
              <w:jc w:val="center"/>
              <w:ind w:left="1484"/>
              <w:spacing w:after="0" w:line="150" w:lineRule="exact"/>
              <w:rPr>
                <w:sz w:val="20"/>
                <w:szCs w:val="20"/>
                <w:color w:val="auto"/>
              </w:rPr>
            </w:pPr>
            <w:r>
              <w:rPr>
                <w:rFonts w:ascii="Calibri" w:cs="Calibri" w:eastAsia="Calibri" w:hAnsi="Calibri"/>
                <w:sz w:val="13"/>
                <w:szCs w:val="13"/>
                <w:b w:val="1"/>
                <w:bCs w:val="1"/>
                <w:color w:val="auto"/>
              </w:rPr>
              <w:t>(I.R.S. Employer Identfcaton No.)</w:t>
            </w:r>
          </w:p>
        </w:tc>
      </w:tr>
      <w:tr>
        <w:trPr>
          <w:trHeight w:val="215"/>
        </w:trPr>
        <w:tc>
          <w:tcPr>
            <w:tcW w:w="4720" w:type="dxa"/>
            <w:vAlign w:val="bottom"/>
          </w:tcPr>
          <w:p>
            <w:pPr>
              <w:jc w:val="center"/>
              <w:ind w:right="1484"/>
              <w:spacing w:after="0" w:line="215" w:lineRule="exact"/>
              <w:rPr>
                <w:sz w:val="20"/>
                <w:szCs w:val="20"/>
                <w:color w:val="auto"/>
              </w:rPr>
            </w:pPr>
            <w:r>
              <w:rPr>
                <w:rFonts w:ascii="Calibri" w:cs="Calibri" w:eastAsia="Calibri" w:hAnsi="Calibri"/>
                <w:sz w:val="18"/>
                <w:szCs w:val="18"/>
                <w:b w:val="1"/>
                <w:bCs w:val="1"/>
                <w:color w:val="auto"/>
                <w:w w:val="96"/>
              </w:rPr>
              <w:t>4123 Parklake Avenue, Raleigh, NC</w:t>
            </w:r>
          </w:p>
        </w:tc>
        <w:tc>
          <w:tcPr>
            <w:tcW w:w="3380" w:type="dxa"/>
            <w:vAlign w:val="bottom"/>
          </w:tcPr>
          <w:p>
            <w:pPr>
              <w:jc w:val="right"/>
              <w:ind w:right="604"/>
              <w:spacing w:after="0" w:line="215" w:lineRule="exact"/>
              <w:rPr>
                <w:sz w:val="20"/>
                <w:szCs w:val="20"/>
                <w:color w:val="auto"/>
              </w:rPr>
            </w:pPr>
            <w:r>
              <w:rPr>
                <w:rFonts w:ascii="Calibri" w:cs="Calibri" w:eastAsia="Calibri" w:hAnsi="Calibri"/>
                <w:sz w:val="18"/>
                <w:szCs w:val="18"/>
                <w:b w:val="1"/>
                <w:bCs w:val="1"/>
                <w:color w:val="auto"/>
              </w:rPr>
              <w:t>27612</w:t>
            </w:r>
          </w:p>
        </w:tc>
      </w:tr>
      <w:tr>
        <w:trPr>
          <w:trHeight w:val="162"/>
        </w:trPr>
        <w:tc>
          <w:tcPr>
            <w:tcW w:w="4720" w:type="dxa"/>
            <w:vAlign w:val="bottom"/>
          </w:tcPr>
          <w:p>
            <w:pPr>
              <w:jc w:val="center"/>
              <w:ind w:right="1484"/>
              <w:spacing w:after="0"/>
              <w:rPr>
                <w:sz w:val="20"/>
                <w:szCs w:val="20"/>
                <w:color w:val="auto"/>
              </w:rPr>
            </w:pPr>
            <w:r>
              <w:rPr>
                <w:rFonts w:ascii="Calibri" w:cs="Calibri" w:eastAsia="Calibri" w:hAnsi="Calibri"/>
                <w:sz w:val="13"/>
                <w:szCs w:val="13"/>
                <w:b w:val="1"/>
                <w:bCs w:val="1"/>
                <w:color w:val="auto"/>
              </w:rPr>
              <w:t>(Address of principal executve ofces)</w:t>
            </w:r>
          </w:p>
        </w:tc>
        <w:tc>
          <w:tcPr>
            <w:tcW w:w="3380" w:type="dxa"/>
            <w:vAlign w:val="bottom"/>
          </w:tcPr>
          <w:p>
            <w:pPr>
              <w:jc w:val="center"/>
              <w:ind w:left="1484"/>
              <w:spacing w:after="0"/>
              <w:rPr>
                <w:sz w:val="20"/>
                <w:szCs w:val="20"/>
                <w:color w:val="auto"/>
              </w:rPr>
            </w:pPr>
            <w:r>
              <w:rPr>
                <w:rFonts w:ascii="Calibri" w:cs="Calibri" w:eastAsia="Calibri" w:hAnsi="Calibri"/>
                <w:sz w:val="13"/>
                <w:szCs w:val="13"/>
                <w:b w:val="1"/>
                <w:bCs w:val="1"/>
                <w:color w:val="auto"/>
                <w:w w:val="98"/>
              </w:rPr>
              <w:t>(Zip Code)</w:t>
            </w:r>
          </w:p>
        </w:tc>
      </w:tr>
    </w:tbl>
    <w:p>
      <w:pPr>
        <w:spacing w:after="0" w:line="64" w:lineRule="exact"/>
        <w:rPr>
          <w:sz w:val="24"/>
          <w:szCs w:val="24"/>
          <w:color w:val="auto"/>
        </w:rPr>
      </w:pPr>
    </w:p>
    <w:p>
      <w:pPr>
        <w:ind w:left="3160"/>
        <w:spacing w:after="0"/>
        <w:rPr>
          <w:sz w:val="20"/>
          <w:szCs w:val="20"/>
          <w:color w:val="auto"/>
        </w:rPr>
      </w:pPr>
      <w:r>
        <w:rPr>
          <w:rFonts w:ascii="Calibri" w:cs="Calibri" w:eastAsia="Calibri" w:hAnsi="Calibri"/>
          <w:sz w:val="18"/>
          <w:szCs w:val="18"/>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ind w:left="600"/>
        <w:spacing w:after="0"/>
        <w:rPr>
          <w:sz w:val="20"/>
          <w:szCs w:val="20"/>
          <w:color w:val="auto"/>
        </w:rPr>
      </w:pPr>
      <w:r>
        <w:rPr>
          <w:rFonts w:ascii="Calibri" w:cs="Calibri" w:eastAsia="Calibri" w:hAnsi="Calibri"/>
          <w:sz w:val="16"/>
          <w:szCs w:val="16"/>
          <w:color w:val="auto"/>
        </w:rPr>
        <w:t>Securites registered pursuant to Secton 12(b) of the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Trading</w:t>
            </w:r>
          </w:p>
        </w:tc>
        <w:tc>
          <w:tcPr>
            <w:tcW w:w="5040" w:type="dxa"/>
            <w:vAlign w:val="bottom"/>
          </w:tcPr>
          <w:p>
            <w:pPr>
              <w:spacing w:after="0"/>
              <w:rPr>
                <w:sz w:val="14"/>
                <w:szCs w:val="14"/>
                <w:color w:val="auto"/>
              </w:rPr>
            </w:pPr>
          </w:p>
        </w:tc>
      </w:tr>
      <w:tr>
        <w:trPr>
          <w:trHeight w:val="189"/>
        </w:trPr>
        <w:tc>
          <w:tcPr>
            <w:tcW w:w="44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Symbol(s)</w:t>
            </w:r>
          </w:p>
        </w:tc>
        <w:tc>
          <w:tcPr>
            <w:tcW w:w="504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193"/>
        </w:trPr>
        <w:tc>
          <w:tcPr>
            <w:tcW w:w="4280" w:type="dxa"/>
            <w:vAlign w:val="bottom"/>
            <w:tcBorders>
              <w:top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Common Stock (Par Value $0.01)</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3" w:lineRule="exact"/>
              <w:rPr>
                <w:sz w:val="20"/>
                <w:szCs w:val="20"/>
                <w:color w:val="auto"/>
              </w:rPr>
            </w:pPr>
            <w:r>
              <w:rPr>
                <w:rFonts w:ascii="Calibri" w:cs="Calibri" w:eastAsia="Calibri" w:hAnsi="Calibri"/>
                <w:sz w:val="16"/>
                <w:szCs w:val="16"/>
                <w:color w:val="auto"/>
                <w:w w:val="99"/>
              </w:rPr>
              <w:t>MLM</w:t>
            </w:r>
          </w:p>
        </w:tc>
        <w:tc>
          <w:tcPr>
            <w:tcW w:w="120" w:type="dxa"/>
            <w:vAlign w:val="bottom"/>
          </w:tcPr>
          <w:p>
            <w:pPr>
              <w:spacing w:after="0"/>
              <w:rPr>
                <w:sz w:val="16"/>
                <w:szCs w:val="16"/>
                <w:color w:val="auto"/>
              </w:rPr>
            </w:pPr>
          </w:p>
        </w:tc>
        <w:tc>
          <w:tcPr>
            <w:tcW w:w="5040" w:type="dxa"/>
            <w:vAlign w:val="bottom"/>
            <w:tcBorders>
              <w:top w:val="single" w:sz="8" w:color="auto"/>
            </w:tcBorders>
          </w:tcPr>
          <w:p>
            <w:pPr>
              <w:jc w:val="center"/>
              <w:spacing w:after="0" w:line="193" w:lineRule="exact"/>
              <w:rPr>
                <w:sz w:val="20"/>
                <w:szCs w:val="20"/>
                <w:color w:val="auto"/>
              </w:rPr>
            </w:pPr>
            <w:r>
              <w:rPr>
                <w:rFonts w:ascii="Calibri" w:cs="Calibri" w:eastAsia="Calibri" w:hAnsi="Calibri"/>
                <w:sz w:val="16"/>
                <w:szCs w:val="16"/>
                <w:color w:val="auto"/>
              </w:rPr>
              <w:t>NYSE</w:t>
            </w:r>
          </w:p>
        </w:tc>
      </w:tr>
    </w:tbl>
    <w:p>
      <w:pPr>
        <w:spacing w:after="0" w:line="99" w:lineRule="exact"/>
        <w:rPr>
          <w:sz w:val="24"/>
          <w:szCs w:val="24"/>
          <w:color w:val="auto"/>
        </w:rPr>
      </w:pPr>
    </w:p>
    <w:p>
      <w:pPr>
        <w:ind w:right="60" w:firstLine="599"/>
        <w:spacing w:after="0" w:line="213"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720" w:firstLine="599"/>
        <w:spacing w:after="0" w:line="243" w:lineRule="auto"/>
        <w:rPr>
          <w:sz w:val="20"/>
          <w:szCs w:val="20"/>
          <w:color w:val="auto"/>
        </w:rPr>
      </w:pPr>
      <w:r>
        <w:rPr>
          <w:rFonts w:ascii="Calibri" w:cs="Calibri" w:eastAsia="Calibri" w:hAnsi="Calibri"/>
          <w:sz w:val="16"/>
          <w:szCs w:val="16"/>
          <w:color w:val="auto"/>
        </w:rPr>
        <w:t>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w:t>
      </w:r>
    </w:p>
    <w:p>
      <w:pPr>
        <w:ind w:left="160"/>
        <w:spacing w:after="0" w:line="196" w:lineRule="exact"/>
        <w:tabs>
          <w:tab w:leader="none" w:pos="720" w:val="left"/>
        </w:tabs>
        <w:rPr>
          <w:sz w:val="20"/>
          <w:szCs w:val="20"/>
          <w:color w:val="auto"/>
        </w:rPr>
      </w:pPr>
      <w:r>
        <w:rPr>
          <w:rFonts w:ascii="Calibri" w:cs="Calibri" w:eastAsia="Calibri" w:hAnsi="Calibri"/>
          <w:sz w:val="16"/>
          <w:szCs w:val="16"/>
          <w:color w:val="auto"/>
        </w:rPr>
        <w:t xml:space="preserve">Yes </w:t>
      </w:r>
      <w:r>
        <w:rPr>
          <w:rFonts w:ascii="MS PGothic" w:cs="MS PGothic" w:eastAsia="MS PGothic" w:hAnsi="MS PGothic"/>
          <w:sz w:val="16"/>
          <w:szCs w:val="16"/>
          <w:color w:val="auto"/>
        </w:rPr>
        <w:t>☒</w:t>
      </w:r>
      <w:r>
        <w:rPr>
          <w:rFonts w:ascii="Calibri" w:cs="Calibri" w:eastAsia="Calibri" w:hAnsi="Calibri"/>
          <w:sz w:val="16"/>
          <w:szCs w:val="16"/>
          <w:color w:val="auto"/>
        </w:rPr>
        <w:tab/>
        <w:t xml:space="preserve">No </w:t>
      </w:r>
      <w:r>
        <w:rPr>
          <w:rFonts w:ascii="MS PGothic" w:cs="MS PGothic" w:eastAsia="MS PGothic" w:hAnsi="MS PGothic"/>
          <w:sz w:val="16"/>
          <w:szCs w:val="16"/>
          <w:color w:val="auto"/>
        </w:rPr>
        <w:t>☐</w:t>
      </w:r>
    </w:p>
    <w:p>
      <w:pPr>
        <w:spacing w:after="0" w:line="97" w:lineRule="exact"/>
        <w:rPr>
          <w:sz w:val="24"/>
          <w:szCs w:val="24"/>
          <w:color w:val="auto"/>
        </w:rPr>
      </w:pPr>
    </w:p>
    <w:p>
      <w:pPr>
        <w:ind w:right="140" w:firstLine="599"/>
        <w:spacing w:after="0" w:line="247"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Calibri" w:cs="Calibri" w:eastAsia="Calibri" w:hAnsi="Calibri"/>
                <w:sz w:val="16"/>
                <w:szCs w:val="16"/>
                <w:color w:val="auto"/>
              </w:rPr>
              <w:t>Large accelerated fler</w:t>
            </w:r>
          </w:p>
        </w:tc>
        <w:tc>
          <w:tcPr>
            <w:tcW w:w="4960" w:type="dxa"/>
            <w:vAlign w:val="bottom"/>
            <w:gridSpan w:val="3"/>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ind w:left="1680"/>
              <w:spacing w:after="0"/>
              <w:rPr>
                <w:sz w:val="20"/>
                <w:szCs w:val="20"/>
                <w:color w:val="auto"/>
              </w:rPr>
            </w:pPr>
            <w:r>
              <w:rPr>
                <w:rFonts w:ascii="Calibri" w:cs="Calibri" w:eastAsia="Calibri" w:hAnsi="Calibri"/>
                <w:sz w:val="16"/>
                <w:szCs w:val="16"/>
                <w:color w:val="auto"/>
              </w:rPr>
              <w:t>Accelerated fler</w:t>
            </w:r>
          </w:p>
        </w:tc>
        <w:tc>
          <w:tcPr>
            <w:tcW w:w="3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59"/>
        </w:trPr>
        <w:tc>
          <w:tcPr>
            <w:tcW w:w="2000" w:type="dxa"/>
            <w:vAlign w:val="bottom"/>
          </w:tcPr>
          <w:p>
            <w:pPr>
              <w:spacing w:after="0"/>
              <w:rPr>
                <w:sz w:val="20"/>
                <w:szCs w:val="20"/>
                <w:color w:val="auto"/>
              </w:rPr>
            </w:pPr>
            <w:r>
              <w:rPr>
                <w:rFonts w:ascii="Calibri" w:cs="Calibri" w:eastAsia="Calibri" w:hAnsi="Calibri"/>
                <w:sz w:val="16"/>
                <w:szCs w:val="16"/>
                <w:color w:val="auto"/>
              </w:rPr>
              <w:t>Non-accelerated fler</w:t>
            </w:r>
          </w:p>
        </w:tc>
        <w:tc>
          <w:tcPr>
            <w:tcW w:w="4960" w:type="dxa"/>
            <w:vAlign w:val="bottom"/>
            <w:gridSpan w:val="3"/>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ind w:left="1680"/>
              <w:spacing w:after="0"/>
              <w:rPr>
                <w:sz w:val="20"/>
                <w:szCs w:val="20"/>
                <w:color w:val="auto"/>
              </w:rPr>
            </w:pPr>
            <w:r>
              <w:rPr>
                <w:rFonts w:ascii="Calibri" w:cs="Calibri" w:eastAsia="Calibri" w:hAnsi="Calibri"/>
                <w:sz w:val="16"/>
                <w:szCs w:val="16"/>
                <w:color w:val="auto"/>
              </w:rPr>
              <w:t>Smaller reportng company</w:t>
            </w:r>
          </w:p>
        </w:tc>
        <w:tc>
          <w:tcPr>
            <w:tcW w:w="3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00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4960" w:type="dxa"/>
            <w:vAlign w:val="bottom"/>
            <w:gridSpan w:val="3"/>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32"/>
        </w:trPr>
        <w:tc>
          <w:tcPr>
            <w:tcW w:w="10940" w:type="dxa"/>
            <w:vAlign w:val="bottom"/>
            <w:gridSpan w:val="5"/>
          </w:tcPr>
          <w:p>
            <w:pPr>
              <w:ind w:left="600"/>
              <w:spacing w:after="0"/>
              <w:rPr>
                <w:sz w:val="20"/>
                <w:szCs w:val="20"/>
                <w:color w:val="auto"/>
              </w:rPr>
            </w:pPr>
            <w:r>
              <w:rPr>
                <w:rFonts w:ascii="Calibri" w:cs="Calibri" w:eastAsia="Calibri" w:hAnsi="Calibri"/>
                <w:sz w:val="16"/>
                <w:szCs w:val="16"/>
                <w:color w:val="auto"/>
              </w:rPr>
              <w:t>If an emerging growth company, indicate by check mark if the registrant has elected not to use the extended transiton period for complying with any new or</w:t>
            </w:r>
          </w:p>
        </w:tc>
        <w:tc>
          <w:tcPr>
            <w:tcW w:w="300" w:type="dxa"/>
            <w:vAlign w:val="bottom"/>
          </w:tcPr>
          <w:p>
            <w:pPr>
              <w:spacing w:after="0"/>
              <w:rPr>
                <w:sz w:val="20"/>
                <w:szCs w:val="20"/>
                <w:color w:val="auto"/>
              </w:rPr>
            </w:pPr>
          </w:p>
        </w:tc>
      </w:tr>
      <w:tr>
        <w:trPr>
          <w:trHeight w:val="254"/>
        </w:trPr>
        <w:tc>
          <w:tcPr>
            <w:tcW w:w="6960" w:type="dxa"/>
            <w:vAlign w:val="bottom"/>
            <w:gridSpan w:val="4"/>
          </w:tcPr>
          <w:p>
            <w:pPr>
              <w:spacing w:after="0" w:line="196" w:lineRule="exact"/>
              <w:rPr>
                <w:sz w:val="20"/>
                <w:szCs w:val="20"/>
                <w:color w:val="auto"/>
              </w:rPr>
            </w:pPr>
            <w:r>
              <w:rPr>
                <w:rFonts w:ascii="Calibri" w:cs="Calibri" w:eastAsia="Calibri" w:hAnsi="Calibri"/>
                <w:sz w:val="16"/>
                <w:szCs w:val="16"/>
                <w:color w:val="auto"/>
              </w:rPr>
              <w:t xml:space="preserve">revised fnancial accountng standards provided pursuant to Secton 13(a) of the Exchange Act. </w:t>
            </w:r>
            <w:r>
              <w:rPr>
                <w:rFonts w:ascii="MS PGothic" w:cs="MS PGothic" w:eastAsia="MS PGothic" w:hAnsi="MS PGothic"/>
                <w:sz w:val="16"/>
                <w:szCs w:val="16"/>
                <w:color w:val="auto"/>
              </w:rPr>
              <w:t>☐</w:t>
            </w:r>
          </w:p>
        </w:tc>
        <w:tc>
          <w:tcPr>
            <w:tcW w:w="39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67"/>
        </w:trPr>
        <w:tc>
          <w:tcPr>
            <w:tcW w:w="10940" w:type="dxa"/>
            <w:vAlign w:val="bottom"/>
            <w:gridSpan w:val="5"/>
          </w:tcPr>
          <w:p>
            <w:pPr>
              <w:ind w:left="600"/>
              <w:spacing w:after="0" w:line="196"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tc>
        <w:tc>
          <w:tcPr>
            <w:tcW w:w="300" w:type="dxa"/>
            <w:vAlign w:val="bottom"/>
          </w:tcPr>
          <w:p>
            <w:pPr>
              <w:spacing w:after="0"/>
              <w:rPr>
                <w:sz w:val="23"/>
                <w:szCs w:val="23"/>
                <w:color w:val="auto"/>
              </w:rPr>
            </w:pPr>
          </w:p>
        </w:tc>
      </w:tr>
      <w:tr>
        <w:trPr>
          <w:trHeight w:val="193"/>
        </w:trPr>
        <w:tc>
          <w:tcPr>
            <w:tcW w:w="10940" w:type="dxa"/>
            <w:vAlign w:val="bottom"/>
            <w:gridSpan w:val="5"/>
          </w:tcPr>
          <w:p>
            <w:pPr>
              <w:ind w:left="600"/>
              <w:spacing w:after="0" w:line="193" w:lineRule="exact"/>
              <w:rPr>
                <w:sz w:val="20"/>
                <w:szCs w:val="20"/>
                <w:color w:val="auto"/>
              </w:rPr>
            </w:pPr>
            <w:r>
              <w:rPr>
                <w:rFonts w:ascii="Calibri" w:cs="Calibri" w:eastAsia="Calibri" w:hAnsi="Calibri"/>
                <w:sz w:val="16"/>
                <w:szCs w:val="16"/>
                <w:color w:val="auto"/>
              </w:rPr>
              <w:t>Indicate the number of shares outstanding of each of the issuer’s classes of Common Stock, as of the latest practcable date.</w:t>
            </w:r>
          </w:p>
        </w:tc>
        <w:tc>
          <w:tcPr>
            <w:tcW w:w="300" w:type="dxa"/>
            <w:vAlign w:val="bottom"/>
          </w:tcPr>
          <w:p>
            <w:pPr>
              <w:spacing w:after="0"/>
              <w:rPr>
                <w:sz w:val="16"/>
                <w:szCs w:val="16"/>
                <w:color w:val="auto"/>
              </w:rPr>
            </w:pPr>
          </w:p>
        </w:tc>
      </w:tr>
      <w:tr>
        <w:trPr>
          <w:trHeight w:val="291"/>
        </w:trPr>
        <w:tc>
          <w:tcPr>
            <w:tcW w:w="2000" w:type="dxa"/>
            <w:vAlign w:val="bottom"/>
          </w:tcPr>
          <w:p>
            <w:pPr>
              <w:spacing w:after="0"/>
              <w:rPr>
                <w:sz w:val="24"/>
                <w:szCs w:val="24"/>
                <w:color w:val="auto"/>
              </w:rPr>
            </w:pPr>
          </w:p>
        </w:tc>
        <w:tc>
          <w:tcPr>
            <w:tcW w:w="4960" w:type="dxa"/>
            <w:vAlign w:val="bottom"/>
            <w:gridSpan w:val="3"/>
          </w:tcPr>
          <w:p>
            <w:pPr>
              <w:jc w:val="center"/>
              <w:ind w:right="3420"/>
              <w:spacing w:after="0"/>
              <w:rPr>
                <w:sz w:val="20"/>
                <w:szCs w:val="20"/>
                <w:color w:val="auto"/>
              </w:rPr>
            </w:pPr>
            <w:r>
              <w:rPr>
                <w:rFonts w:ascii="Calibri" w:cs="Calibri" w:eastAsia="Calibri" w:hAnsi="Calibri"/>
                <w:sz w:val="14"/>
                <w:szCs w:val="14"/>
                <w:b w:val="1"/>
                <w:bCs w:val="1"/>
                <w:color w:val="auto"/>
              </w:rPr>
              <w:t>Class</w:t>
            </w:r>
          </w:p>
        </w:tc>
        <w:tc>
          <w:tcPr>
            <w:tcW w:w="3980" w:type="dxa"/>
            <w:vAlign w:val="bottom"/>
          </w:tcPr>
          <w:p>
            <w:pPr>
              <w:jc w:val="center"/>
              <w:ind w:right="841"/>
              <w:spacing w:after="0"/>
              <w:rPr>
                <w:sz w:val="20"/>
                <w:szCs w:val="20"/>
                <w:color w:val="auto"/>
              </w:rPr>
            </w:pPr>
            <w:r>
              <w:rPr>
                <w:rFonts w:ascii="Calibri" w:cs="Calibri" w:eastAsia="Calibri" w:hAnsi="Calibri"/>
                <w:sz w:val="14"/>
                <w:szCs w:val="14"/>
                <w:b w:val="1"/>
                <w:bCs w:val="1"/>
                <w:color w:val="auto"/>
              </w:rPr>
              <w:t>Outstanding as of April 28, 2022</w:t>
            </w:r>
          </w:p>
        </w:tc>
        <w:tc>
          <w:tcPr>
            <w:tcW w:w="300" w:type="dxa"/>
            <w:vAlign w:val="bottom"/>
          </w:tcPr>
          <w:p>
            <w:pPr>
              <w:spacing w:after="0"/>
              <w:rPr>
                <w:sz w:val="24"/>
                <w:szCs w:val="24"/>
                <w:color w:val="auto"/>
              </w:rPr>
            </w:pPr>
          </w:p>
        </w:tc>
      </w:tr>
      <w:tr>
        <w:trPr>
          <w:trHeight w:val="194"/>
        </w:trPr>
        <w:tc>
          <w:tcPr>
            <w:tcW w:w="5520" w:type="dxa"/>
            <w:vAlign w:val="bottom"/>
            <w:tcBorders>
              <w:top w:val="single" w:sz="8" w:color="auto"/>
            </w:tcBorders>
            <w:gridSpan w:val="2"/>
          </w:tcPr>
          <w:p>
            <w:pPr>
              <w:jc w:val="center"/>
              <w:spacing w:after="0" w:line="193" w:lineRule="exact"/>
              <w:rPr>
                <w:sz w:val="20"/>
                <w:szCs w:val="20"/>
                <w:color w:val="auto"/>
              </w:rPr>
            </w:pPr>
            <w:r>
              <w:rPr>
                <w:rFonts w:ascii="Calibri" w:cs="Calibri" w:eastAsia="Calibri" w:hAnsi="Calibri"/>
                <w:sz w:val="16"/>
                <w:szCs w:val="16"/>
                <w:color w:val="auto"/>
              </w:rPr>
              <w:t>Common Stock, $0.01 par value</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tcPr>
          <w:p>
            <w:pPr>
              <w:jc w:val="right"/>
              <w:ind w:right="2001"/>
              <w:spacing w:after="0" w:line="193" w:lineRule="exact"/>
              <w:rPr>
                <w:sz w:val="20"/>
                <w:szCs w:val="20"/>
                <w:color w:val="auto"/>
              </w:rPr>
            </w:pPr>
            <w:r>
              <w:rPr>
                <w:rFonts w:ascii="Calibri" w:cs="Calibri" w:eastAsia="Calibri" w:hAnsi="Calibri"/>
                <w:sz w:val="16"/>
                <w:szCs w:val="16"/>
                <w:color w:val="auto"/>
              </w:rPr>
              <w:t>62,365,483</w:t>
            </w:r>
          </w:p>
        </w:tc>
        <w:tc>
          <w:tcPr>
            <w:tcW w:w="300" w:type="dxa"/>
            <w:vAlign w:val="bottom"/>
            <w:tcBorders>
              <w:top w:val="single" w:sz="8" w:color="auto"/>
            </w:tcBorders>
          </w:tcPr>
          <w:p>
            <w:pPr>
              <w:spacing w:after="0"/>
              <w:rPr>
                <w:sz w:val="16"/>
                <w:szCs w:val="16"/>
                <w:color w:val="auto"/>
              </w:rPr>
            </w:pPr>
          </w:p>
        </w:tc>
      </w:tr>
      <w:tr>
        <w:trPr>
          <w:trHeight w:val="1150"/>
        </w:trPr>
        <w:tc>
          <w:tcPr>
            <w:tcW w:w="20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 w:name="page2"/>
    <w:bookmarkEnd w:id="1"/>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Page</w:t>
            </w:r>
          </w:p>
        </w:tc>
        <w:tc>
          <w:tcPr>
            <w:tcW w:w="0" w:type="dxa"/>
            <w:vAlign w:val="bottom"/>
          </w:tcPr>
          <w:p>
            <w:pPr>
              <w:spacing w:after="0"/>
              <w:rPr>
                <w:sz w:val="1"/>
                <w:szCs w:val="1"/>
                <w:color w:val="auto"/>
              </w:rPr>
            </w:pPr>
          </w:p>
        </w:tc>
      </w:tr>
      <w:tr>
        <w:trPr>
          <w:trHeight w:val="33"/>
        </w:trPr>
        <w:tc>
          <w:tcPr>
            <w:tcW w:w="10680" w:type="dxa"/>
            <w:vAlign w:val="bottom"/>
            <w:gridSpan w:val="17"/>
            <w:vMerge w:val="restart"/>
          </w:tcPr>
          <w:p>
            <w:pPr>
              <w:spacing w:after="0" w:line="243" w:lineRule="exact"/>
              <w:rPr>
                <w:sz w:val="20"/>
                <w:szCs w:val="20"/>
                <w:color w:val="auto"/>
              </w:rPr>
            </w:pPr>
            <w:r>
              <w:rPr>
                <w:rFonts w:ascii="Calibri" w:cs="Calibri" w:eastAsia="Calibri" w:hAnsi="Calibri"/>
                <w:sz w:val="20"/>
                <w:szCs w:val="20"/>
                <w:color w:val="auto"/>
              </w:rPr>
              <w:t>Part I. Financial Informaton:</w:t>
            </w: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680" w:type="dxa"/>
            <w:vAlign w:val="bottom"/>
            <w:gridSpan w:val="17"/>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20" w:type="dxa"/>
            <w:vAlign w:val="bottom"/>
          </w:tcPr>
          <w:p>
            <w:pPr>
              <w:spacing w:after="0"/>
              <w:rPr>
                <w:sz w:val="24"/>
                <w:szCs w:val="24"/>
                <w:color w:val="auto"/>
              </w:rPr>
            </w:pPr>
          </w:p>
        </w:tc>
        <w:tc>
          <w:tcPr>
            <w:tcW w:w="2340" w:type="dxa"/>
            <w:vAlign w:val="bottom"/>
            <w:tcBorders>
              <w:bottom w:val="single" w:sz="8" w:color="0000EE"/>
            </w:tcBorders>
            <w:gridSpan w:val="6"/>
          </w:tcPr>
          <w:p>
            <w:pPr>
              <w:spacing w:after="0"/>
              <w:rPr>
                <w:sz w:val="20"/>
                <w:szCs w:val="20"/>
                <w:color w:val="auto"/>
              </w:rPr>
            </w:pPr>
            <w:r>
              <w:rPr>
                <w:rFonts w:ascii="Calibri" w:cs="Calibri" w:eastAsia="Calibri" w:hAnsi="Calibri"/>
                <w:sz w:val="20"/>
                <w:szCs w:val="20"/>
                <w:color w:val="0000EE"/>
              </w:rPr>
              <w:t>Item 1. Financial Statements</w:t>
            </w:r>
          </w:p>
        </w:tc>
        <w:tc>
          <w:tcPr>
            <w:tcW w:w="812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5"/>
          </w:tcPr>
          <w:p>
            <w:pPr>
              <w:spacing w:after="0"/>
              <w:rPr>
                <w:sz w:val="20"/>
                <w:szCs w:val="20"/>
                <w:color w:val="auto"/>
              </w:rPr>
            </w:pPr>
            <w:r>
              <w:rPr>
                <w:rFonts w:ascii="Calibri" w:cs="Calibri" w:eastAsia="Calibri" w:hAnsi="Calibri"/>
                <w:sz w:val="20"/>
                <w:szCs w:val="20"/>
                <w:color w:val="0000EE"/>
              </w:rPr>
              <w:t>Consolidated Balance Sheets – March 31, 2022 and December 31, 2021</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sz w:val="20"/>
                <w:szCs w:val="20"/>
                <w:color w:val="auto"/>
              </w:rPr>
            </w:pPr>
            <w:r>
              <w:rPr>
                <w:rFonts w:ascii="Calibri" w:cs="Calibri" w:eastAsia="Calibri" w:hAnsi="Calibri"/>
                <w:sz w:val="20"/>
                <w:szCs w:val="20"/>
                <w:color w:val="0000EE"/>
              </w:rPr>
              <w:t>Consolidated Statements of Earnings and Comprehensive Earnings – Three Months Ended March 31, 2022 and 2021</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4</w:t>
            </w:r>
          </w:p>
        </w:tc>
        <w:tc>
          <w:tcPr>
            <w:tcW w:w="0" w:type="dxa"/>
            <w:vAlign w:val="bottom"/>
          </w:tcPr>
          <w:p>
            <w:pPr>
              <w:spacing w:after="0"/>
              <w:rPr>
                <w:sz w:val="1"/>
                <w:szCs w:val="1"/>
                <w:color w:val="auto"/>
              </w:rPr>
            </w:pPr>
          </w:p>
        </w:tc>
      </w:tr>
      <w:tr>
        <w:trPr>
          <w:trHeight w:val="34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tcBorders>
              <w:bottom w:val="single" w:sz="8" w:color="0000EE"/>
            </w:tcBorders>
            <w:gridSpan w:val="12"/>
          </w:tcPr>
          <w:p>
            <w:pPr>
              <w:spacing w:after="0"/>
              <w:rPr>
                <w:sz w:val="20"/>
                <w:szCs w:val="20"/>
                <w:color w:val="auto"/>
              </w:rPr>
            </w:pPr>
            <w:r>
              <w:rPr>
                <w:rFonts w:ascii="Calibri" w:cs="Calibri" w:eastAsia="Calibri" w:hAnsi="Calibri"/>
                <w:sz w:val="20"/>
                <w:szCs w:val="20"/>
                <w:color w:val="0000EE"/>
              </w:rPr>
              <w:t>Consolidated Statements of Cash Flows – Three Months Ended March 31, 2022 and 2021</w:t>
            </w:r>
          </w:p>
        </w:tc>
        <w:tc>
          <w:tcPr>
            <w:tcW w:w="29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5</w:t>
            </w:r>
          </w:p>
        </w:tc>
        <w:tc>
          <w:tcPr>
            <w:tcW w:w="0" w:type="dxa"/>
            <w:vAlign w:val="bottom"/>
          </w:tcPr>
          <w:p>
            <w:pPr>
              <w:spacing w:after="0"/>
              <w:rPr>
                <w:sz w:val="1"/>
                <w:szCs w:val="1"/>
                <w:color w:val="auto"/>
              </w:rPr>
            </w:pPr>
          </w:p>
        </w:tc>
      </w:tr>
      <w:tr>
        <w:trPr>
          <w:trHeight w:val="34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tcBorders>
              <w:bottom w:val="single" w:sz="8" w:color="0000EE"/>
            </w:tcBorders>
            <w:gridSpan w:val="11"/>
          </w:tcPr>
          <w:p>
            <w:pPr>
              <w:spacing w:after="0"/>
              <w:rPr>
                <w:sz w:val="20"/>
                <w:szCs w:val="20"/>
                <w:color w:val="auto"/>
              </w:rPr>
            </w:pPr>
            <w:r>
              <w:rPr>
                <w:rFonts w:ascii="Calibri" w:cs="Calibri" w:eastAsia="Calibri" w:hAnsi="Calibri"/>
                <w:sz w:val="20"/>
                <w:szCs w:val="20"/>
                <w:color w:val="0000EE"/>
              </w:rPr>
              <w:t>Consolidated Statement of Total Equity – Three Months Ended March 31, 2022 and 2021</w:t>
            </w:r>
          </w:p>
        </w:tc>
        <w:tc>
          <w:tcPr>
            <w:tcW w:w="29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6</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sz w:val="20"/>
                <w:szCs w:val="20"/>
                <w:color w:val="auto"/>
              </w:rPr>
            </w:pPr>
            <w:r>
              <w:rPr>
                <w:rFonts w:ascii="Calibri" w:cs="Calibri" w:eastAsia="Calibri" w:hAnsi="Calibri"/>
                <w:sz w:val="20"/>
                <w:szCs w:val="20"/>
                <w:color w:val="0000EE"/>
              </w:rPr>
              <w:t>Notes to Consolidated Financial Statements</w:t>
            </w:r>
          </w:p>
        </w:tc>
        <w:tc>
          <w:tcPr>
            <w:tcW w:w="66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7</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7820" w:type="dxa"/>
            <w:vAlign w:val="bottom"/>
            <w:tcBorders>
              <w:bottom w:val="single" w:sz="8" w:color="0000EE"/>
            </w:tcBorders>
            <w:gridSpan w:val="14"/>
          </w:tcPr>
          <w:p>
            <w:pPr>
              <w:spacing w:after="0"/>
              <w:rPr>
                <w:sz w:val="20"/>
                <w:szCs w:val="20"/>
                <w:color w:val="auto"/>
              </w:rPr>
            </w:pPr>
            <w:r>
              <w:rPr>
                <w:rFonts w:ascii="Calibri" w:cs="Calibri" w:eastAsia="Calibri" w:hAnsi="Calibri"/>
                <w:sz w:val="20"/>
                <w:szCs w:val="20"/>
                <w:color w:val="0000EE"/>
              </w:rPr>
              <w:t>Item 2. Management’s Discussion and Analysis of Financial Conditon and Results of Operatons</w:t>
            </w:r>
          </w:p>
        </w:tc>
        <w:tc>
          <w:tcPr>
            <w:tcW w:w="26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24</w:t>
            </w:r>
          </w:p>
        </w:tc>
        <w:tc>
          <w:tcPr>
            <w:tcW w:w="0" w:type="dxa"/>
            <w:vAlign w:val="bottom"/>
          </w:tcPr>
          <w:p>
            <w:pPr>
              <w:spacing w:after="0"/>
              <w:rPr>
                <w:sz w:val="1"/>
                <w:szCs w:val="1"/>
                <w:color w:val="auto"/>
              </w:rPr>
            </w:pPr>
          </w:p>
        </w:tc>
      </w:tr>
      <w:tr>
        <w:trPr>
          <w:trHeight w:val="344"/>
        </w:trPr>
        <w:tc>
          <w:tcPr>
            <w:tcW w:w="220" w:type="dxa"/>
            <w:vAlign w:val="bottom"/>
          </w:tcPr>
          <w:p>
            <w:pPr>
              <w:spacing w:after="0"/>
              <w:rPr>
                <w:sz w:val="24"/>
                <w:szCs w:val="24"/>
                <w:color w:val="auto"/>
              </w:rPr>
            </w:pPr>
          </w:p>
        </w:tc>
        <w:tc>
          <w:tcPr>
            <w:tcW w:w="5480" w:type="dxa"/>
            <w:vAlign w:val="bottom"/>
            <w:tcBorders>
              <w:bottom w:val="single" w:sz="8" w:color="0000EE"/>
            </w:tcBorders>
            <w:gridSpan w:val="9"/>
          </w:tcPr>
          <w:p>
            <w:pPr>
              <w:spacing w:after="0"/>
              <w:rPr>
                <w:sz w:val="20"/>
                <w:szCs w:val="20"/>
                <w:color w:val="auto"/>
              </w:rPr>
            </w:pPr>
            <w:r>
              <w:rPr>
                <w:rFonts w:ascii="Calibri" w:cs="Calibri" w:eastAsia="Calibri" w:hAnsi="Calibri"/>
                <w:sz w:val="20"/>
                <w:szCs w:val="20"/>
                <w:color w:val="0000EE"/>
              </w:rPr>
              <w:t>Item 3. Quanttatve and Qualitatve Disclosures About Market Risk</w:t>
            </w:r>
          </w:p>
        </w:tc>
        <w:tc>
          <w:tcPr>
            <w:tcW w:w="49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37</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10460" w:type="dxa"/>
            <w:vAlign w:val="bottom"/>
            <w:gridSpan w:val="16"/>
          </w:tcPr>
          <w:p>
            <w:pPr>
              <w:spacing w:after="0"/>
              <w:rPr>
                <w:sz w:val="20"/>
                <w:szCs w:val="20"/>
                <w:color w:val="auto"/>
              </w:rPr>
            </w:pPr>
            <w:r>
              <w:rPr>
                <w:rFonts w:ascii="Calibri" w:cs="Calibri" w:eastAsia="Calibri" w:hAnsi="Calibri"/>
                <w:sz w:val="20"/>
                <w:szCs w:val="20"/>
                <w:color w:val="0000EE"/>
              </w:rPr>
              <w:t>Item 4. Controls and Procedures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680" w:type="dxa"/>
            <w:vAlign w:val="bottom"/>
            <w:gridSpan w:val="17"/>
          </w:tcPr>
          <w:p>
            <w:pPr>
              <w:spacing w:after="0"/>
              <w:rPr>
                <w:sz w:val="20"/>
                <w:szCs w:val="20"/>
                <w:color w:val="auto"/>
              </w:rPr>
            </w:pPr>
            <w:r>
              <w:rPr>
                <w:rFonts w:ascii="Calibri" w:cs="Calibri" w:eastAsia="Calibri" w:hAnsi="Calibri"/>
                <w:sz w:val="20"/>
                <w:szCs w:val="20"/>
                <w:color w:val="auto"/>
              </w:rPr>
              <w:t>Part II. Other Informaton: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Calibri" w:cs="Calibri" w:eastAsia="Calibri" w:hAnsi="Calibri"/>
                <w:sz w:val="20"/>
                <w:szCs w:val="20"/>
                <w:color w:val="0000EE"/>
              </w:rPr>
              <w:t>Item 1.</w:t>
            </w:r>
          </w:p>
        </w:tc>
        <w:tc>
          <w:tcPr>
            <w:tcW w:w="1460" w:type="dxa"/>
            <w:vAlign w:val="bottom"/>
            <w:tcBorders>
              <w:bottom w:val="single" w:sz="8" w:color="0000EE"/>
            </w:tcBorders>
            <w:gridSpan w:val="3"/>
          </w:tcPr>
          <w:p>
            <w:pPr>
              <w:spacing w:after="0"/>
              <w:rPr>
                <w:sz w:val="20"/>
                <w:szCs w:val="20"/>
                <w:color w:val="auto"/>
              </w:rPr>
            </w:pPr>
            <w:r>
              <w:rPr>
                <w:rFonts w:ascii="Calibri" w:cs="Calibri" w:eastAsia="Calibri" w:hAnsi="Calibri"/>
                <w:sz w:val="20"/>
                <w:szCs w:val="20"/>
                <w:color w:val="0000EE"/>
                <w:w w:val="98"/>
              </w:rPr>
              <w:t>Legal Proceedings</w:t>
            </w:r>
          </w:p>
        </w:tc>
        <w:tc>
          <w:tcPr>
            <w:tcW w:w="836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10460" w:type="dxa"/>
            <w:vAlign w:val="bottom"/>
            <w:gridSpan w:val="16"/>
          </w:tcPr>
          <w:p>
            <w:pPr>
              <w:spacing w:after="0"/>
              <w:rPr>
                <w:sz w:val="20"/>
                <w:szCs w:val="20"/>
                <w:color w:val="auto"/>
              </w:rPr>
            </w:pPr>
            <w:r>
              <w:rPr>
                <w:rFonts w:ascii="Calibri" w:cs="Calibri" w:eastAsia="Calibri" w:hAnsi="Calibri"/>
                <w:sz w:val="20"/>
                <w:szCs w:val="20"/>
                <w:color w:val="0000EE"/>
              </w:rPr>
              <w:t>Item 1A. Risk Factors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Calibri" w:cs="Calibri" w:eastAsia="Calibri" w:hAnsi="Calibri"/>
                <w:sz w:val="20"/>
                <w:szCs w:val="20"/>
                <w:color w:val="0000EE"/>
              </w:rPr>
              <w:t>Item 2.</w:t>
            </w:r>
          </w:p>
        </w:tc>
        <w:tc>
          <w:tcPr>
            <w:tcW w:w="4860" w:type="dxa"/>
            <w:vAlign w:val="bottom"/>
            <w:tcBorders>
              <w:bottom w:val="single" w:sz="8" w:color="0000EE"/>
            </w:tcBorders>
            <w:gridSpan w:val="8"/>
          </w:tcPr>
          <w:p>
            <w:pPr>
              <w:spacing w:after="0"/>
              <w:rPr>
                <w:sz w:val="20"/>
                <w:szCs w:val="20"/>
                <w:color w:val="auto"/>
              </w:rPr>
            </w:pPr>
            <w:r>
              <w:rPr>
                <w:rFonts w:ascii="Calibri" w:cs="Calibri" w:eastAsia="Calibri" w:hAnsi="Calibri"/>
                <w:sz w:val="20"/>
                <w:szCs w:val="20"/>
                <w:color w:val="0000EE"/>
              </w:rPr>
              <w:t>Unregistered Sales of Equity Securites and Use of Proceeds</w:t>
            </w:r>
          </w:p>
        </w:tc>
        <w:tc>
          <w:tcPr>
            <w:tcW w:w="49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sz w:val="20"/>
                <w:szCs w:val="20"/>
                <w:color w:val="auto"/>
              </w:rPr>
            </w:pPr>
            <w:r>
              <w:rPr>
                <w:rFonts w:ascii="Calibri" w:cs="Calibri" w:eastAsia="Calibri" w:hAnsi="Calibri"/>
                <w:sz w:val="20"/>
                <w:szCs w:val="20"/>
                <w:color w:val="0000EE"/>
              </w:rPr>
              <w:t>Item 4.</w:t>
            </w:r>
          </w:p>
        </w:tc>
        <w:tc>
          <w:tcPr>
            <w:tcW w:w="2000" w:type="dxa"/>
            <w:vAlign w:val="bottom"/>
            <w:tcBorders>
              <w:bottom w:val="single" w:sz="8" w:color="0000EE"/>
            </w:tcBorders>
            <w:gridSpan w:val="5"/>
          </w:tcPr>
          <w:p>
            <w:pPr>
              <w:spacing w:after="0"/>
              <w:rPr>
                <w:sz w:val="20"/>
                <w:szCs w:val="20"/>
                <w:color w:val="auto"/>
              </w:rPr>
            </w:pPr>
            <w:r>
              <w:rPr>
                <w:rFonts w:ascii="Calibri" w:cs="Calibri" w:eastAsia="Calibri" w:hAnsi="Calibri"/>
                <w:sz w:val="20"/>
                <w:szCs w:val="20"/>
                <w:color w:val="0000EE"/>
              </w:rPr>
              <w:t>Mine Safety Disclosures</w:t>
            </w:r>
          </w:p>
        </w:tc>
        <w:tc>
          <w:tcPr>
            <w:tcW w:w="782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20"/>
                <w:szCs w:val="20"/>
                <w:color w:val="auto"/>
              </w:rPr>
              <w:t>39</w:t>
            </w:r>
          </w:p>
        </w:tc>
        <w:tc>
          <w:tcPr>
            <w:tcW w:w="0" w:type="dxa"/>
            <w:vAlign w:val="bottom"/>
          </w:tcPr>
          <w:p>
            <w:pPr>
              <w:spacing w:after="0"/>
              <w:rPr>
                <w:sz w:val="1"/>
                <w:szCs w:val="1"/>
                <w:color w:val="auto"/>
              </w:rPr>
            </w:pPr>
          </w:p>
        </w:tc>
      </w:tr>
      <w:tr>
        <w:trPr>
          <w:trHeight w:val="344"/>
        </w:trPr>
        <w:tc>
          <w:tcPr>
            <w:tcW w:w="2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Calibri" w:cs="Calibri" w:eastAsia="Calibri" w:hAnsi="Calibri"/>
                <w:sz w:val="20"/>
                <w:szCs w:val="20"/>
                <w:color w:val="0000EE"/>
              </w:rPr>
              <w:t>Item 6.</w:t>
            </w:r>
          </w:p>
        </w:tc>
        <w:tc>
          <w:tcPr>
            <w:tcW w:w="9820" w:type="dxa"/>
            <w:vAlign w:val="bottom"/>
            <w:gridSpan w:val="14"/>
          </w:tcPr>
          <w:p>
            <w:pPr>
              <w:spacing w:after="0"/>
              <w:rPr>
                <w:sz w:val="20"/>
                <w:szCs w:val="20"/>
                <w:color w:val="auto"/>
              </w:rPr>
            </w:pPr>
            <w:r>
              <w:rPr>
                <w:rFonts w:ascii="Calibri" w:cs="Calibri" w:eastAsia="Calibri" w:hAnsi="Calibri"/>
                <w:sz w:val="20"/>
                <w:szCs w:val="20"/>
                <w:color w:val="0000EE"/>
              </w:rPr>
              <w:t>Exhibits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40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80" w:type="dxa"/>
            <w:vAlign w:val="bottom"/>
            <w:gridSpan w:val="17"/>
          </w:tcPr>
          <w:p>
            <w:pPr>
              <w:spacing w:after="0"/>
              <w:rPr>
                <w:sz w:val="20"/>
                <w:szCs w:val="20"/>
                <w:color w:val="auto"/>
              </w:rPr>
            </w:pPr>
            <w:r>
              <w:rPr>
                <w:rFonts w:ascii="Calibri" w:cs="Calibri" w:eastAsia="Calibri" w:hAnsi="Calibri"/>
                <w:sz w:val="20"/>
                <w:szCs w:val="20"/>
                <w:color w:val="0000EE"/>
              </w:rPr>
              <w:t>Signatures</w:t>
            </w:r>
          </w:p>
        </w:tc>
        <w:tc>
          <w:tcPr>
            <w:tcW w:w="560" w:type="dxa"/>
            <w:vAlign w:val="bottom"/>
          </w:tcPr>
          <w:p>
            <w:pPr>
              <w:jc w:val="right"/>
              <w:spacing w:after="0"/>
              <w:rPr>
                <w:sz w:val="20"/>
                <w:szCs w:val="20"/>
                <w:color w:val="auto"/>
              </w:rPr>
            </w:pPr>
            <w:r>
              <w:rPr>
                <w:rFonts w:ascii="Calibri" w:cs="Calibri" w:eastAsia="Calibri" w:hAnsi="Calibri"/>
                <w:sz w:val="20"/>
                <w:szCs w:val="20"/>
                <w:color w:val="auto"/>
              </w:rPr>
              <w:t>41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 w:name="page3"/>
    <w:bookmarkEnd w:id="2"/>
    <w:p>
      <w:pPr>
        <w:jc w:val="center"/>
        <w:ind w:right="-99"/>
        <w:spacing w:after="0"/>
        <w:rPr>
          <w:sz w:val="20"/>
          <w:szCs w:val="20"/>
          <w:color w:val="auto"/>
        </w:rPr>
      </w:pPr>
      <w:r>
        <w:rPr>
          <w:rFonts w:ascii="Calibri" w:cs="Calibri" w:eastAsia="Calibri" w:hAnsi="Calibri"/>
          <w:sz w:val="18"/>
          <w:szCs w:val="18"/>
          <w:color w:val="auto"/>
        </w:rPr>
        <w:t>PART I. FINANCIAL INFORMATION</w:t>
      </w:r>
    </w:p>
    <w:p>
      <w:pPr>
        <w:spacing w:after="0" w:line="235" w:lineRule="auto"/>
        <w:rPr>
          <w:sz w:val="20"/>
          <w:szCs w:val="20"/>
          <w:color w:val="auto"/>
        </w:rPr>
      </w:pPr>
      <w:r>
        <w:rPr>
          <w:rFonts w:ascii="Calibri" w:cs="Calibri" w:eastAsia="Calibri" w:hAnsi="Calibri"/>
          <w:sz w:val="18"/>
          <w:szCs w:val="18"/>
          <w:color w:val="auto"/>
        </w:rPr>
        <w:t>Item 1. Financial Statements.</w:t>
      </w:r>
    </w:p>
    <w:p>
      <w:pPr>
        <w:jc w:val="center"/>
        <w:ind w:right="-99"/>
        <w:spacing w:after="0" w:line="236" w:lineRule="auto"/>
        <w:rPr>
          <w:sz w:val="20"/>
          <w:szCs w:val="20"/>
          <w:color w:val="auto"/>
        </w:rPr>
      </w:pPr>
      <w:r>
        <w:rPr>
          <w:rFonts w:ascii="Calibri" w:cs="Calibri" w:eastAsia="Calibri" w:hAnsi="Calibri"/>
          <w:sz w:val="18"/>
          <w:szCs w:val="18"/>
          <w:color w:val="auto"/>
        </w:rPr>
        <w:t>MARTIN MARIETTA MATERIALS, INC. AND CONSOLIDATED SUBSIDIARIES</w:t>
      </w:r>
    </w:p>
    <w:p>
      <w:pPr>
        <w:jc w:val="center"/>
        <w:ind w:right="-79"/>
        <w:spacing w:after="0" w:line="236" w:lineRule="auto"/>
        <w:rPr>
          <w:sz w:val="20"/>
          <w:szCs w:val="20"/>
          <w:color w:val="auto"/>
        </w:rPr>
      </w:pPr>
      <w:r>
        <w:rPr>
          <w:rFonts w:ascii="Calibri" w:cs="Calibri" w:eastAsia="Calibri" w:hAnsi="Calibri"/>
          <w:sz w:val="18"/>
          <w:szCs w:val="18"/>
          <w:color w:val="auto"/>
        </w:rPr>
        <w:t>(UNAUDITED) 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800"/>
              <w:spacing w:after="0"/>
              <w:rPr>
                <w:sz w:val="20"/>
                <w:szCs w:val="20"/>
                <w:color w:val="auto"/>
              </w:rPr>
            </w:pPr>
            <w:r>
              <w:rPr>
                <w:rFonts w:ascii="Calibri" w:cs="Calibri" w:eastAsia="Calibri" w:hAnsi="Calibri"/>
                <w:sz w:val="16"/>
                <w:szCs w:val="16"/>
                <w:color w:val="auto"/>
              </w:rPr>
              <w:t>March 31,</w:t>
            </w:r>
          </w:p>
        </w:tc>
        <w:tc>
          <w:tcPr>
            <w:tcW w:w="240" w:type="dxa"/>
            <w:vAlign w:val="bottom"/>
          </w:tcPr>
          <w:p>
            <w:pPr>
              <w:spacing w:after="0"/>
              <w:rPr>
                <w:sz w:val="16"/>
                <w:szCs w:val="16"/>
                <w:color w:val="auto"/>
              </w:rPr>
            </w:pPr>
          </w:p>
        </w:tc>
        <w:tc>
          <w:tcPr>
            <w:tcW w:w="1580" w:type="dxa"/>
            <w:vAlign w:val="bottom"/>
            <w:gridSpan w:val="2"/>
          </w:tcPr>
          <w:p>
            <w:pPr>
              <w:jc w:val="right"/>
              <w:ind w:right="500"/>
              <w:spacing w:after="0"/>
              <w:rPr>
                <w:sz w:val="20"/>
                <w:szCs w:val="20"/>
                <w:color w:val="auto"/>
              </w:rPr>
            </w:pPr>
            <w:r>
              <w:rPr>
                <w:rFonts w:ascii="Calibri" w:cs="Calibri" w:eastAsia="Calibri" w:hAnsi="Calibri"/>
                <w:sz w:val="16"/>
                <w:szCs w:val="16"/>
                <w:color w:val="auto"/>
              </w:rPr>
              <w:t>December 31,</w:t>
            </w:r>
          </w:p>
        </w:tc>
      </w:tr>
      <w:tr>
        <w:trPr>
          <w:trHeight w:val="216"/>
        </w:trPr>
        <w:tc>
          <w:tcPr>
            <w:tcW w:w="5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599"/>
              <w:spacing w:after="0"/>
              <w:rPr>
                <w:sz w:val="20"/>
                <w:szCs w:val="20"/>
                <w:color w:val="auto"/>
              </w:rPr>
            </w:pPr>
            <w:r>
              <w:rPr>
                <w:rFonts w:ascii="Calibri" w:cs="Calibri" w:eastAsia="Calibri" w:hAnsi="Calibri"/>
                <w:sz w:val="16"/>
                <w:szCs w:val="16"/>
                <w:color w:val="auto"/>
              </w:rPr>
              <w:t>2022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Calibri" w:cs="Calibri" w:eastAsia="Calibri" w:hAnsi="Calibri"/>
                <w:sz w:val="16"/>
                <w:szCs w:val="16"/>
                <w:color w:val="auto"/>
              </w:rPr>
              <w:t>2021</w:t>
            </w:r>
          </w:p>
        </w:tc>
        <w:tc>
          <w:tcPr>
            <w:tcW w:w="100" w:type="dxa"/>
            <w:vAlign w:val="bottom"/>
          </w:tcPr>
          <w:p>
            <w:pPr>
              <w:spacing w:after="0"/>
              <w:rPr>
                <w:sz w:val="18"/>
                <w:szCs w:val="18"/>
                <w:color w:val="auto"/>
              </w:rPr>
            </w:pPr>
          </w:p>
        </w:tc>
      </w:tr>
      <w:tr>
        <w:trPr>
          <w:trHeight w:val="28"/>
        </w:trPr>
        <w:tc>
          <w:tcPr>
            <w:tcW w:w="5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500" w:type="dxa"/>
            <w:vAlign w:val="bottom"/>
            <w:gridSpan w:val="5"/>
          </w:tcPr>
          <w:p>
            <w:pPr>
              <w:spacing w:after="0"/>
              <w:rPr>
                <w:sz w:val="2"/>
                <w:szCs w:val="2"/>
                <w:color w:val="auto"/>
              </w:rPr>
            </w:pPr>
          </w:p>
        </w:tc>
      </w:tr>
      <w:tr>
        <w:trPr>
          <w:trHeight w:val="187"/>
        </w:trPr>
        <w:tc>
          <w:tcPr>
            <w:tcW w:w="5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gridSpan w:val="4"/>
          </w:tcPr>
          <w:p>
            <w:pPr>
              <w:jc w:val="right"/>
              <w:ind w:right="639"/>
              <w:spacing w:after="0" w:line="187" w:lineRule="exact"/>
              <w:rPr>
                <w:sz w:val="20"/>
                <w:szCs w:val="20"/>
                <w:color w:val="auto"/>
              </w:rPr>
            </w:pPr>
            <w:r>
              <w:rPr>
                <w:rFonts w:ascii="Calibri" w:cs="Calibri" w:eastAsia="Calibri" w:hAnsi="Calibri"/>
                <w:sz w:val="16"/>
                <w:szCs w:val="16"/>
                <w:i w:val="1"/>
                <w:iCs w:val="1"/>
                <w:color w:val="auto"/>
              </w:rPr>
              <w:t>(In Millions, Except Par Value Data)</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rPr>
              <w:t>ASSETS</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Current Assets: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Cash and cash equivalents</w:t>
            </w:r>
          </w:p>
        </w:tc>
        <w:tc>
          <w:tcPr>
            <w:tcW w:w="2080" w:type="dxa"/>
            <w:vAlign w:val="bottom"/>
            <w:tcBorders>
              <w:bottom w:val="single" w:sz="8" w:color="CFF0FC"/>
            </w:tcBorders>
            <w:gridSpan w:val="2"/>
            <w:shd w:val="clear" w:color="auto" w:fill="CFF0FC"/>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189.6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Restricted cash</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28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0.5</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Accounts receivable, net</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759.2</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774.0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Inventories, net</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782.4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752.6</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Current assets held for sale</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121.2</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Other current assets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135.1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137.9</w:t>
            </w:r>
          </w:p>
        </w:tc>
        <w:tc>
          <w:tcPr>
            <w:tcW w:w="100" w:type="dxa"/>
            <w:vAlign w:val="bottom"/>
          </w:tcPr>
          <w:p>
            <w:pPr>
              <w:spacing w:after="0"/>
              <w:rPr>
                <w:sz w:val="16"/>
                <w:szCs w:val="16"/>
                <w:color w:val="auto"/>
              </w:rPr>
            </w:pPr>
          </w:p>
        </w:tc>
      </w:tr>
      <w:tr>
        <w:trPr>
          <w:trHeight w:val="23"/>
        </w:trPr>
        <w:tc>
          <w:tcPr>
            <w:tcW w:w="5580" w:type="dxa"/>
            <w:vAlign w:val="bottom"/>
            <w:tcBorders>
              <w:bottom w:val="single" w:sz="8" w:color="CFF0FC"/>
            </w:tcBorders>
          </w:tcPr>
          <w:p>
            <w:pPr>
              <w:spacing w:after="0" w:line="20" w:lineRule="exact"/>
              <w:rPr>
                <w:sz w:val="1"/>
                <w:szCs w:val="1"/>
                <w:color w:val="auto"/>
              </w:rPr>
            </w:pPr>
          </w:p>
        </w:tc>
        <w:tc>
          <w:tcPr>
            <w:tcW w:w="17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0"/>
        </w:trPr>
        <w:tc>
          <w:tcPr>
            <w:tcW w:w="5580" w:type="dxa"/>
            <w:vAlign w:val="bottom"/>
            <w:tcBorders>
              <w:bottom w:val="single" w:sz="8" w:color="CFF0FC"/>
            </w:tcBorders>
            <w:shd w:val="clear" w:color="auto" w:fill="CFF0FC"/>
          </w:tcPr>
          <w:p>
            <w:pPr>
              <w:ind w:left="260"/>
              <w:spacing w:after="0" w:line="182" w:lineRule="exact"/>
              <w:rPr>
                <w:sz w:val="20"/>
                <w:szCs w:val="20"/>
                <w:color w:val="auto"/>
              </w:rPr>
            </w:pPr>
            <w:r>
              <w:rPr>
                <w:rFonts w:ascii="Calibri" w:cs="Calibri" w:eastAsia="Calibri" w:hAnsi="Calibri"/>
                <w:sz w:val="16"/>
                <w:szCs w:val="16"/>
                <w:color w:val="auto"/>
              </w:rPr>
              <w:t>Total Current Assets</w:t>
            </w: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1,987.5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2,025.6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Property, plant and equipment</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10,252.0</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10,370.0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Allowances for depreciaton, depleton and amortzaton</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220"/>
              <w:spacing w:after="0" w:line="193" w:lineRule="exact"/>
              <w:rPr>
                <w:sz w:val="20"/>
                <w:szCs w:val="20"/>
                <w:color w:val="auto"/>
              </w:rPr>
            </w:pPr>
            <w:r>
              <w:rPr>
                <w:rFonts w:ascii="Calibri" w:cs="Calibri" w:eastAsia="Calibri" w:hAnsi="Calibri"/>
                <w:sz w:val="16"/>
                <w:szCs w:val="16"/>
                <w:color w:val="auto"/>
              </w:rPr>
              <w:t>(4,043.1)</w:t>
            </w:r>
          </w:p>
        </w:tc>
        <w:tc>
          <w:tcPr>
            <w:tcW w:w="240" w:type="dxa"/>
            <w:vAlign w:val="bottom"/>
          </w:tcPr>
          <w:p>
            <w:pPr>
              <w:spacing w:after="0"/>
              <w:rPr>
                <w:sz w:val="16"/>
                <w:szCs w:val="16"/>
                <w:color w:val="auto"/>
              </w:rPr>
            </w:pPr>
          </w:p>
        </w:tc>
        <w:tc>
          <w:tcPr>
            <w:tcW w:w="1580" w:type="dxa"/>
            <w:vAlign w:val="bottom"/>
            <w:gridSpan w:val="2"/>
          </w:tcPr>
          <w:p>
            <w:pPr>
              <w:jc w:val="right"/>
              <w:ind w:right="60"/>
              <w:spacing w:after="0" w:line="193" w:lineRule="exact"/>
              <w:rPr>
                <w:sz w:val="20"/>
                <w:szCs w:val="20"/>
                <w:color w:val="auto"/>
              </w:rPr>
            </w:pPr>
            <w:r>
              <w:rPr>
                <w:rFonts w:ascii="Calibri" w:cs="Calibri" w:eastAsia="Calibri" w:hAnsi="Calibri"/>
                <w:sz w:val="16"/>
                <w:szCs w:val="16"/>
                <w:color w:val="auto"/>
              </w:rPr>
              <w:t>(4,032.0)</w:t>
            </w:r>
          </w:p>
        </w:tc>
      </w:tr>
      <w:tr>
        <w:trPr>
          <w:trHeight w:val="23"/>
        </w:trPr>
        <w:tc>
          <w:tcPr>
            <w:tcW w:w="5580" w:type="dxa"/>
            <w:vAlign w:val="bottom"/>
            <w:tcBorders>
              <w:bottom w:val="single" w:sz="8" w:color="CFF0FC"/>
            </w:tcBorders>
          </w:tcPr>
          <w:p>
            <w:pPr>
              <w:spacing w:after="0" w:line="20" w:lineRule="exact"/>
              <w:rPr>
                <w:sz w:val="1"/>
                <w:szCs w:val="1"/>
                <w:color w:val="auto"/>
              </w:rPr>
            </w:pPr>
          </w:p>
        </w:tc>
        <w:tc>
          <w:tcPr>
            <w:tcW w:w="17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0"/>
        </w:trPr>
        <w:tc>
          <w:tcPr>
            <w:tcW w:w="5580" w:type="dxa"/>
            <w:vAlign w:val="bottom"/>
            <w:tcBorders>
              <w:bottom w:val="single" w:sz="8" w:color="CFF0FC"/>
            </w:tcBorders>
            <w:shd w:val="clear" w:color="auto" w:fill="CFF0FC"/>
          </w:tcPr>
          <w:p>
            <w:pPr>
              <w:spacing w:after="0" w:line="182" w:lineRule="exact"/>
              <w:rPr>
                <w:sz w:val="20"/>
                <w:szCs w:val="20"/>
                <w:color w:val="auto"/>
              </w:rPr>
            </w:pPr>
            <w:r>
              <w:rPr>
                <w:rFonts w:ascii="Calibri" w:cs="Calibri" w:eastAsia="Calibri" w:hAnsi="Calibri"/>
                <w:sz w:val="16"/>
                <w:szCs w:val="16"/>
                <w:color w:val="auto"/>
              </w:rPr>
              <w:t>Net property, plant and equipment</w:t>
            </w:r>
          </w:p>
        </w:tc>
        <w:tc>
          <w:tcPr>
            <w:tcW w:w="17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6,208.9</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6,338.0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Goodwill</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3,392.0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3,494.4</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Other intangibles, net</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1,050.7</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1,065.0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Operatng lease right-of-use assets, net</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410.7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426.7</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Noncurrent assets held for sale</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812.9</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616.9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Other noncurrent assets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378.8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426.4</w:t>
            </w:r>
          </w:p>
        </w:tc>
        <w:tc>
          <w:tcPr>
            <w:tcW w:w="100" w:type="dxa"/>
            <w:vAlign w:val="bottom"/>
          </w:tcPr>
          <w:p>
            <w:pPr>
              <w:spacing w:after="0"/>
              <w:rPr>
                <w:sz w:val="16"/>
                <w:szCs w:val="16"/>
                <w:color w:val="auto"/>
              </w:rPr>
            </w:pPr>
          </w:p>
        </w:tc>
      </w:tr>
      <w:tr>
        <w:trPr>
          <w:trHeight w:val="23"/>
        </w:trPr>
        <w:tc>
          <w:tcPr>
            <w:tcW w:w="5580" w:type="dxa"/>
            <w:vAlign w:val="bottom"/>
            <w:tcBorders>
              <w:bottom w:val="single" w:sz="8" w:color="CFF0FC"/>
            </w:tcBorders>
          </w:tcPr>
          <w:p>
            <w:pPr>
              <w:spacing w:after="0" w:line="20" w:lineRule="exact"/>
              <w:rPr>
                <w:sz w:val="1"/>
                <w:szCs w:val="1"/>
                <w:color w:val="auto"/>
              </w:rPr>
            </w:pPr>
          </w:p>
        </w:tc>
        <w:tc>
          <w:tcPr>
            <w:tcW w:w="17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4"/>
        </w:trPr>
        <w:tc>
          <w:tcPr>
            <w:tcW w:w="5580" w:type="dxa"/>
            <w:vAlign w:val="bottom"/>
            <w:tcBorders>
              <w:bottom w:val="single" w:sz="8" w:color="CFF0FC"/>
            </w:tcBorders>
            <w:shd w:val="clear" w:color="auto" w:fill="CFF0FC"/>
          </w:tcPr>
          <w:p>
            <w:pPr>
              <w:ind w:left="260"/>
              <w:spacing w:after="0" w:line="182" w:lineRule="exact"/>
              <w:rPr>
                <w:sz w:val="20"/>
                <w:szCs w:val="20"/>
                <w:color w:val="auto"/>
              </w:rPr>
            </w:pPr>
            <w:r>
              <w:rPr>
                <w:rFonts w:ascii="Calibri" w:cs="Calibri" w:eastAsia="Calibri" w:hAnsi="Calibri"/>
                <w:sz w:val="16"/>
                <w:szCs w:val="16"/>
                <w:color w:val="auto"/>
              </w:rPr>
              <w:t>Total Assets</w:t>
            </w: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139"/>
              <w:spacing w:after="0" w:line="187" w:lineRule="exact"/>
              <w:rPr>
                <w:sz w:val="20"/>
                <w:szCs w:val="20"/>
                <w:color w:val="auto"/>
              </w:rPr>
            </w:pPr>
            <w:r>
              <w:rPr>
                <w:rFonts w:ascii="Calibri" w:cs="Calibri" w:eastAsia="Calibri" w:hAnsi="Calibri"/>
                <w:sz w:val="16"/>
                <w:szCs w:val="16"/>
                <w:color w:val="auto"/>
                <w:w w:val="73"/>
              </w:rPr>
              <w:t>$</w:t>
            </w:r>
          </w:p>
        </w:tc>
        <w:tc>
          <w:tcPr>
            <w:tcW w:w="14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14,241.5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14,393.0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5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5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b w:val="1"/>
                <w:bCs w:val="1"/>
                <w:color w:val="auto"/>
              </w:rPr>
              <w:t>LIABILITIES AND EQUITY</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Current Liabilites: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Accounts payable</w:t>
            </w:r>
          </w:p>
        </w:tc>
        <w:tc>
          <w:tcPr>
            <w:tcW w:w="2080" w:type="dxa"/>
            <w:vAlign w:val="bottom"/>
            <w:tcBorders>
              <w:bottom w:val="single" w:sz="8" w:color="CFF0FC"/>
            </w:tcBorders>
            <w:gridSpan w:val="2"/>
            <w:shd w:val="clear" w:color="auto" w:fill="CFF0FC"/>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383.8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356.2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Accrued salaries, benefts and payroll taxes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43.1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86.6</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Accrued other taxes</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46.6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4"/>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Accrued interest</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41.5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48.0</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Operatng lease liabilites</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53.8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4"/>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Current liabilites held for sale</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9.3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7.5</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Other current liabilites</w:t>
            </w: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134.8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142.0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87"/>
        </w:trPr>
        <w:tc>
          <w:tcPr>
            <w:tcW w:w="5580" w:type="dxa"/>
            <w:vAlign w:val="bottom"/>
          </w:tcPr>
          <w:p>
            <w:pPr>
              <w:ind w:left="260"/>
              <w:spacing w:after="0" w:line="182" w:lineRule="exact"/>
              <w:rPr>
                <w:sz w:val="20"/>
                <w:szCs w:val="20"/>
                <w:color w:val="auto"/>
              </w:rPr>
            </w:pPr>
            <w:r>
              <w:rPr>
                <w:rFonts w:ascii="Calibri" w:cs="Calibri" w:eastAsia="Calibri" w:hAnsi="Calibri"/>
                <w:sz w:val="16"/>
                <w:szCs w:val="16"/>
                <w:color w:val="auto"/>
              </w:rPr>
              <w:t>Total Current Liabilites</w:t>
            </w:r>
          </w:p>
        </w:tc>
        <w:tc>
          <w:tcPr>
            <w:tcW w:w="1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712.9</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752.6</w:t>
            </w:r>
          </w:p>
        </w:tc>
        <w:tc>
          <w:tcPr>
            <w:tcW w:w="100" w:type="dxa"/>
            <w:vAlign w:val="bottom"/>
          </w:tcPr>
          <w:p>
            <w:pPr>
              <w:spacing w:after="0"/>
              <w:rPr>
                <w:sz w:val="16"/>
                <w:szCs w:val="16"/>
                <w:color w:val="auto"/>
              </w:rPr>
            </w:pPr>
          </w:p>
        </w:tc>
      </w:tr>
      <w:tr>
        <w:trPr>
          <w:trHeight w:val="23"/>
        </w:trPr>
        <w:tc>
          <w:tcPr>
            <w:tcW w:w="5580" w:type="dxa"/>
            <w:vAlign w:val="bottom"/>
            <w:tcBorders>
              <w:bottom w:val="single" w:sz="8" w:color="CFF0FC"/>
            </w:tcBorders>
          </w:tcPr>
          <w:p>
            <w:pPr>
              <w:spacing w:after="0" w:line="20" w:lineRule="exact"/>
              <w:rPr>
                <w:sz w:val="1"/>
                <w:szCs w:val="1"/>
                <w:color w:val="auto"/>
              </w:rPr>
            </w:pPr>
          </w:p>
        </w:tc>
        <w:tc>
          <w:tcPr>
            <w:tcW w:w="17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09"/>
        </w:trPr>
        <w:tc>
          <w:tcPr>
            <w:tcW w:w="55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Long-term debt</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5,102.3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5,100.8</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Deferred income taxes, net</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890.0</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895.3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Noncurrent operatng lease liabilites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362.1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379.4</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Noncurrent liabilites held for sale</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63.9</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Other noncurrent liabilites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679.2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673.8</w:t>
            </w:r>
          </w:p>
        </w:tc>
        <w:tc>
          <w:tcPr>
            <w:tcW w:w="100" w:type="dxa"/>
            <w:vAlign w:val="bottom"/>
          </w:tcPr>
          <w:p>
            <w:pPr>
              <w:spacing w:after="0"/>
              <w:rPr>
                <w:sz w:val="16"/>
                <w:szCs w:val="16"/>
                <w:color w:val="auto"/>
              </w:rPr>
            </w:pPr>
          </w:p>
        </w:tc>
      </w:tr>
      <w:tr>
        <w:trPr>
          <w:trHeight w:val="23"/>
        </w:trPr>
        <w:tc>
          <w:tcPr>
            <w:tcW w:w="5580" w:type="dxa"/>
            <w:vAlign w:val="bottom"/>
            <w:tcBorders>
              <w:bottom w:val="single" w:sz="8" w:color="CFF0FC"/>
            </w:tcBorders>
          </w:tcPr>
          <w:p>
            <w:pPr>
              <w:spacing w:after="0" w:line="20" w:lineRule="exact"/>
              <w:rPr>
                <w:sz w:val="1"/>
                <w:szCs w:val="1"/>
                <w:color w:val="auto"/>
              </w:rPr>
            </w:pPr>
          </w:p>
        </w:tc>
        <w:tc>
          <w:tcPr>
            <w:tcW w:w="17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0"/>
        </w:trPr>
        <w:tc>
          <w:tcPr>
            <w:tcW w:w="5580" w:type="dxa"/>
            <w:vAlign w:val="bottom"/>
            <w:tcBorders>
              <w:bottom w:val="single" w:sz="8" w:color="CFF0FC"/>
            </w:tcBorders>
            <w:shd w:val="clear" w:color="auto" w:fill="CFF0FC"/>
          </w:tcPr>
          <w:p>
            <w:pPr>
              <w:ind w:left="260"/>
              <w:spacing w:after="0" w:line="182" w:lineRule="exact"/>
              <w:rPr>
                <w:sz w:val="20"/>
                <w:szCs w:val="20"/>
                <w:color w:val="auto"/>
              </w:rPr>
            </w:pPr>
            <w:r>
              <w:rPr>
                <w:rFonts w:ascii="Calibri" w:cs="Calibri" w:eastAsia="Calibri" w:hAnsi="Calibri"/>
                <w:sz w:val="16"/>
                <w:szCs w:val="16"/>
                <w:color w:val="auto"/>
              </w:rPr>
              <w:t>Total Liabilites</w:t>
            </w: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7,810.4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7,855.4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Equity:</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Common stock, par value $0.01 per share (62.4 shares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580" w:type="dxa"/>
            <w:vAlign w:val="bottom"/>
          </w:tcPr>
          <w:p>
            <w:pPr>
              <w:ind w:left="120"/>
              <w:spacing w:after="0"/>
              <w:rPr>
                <w:sz w:val="20"/>
                <w:szCs w:val="20"/>
                <w:color w:val="auto"/>
              </w:rPr>
            </w:pPr>
            <w:r>
              <w:rPr>
                <w:rFonts w:ascii="Calibri" w:cs="Calibri" w:eastAsia="Calibri" w:hAnsi="Calibri"/>
                <w:sz w:val="16"/>
                <w:szCs w:val="16"/>
                <w:color w:val="auto"/>
              </w:rPr>
              <w:t>outstanding at March 31, 2022 and December 31, 2021)</w:t>
            </w: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Calibri" w:cs="Calibri" w:eastAsia="Calibri" w:hAnsi="Calibri"/>
                <w:sz w:val="16"/>
                <w:szCs w:val="16"/>
                <w:color w:val="auto"/>
              </w:rPr>
              <w:t>0.6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alibri" w:cs="Calibri" w:eastAsia="Calibri" w:hAnsi="Calibri"/>
                <w:sz w:val="16"/>
                <w:szCs w:val="16"/>
                <w:color w:val="auto"/>
              </w:rPr>
              <w:t>0.6</w:t>
            </w:r>
          </w:p>
        </w:tc>
        <w:tc>
          <w:tcPr>
            <w:tcW w:w="100" w:type="dxa"/>
            <w:vAlign w:val="bottom"/>
          </w:tcPr>
          <w:p>
            <w:pPr>
              <w:spacing w:after="0"/>
              <w:rPr>
                <w:sz w:val="17"/>
                <w:szCs w:val="17"/>
                <w:color w:val="auto"/>
              </w:rPr>
            </w:pPr>
          </w:p>
        </w:tc>
      </w:tr>
      <w:tr>
        <w:trPr>
          <w:trHeight w:val="28"/>
        </w:trPr>
        <w:tc>
          <w:tcPr>
            <w:tcW w:w="5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Preferred stock, par value $0.01 per share</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CFF0FC"/>
            </w:tcBorders>
            <w:gridSpan w:val="2"/>
            <w:shd w:val="clear" w:color="auto" w:fill="CFF0FC"/>
          </w:tcPr>
          <w:p>
            <w:pPr>
              <w:jc w:val="right"/>
              <w:ind w:right="28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Additonal paid-in capital</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3,462.6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3,470.4</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80" w:type="dxa"/>
            <w:vAlign w:val="bottom"/>
            <w:tcBorders>
              <w:bottom w:val="single" w:sz="8" w:color="CFF0FC"/>
            </w:tcBorders>
            <w:shd w:val="clear" w:color="auto" w:fill="CFF0FC"/>
          </w:tcPr>
          <w:p>
            <w:pPr>
              <w:spacing w:after="0" w:line="193" w:lineRule="exact"/>
              <w:rPr>
                <w:sz w:val="20"/>
                <w:szCs w:val="20"/>
                <w:color w:val="auto"/>
              </w:rPr>
            </w:pPr>
            <w:r>
              <w:rPr>
                <w:rFonts w:ascii="Calibri" w:cs="Calibri" w:eastAsia="Calibri" w:hAnsi="Calibri"/>
                <w:sz w:val="16"/>
                <w:szCs w:val="16"/>
                <w:color w:val="auto"/>
              </w:rPr>
              <w:t>Accumulated other comprehensive loss</w:t>
            </w:r>
          </w:p>
        </w:tc>
        <w:tc>
          <w:tcPr>
            <w:tcW w:w="1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CFF0FC"/>
            </w:tcBorders>
            <w:gridSpan w:val="2"/>
            <w:shd w:val="clear" w:color="auto" w:fill="CFF0FC"/>
          </w:tcPr>
          <w:p>
            <w:pPr>
              <w:jc w:val="right"/>
              <w:ind w:right="220"/>
              <w:spacing w:after="0" w:line="193" w:lineRule="exact"/>
              <w:rPr>
                <w:sz w:val="20"/>
                <w:szCs w:val="20"/>
                <w:color w:val="auto"/>
              </w:rPr>
            </w:pPr>
            <w:r>
              <w:rPr>
                <w:rFonts w:ascii="Calibri" w:cs="Calibri" w:eastAsia="Calibri" w:hAnsi="Calibri"/>
                <w:sz w:val="16"/>
                <w:szCs w:val="16"/>
                <w:color w:val="auto"/>
              </w:rPr>
              <w:t>(129.2)</w:t>
            </w:r>
          </w:p>
        </w:tc>
        <w:tc>
          <w:tcPr>
            <w:tcW w:w="24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gridSpan w:val="2"/>
            <w:shd w:val="clear" w:color="auto" w:fill="CFF0FC"/>
          </w:tcPr>
          <w:p>
            <w:pPr>
              <w:jc w:val="right"/>
              <w:ind w:right="60"/>
              <w:spacing w:after="0" w:line="193" w:lineRule="exact"/>
              <w:rPr>
                <w:sz w:val="20"/>
                <w:szCs w:val="20"/>
                <w:color w:val="auto"/>
              </w:rPr>
            </w:pPr>
            <w:r>
              <w:rPr>
                <w:rFonts w:ascii="Calibri" w:cs="Calibri" w:eastAsia="Calibri" w:hAnsi="Calibri"/>
                <w:sz w:val="16"/>
                <w:szCs w:val="16"/>
                <w:color w:val="auto"/>
              </w:rPr>
              <w:t>(97.6)</w:t>
            </w:r>
          </w:p>
        </w:tc>
      </w:tr>
      <w:tr>
        <w:trPr>
          <w:trHeight w:val="194"/>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Retained earnings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3,094.9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3,161.9</w:t>
            </w:r>
          </w:p>
        </w:tc>
        <w:tc>
          <w:tcPr>
            <w:tcW w:w="100" w:type="dxa"/>
            <w:vAlign w:val="bottom"/>
          </w:tcPr>
          <w:p>
            <w:pPr>
              <w:spacing w:after="0"/>
              <w:rPr>
                <w:sz w:val="16"/>
                <w:szCs w:val="16"/>
                <w:color w:val="auto"/>
              </w:rPr>
            </w:pPr>
          </w:p>
        </w:tc>
      </w:tr>
      <w:tr>
        <w:trPr>
          <w:trHeight w:val="23"/>
        </w:trPr>
        <w:tc>
          <w:tcPr>
            <w:tcW w:w="5580" w:type="dxa"/>
            <w:vAlign w:val="bottom"/>
            <w:tcBorders>
              <w:bottom w:val="single" w:sz="8" w:color="CFF0FC"/>
            </w:tcBorders>
          </w:tcPr>
          <w:p>
            <w:pPr>
              <w:spacing w:after="0" w:line="20" w:lineRule="exact"/>
              <w:rPr>
                <w:sz w:val="1"/>
                <w:szCs w:val="1"/>
                <w:color w:val="auto"/>
              </w:rPr>
            </w:pPr>
          </w:p>
        </w:tc>
        <w:tc>
          <w:tcPr>
            <w:tcW w:w="17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89"/>
        </w:trPr>
        <w:tc>
          <w:tcPr>
            <w:tcW w:w="5580" w:type="dxa"/>
            <w:vAlign w:val="bottom"/>
            <w:tcBorders>
              <w:bottom w:val="single" w:sz="8" w:color="CFF0FC"/>
            </w:tcBorders>
            <w:shd w:val="clear" w:color="auto" w:fill="CFF0FC"/>
          </w:tcPr>
          <w:p>
            <w:pPr>
              <w:ind w:left="260"/>
              <w:spacing w:after="0" w:line="182" w:lineRule="exact"/>
              <w:rPr>
                <w:sz w:val="20"/>
                <w:szCs w:val="20"/>
                <w:color w:val="auto"/>
              </w:rPr>
            </w:pPr>
            <w:r>
              <w:rPr>
                <w:rFonts w:ascii="Calibri" w:cs="Calibri" w:eastAsia="Calibri" w:hAnsi="Calibri"/>
                <w:sz w:val="16"/>
                <w:szCs w:val="16"/>
                <w:color w:val="auto"/>
              </w:rPr>
              <w:t>Total Shareholders' Equity</w:t>
            </w:r>
          </w:p>
        </w:tc>
        <w:tc>
          <w:tcPr>
            <w:tcW w:w="17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6,428.9</w:t>
            </w: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6,535.3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4"/>
        </w:trPr>
        <w:tc>
          <w:tcPr>
            <w:tcW w:w="5580" w:type="dxa"/>
            <w:vAlign w:val="bottom"/>
          </w:tcPr>
          <w:p>
            <w:pPr>
              <w:spacing w:after="0" w:line="193" w:lineRule="exact"/>
              <w:rPr>
                <w:sz w:val="20"/>
                <w:szCs w:val="20"/>
                <w:color w:val="auto"/>
              </w:rPr>
            </w:pPr>
            <w:r>
              <w:rPr>
                <w:rFonts w:ascii="Calibri" w:cs="Calibri" w:eastAsia="Calibri" w:hAnsi="Calibri"/>
                <w:sz w:val="16"/>
                <w:szCs w:val="16"/>
                <w:color w:val="auto"/>
              </w:rPr>
              <w:t>Noncontrolling interests</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2.2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2.3</w:t>
            </w:r>
          </w:p>
        </w:tc>
        <w:tc>
          <w:tcPr>
            <w:tcW w:w="100" w:type="dxa"/>
            <w:vAlign w:val="bottom"/>
          </w:tcPr>
          <w:p>
            <w:pPr>
              <w:spacing w:after="0"/>
              <w:rPr>
                <w:sz w:val="16"/>
                <w:szCs w:val="16"/>
                <w:color w:val="auto"/>
              </w:rPr>
            </w:pPr>
          </w:p>
        </w:tc>
      </w:tr>
      <w:tr>
        <w:trPr>
          <w:trHeight w:val="23"/>
        </w:trPr>
        <w:tc>
          <w:tcPr>
            <w:tcW w:w="5580" w:type="dxa"/>
            <w:vAlign w:val="bottom"/>
            <w:tcBorders>
              <w:bottom w:val="single" w:sz="8" w:color="CFF0FC"/>
            </w:tcBorders>
          </w:tcPr>
          <w:p>
            <w:pPr>
              <w:spacing w:after="0" w:line="20" w:lineRule="exact"/>
              <w:rPr>
                <w:sz w:val="1"/>
                <w:szCs w:val="1"/>
                <w:color w:val="auto"/>
              </w:rPr>
            </w:pPr>
          </w:p>
        </w:tc>
        <w:tc>
          <w:tcPr>
            <w:tcW w:w="17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09"/>
        </w:trPr>
        <w:tc>
          <w:tcPr>
            <w:tcW w:w="5580" w:type="dxa"/>
            <w:vAlign w:val="bottom"/>
            <w:tcBorders>
              <w:bottom w:val="single" w:sz="8" w:color="CFF0FC"/>
            </w:tcBorders>
            <w:shd w:val="clear" w:color="auto" w:fill="CFF0FC"/>
          </w:tcPr>
          <w:p>
            <w:pPr>
              <w:ind w:left="260"/>
              <w:spacing w:after="0" w:line="182" w:lineRule="exact"/>
              <w:rPr>
                <w:sz w:val="20"/>
                <w:szCs w:val="20"/>
                <w:color w:val="auto"/>
              </w:rPr>
            </w:pPr>
            <w:r>
              <w:rPr>
                <w:rFonts w:ascii="Calibri" w:cs="Calibri" w:eastAsia="Calibri" w:hAnsi="Calibri"/>
                <w:sz w:val="16"/>
                <w:szCs w:val="16"/>
                <w:color w:val="auto"/>
              </w:rPr>
              <w:t>Total Equity</w:t>
            </w: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6,431.1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6,537.6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87"/>
        </w:trPr>
        <w:tc>
          <w:tcPr>
            <w:tcW w:w="5580" w:type="dxa"/>
            <w:vAlign w:val="bottom"/>
          </w:tcPr>
          <w:p>
            <w:pPr>
              <w:ind w:left="260"/>
              <w:spacing w:after="0" w:line="182" w:lineRule="exact"/>
              <w:rPr>
                <w:sz w:val="20"/>
                <w:szCs w:val="20"/>
                <w:color w:val="auto"/>
              </w:rPr>
            </w:pPr>
            <w:r>
              <w:rPr>
                <w:rFonts w:ascii="Calibri" w:cs="Calibri" w:eastAsia="Calibri" w:hAnsi="Calibri"/>
                <w:sz w:val="16"/>
                <w:szCs w:val="16"/>
                <w:color w:val="auto"/>
              </w:rPr>
              <w:t>Total Liabilites and Equity</w:t>
            </w:r>
          </w:p>
        </w:tc>
        <w:tc>
          <w:tcPr>
            <w:tcW w:w="1780" w:type="dxa"/>
            <w:vAlign w:val="bottom"/>
          </w:tcPr>
          <w:p>
            <w:pPr>
              <w:spacing w:after="0"/>
              <w:rPr>
                <w:sz w:val="16"/>
                <w:szCs w:val="16"/>
                <w:color w:val="auto"/>
              </w:rPr>
            </w:pPr>
          </w:p>
        </w:tc>
        <w:tc>
          <w:tcPr>
            <w:tcW w:w="30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73"/>
              </w:rPr>
              <w:t>$</w:t>
            </w: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14,241.5</w:t>
            </w:r>
          </w:p>
        </w:tc>
        <w:tc>
          <w:tcPr>
            <w:tcW w:w="28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4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14,393.0</w:t>
            </w:r>
          </w:p>
        </w:tc>
        <w:tc>
          <w:tcPr>
            <w:tcW w:w="100" w:type="dxa"/>
            <w:vAlign w:val="bottom"/>
          </w:tcPr>
          <w:p>
            <w:pPr>
              <w:spacing w:after="0"/>
              <w:rPr>
                <w:sz w:val="16"/>
                <w:szCs w:val="16"/>
                <w:color w:val="auto"/>
              </w:rPr>
            </w:pPr>
          </w:p>
        </w:tc>
      </w:tr>
      <w:tr>
        <w:trPr>
          <w:trHeight w:val="23"/>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93"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spacing w:after="0" w:line="235" w:lineRule="auto"/>
        <w:rPr>
          <w:sz w:val="20"/>
          <w:szCs w:val="20"/>
          <w:color w:val="auto"/>
        </w:rPr>
      </w:pPr>
      <w:r>
        <w:rPr>
          <w:rFonts w:ascii="Calibri" w:cs="Calibri" w:eastAsia="Calibri" w:hAnsi="Calibri"/>
          <w:sz w:val="18"/>
          <w:szCs w:val="18"/>
          <w:color w:val="auto"/>
        </w:rPr>
        <w:t>(UNAUDITED) CONSOLIDATED STATEMENTS OF EARNINGS AND COMPREHENSIVE EARNINGS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40" w:type="dxa"/>
            <w:vAlign w:val="bottom"/>
            <w:gridSpan w:val="3"/>
          </w:tcPr>
          <w:p>
            <w:pPr>
              <w:jc w:val="center"/>
              <w:ind w:right="495"/>
              <w:spacing w:after="0"/>
              <w:rPr>
                <w:sz w:val="20"/>
                <w:szCs w:val="20"/>
                <w:color w:val="auto"/>
              </w:rPr>
            </w:pPr>
            <w:r>
              <w:rPr>
                <w:rFonts w:ascii="Calibri" w:cs="Calibri" w:eastAsia="Calibri" w:hAnsi="Calibri"/>
                <w:sz w:val="17"/>
                <w:szCs w:val="17"/>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40" w:type="dxa"/>
            <w:vAlign w:val="bottom"/>
            <w:gridSpan w:val="3"/>
          </w:tcPr>
          <w:p>
            <w:pPr>
              <w:jc w:val="center"/>
              <w:ind w:right="495"/>
              <w:spacing w:after="0"/>
              <w:rPr>
                <w:sz w:val="20"/>
                <w:szCs w:val="20"/>
                <w:color w:val="auto"/>
              </w:rPr>
            </w:pPr>
            <w:r>
              <w:rPr>
                <w:rFonts w:ascii="Calibri" w:cs="Calibri" w:eastAsia="Calibri" w:hAnsi="Calibri"/>
                <w:sz w:val="17"/>
                <w:szCs w:val="17"/>
                <w:color w:val="auto"/>
              </w:rPr>
              <w:t>March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2022</w:t>
            </w:r>
          </w:p>
        </w:tc>
        <w:tc>
          <w:tcPr>
            <w:tcW w:w="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5"/>
              <w:spacing w:after="0" w:line="204" w:lineRule="exact"/>
              <w:rPr>
                <w:sz w:val="20"/>
                <w:szCs w:val="20"/>
                <w:color w:val="auto"/>
              </w:rPr>
            </w:pPr>
            <w:r>
              <w:rPr>
                <w:rFonts w:ascii="Calibri" w:cs="Calibri" w:eastAsia="Calibri" w:hAnsi="Calibri"/>
                <w:sz w:val="17"/>
                <w:szCs w:val="17"/>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rPr>
                <w:sz w:val="18"/>
                <w:szCs w:val="18"/>
                <w:color w:val="auto"/>
              </w:rPr>
            </w:pPr>
          </w:p>
        </w:tc>
        <w:tc>
          <w:tcPr>
            <w:tcW w:w="3220" w:type="dxa"/>
            <w:vAlign w:val="bottom"/>
            <w:gridSpan w:val="4"/>
          </w:tcPr>
          <w:p>
            <w:pPr>
              <w:jc w:val="center"/>
              <w:ind w:left="415"/>
              <w:spacing w:after="0" w:line="205" w:lineRule="exact"/>
              <w:rPr>
                <w:sz w:val="20"/>
                <w:szCs w:val="20"/>
                <w:color w:val="auto"/>
              </w:rPr>
            </w:pPr>
            <w:r>
              <w:rPr>
                <w:rFonts w:ascii="Calibri" w:cs="Calibri" w:eastAsia="Calibri" w:hAnsi="Calibri"/>
                <w:sz w:val="17"/>
                <w:szCs w:val="17"/>
                <w:i w:val="1"/>
                <w:iCs w:val="1"/>
                <w:color w:val="auto"/>
              </w:rPr>
              <w:t>(In Millions, Except Per Share Data)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spacing w:after="0"/>
              <w:rPr>
                <w:sz w:val="20"/>
                <w:szCs w:val="20"/>
                <w:color w:val="auto"/>
              </w:rPr>
            </w:pPr>
            <w:r>
              <w:rPr>
                <w:rFonts w:ascii="Calibri" w:cs="Calibri" w:eastAsia="Calibri" w:hAnsi="Calibri"/>
                <w:sz w:val="17"/>
                <w:szCs w:val="17"/>
                <w:color w:val="auto"/>
              </w:rPr>
              <w:t>Products and services revenues</w:t>
            </w:r>
          </w:p>
        </w:tc>
        <w:tc>
          <w:tcPr>
            <w:tcW w:w="1080" w:type="dxa"/>
            <w:vAlign w:val="bottom"/>
            <w:shd w:val="clear" w:color="auto" w:fill="CFF0FC"/>
          </w:tcPr>
          <w:p>
            <w:pPr>
              <w:jc w:val="right"/>
              <w:ind w:right="895"/>
              <w:spacing w:after="0"/>
              <w:rPr>
                <w:sz w:val="20"/>
                <w:szCs w:val="20"/>
                <w:color w:val="auto"/>
              </w:rPr>
            </w:pPr>
            <w:r>
              <w:rPr>
                <w:rFonts w:ascii="Calibri" w:cs="Calibri" w:eastAsia="Calibri" w:hAnsi="Calibri"/>
                <w:sz w:val="17"/>
                <w:szCs w:val="17"/>
                <w:color w:val="auto"/>
                <w:w w:val="92"/>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1,147.8</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35"/>
              <w:spacing w:after="0"/>
              <w:rPr>
                <w:sz w:val="20"/>
                <w:szCs w:val="20"/>
                <w:color w:val="auto"/>
              </w:rPr>
            </w:pPr>
            <w:r>
              <w:rPr>
                <w:rFonts w:ascii="Calibri" w:cs="Calibri" w:eastAsia="Calibri" w:hAnsi="Calibri"/>
                <w:sz w:val="17"/>
                <w:szCs w:val="17"/>
                <w:color w:val="auto"/>
                <w:w w:val="92"/>
              </w:rPr>
              <w:t>$</w:t>
            </w:r>
          </w:p>
        </w:tc>
        <w:tc>
          <w:tcPr>
            <w:tcW w:w="52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921.9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CFF0FC"/>
            </w:tcBorders>
          </w:tcPr>
          <w:p>
            <w:pPr>
              <w:spacing w:after="0" w:line="205" w:lineRule="exact"/>
              <w:rPr>
                <w:sz w:val="20"/>
                <w:szCs w:val="20"/>
                <w:color w:val="auto"/>
              </w:rPr>
            </w:pPr>
            <w:r>
              <w:rPr>
                <w:rFonts w:ascii="Calibri" w:cs="Calibri" w:eastAsia="Calibri" w:hAnsi="Calibri"/>
                <w:sz w:val="17"/>
                <w:szCs w:val="17"/>
                <w:color w:val="auto"/>
              </w:rPr>
              <w:t>Freight revenues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83.0</w:t>
            </w:r>
          </w:p>
        </w:tc>
        <w:tc>
          <w:tcPr>
            <w:tcW w:w="28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ind w:left="140"/>
              <w:spacing w:after="0" w:line="190" w:lineRule="exact"/>
              <w:rPr>
                <w:sz w:val="20"/>
                <w:szCs w:val="20"/>
                <w:color w:val="auto"/>
              </w:rPr>
            </w:pPr>
            <w:r>
              <w:rPr>
                <w:rFonts w:ascii="Calibri" w:cs="Calibri" w:eastAsia="Calibri" w:hAnsi="Calibri"/>
                <w:sz w:val="17"/>
                <w:szCs w:val="17"/>
                <w:color w:val="auto"/>
              </w:rPr>
              <w:t>Total Revenues</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1,230.8</w:t>
            </w:r>
          </w:p>
        </w:tc>
        <w:tc>
          <w:tcPr>
            <w:tcW w:w="28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982.4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line="205" w:lineRule="exact"/>
              <w:rPr>
                <w:sz w:val="20"/>
                <w:szCs w:val="20"/>
                <w:color w:val="auto"/>
              </w:rPr>
            </w:pPr>
            <w:r>
              <w:rPr>
                <w:rFonts w:ascii="Calibri" w:cs="Calibri" w:eastAsia="Calibri" w:hAnsi="Calibri"/>
                <w:sz w:val="17"/>
                <w:szCs w:val="17"/>
                <w:color w:val="auto"/>
              </w:rPr>
              <w:t>Cost of revenues - products and services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991.9</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746.0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CFF0FC"/>
            </w:tcBorders>
          </w:tcPr>
          <w:p>
            <w:pPr>
              <w:spacing w:after="0" w:line="205" w:lineRule="exact"/>
              <w:rPr>
                <w:sz w:val="20"/>
                <w:szCs w:val="20"/>
                <w:color w:val="auto"/>
              </w:rPr>
            </w:pPr>
            <w:r>
              <w:rPr>
                <w:rFonts w:ascii="Calibri" w:cs="Calibri" w:eastAsia="Calibri" w:hAnsi="Calibri"/>
                <w:sz w:val="17"/>
                <w:szCs w:val="17"/>
                <w:color w:val="auto"/>
              </w:rPr>
              <w:t>Cost of revenues - freight</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82.8</w:t>
            </w:r>
          </w:p>
        </w:tc>
        <w:tc>
          <w:tcPr>
            <w:tcW w:w="28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61.7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ind w:left="140"/>
              <w:spacing w:after="0" w:line="190" w:lineRule="exact"/>
              <w:rPr>
                <w:sz w:val="20"/>
                <w:szCs w:val="20"/>
                <w:color w:val="auto"/>
              </w:rPr>
            </w:pPr>
            <w:r>
              <w:rPr>
                <w:rFonts w:ascii="Calibri" w:cs="Calibri" w:eastAsia="Calibri" w:hAnsi="Calibri"/>
                <w:sz w:val="17"/>
                <w:szCs w:val="17"/>
                <w:color w:val="auto"/>
              </w:rPr>
              <w:t>Total Cost of Revenues</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1,074.7</w:t>
            </w:r>
          </w:p>
        </w:tc>
        <w:tc>
          <w:tcPr>
            <w:tcW w:w="28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807.7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line="205" w:lineRule="exact"/>
              <w:rPr>
                <w:sz w:val="20"/>
                <w:szCs w:val="20"/>
                <w:color w:val="auto"/>
              </w:rPr>
            </w:pPr>
            <w:r>
              <w:rPr>
                <w:rFonts w:ascii="Calibri" w:cs="Calibri" w:eastAsia="Calibri" w:hAnsi="Calibri"/>
                <w:sz w:val="17"/>
                <w:szCs w:val="17"/>
                <w:color w:val="auto"/>
              </w:rPr>
              <w:t>Gross Proft</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156.1</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line="205" w:lineRule="exact"/>
              <w:rPr>
                <w:sz w:val="20"/>
                <w:szCs w:val="20"/>
                <w:color w:val="auto"/>
              </w:rPr>
            </w:pPr>
            <w:r>
              <w:rPr>
                <w:rFonts w:ascii="Calibri" w:cs="Calibri" w:eastAsia="Calibri" w:hAnsi="Calibri"/>
                <w:sz w:val="17"/>
                <w:szCs w:val="17"/>
                <w:color w:val="auto"/>
              </w:rPr>
              <w:t>Selling, general &amp; administratve expenses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97.1</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79.8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line="205" w:lineRule="exact"/>
              <w:rPr>
                <w:sz w:val="20"/>
                <w:szCs w:val="20"/>
                <w:color w:val="auto"/>
              </w:rPr>
            </w:pPr>
            <w:r>
              <w:rPr>
                <w:rFonts w:ascii="Calibri" w:cs="Calibri" w:eastAsia="Calibri" w:hAnsi="Calibri"/>
                <w:sz w:val="17"/>
                <w:szCs w:val="17"/>
                <w:color w:val="auto"/>
              </w:rPr>
              <w:t>Acquisiton and integraton expenses</w:t>
            </w:r>
          </w:p>
        </w:tc>
        <w:tc>
          <w:tcPr>
            <w:tcW w:w="1080" w:type="dxa"/>
            <w:vAlign w:val="bottom"/>
          </w:tcPr>
          <w:p>
            <w:pPr>
              <w:spacing w:after="0"/>
              <w:rPr>
                <w:sz w:val="18"/>
                <w:szCs w:val="18"/>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1.4</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spacing w:after="0"/>
              <w:rPr>
                <w:sz w:val="20"/>
                <w:szCs w:val="20"/>
                <w:color w:val="auto"/>
              </w:rPr>
            </w:pPr>
            <w:r>
              <w:rPr>
                <w:rFonts w:ascii="Calibri" w:cs="Calibri" w:eastAsia="Calibri" w:hAnsi="Calibri"/>
                <w:sz w:val="17"/>
                <w:szCs w:val="17"/>
                <w:color w:val="auto"/>
              </w:rPr>
              <w:t>Other operatng income, net</w:t>
            </w:r>
          </w:p>
        </w:tc>
        <w:tc>
          <w:tcPr>
            <w:tcW w:w="10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(2.3)</w:t>
            </w:r>
          </w:p>
        </w:tc>
        <w:tc>
          <w:tcPr>
            <w:tcW w:w="1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7"/>
                <w:szCs w:val="17"/>
                <w:color w:val="auto"/>
              </w:rPr>
              <w:t>(5.6)</w:t>
            </w:r>
          </w:p>
        </w:tc>
        <w:tc>
          <w:tcPr>
            <w:tcW w:w="0" w:type="dxa"/>
            <w:vAlign w:val="bottom"/>
          </w:tcPr>
          <w:p>
            <w:pPr>
              <w:spacing w:after="0"/>
              <w:rPr>
                <w:sz w:val="1"/>
                <w:szCs w:val="1"/>
                <w:color w:val="auto"/>
              </w:rPr>
            </w:pPr>
          </w:p>
        </w:tc>
      </w:tr>
      <w:tr>
        <w:trPr>
          <w:trHeight w:val="204"/>
        </w:trPr>
        <w:tc>
          <w:tcPr>
            <w:tcW w:w="7400" w:type="dxa"/>
            <w:vAlign w:val="bottom"/>
          </w:tcPr>
          <w:p>
            <w:pPr>
              <w:ind w:left="140"/>
              <w:spacing w:after="0" w:line="185" w:lineRule="exact"/>
              <w:rPr>
                <w:sz w:val="20"/>
                <w:szCs w:val="20"/>
                <w:color w:val="auto"/>
              </w:rPr>
            </w:pPr>
            <w:r>
              <w:rPr>
                <w:rFonts w:ascii="Calibri" w:cs="Calibri" w:eastAsia="Calibri" w:hAnsi="Calibri"/>
                <w:sz w:val="17"/>
                <w:szCs w:val="17"/>
                <w:color w:val="auto"/>
              </w:rPr>
              <w:t>Earnings from Operatons</w:t>
            </w:r>
          </w:p>
        </w:tc>
        <w:tc>
          <w:tcPr>
            <w:tcW w:w="10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59.9</w:t>
            </w:r>
          </w:p>
        </w:tc>
        <w:tc>
          <w:tcPr>
            <w:tcW w:w="2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99.3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line="205" w:lineRule="exact"/>
              <w:rPr>
                <w:sz w:val="20"/>
                <w:szCs w:val="20"/>
                <w:color w:val="auto"/>
              </w:rPr>
            </w:pPr>
            <w:r>
              <w:rPr>
                <w:rFonts w:ascii="Calibri" w:cs="Calibri" w:eastAsia="Calibri" w:hAnsi="Calibri"/>
                <w:sz w:val="17"/>
                <w:szCs w:val="17"/>
                <w:color w:val="auto"/>
              </w:rPr>
              <w:t>Interest expense</w:t>
            </w:r>
          </w:p>
        </w:tc>
        <w:tc>
          <w:tcPr>
            <w:tcW w:w="1080" w:type="dxa"/>
            <w:vAlign w:val="bottom"/>
          </w:tcPr>
          <w:p>
            <w:pPr>
              <w:spacing w:after="0"/>
              <w:rPr>
                <w:sz w:val="18"/>
                <w:szCs w:val="18"/>
                <w:color w:val="auto"/>
              </w:rPr>
            </w:pP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40.5</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spacing w:after="0"/>
              <w:rPr>
                <w:sz w:val="20"/>
                <w:szCs w:val="20"/>
                <w:color w:val="auto"/>
              </w:rPr>
            </w:pPr>
            <w:r>
              <w:rPr>
                <w:rFonts w:ascii="Calibri" w:cs="Calibri" w:eastAsia="Calibri" w:hAnsi="Calibri"/>
                <w:sz w:val="17"/>
                <w:szCs w:val="17"/>
                <w:color w:val="auto"/>
              </w:rPr>
              <w:t>Other nonoperatng income, net</w:t>
            </w:r>
          </w:p>
        </w:tc>
        <w:tc>
          <w:tcPr>
            <w:tcW w:w="10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(10.8)</w:t>
            </w:r>
          </w:p>
        </w:tc>
        <w:tc>
          <w:tcPr>
            <w:tcW w:w="1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7"/>
                <w:szCs w:val="17"/>
                <w:color w:val="auto"/>
              </w:rPr>
              <w:t>(9.5)</w:t>
            </w:r>
          </w:p>
        </w:tc>
        <w:tc>
          <w:tcPr>
            <w:tcW w:w="0" w:type="dxa"/>
            <w:vAlign w:val="bottom"/>
          </w:tcPr>
          <w:p>
            <w:pPr>
              <w:spacing w:after="0"/>
              <w:rPr>
                <w:sz w:val="1"/>
                <w:szCs w:val="1"/>
                <w:color w:val="auto"/>
              </w:rPr>
            </w:pPr>
          </w:p>
        </w:tc>
      </w:tr>
      <w:tr>
        <w:trPr>
          <w:trHeight w:val="204"/>
        </w:trPr>
        <w:tc>
          <w:tcPr>
            <w:tcW w:w="7400" w:type="dxa"/>
            <w:vAlign w:val="bottom"/>
          </w:tcPr>
          <w:p>
            <w:pPr>
              <w:ind w:left="140"/>
              <w:spacing w:after="0" w:line="185" w:lineRule="exact"/>
              <w:rPr>
                <w:sz w:val="20"/>
                <w:szCs w:val="20"/>
                <w:color w:val="auto"/>
              </w:rPr>
            </w:pPr>
            <w:r>
              <w:rPr>
                <w:rFonts w:ascii="Calibri" w:cs="Calibri" w:eastAsia="Calibri" w:hAnsi="Calibri"/>
                <w:sz w:val="17"/>
                <w:szCs w:val="17"/>
                <w:color w:val="auto"/>
              </w:rPr>
              <w:t>Earnings from contnuing operatons before income tax expense</w:t>
            </w:r>
          </w:p>
        </w:tc>
        <w:tc>
          <w:tcPr>
            <w:tcW w:w="10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30.2</w:t>
            </w:r>
          </w:p>
        </w:tc>
        <w:tc>
          <w:tcPr>
            <w:tcW w:w="2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spacing w:after="0"/>
              <w:rPr>
                <w:sz w:val="20"/>
                <w:szCs w:val="20"/>
                <w:color w:val="auto"/>
              </w:rPr>
            </w:pPr>
            <w:r>
              <w:rPr>
                <w:rFonts w:ascii="Calibri" w:cs="Calibri" w:eastAsia="Calibri" w:hAnsi="Calibri"/>
                <w:sz w:val="17"/>
                <w:szCs w:val="17"/>
                <w:color w:val="auto"/>
              </w:rPr>
              <w:t>Income tax expense</w:t>
            </w:r>
          </w:p>
        </w:tc>
        <w:tc>
          <w:tcPr>
            <w:tcW w:w="10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7"/>
                <w:szCs w:val="17"/>
                <w:color w:val="auto"/>
              </w:rPr>
              <w:t>5.8</w:t>
            </w:r>
          </w:p>
        </w:tc>
        <w:tc>
          <w:tcPr>
            <w:tcW w:w="2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7"/>
                <w:szCs w:val="17"/>
                <w:color w:val="auto"/>
              </w:rPr>
              <w:t>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00" w:type="dxa"/>
            <w:vAlign w:val="bottom"/>
          </w:tcPr>
          <w:p>
            <w:pPr>
              <w:ind w:left="140"/>
              <w:spacing w:after="0" w:line="185" w:lineRule="exact"/>
              <w:rPr>
                <w:sz w:val="20"/>
                <w:szCs w:val="20"/>
                <w:color w:val="auto"/>
              </w:rPr>
            </w:pPr>
            <w:r>
              <w:rPr>
                <w:rFonts w:ascii="Calibri" w:cs="Calibri" w:eastAsia="Calibri" w:hAnsi="Calibri"/>
                <w:sz w:val="17"/>
                <w:szCs w:val="17"/>
                <w:color w:val="auto"/>
              </w:rPr>
              <w:t>Earnings from contnuing operatons</w:t>
            </w:r>
          </w:p>
        </w:tc>
        <w:tc>
          <w:tcPr>
            <w:tcW w:w="1080" w:type="dxa"/>
            <w:vAlign w:val="bottom"/>
          </w:tcPr>
          <w:p>
            <w:pPr>
              <w:spacing w:after="0"/>
              <w:rPr>
                <w:sz w:val="17"/>
                <w:szCs w:val="17"/>
                <w:color w:val="auto"/>
              </w:rPr>
            </w:pPr>
          </w:p>
        </w:tc>
        <w:tc>
          <w:tcPr>
            <w:tcW w:w="640" w:type="dxa"/>
            <w:vAlign w:val="bottom"/>
          </w:tcPr>
          <w:p>
            <w:pPr>
              <w:jc w:val="right"/>
              <w:spacing w:after="0" w:line="204" w:lineRule="exact"/>
              <w:rPr>
                <w:sz w:val="20"/>
                <w:szCs w:val="20"/>
                <w:color w:val="auto"/>
              </w:rPr>
            </w:pPr>
            <w:r>
              <w:rPr>
                <w:rFonts w:ascii="Calibri" w:cs="Calibri" w:eastAsia="Calibri" w:hAnsi="Calibri"/>
                <w:sz w:val="17"/>
                <w:szCs w:val="17"/>
                <w:color w:val="auto"/>
              </w:rPr>
              <w:t>24.4</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jc w:val="right"/>
              <w:spacing w:after="0" w:line="204" w:lineRule="exact"/>
              <w:rPr>
                <w:sz w:val="20"/>
                <w:szCs w:val="20"/>
                <w:color w:val="auto"/>
              </w:rPr>
            </w:pPr>
            <w:r>
              <w:rPr>
                <w:rFonts w:ascii="Calibri" w:cs="Calibri" w:eastAsia="Calibri" w:hAnsi="Calibri"/>
                <w:sz w:val="17"/>
                <w:szCs w:val="17"/>
                <w:color w:val="auto"/>
              </w:rPr>
              <w:t>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spacing w:after="0"/>
              <w:rPr>
                <w:sz w:val="20"/>
                <w:szCs w:val="20"/>
                <w:color w:val="auto"/>
              </w:rPr>
            </w:pPr>
            <w:r>
              <w:rPr>
                <w:rFonts w:ascii="Calibri" w:cs="Calibri" w:eastAsia="Calibri" w:hAnsi="Calibri"/>
                <w:sz w:val="17"/>
                <w:szCs w:val="17"/>
                <w:color w:val="auto"/>
              </w:rPr>
              <w:t>Loss from discontnued operatons, net of income tax beneft</w:t>
            </w:r>
          </w:p>
        </w:tc>
        <w:tc>
          <w:tcPr>
            <w:tcW w:w="10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(3.1)</w:t>
            </w:r>
          </w:p>
        </w:tc>
        <w:tc>
          <w:tcPr>
            <w:tcW w:w="1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04"/>
        </w:trPr>
        <w:tc>
          <w:tcPr>
            <w:tcW w:w="7400" w:type="dxa"/>
            <w:vAlign w:val="bottom"/>
          </w:tcPr>
          <w:p>
            <w:pPr>
              <w:spacing w:after="0" w:line="185" w:lineRule="exact"/>
              <w:rPr>
                <w:sz w:val="20"/>
                <w:szCs w:val="20"/>
                <w:color w:val="auto"/>
              </w:rPr>
            </w:pPr>
            <w:r>
              <w:rPr>
                <w:rFonts w:ascii="Calibri" w:cs="Calibri" w:eastAsia="Calibri" w:hAnsi="Calibri"/>
                <w:sz w:val="17"/>
                <w:szCs w:val="17"/>
                <w:color w:val="auto"/>
              </w:rPr>
              <w:t>Consolidated net earnings</w:t>
            </w:r>
          </w:p>
        </w:tc>
        <w:tc>
          <w:tcPr>
            <w:tcW w:w="10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21.3</w:t>
            </w:r>
          </w:p>
        </w:tc>
        <w:tc>
          <w:tcPr>
            <w:tcW w:w="2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spacing w:after="0"/>
              <w:rPr>
                <w:sz w:val="20"/>
                <w:szCs w:val="20"/>
                <w:color w:val="auto"/>
              </w:rPr>
            </w:pPr>
            <w:r>
              <w:rPr>
                <w:rFonts w:ascii="Calibri" w:cs="Calibri" w:eastAsia="Calibri" w:hAnsi="Calibri"/>
                <w:sz w:val="17"/>
                <w:szCs w:val="17"/>
                <w:color w:val="auto"/>
              </w:rPr>
              <w:t>Less: Net (loss) earnings atributable to noncontrolling interests</w:t>
            </w:r>
          </w:p>
        </w:tc>
        <w:tc>
          <w:tcPr>
            <w:tcW w:w="10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(0.1)</w:t>
            </w:r>
          </w:p>
        </w:tc>
        <w:tc>
          <w:tcPr>
            <w:tcW w:w="1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FF0FC"/>
            </w:tcBorders>
          </w:tcPr>
          <w:p>
            <w:pPr>
              <w:spacing w:after="0" w:line="185" w:lineRule="exact"/>
              <w:rPr>
                <w:sz w:val="20"/>
                <w:szCs w:val="20"/>
                <w:color w:val="auto"/>
              </w:rPr>
            </w:pPr>
            <w:r>
              <w:rPr>
                <w:rFonts w:ascii="Calibri" w:cs="Calibri" w:eastAsia="Calibri" w:hAnsi="Calibri"/>
                <w:sz w:val="17"/>
                <w:szCs w:val="17"/>
                <w:color w:val="auto"/>
              </w:rPr>
              <w:t>Net Earnings Atributable to Martn Marieta Materials, Inc.</w:t>
            </w:r>
          </w:p>
        </w:tc>
        <w:tc>
          <w:tcPr>
            <w:tcW w:w="1080" w:type="dxa"/>
            <w:vAlign w:val="bottom"/>
            <w:tcBorders>
              <w:top w:val="single" w:sz="8" w:color="auto"/>
              <w:bottom w:val="single" w:sz="8" w:color="auto"/>
            </w:tcBorders>
          </w:tcPr>
          <w:p>
            <w:pPr>
              <w:jc w:val="right"/>
              <w:ind w:right="895"/>
              <w:spacing w:after="0" w:line="204" w:lineRule="exact"/>
              <w:rPr>
                <w:sz w:val="20"/>
                <w:szCs w:val="20"/>
                <w:color w:val="auto"/>
              </w:rPr>
            </w:pPr>
            <w:r>
              <w:rPr>
                <w:rFonts w:ascii="Calibri" w:cs="Calibri" w:eastAsia="Calibri" w:hAnsi="Calibri"/>
                <w:sz w:val="17"/>
                <w:szCs w:val="17"/>
                <w:color w:val="auto"/>
                <w:w w:val="92"/>
              </w:rPr>
              <w:t>$</w:t>
            </w:r>
          </w:p>
        </w:tc>
        <w:tc>
          <w:tcPr>
            <w:tcW w:w="640" w:type="dxa"/>
            <w:vAlign w:val="bottom"/>
            <w:tcBorders>
              <w:top w:val="single" w:sz="8" w:color="auto"/>
              <w:bottom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21.4</w:t>
            </w:r>
          </w:p>
        </w:tc>
        <w:tc>
          <w:tcPr>
            <w:tcW w:w="280" w:type="dxa"/>
            <w:vAlign w:val="bottom"/>
            <w:tcBorders>
              <w:bottom w:val="single" w:sz="8" w:color="CFF0FC"/>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035"/>
              <w:spacing w:after="0" w:line="204" w:lineRule="exact"/>
              <w:rPr>
                <w:sz w:val="20"/>
                <w:szCs w:val="20"/>
                <w:color w:val="auto"/>
              </w:rPr>
            </w:pPr>
            <w:r>
              <w:rPr>
                <w:rFonts w:ascii="Calibri" w:cs="Calibri" w:eastAsia="Calibri" w:hAnsi="Calibri"/>
                <w:sz w:val="17"/>
                <w:szCs w:val="17"/>
                <w:color w:val="auto"/>
                <w:w w:val="92"/>
              </w:rPr>
              <w:t>$</w:t>
            </w:r>
          </w:p>
        </w:tc>
        <w:tc>
          <w:tcPr>
            <w:tcW w:w="520" w:type="dxa"/>
            <w:vAlign w:val="bottom"/>
            <w:tcBorders>
              <w:top w:val="single" w:sz="8" w:color="auto"/>
              <w:bottom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65.3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line="205" w:lineRule="exact"/>
              <w:rPr>
                <w:sz w:val="20"/>
                <w:szCs w:val="20"/>
                <w:color w:val="auto"/>
              </w:rPr>
            </w:pPr>
            <w:r>
              <w:rPr>
                <w:rFonts w:ascii="Calibri" w:cs="Calibri" w:eastAsia="Calibri" w:hAnsi="Calibri"/>
                <w:sz w:val="17"/>
                <w:szCs w:val="17"/>
                <w:color w:val="auto"/>
              </w:rPr>
              <w:t>Consolidated Comprehensive (Loss) Earnings: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FF0FC"/>
          </w:tcPr>
          <w:p>
            <w:pPr>
              <w:ind w:left="140"/>
              <w:spacing w:after="0"/>
              <w:rPr>
                <w:sz w:val="20"/>
                <w:szCs w:val="20"/>
                <w:color w:val="auto"/>
              </w:rPr>
            </w:pPr>
            <w:r>
              <w:rPr>
                <w:rFonts w:ascii="Calibri" w:cs="Calibri" w:eastAsia="Calibri" w:hAnsi="Calibri"/>
                <w:sz w:val="17"/>
                <w:szCs w:val="17"/>
                <w:color w:val="auto"/>
              </w:rPr>
              <w:t>(Loss) Earnings atributable to Martn Marieta Materials, Inc.</w:t>
            </w:r>
          </w:p>
        </w:tc>
        <w:tc>
          <w:tcPr>
            <w:tcW w:w="1080" w:type="dxa"/>
            <w:vAlign w:val="bottom"/>
            <w:shd w:val="clear" w:color="auto" w:fill="CFF0FC"/>
          </w:tcPr>
          <w:p>
            <w:pPr>
              <w:jc w:val="right"/>
              <w:ind w:right="895"/>
              <w:spacing w:after="0"/>
              <w:rPr>
                <w:sz w:val="20"/>
                <w:szCs w:val="20"/>
                <w:color w:val="auto"/>
              </w:rPr>
            </w:pPr>
            <w:r>
              <w:rPr>
                <w:rFonts w:ascii="Calibri" w:cs="Calibri" w:eastAsia="Calibri" w:hAnsi="Calibri"/>
                <w:sz w:val="17"/>
                <w:szCs w:val="17"/>
                <w:color w:val="auto"/>
                <w:w w:val="92"/>
              </w:rPr>
              <w:t>$</w:t>
            </w:r>
          </w:p>
        </w:tc>
        <w:tc>
          <w:tcPr>
            <w:tcW w:w="9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(10.2)</w:t>
            </w:r>
          </w:p>
        </w:tc>
        <w:tc>
          <w:tcPr>
            <w:tcW w:w="1220" w:type="dxa"/>
            <w:vAlign w:val="bottom"/>
            <w:shd w:val="clear" w:color="auto" w:fill="CFF0FC"/>
          </w:tcPr>
          <w:p>
            <w:pPr>
              <w:jc w:val="right"/>
              <w:ind w:right="1035"/>
              <w:spacing w:after="0"/>
              <w:rPr>
                <w:sz w:val="20"/>
                <w:szCs w:val="20"/>
                <w:color w:val="auto"/>
              </w:rPr>
            </w:pPr>
            <w:r>
              <w:rPr>
                <w:rFonts w:ascii="Calibri" w:cs="Calibri" w:eastAsia="Calibri" w:hAnsi="Calibri"/>
                <w:sz w:val="17"/>
                <w:szCs w:val="17"/>
                <w:color w:val="auto"/>
                <w:w w:val="92"/>
              </w:rPr>
              <w:t>$</w:t>
            </w:r>
          </w:p>
        </w:tc>
        <w:tc>
          <w:tcPr>
            <w:tcW w:w="52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line="205" w:lineRule="exact"/>
              <w:rPr>
                <w:sz w:val="20"/>
                <w:szCs w:val="20"/>
                <w:color w:val="auto"/>
              </w:rPr>
            </w:pPr>
            <w:r>
              <w:rPr>
                <w:rFonts w:ascii="Calibri" w:cs="Calibri" w:eastAsia="Calibri" w:hAnsi="Calibri"/>
                <w:sz w:val="17"/>
                <w:szCs w:val="17"/>
                <w:color w:val="auto"/>
              </w:rPr>
              <w:t>(Loss) Earnings atributable to noncontrolling interests</w:t>
            </w:r>
          </w:p>
        </w:tc>
        <w:tc>
          <w:tcPr>
            <w:tcW w:w="1080" w:type="dxa"/>
            <w:vAlign w:val="bottom"/>
          </w:tcPr>
          <w:p>
            <w:pPr>
              <w:spacing w:after="0"/>
              <w:rPr>
                <w:sz w:val="18"/>
                <w:szCs w:val="18"/>
                <w:color w:val="auto"/>
              </w:rPr>
            </w:pPr>
          </w:p>
        </w:tc>
        <w:tc>
          <w:tcPr>
            <w:tcW w:w="920" w:type="dxa"/>
            <w:vAlign w:val="bottom"/>
            <w:gridSpan w:val="2"/>
          </w:tcPr>
          <w:p>
            <w:pPr>
              <w:jc w:val="right"/>
              <w:ind w:right="220"/>
              <w:spacing w:after="0" w:line="205" w:lineRule="exact"/>
              <w:rPr>
                <w:sz w:val="20"/>
                <w:szCs w:val="20"/>
                <w:color w:val="auto"/>
              </w:rPr>
            </w:pPr>
            <w:r>
              <w:rPr>
                <w:rFonts w:ascii="Calibri" w:cs="Calibri" w:eastAsia="Calibri" w:hAnsi="Calibri"/>
                <w:sz w:val="17"/>
                <w:szCs w:val="17"/>
                <w:color w:val="auto"/>
              </w:rPr>
              <w:t>(0.1)</w:t>
            </w:r>
          </w:p>
        </w:tc>
        <w:tc>
          <w:tcPr>
            <w:tcW w:w="1220" w:type="dxa"/>
            <w:vAlign w:val="bottom"/>
          </w:tcPr>
          <w:p>
            <w:pPr>
              <w:spacing w:after="0"/>
              <w:rPr>
                <w:sz w:val="18"/>
                <w:szCs w:val="18"/>
                <w:color w:val="auto"/>
              </w:rPr>
            </w:pP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895"/>
              <w:spacing w:after="0" w:line="205" w:lineRule="exact"/>
              <w:rPr>
                <w:sz w:val="20"/>
                <w:szCs w:val="20"/>
                <w:color w:val="auto"/>
              </w:rPr>
            </w:pPr>
            <w:r>
              <w:rPr>
                <w:rFonts w:ascii="Calibri" w:cs="Calibri" w:eastAsia="Calibri" w:hAnsi="Calibri"/>
                <w:sz w:val="17"/>
                <w:szCs w:val="17"/>
                <w:color w:val="auto"/>
                <w:w w:val="92"/>
              </w:rPr>
              <w:t>$</w:t>
            </w:r>
          </w:p>
        </w:tc>
        <w:tc>
          <w:tcPr>
            <w:tcW w:w="920" w:type="dxa"/>
            <w:vAlign w:val="bottom"/>
            <w:gridSpan w:val="2"/>
            <w:shd w:val="clear" w:color="auto" w:fill="CFF0FC"/>
          </w:tcPr>
          <w:p>
            <w:pPr>
              <w:jc w:val="right"/>
              <w:ind w:right="220"/>
              <w:spacing w:after="0" w:line="205" w:lineRule="exact"/>
              <w:rPr>
                <w:sz w:val="20"/>
                <w:szCs w:val="20"/>
                <w:color w:val="auto"/>
              </w:rPr>
            </w:pPr>
            <w:r>
              <w:rPr>
                <w:rFonts w:ascii="Calibri" w:cs="Calibri" w:eastAsia="Calibri" w:hAnsi="Calibri"/>
                <w:sz w:val="17"/>
                <w:szCs w:val="17"/>
                <w:color w:val="auto"/>
              </w:rPr>
              <w:t>(10.3)</w:t>
            </w:r>
          </w:p>
        </w:tc>
        <w:tc>
          <w:tcPr>
            <w:tcW w:w="1220" w:type="dxa"/>
            <w:vAlign w:val="bottom"/>
            <w:shd w:val="clear" w:color="auto" w:fill="CFF0FC"/>
          </w:tcPr>
          <w:p>
            <w:pPr>
              <w:jc w:val="right"/>
              <w:ind w:right="1035"/>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bottom w:val="single" w:sz="8" w:color="CFF0FC"/>
            </w:tcBorders>
            <w:vMerge w:val="restart"/>
          </w:tcPr>
          <w:p>
            <w:pPr>
              <w:spacing w:after="0"/>
              <w:rPr>
                <w:sz w:val="20"/>
                <w:szCs w:val="20"/>
                <w:color w:val="auto"/>
              </w:rPr>
            </w:pPr>
            <w:r>
              <w:rPr>
                <w:rFonts w:ascii="Calibri" w:cs="Calibri" w:eastAsia="Calibri" w:hAnsi="Calibri"/>
                <w:sz w:val="17"/>
                <w:szCs w:val="17"/>
                <w:color w:val="auto"/>
              </w:rPr>
              <w:t>Net Earnings (Loss) Atributable to Martn Marieta Materials, Inc.</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7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FF0FC"/>
          </w:tcPr>
          <w:p>
            <w:pPr>
              <w:ind w:left="140"/>
              <w:spacing w:after="0" w:line="205" w:lineRule="exact"/>
              <w:rPr>
                <w:sz w:val="20"/>
                <w:szCs w:val="20"/>
                <w:color w:val="auto"/>
              </w:rPr>
            </w:pPr>
            <w:r>
              <w:rPr>
                <w:rFonts w:ascii="Calibri" w:cs="Calibri" w:eastAsia="Calibri" w:hAnsi="Calibri"/>
                <w:sz w:val="17"/>
                <w:szCs w:val="17"/>
                <w:color w:val="auto"/>
              </w:rPr>
              <w:t>Per Common Share: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80"/>
              <w:spacing w:after="0" w:line="205" w:lineRule="exact"/>
              <w:rPr>
                <w:sz w:val="20"/>
                <w:szCs w:val="20"/>
                <w:color w:val="auto"/>
              </w:rPr>
            </w:pPr>
            <w:r>
              <w:rPr>
                <w:rFonts w:ascii="Calibri" w:cs="Calibri" w:eastAsia="Calibri" w:hAnsi="Calibri"/>
                <w:sz w:val="17"/>
                <w:szCs w:val="17"/>
                <w:color w:val="auto"/>
              </w:rPr>
              <w:t>Basic from contnuing operatons atributable to common shareholders</w:t>
            </w:r>
          </w:p>
        </w:tc>
        <w:tc>
          <w:tcPr>
            <w:tcW w:w="1080" w:type="dxa"/>
            <w:vAlign w:val="bottom"/>
          </w:tcPr>
          <w:p>
            <w:pPr>
              <w:jc w:val="right"/>
              <w:ind w:right="895"/>
              <w:spacing w:after="0" w:line="205" w:lineRule="exact"/>
              <w:rPr>
                <w:sz w:val="20"/>
                <w:szCs w:val="20"/>
                <w:color w:val="auto"/>
              </w:rPr>
            </w:pPr>
            <w:r>
              <w:rPr>
                <w:rFonts w:ascii="Calibri" w:cs="Calibri" w:eastAsia="Calibri" w:hAnsi="Calibri"/>
                <w:sz w:val="17"/>
                <w:szCs w:val="17"/>
                <w:color w:val="auto"/>
                <w:w w:val="92"/>
              </w:rPr>
              <w:t>$</w:t>
            </w: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0.39</w:t>
            </w:r>
          </w:p>
        </w:tc>
        <w:tc>
          <w:tcPr>
            <w:tcW w:w="280" w:type="dxa"/>
            <w:vAlign w:val="bottom"/>
          </w:tcPr>
          <w:p>
            <w:pPr>
              <w:spacing w:after="0"/>
              <w:rPr>
                <w:sz w:val="18"/>
                <w:szCs w:val="18"/>
                <w:color w:val="auto"/>
              </w:rPr>
            </w:pPr>
          </w:p>
        </w:tc>
        <w:tc>
          <w:tcPr>
            <w:tcW w:w="1220" w:type="dxa"/>
            <w:vAlign w:val="bottom"/>
          </w:tcPr>
          <w:p>
            <w:pPr>
              <w:jc w:val="right"/>
              <w:ind w:right="1035"/>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380"/>
              <w:spacing w:after="0"/>
              <w:rPr>
                <w:sz w:val="20"/>
                <w:szCs w:val="20"/>
                <w:color w:val="auto"/>
              </w:rPr>
            </w:pPr>
            <w:r>
              <w:rPr>
                <w:rFonts w:ascii="Calibri" w:cs="Calibri" w:eastAsia="Calibri" w:hAnsi="Calibri"/>
                <w:sz w:val="17"/>
                <w:szCs w:val="17"/>
                <w:color w:val="auto"/>
              </w:rPr>
              <w:t>Basic from discontnued operatons atributable to common shareholders</w:t>
            </w:r>
          </w:p>
        </w:tc>
        <w:tc>
          <w:tcPr>
            <w:tcW w:w="10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7"/>
                <w:szCs w:val="17"/>
                <w:color w:val="auto"/>
              </w:rPr>
              <w:t>(0.05)</w:t>
            </w:r>
          </w:p>
        </w:tc>
        <w:tc>
          <w:tcPr>
            <w:tcW w:w="1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49"/>
        </w:trPr>
        <w:tc>
          <w:tcPr>
            <w:tcW w:w="7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5"/>
              <w:spacing w:after="0" w:line="205" w:lineRule="exact"/>
              <w:rPr>
                <w:sz w:val="20"/>
                <w:szCs w:val="20"/>
                <w:color w:val="auto"/>
              </w:rPr>
            </w:pPr>
            <w:r>
              <w:rPr>
                <w:rFonts w:ascii="Calibri" w:cs="Calibri" w:eastAsia="Calibri" w:hAnsi="Calibri"/>
                <w:sz w:val="17"/>
                <w:szCs w:val="17"/>
                <w:color w:val="auto"/>
                <w:w w:val="92"/>
              </w:rPr>
              <w:t>$</w:t>
            </w:r>
          </w:p>
        </w:tc>
        <w:tc>
          <w:tcPr>
            <w:tcW w:w="64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0.34</w:t>
            </w:r>
          </w:p>
        </w:tc>
        <w:tc>
          <w:tcPr>
            <w:tcW w:w="280" w:type="dxa"/>
            <w:vAlign w:val="bottom"/>
            <w:tcBorders>
              <w:bottom w:val="single" w:sz="8" w:color="CFF0FC"/>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035"/>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tcBorders>
              <w:top w:val="single" w:sz="8" w:color="auto"/>
              <w:bottom w:val="single" w:sz="8" w:color="auto"/>
            </w:tcBorders>
          </w:tcPr>
          <w:p>
            <w:pPr>
              <w:jc w:val="right"/>
              <w:spacing w:after="0" w:line="205" w:lineRule="exact"/>
              <w:rPr>
                <w:sz w:val="20"/>
                <w:szCs w:val="20"/>
                <w:color w:val="auto"/>
              </w:rPr>
            </w:pPr>
            <w:r>
              <w:rPr>
                <w:rFonts w:ascii="Calibri" w:cs="Calibri" w:eastAsia="Calibri" w:hAnsi="Calibri"/>
                <w:sz w:val="17"/>
                <w:szCs w:val="17"/>
                <w:color w:val="auto"/>
              </w:rPr>
              <w:t>1.05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80"/>
              <w:spacing w:after="0" w:line="205" w:lineRule="exact"/>
              <w:rPr>
                <w:sz w:val="20"/>
                <w:szCs w:val="20"/>
                <w:color w:val="auto"/>
              </w:rPr>
            </w:pPr>
            <w:r>
              <w:rPr>
                <w:rFonts w:ascii="Calibri" w:cs="Calibri" w:eastAsia="Calibri" w:hAnsi="Calibri"/>
                <w:sz w:val="17"/>
                <w:szCs w:val="17"/>
                <w:color w:val="auto"/>
              </w:rPr>
              <w:t>Diluted from contnuing operatons atributable to common shareholders</w:t>
            </w:r>
          </w:p>
        </w:tc>
        <w:tc>
          <w:tcPr>
            <w:tcW w:w="1080" w:type="dxa"/>
            <w:vAlign w:val="bottom"/>
          </w:tcPr>
          <w:p>
            <w:pPr>
              <w:jc w:val="right"/>
              <w:ind w:right="895"/>
              <w:spacing w:after="0" w:line="205" w:lineRule="exact"/>
              <w:rPr>
                <w:sz w:val="20"/>
                <w:szCs w:val="20"/>
                <w:color w:val="auto"/>
              </w:rPr>
            </w:pPr>
            <w:r>
              <w:rPr>
                <w:rFonts w:ascii="Calibri" w:cs="Calibri" w:eastAsia="Calibri" w:hAnsi="Calibri"/>
                <w:sz w:val="17"/>
                <w:szCs w:val="17"/>
                <w:color w:val="auto"/>
                <w:w w:val="92"/>
              </w:rPr>
              <w:t>$</w:t>
            </w:r>
          </w:p>
        </w:tc>
        <w:tc>
          <w:tcPr>
            <w:tcW w:w="640" w:type="dxa"/>
            <w:vAlign w:val="bottom"/>
          </w:tcPr>
          <w:p>
            <w:pPr>
              <w:jc w:val="right"/>
              <w:spacing w:after="0" w:line="205" w:lineRule="exact"/>
              <w:rPr>
                <w:sz w:val="20"/>
                <w:szCs w:val="20"/>
                <w:color w:val="auto"/>
              </w:rPr>
            </w:pPr>
            <w:r>
              <w:rPr>
                <w:rFonts w:ascii="Calibri" w:cs="Calibri" w:eastAsia="Calibri" w:hAnsi="Calibri"/>
                <w:sz w:val="17"/>
                <w:szCs w:val="17"/>
                <w:color w:val="auto"/>
              </w:rPr>
              <w:t>0.39</w:t>
            </w:r>
          </w:p>
        </w:tc>
        <w:tc>
          <w:tcPr>
            <w:tcW w:w="280" w:type="dxa"/>
            <w:vAlign w:val="bottom"/>
          </w:tcPr>
          <w:p>
            <w:pPr>
              <w:spacing w:after="0"/>
              <w:rPr>
                <w:sz w:val="18"/>
                <w:szCs w:val="18"/>
                <w:color w:val="auto"/>
              </w:rPr>
            </w:pPr>
          </w:p>
        </w:tc>
        <w:tc>
          <w:tcPr>
            <w:tcW w:w="1220" w:type="dxa"/>
            <w:vAlign w:val="bottom"/>
          </w:tcPr>
          <w:p>
            <w:pPr>
              <w:jc w:val="right"/>
              <w:ind w:right="1035"/>
              <w:spacing w:after="0" w:line="205" w:lineRule="exact"/>
              <w:rPr>
                <w:sz w:val="20"/>
                <w:szCs w:val="20"/>
                <w:color w:val="auto"/>
              </w:rPr>
            </w:pPr>
            <w:r>
              <w:rPr>
                <w:rFonts w:ascii="Calibri" w:cs="Calibri" w:eastAsia="Calibri" w:hAnsi="Calibri"/>
                <w:sz w:val="17"/>
                <w:szCs w:val="17"/>
                <w:color w:val="auto"/>
                <w:w w:val="92"/>
              </w:rPr>
              <w:t>$</w:t>
            </w:r>
          </w:p>
        </w:tc>
        <w:tc>
          <w:tcPr>
            <w:tcW w:w="520" w:type="dxa"/>
            <w:vAlign w:val="bottom"/>
          </w:tcPr>
          <w:p>
            <w:pPr>
              <w:jc w:val="right"/>
              <w:spacing w:after="0" w:line="205" w:lineRule="exact"/>
              <w:rPr>
                <w:sz w:val="20"/>
                <w:szCs w:val="20"/>
                <w:color w:val="auto"/>
              </w:rPr>
            </w:pPr>
            <w:r>
              <w:rPr>
                <w:rFonts w:ascii="Calibri" w:cs="Calibri" w:eastAsia="Calibri" w:hAnsi="Calibri"/>
                <w:sz w:val="17"/>
                <w:szCs w:val="17"/>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00" w:type="dxa"/>
            <w:vAlign w:val="bottom"/>
            <w:shd w:val="clear" w:color="auto" w:fill="CFF0FC"/>
          </w:tcPr>
          <w:p>
            <w:pPr>
              <w:ind w:left="380"/>
              <w:spacing w:after="0" w:line="195" w:lineRule="exact"/>
              <w:rPr>
                <w:sz w:val="20"/>
                <w:szCs w:val="20"/>
                <w:color w:val="auto"/>
              </w:rPr>
            </w:pPr>
            <w:r>
              <w:rPr>
                <w:rFonts w:ascii="Calibri" w:cs="Calibri" w:eastAsia="Calibri" w:hAnsi="Calibri"/>
                <w:sz w:val="17"/>
                <w:szCs w:val="17"/>
                <w:color w:val="auto"/>
              </w:rPr>
              <w:t>Diluted from discontnued operatons atributable to common</w:t>
            </w:r>
          </w:p>
        </w:tc>
        <w:tc>
          <w:tcPr>
            <w:tcW w:w="10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shd w:val="clear" w:color="auto" w:fill="CFF0FC"/>
          </w:tcPr>
          <w:p>
            <w:pPr>
              <w:ind w:left="500"/>
              <w:spacing w:after="0" w:line="205" w:lineRule="exact"/>
              <w:rPr>
                <w:sz w:val="20"/>
                <w:szCs w:val="20"/>
                <w:color w:val="auto"/>
              </w:rPr>
            </w:pPr>
            <w:r>
              <w:rPr>
                <w:rFonts w:ascii="Calibri" w:cs="Calibri" w:eastAsia="Calibri" w:hAnsi="Calibri"/>
                <w:sz w:val="17"/>
                <w:szCs w:val="17"/>
                <w:color w:val="auto"/>
              </w:rPr>
              <w:t>shareholders</w:t>
            </w:r>
          </w:p>
        </w:tc>
        <w:tc>
          <w:tcPr>
            <w:tcW w:w="10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20"/>
              <w:spacing w:after="0" w:line="205" w:lineRule="exact"/>
              <w:rPr>
                <w:sz w:val="20"/>
                <w:szCs w:val="20"/>
                <w:color w:val="auto"/>
              </w:rPr>
            </w:pPr>
            <w:r>
              <w:rPr>
                <w:rFonts w:ascii="Calibri" w:cs="Calibri" w:eastAsia="Calibri" w:hAnsi="Calibri"/>
                <w:sz w:val="17"/>
                <w:szCs w:val="17"/>
                <w:color w:val="auto"/>
              </w:rPr>
              <w:t>(0.05)</w:t>
            </w:r>
          </w:p>
        </w:tc>
        <w:tc>
          <w:tcPr>
            <w:tcW w:w="1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gridSpan w:val="2"/>
            <w:shd w:val="clear" w:color="auto" w:fill="CFF0FC"/>
          </w:tcPr>
          <w:p>
            <w:pPr>
              <w:jc w:val="right"/>
              <w:ind w:right="120"/>
              <w:spacing w:after="0" w:line="205" w:lineRule="exact"/>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44"/>
        </w:trPr>
        <w:tc>
          <w:tcPr>
            <w:tcW w:w="7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5"/>
              <w:spacing w:after="0" w:line="204" w:lineRule="exact"/>
              <w:rPr>
                <w:sz w:val="20"/>
                <w:szCs w:val="20"/>
                <w:color w:val="auto"/>
              </w:rPr>
            </w:pPr>
            <w:r>
              <w:rPr>
                <w:rFonts w:ascii="Calibri" w:cs="Calibri" w:eastAsia="Calibri" w:hAnsi="Calibri"/>
                <w:sz w:val="17"/>
                <w:szCs w:val="17"/>
                <w:color w:val="auto"/>
                <w:w w:val="92"/>
              </w:rPr>
              <w:t>$</w:t>
            </w:r>
          </w:p>
        </w:tc>
        <w:tc>
          <w:tcPr>
            <w:tcW w:w="640" w:type="dxa"/>
            <w:vAlign w:val="bottom"/>
            <w:tcBorders>
              <w:top w:val="single" w:sz="8" w:color="auto"/>
              <w:bottom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0.34</w:t>
            </w:r>
          </w:p>
        </w:tc>
        <w:tc>
          <w:tcPr>
            <w:tcW w:w="280" w:type="dxa"/>
            <w:vAlign w:val="bottom"/>
            <w:tcBorders>
              <w:bottom w:val="single" w:sz="8" w:color="CFF0FC"/>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035"/>
              <w:spacing w:after="0" w:line="204" w:lineRule="exact"/>
              <w:rPr>
                <w:sz w:val="20"/>
                <w:szCs w:val="20"/>
                <w:color w:val="auto"/>
              </w:rPr>
            </w:pPr>
            <w:r>
              <w:rPr>
                <w:rFonts w:ascii="Calibri" w:cs="Calibri" w:eastAsia="Calibri" w:hAnsi="Calibri"/>
                <w:sz w:val="17"/>
                <w:szCs w:val="17"/>
                <w:color w:val="auto"/>
                <w:w w:val="92"/>
              </w:rPr>
              <w:t>$</w:t>
            </w:r>
          </w:p>
        </w:tc>
        <w:tc>
          <w:tcPr>
            <w:tcW w:w="520" w:type="dxa"/>
            <w:vAlign w:val="bottom"/>
            <w:tcBorders>
              <w:top w:val="single" w:sz="8" w:color="auto"/>
              <w:bottom w:val="single" w:sz="8" w:color="auto"/>
            </w:tcBorders>
          </w:tcPr>
          <w:p>
            <w:pPr>
              <w:jc w:val="right"/>
              <w:spacing w:after="0" w:line="204" w:lineRule="exact"/>
              <w:rPr>
                <w:sz w:val="20"/>
                <w:szCs w:val="20"/>
                <w:color w:val="auto"/>
              </w:rPr>
            </w:pPr>
            <w:r>
              <w:rPr>
                <w:rFonts w:ascii="Calibri" w:cs="Calibri" w:eastAsia="Calibri" w:hAnsi="Calibri"/>
                <w:sz w:val="17"/>
                <w:szCs w:val="17"/>
                <w:color w:val="auto"/>
              </w:rPr>
              <w:t>1.04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line="205" w:lineRule="exact"/>
              <w:rPr>
                <w:sz w:val="20"/>
                <w:szCs w:val="20"/>
                <w:color w:val="auto"/>
              </w:rPr>
            </w:pPr>
            <w:r>
              <w:rPr>
                <w:rFonts w:ascii="Calibri" w:cs="Calibri" w:eastAsia="Calibri" w:hAnsi="Calibri"/>
                <w:sz w:val="17"/>
                <w:szCs w:val="17"/>
                <w:color w:val="auto"/>
              </w:rPr>
              <w:t>Weighted-Average Common Shares Outstanding:</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7"/>
                <w:szCs w:val="17"/>
                <w:color w:val="auto"/>
              </w:rPr>
              <w:t>Basic</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7"/>
                <w:szCs w:val="17"/>
                <w:color w:val="auto"/>
              </w:rPr>
              <w:t>62.4</w:t>
            </w:r>
          </w:p>
        </w:tc>
        <w:tc>
          <w:tcPr>
            <w:tcW w:w="2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7"/>
                <w:szCs w:val="17"/>
                <w:color w:val="auto"/>
              </w:rPr>
              <w:t>62.3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260"/>
              <w:spacing w:after="0"/>
              <w:rPr>
                <w:sz w:val="20"/>
                <w:szCs w:val="20"/>
                <w:color w:val="auto"/>
              </w:rPr>
            </w:pPr>
            <w:r>
              <w:rPr>
                <w:rFonts w:ascii="Calibri" w:cs="Calibri" w:eastAsia="Calibri" w:hAnsi="Calibri"/>
                <w:sz w:val="17"/>
                <w:szCs w:val="17"/>
                <w:color w:val="auto"/>
              </w:rPr>
              <w:t>Diluted</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7" w:lineRule="exact"/>
              <w:rPr>
                <w:sz w:val="20"/>
                <w:szCs w:val="20"/>
                <w:color w:val="auto"/>
              </w:rPr>
            </w:pPr>
            <w:r>
              <w:rPr>
                <w:rFonts w:ascii="Calibri" w:cs="Calibri" w:eastAsia="Calibri" w:hAnsi="Calibri"/>
                <w:sz w:val="17"/>
                <w:szCs w:val="17"/>
                <w:color w:val="auto"/>
              </w:rPr>
              <w:t>62.6</w:t>
            </w:r>
          </w:p>
        </w:tc>
        <w:tc>
          <w:tcPr>
            <w:tcW w:w="2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7" w:lineRule="exact"/>
              <w:rPr>
                <w:sz w:val="20"/>
                <w:szCs w:val="20"/>
                <w:color w:val="auto"/>
              </w:rPr>
            </w:pPr>
            <w:r>
              <w:rPr>
                <w:rFonts w:ascii="Calibri" w:cs="Calibri" w:eastAsia="Calibri" w:hAnsi="Calibri"/>
                <w:sz w:val="17"/>
                <w:szCs w:val="17"/>
                <w:color w:val="auto"/>
              </w:rPr>
              <w:t>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93"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spacing w:after="0" w:line="235" w:lineRule="auto"/>
        <w:rPr>
          <w:sz w:val="20"/>
          <w:szCs w:val="20"/>
          <w:color w:val="auto"/>
        </w:rPr>
      </w:pPr>
      <w:r>
        <w:rPr>
          <w:rFonts w:ascii="Calibri" w:cs="Calibri" w:eastAsia="Calibri" w:hAnsi="Calibri"/>
          <w:sz w:val="18"/>
          <w:szCs w:val="18"/>
          <w:color w:val="auto"/>
        </w:rPr>
        <w:t>(UNAUDITED) 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Calibri" w:cs="Calibri" w:eastAsia="Calibri" w:hAnsi="Calibri"/>
                <w:sz w:val="18"/>
                <w:szCs w:val="18"/>
                <w:color w:val="auto"/>
                <w:w w:val="97"/>
              </w:rPr>
              <w:t>Three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Calibri" w:cs="Calibri" w:eastAsia="Calibri" w:hAnsi="Calibri"/>
                <w:sz w:val="18"/>
                <w:szCs w:val="18"/>
                <w:color w:val="auto"/>
                <w:w w:val="99"/>
              </w:rPr>
              <w:t>March 31,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2022</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line="215" w:lineRule="exact"/>
              <w:rPr>
                <w:sz w:val="20"/>
                <w:szCs w:val="20"/>
                <w:color w:val="auto"/>
              </w:rPr>
            </w:pPr>
            <w:r>
              <w:rPr>
                <w:rFonts w:ascii="Calibri" w:cs="Calibri" w:eastAsia="Calibri" w:hAnsi="Calibri"/>
                <w:sz w:val="18"/>
                <w:szCs w:val="18"/>
                <w:color w:val="auto"/>
                <w:w w:val="98"/>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3"/>
          </w:tcPr>
          <w:p>
            <w:pPr>
              <w:jc w:val="center"/>
              <w:spacing w:after="0" w:line="215" w:lineRule="exact"/>
              <w:rPr>
                <w:sz w:val="20"/>
                <w:szCs w:val="20"/>
                <w:color w:val="auto"/>
              </w:rPr>
            </w:pPr>
            <w:r>
              <w:rPr>
                <w:rFonts w:ascii="Calibri" w:cs="Calibri" w:eastAsia="Calibri" w:hAnsi="Calibri"/>
                <w:sz w:val="18"/>
                <w:szCs w:val="18"/>
                <w:i w:val="1"/>
                <w:iCs w:val="1"/>
                <w:color w:val="auto"/>
                <w:w w:val="98"/>
              </w:rPr>
              <w:t>(Dollars 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40" w:type="dxa"/>
            <w:vAlign w:val="bottom"/>
          </w:tcPr>
          <w:p>
            <w:pPr>
              <w:spacing w:after="0"/>
              <w:rPr>
                <w:sz w:val="20"/>
                <w:szCs w:val="20"/>
                <w:color w:val="auto"/>
              </w:rPr>
            </w:pPr>
            <w:r>
              <w:rPr>
                <w:rFonts w:ascii="Calibri" w:cs="Calibri" w:eastAsia="Calibri" w:hAnsi="Calibri"/>
                <w:sz w:val="18"/>
                <w:szCs w:val="18"/>
                <w:color w:val="auto"/>
              </w:rPr>
              <w:t>Cash Flows from Operatng Actvites: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Consolidated net earnings</w:t>
            </w:r>
          </w:p>
        </w:tc>
        <w:tc>
          <w:tcPr>
            <w:tcW w:w="1020" w:type="dxa"/>
            <w:vAlign w:val="bottom"/>
            <w:shd w:val="clear" w:color="auto" w:fill="CFF0FC"/>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21.3</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jc w:val="right"/>
              <w:ind w:right="484"/>
              <w:spacing w:after="0"/>
              <w:rPr>
                <w:sz w:val="20"/>
                <w:szCs w:val="20"/>
                <w:color w:val="auto"/>
              </w:rPr>
            </w:pPr>
            <w:r>
              <w:rPr>
                <w:rFonts w:ascii="Calibri" w:cs="Calibri" w:eastAsia="Calibri" w:hAnsi="Calibri"/>
                <w:sz w:val="11"/>
                <w:szCs w:val="11"/>
                <w:color w:val="auto"/>
                <w:w w:val="70"/>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40" w:type="dxa"/>
            <w:vAlign w:val="bottom"/>
          </w:tcPr>
          <w:p>
            <w:pPr>
              <w:spacing w:after="0" w:line="207" w:lineRule="exact"/>
              <w:rPr>
                <w:sz w:val="20"/>
                <w:szCs w:val="20"/>
                <w:color w:val="auto"/>
              </w:rPr>
            </w:pPr>
            <w:r>
              <w:rPr>
                <w:rFonts w:ascii="Calibri" w:cs="Calibri" w:eastAsia="Calibri" w:hAnsi="Calibri"/>
                <w:sz w:val="18"/>
                <w:szCs w:val="18"/>
                <w:color w:val="auto"/>
              </w:rPr>
              <w:t>Adjustments to reconcile consolidated net earnings to net cash</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provided by operatng actvites: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Depreciaton, depleton and amortzaton</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128.2</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Stock-based compensaton expense</w:t>
            </w:r>
          </w:p>
        </w:tc>
        <w:tc>
          <w:tcPr>
            <w:tcW w:w="102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12.0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Gain on divesttures and sales of assets</w:t>
            </w:r>
          </w:p>
        </w:tc>
        <w:tc>
          <w:tcPr>
            <w:tcW w:w="10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8"/>
                <w:szCs w:val="18"/>
                <w:color w:val="auto"/>
              </w:rPr>
              <w:t>(2.9)</w:t>
            </w:r>
          </w:p>
        </w:tc>
        <w:tc>
          <w:tcPr>
            <w:tcW w:w="6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(3.8)</w:t>
            </w: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Deferred income taxes, net</w:t>
            </w:r>
          </w:p>
        </w:tc>
        <w:tc>
          <w:tcPr>
            <w:tcW w:w="102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5.2</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(4.7)</w:t>
            </w: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Other items, net</w:t>
            </w:r>
          </w:p>
        </w:tc>
        <w:tc>
          <w:tcPr>
            <w:tcW w:w="10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8"/>
                <w:szCs w:val="18"/>
                <w:color w:val="auto"/>
              </w:rPr>
              <w:t>(0.9)</w:t>
            </w:r>
          </w:p>
        </w:tc>
        <w:tc>
          <w:tcPr>
            <w:tcW w:w="6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8"/>
                <w:szCs w:val="18"/>
                <w:color w:val="auto"/>
              </w:rPr>
              <w:t>(4.7)</w:t>
            </w:r>
          </w:p>
        </w:tc>
        <w:tc>
          <w:tcPr>
            <w:tcW w:w="0" w:type="dxa"/>
            <w:vAlign w:val="bottom"/>
          </w:tcPr>
          <w:p>
            <w:pPr>
              <w:spacing w:after="0"/>
              <w:rPr>
                <w:sz w:val="1"/>
                <w:szCs w:val="1"/>
                <w:color w:val="auto"/>
              </w:rPr>
            </w:pPr>
          </w:p>
        </w:tc>
      </w:tr>
      <w:tr>
        <w:trPr>
          <w:trHeight w:val="207"/>
        </w:trPr>
        <w:tc>
          <w:tcPr>
            <w:tcW w:w="7540" w:type="dxa"/>
            <w:vAlign w:val="bottom"/>
          </w:tcPr>
          <w:p>
            <w:pPr>
              <w:ind w:left="260"/>
              <w:spacing w:after="0" w:line="207" w:lineRule="exact"/>
              <w:rPr>
                <w:sz w:val="20"/>
                <w:szCs w:val="20"/>
                <w:color w:val="auto"/>
              </w:rPr>
            </w:pPr>
            <w:r>
              <w:rPr>
                <w:rFonts w:ascii="Calibri" w:cs="Calibri" w:eastAsia="Calibri" w:hAnsi="Calibri"/>
                <w:sz w:val="18"/>
                <w:szCs w:val="18"/>
                <w:color w:val="auto"/>
              </w:rPr>
              <w:t>Changes in operatng assets and liabilites, net of efects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380"/>
              <w:spacing w:after="0" w:line="215" w:lineRule="exact"/>
              <w:rPr>
                <w:sz w:val="20"/>
                <w:szCs w:val="20"/>
                <w:color w:val="auto"/>
              </w:rPr>
            </w:pPr>
            <w:r>
              <w:rPr>
                <w:rFonts w:ascii="Calibri" w:cs="Calibri" w:eastAsia="Calibri" w:hAnsi="Calibri"/>
                <w:sz w:val="18"/>
                <w:szCs w:val="18"/>
                <w:color w:val="auto"/>
              </w:rPr>
              <w:t>acquisitons and divesttures: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shd w:val="clear" w:color="auto" w:fill="CFF0FC"/>
          </w:tcPr>
          <w:p>
            <w:pPr>
              <w:ind w:left="500"/>
              <w:spacing w:after="0" w:line="215" w:lineRule="exact"/>
              <w:rPr>
                <w:sz w:val="20"/>
                <w:szCs w:val="20"/>
                <w:color w:val="auto"/>
              </w:rPr>
            </w:pPr>
            <w:r>
              <w:rPr>
                <w:rFonts w:ascii="Calibri" w:cs="Calibri" w:eastAsia="Calibri" w:hAnsi="Calibri"/>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14.8</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500"/>
              <w:spacing w:after="0" w:line="215" w:lineRule="exact"/>
              <w:rPr>
                <w:sz w:val="20"/>
                <w:szCs w:val="20"/>
                <w:color w:val="auto"/>
              </w:rPr>
            </w:pPr>
            <w:r>
              <w:rPr>
                <w:rFonts w:ascii="Calibri" w:cs="Calibri" w:eastAsia="Calibri" w:hAnsi="Calibri"/>
                <w:sz w:val="18"/>
                <w:szCs w:val="18"/>
                <w:color w:val="auto"/>
              </w:rPr>
              <w:t>Inventories, net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(28.9)</w:t>
            </w:r>
          </w:p>
        </w:tc>
        <w:tc>
          <w:tcPr>
            <w:tcW w:w="6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500"/>
              <w:spacing w:after="0"/>
              <w:rPr>
                <w:sz w:val="20"/>
                <w:szCs w:val="20"/>
                <w:color w:val="auto"/>
              </w:rPr>
            </w:pPr>
            <w:r>
              <w:rPr>
                <w:rFonts w:ascii="Calibri" w:cs="Calibri" w:eastAsia="Calibri" w:hAnsi="Calibri"/>
                <w:sz w:val="18"/>
                <w:szCs w:val="18"/>
                <w:color w:val="auto"/>
              </w:rPr>
              <w:t>Accounts payable</w:t>
            </w: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95.5</w:t>
            </w:r>
          </w:p>
        </w:tc>
        <w:tc>
          <w:tcPr>
            <w:tcW w:w="320" w:type="dxa"/>
            <w:vAlign w:val="bottom"/>
            <w:tcBorders>
              <w:right w:val="single" w:sz="8" w:color="CFF0FC"/>
            </w:tcBorders>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500"/>
              <w:spacing w:after="0" w:line="215" w:lineRule="exact"/>
              <w:rPr>
                <w:sz w:val="20"/>
                <w:szCs w:val="20"/>
                <w:color w:val="auto"/>
              </w:rPr>
            </w:pPr>
            <w:r>
              <w:rPr>
                <w:rFonts w:ascii="Calibri" w:cs="Calibri" w:eastAsia="Calibri" w:hAnsi="Calibri"/>
                <w:sz w:val="18"/>
                <w:szCs w:val="18"/>
                <w:color w:val="auto"/>
              </w:rPr>
              <w:t>Other assets and liabilites, net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(74.4)</w:t>
            </w:r>
          </w:p>
        </w:tc>
        <w:tc>
          <w:tcPr>
            <w:tcW w:w="60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(25.4)</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Net Cash Provided by Operatng Actvites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169.9</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Cash Flows from Investng Actvites: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Additons to property, plant and equipment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(139.8)</w:t>
            </w:r>
          </w:p>
        </w:tc>
        <w:tc>
          <w:tcPr>
            <w:tcW w:w="60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(110.3)</w:t>
            </w: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Acquisitons, net of cash acquired</w:t>
            </w: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18.8</w:t>
            </w:r>
          </w:p>
        </w:tc>
        <w:tc>
          <w:tcPr>
            <w:tcW w:w="320" w:type="dxa"/>
            <w:vAlign w:val="bottom"/>
            <w:tcBorders>
              <w:right w:val="single" w:sz="8" w:color="CFF0FC"/>
            </w:tcBorders>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Proceeds from divesttures and sales of assets</w:t>
            </w:r>
          </w:p>
        </w:tc>
        <w:tc>
          <w:tcPr>
            <w:tcW w:w="102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Investments in life insurance contracts, net</w:t>
            </w:r>
          </w:p>
        </w:tc>
        <w:tc>
          <w:tcPr>
            <w:tcW w:w="10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Calibri" w:cs="Calibri" w:eastAsia="Calibri" w:hAnsi="Calibri"/>
                <w:sz w:val="18"/>
                <w:szCs w:val="18"/>
                <w:color w:val="auto"/>
              </w:rPr>
              <w:t>—</w:t>
            </w:r>
          </w:p>
        </w:tc>
        <w:tc>
          <w:tcPr>
            <w:tcW w:w="6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Other investng actvites, net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(3.0)</w:t>
            </w:r>
          </w:p>
        </w:tc>
        <w:tc>
          <w:tcPr>
            <w:tcW w:w="600" w:type="dxa"/>
            <w:vAlign w:val="bottom"/>
          </w:tcPr>
          <w:p>
            <w:pPr>
              <w:spacing w:after="0"/>
              <w:rPr>
                <w:sz w:val="19"/>
                <w:szCs w:val="19"/>
                <w:color w:val="auto"/>
              </w:rPr>
            </w:pPr>
          </w:p>
        </w:tc>
        <w:tc>
          <w:tcPr>
            <w:tcW w:w="11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
        </w:trPr>
        <w:tc>
          <w:tcPr>
            <w:tcW w:w="7540" w:type="dxa"/>
            <w:vAlign w:val="bottom"/>
            <w:vMerge w:val="restart"/>
            <w:shd w:val="clear" w:color="auto" w:fill="CFF0FC"/>
          </w:tcPr>
          <w:p>
            <w:pPr>
              <w:spacing w:after="0"/>
              <w:rPr>
                <w:sz w:val="20"/>
                <w:szCs w:val="20"/>
                <w:color w:val="auto"/>
              </w:rPr>
            </w:pPr>
            <w:r>
              <w:rPr>
                <w:rFonts w:ascii="Calibri" w:cs="Calibri" w:eastAsia="Calibri" w:hAnsi="Calibri"/>
                <w:sz w:val="18"/>
                <w:szCs w:val="18"/>
                <w:color w:val="auto"/>
              </w:rPr>
              <w:t>Net Cash Used for Investng Actvites</w:t>
            </w: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line="215" w:lineRule="exact"/>
              <w:rPr>
                <w:sz w:val="20"/>
                <w:szCs w:val="20"/>
                <w:color w:val="auto"/>
              </w:rPr>
            </w:pPr>
            <w:r>
              <w:rPr>
                <w:rFonts w:ascii="Calibri" w:cs="Calibri" w:eastAsia="Calibri" w:hAnsi="Calibri"/>
                <w:sz w:val="18"/>
                <w:szCs w:val="18"/>
                <w:color w:val="auto"/>
              </w:rPr>
              <w:t>(123.0)</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(88.3)</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Cash Flows from Financing Actvites: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Payments on fnance lease obligatons</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(3.7)</w:t>
            </w:r>
          </w:p>
        </w:tc>
        <w:tc>
          <w:tcPr>
            <w:tcW w:w="60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Repurchases of common stock</w:t>
            </w:r>
          </w:p>
        </w:tc>
        <w:tc>
          <w:tcPr>
            <w:tcW w:w="102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8"/>
                <w:szCs w:val="18"/>
                <w:color w:val="auto"/>
              </w:rPr>
              <w:t>(50.0)</w:t>
            </w:r>
          </w:p>
        </w:tc>
        <w:tc>
          <w:tcPr>
            <w:tcW w:w="6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Dividends paid</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(38.9)</w:t>
            </w:r>
          </w:p>
        </w:tc>
        <w:tc>
          <w:tcPr>
            <w:tcW w:w="60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(36.1)</w:t>
            </w: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60"/>
              <w:spacing w:after="0"/>
              <w:rPr>
                <w:sz w:val="20"/>
                <w:szCs w:val="20"/>
                <w:color w:val="auto"/>
              </w:rPr>
            </w:pPr>
            <w:r>
              <w:rPr>
                <w:rFonts w:ascii="Calibri" w:cs="Calibri" w:eastAsia="Calibri" w:hAnsi="Calibri"/>
                <w:sz w:val="18"/>
                <w:szCs w:val="18"/>
                <w:color w:val="auto"/>
              </w:rPr>
              <w:t>Proceeds from exercise of stock optons</w:t>
            </w:r>
          </w:p>
        </w:tc>
        <w:tc>
          <w:tcPr>
            <w:tcW w:w="10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0.6</w:t>
            </w:r>
          </w:p>
        </w:tc>
        <w:tc>
          <w:tcPr>
            <w:tcW w:w="320" w:type="dxa"/>
            <w:vAlign w:val="bottom"/>
            <w:tcBorders>
              <w:right w:val="single" w:sz="8" w:color="CFF0FC"/>
            </w:tcBorders>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60"/>
              <w:spacing w:after="0" w:line="215" w:lineRule="exact"/>
              <w:rPr>
                <w:sz w:val="20"/>
                <w:szCs w:val="20"/>
                <w:color w:val="auto"/>
              </w:rPr>
            </w:pPr>
            <w:r>
              <w:rPr>
                <w:rFonts w:ascii="Calibri" w:cs="Calibri" w:eastAsia="Calibri" w:hAnsi="Calibri"/>
                <w:sz w:val="18"/>
                <w:szCs w:val="18"/>
                <w:color w:val="auto"/>
              </w:rPr>
              <w:t>Shares withheld for employees' income tax obligatons</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(24.2)</w:t>
            </w:r>
          </w:p>
        </w:tc>
        <w:tc>
          <w:tcPr>
            <w:tcW w:w="600" w:type="dxa"/>
            <w:vAlign w:val="bottom"/>
          </w:tcPr>
          <w:p>
            <w:pPr>
              <w:spacing w:after="0"/>
              <w:rPr>
                <w:sz w:val="19"/>
                <w:szCs w:val="19"/>
                <w:color w:val="auto"/>
              </w:rPr>
            </w:pPr>
          </w:p>
        </w:tc>
        <w:tc>
          <w:tcPr>
            <w:tcW w:w="11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(15.5)</w:t>
            </w:r>
          </w:p>
        </w:tc>
        <w:tc>
          <w:tcPr>
            <w:tcW w:w="0" w:type="dxa"/>
            <w:vAlign w:val="bottom"/>
          </w:tcPr>
          <w:p>
            <w:pPr>
              <w:spacing w:after="0"/>
              <w:rPr>
                <w:sz w:val="1"/>
                <w:szCs w:val="1"/>
                <w:color w:val="auto"/>
              </w:rPr>
            </w:pPr>
          </w:p>
        </w:tc>
      </w:tr>
      <w:tr>
        <w:trPr>
          <w:trHeight w:val="230"/>
        </w:trPr>
        <w:tc>
          <w:tcPr>
            <w:tcW w:w="7540" w:type="dxa"/>
            <w:vAlign w:val="bottom"/>
            <w:tcBorders>
              <w:top w:val="single" w:sz="8" w:color="CFF0FC"/>
            </w:tcBorders>
            <w:shd w:val="clear" w:color="auto" w:fill="CFF0FC"/>
          </w:tcPr>
          <w:p>
            <w:pPr>
              <w:spacing w:after="0" w:line="206" w:lineRule="exact"/>
              <w:rPr>
                <w:sz w:val="20"/>
                <w:szCs w:val="20"/>
                <w:color w:val="auto"/>
              </w:rPr>
            </w:pPr>
            <w:r>
              <w:rPr>
                <w:rFonts w:ascii="Calibri" w:cs="Calibri" w:eastAsia="Calibri" w:hAnsi="Calibri"/>
                <w:sz w:val="18"/>
                <w:szCs w:val="18"/>
                <w:color w:val="auto"/>
              </w:rPr>
              <w:t>Net Cash Used for Financing Actvites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(116.2)</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line="199"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102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(69.3)</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spacing w:after="0"/>
              <w:rPr>
                <w:sz w:val="20"/>
                <w:szCs w:val="20"/>
                <w:color w:val="auto"/>
              </w:rPr>
            </w:pPr>
            <w:r>
              <w:rPr>
                <w:rFonts w:ascii="Calibri" w:cs="Calibri" w:eastAsia="Calibri" w:hAnsi="Calibri"/>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258.9</w:t>
            </w:r>
          </w:p>
        </w:tc>
        <w:tc>
          <w:tcPr>
            <w:tcW w:w="320" w:type="dxa"/>
            <w:vAlign w:val="bottom"/>
            <w:tcBorders>
              <w:right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8"/>
                <w:szCs w:val="18"/>
                <w:color w:val="auto"/>
              </w:rPr>
              <w:t>304.4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line="199" w:lineRule="exact"/>
              <w:rPr>
                <w:sz w:val="20"/>
                <w:szCs w:val="20"/>
                <w:color w:val="auto"/>
              </w:rPr>
            </w:pPr>
            <w:r>
              <w:rPr>
                <w:rFonts w:ascii="Calibri" w:cs="Calibri" w:eastAsia="Calibri" w:hAnsi="Calibri"/>
                <w:sz w:val="18"/>
                <w:szCs w:val="18"/>
                <w:color w:val="auto"/>
              </w:rPr>
              <w:t>Cash, Cash Equivalents and Restricted Cash, end of period</w:t>
            </w:r>
          </w:p>
        </w:tc>
        <w:tc>
          <w:tcPr>
            <w:tcW w:w="1020" w:type="dxa"/>
            <w:vAlign w:val="bottom"/>
            <w:tcBorders>
              <w:bottom w:val="single" w:sz="8" w:color="auto"/>
            </w:tcBorders>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189.6</w:t>
            </w:r>
          </w:p>
        </w:tc>
        <w:tc>
          <w:tcPr>
            <w:tcW w:w="320" w:type="dxa"/>
            <w:vAlign w:val="bottom"/>
          </w:tcPr>
          <w:p>
            <w:pPr>
              <w:spacing w:after="0"/>
              <w:rPr>
                <w:sz w:val="18"/>
                <w:szCs w:val="18"/>
                <w:color w:val="auto"/>
              </w:rPr>
            </w:pPr>
          </w:p>
        </w:tc>
        <w:tc>
          <w:tcPr>
            <w:tcW w:w="600" w:type="dxa"/>
            <w:vAlign w:val="bottom"/>
            <w:tcBorders>
              <w:bottom w:val="single" w:sz="8" w:color="auto"/>
            </w:tcBorders>
          </w:tcPr>
          <w:p>
            <w:pPr>
              <w:jc w:val="right"/>
              <w:ind w:right="484"/>
              <w:spacing w:after="0"/>
              <w:rPr>
                <w:sz w:val="20"/>
                <w:szCs w:val="20"/>
                <w:color w:val="auto"/>
              </w:rPr>
            </w:pPr>
            <w:r>
              <w:rPr>
                <w:rFonts w:ascii="Calibri" w:cs="Calibri" w:eastAsia="Calibri" w:hAnsi="Calibri"/>
                <w:sz w:val="11"/>
                <w:szCs w:val="11"/>
                <w:color w:val="auto"/>
                <w:w w:val="70"/>
              </w:rPr>
              <w:t>$</w:t>
            </w: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93"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TOTAL EQUITY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center"/>
              <w:ind w:right="140"/>
              <w:spacing w:after="0"/>
              <w:rPr>
                <w:sz w:val="20"/>
                <w:szCs w:val="20"/>
                <w:color w:val="auto"/>
              </w:rPr>
            </w:pPr>
            <w:r>
              <w:rPr>
                <w:rFonts w:ascii="Calibri" w:cs="Calibri" w:eastAsia="Calibri" w:hAnsi="Calibri"/>
                <w:sz w:val="18"/>
                <w:szCs w:val="18"/>
                <w:color w:val="auto"/>
                <w:w w:val="97"/>
              </w:rPr>
              <w:t>Accumulated</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color w:val="auto"/>
                <w:w w:val="97"/>
              </w:rPr>
              <w:t>Shares of</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140"/>
              <w:spacing w:after="0" w:line="216" w:lineRule="exact"/>
              <w:rPr>
                <w:sz w:val="20"/>
                <w:szCs w:val="20"/>
                <w:color w:val="auto"/>
              </w:rPr>
            </w:pPr>
            <w:r>
              <w:rPr>
                <w:rFonts w:ascii="Calibri" w:cs="Calibri" w:eastAsia="Calibri" w:hAnsi="Calibri"/>
                <w:sz w:val="18"/>
                <w:szCs w:val="18"/>
                <w:color w:val="auto"/>
              </w:rPr>
              <w:t>Additonal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line="216" w:lineRule="exact"/>
              <w:rPr>
                <w:sz w:val="20"/>
                <w:szCs w:val="20"/>
                <w:color w:val="auto"/>
              </w:rPr>
            </w:pPr>
            <w:r>
              <w:rPr>
                <w:rFonts w:ascii="Calibri" w:cs="Calibri" w:eastAsia="Calibri" w:hAnsi="Calibri"/>
                <w:sz w:val="18"/>
                <w:szCs w:val="18"/>
                <w:color w:val="auto"/>
                <w:w w:val="98"/>
              </w:rPr>
              <w:t>Other</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40"/>
              <w:spacing w:after="0" w:line="216" w:lineRule="exact"/>
              <w:rPr>
                <w:sz w:val="20"/>
                <w:szCs w:val="20"/>
                <w:color w:val="auto"/>
              </w:rPr>
            </w:pPr>
            <w:r>
              <w:rPr>
                <w:rFonts w:ascii="Calibri" w:cs="Calibri" w:eastAsia="Calibri" w:hAnsi="Calibri"/>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line="216" w:lineRule="exact"/>
              <w:rPr>
                <w:sz w:val="20"/>
                <w:szCs w:val="20"/>
                <w:color w:val="auto"/>
              </w:rPr>
            </w:pPr>
            <w:r>
              <w:rPr>
                <w:rFonts w:ascii="Calibri" w:cs="Calibri" w:eastAsia="Calibri" w:hAnsi="Calibri"/>
                <w:sz w:val="18"/>
                <w:szCs w:val="18"/>
                <w:i w:val="1"/>
                <w:iCs w:val="1"/>
                <w:color w:val="auto"/>
              </w:rPr>
              <w:t>(In Millions, Except Per Share</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color w:val="auto"/>
                <w:w w:val="98"/>
              </w:rPr>
              <w:t>Common</w:t>
            </w:r>
          </w:p>
        </w:tc>
        <w:tc>
          <w:tcPr>
            <w:tcW w:w="1000" w:type="dxa"/>
            <w:vAlign w:val="bottom"/>
            <w:gridSpan w:val="3"/>
          </w:tcPr>
          <w:p>
            <w:pPr>
              <w:jc w:val="center"/>
              <w:ind w:right="220"/>
              <w:spacing w:after="0" w:line="216" w:lineRule="exact"/>
              <w:rPr>
                <w:sz w:val="20"/>
                <w:szCs w:val="20"/>
                <w:color w:val="auto"/>
              </w:rPr>
            </w:pPr>
            <w:r>
              <w:rPr>
                <w:rFonts w:ascii="Calibri" w:cs="Calibri" w:eastAsia="Calibri" w:hAnsi="Calibri"/>
                <w:sz w:val="18"/>
                <w:szCs w:val="18"/>
                <w:color w:val="auto"/>
                <w:w w:val="98"/>
              </w:rPr>
              <w:t>Common</w:t>
            </w:r>
          </w:p>
        </w:tc>
        <w:tc>
          <w:tcPr>
            <w:tcW w:w="160" w:type="dxa"/>
            <w:vAlign w:val="bottom"/>
          </w:tcPr>
          <w:p>
            <w:pPr>
              <w:spacing w:after="0"/>
              <w:rPr>
                <w:sz w:val="18"/>
                <w:szCs w:val="18"/>
                <w:color w:val="auto"/>
              </w:rPr>
            </w:pPr>
          </w:p>
        </w:tc>
        <w:tc>
          <w:tcPr>
            <w:tcW w:w="800" w:type="dxa"/>
            <w:vAlign w:val="bottom"/>
            <w:gridSpan w:val="2"/>
          </w:tcPr>
          <w:p>
            <w:pPr>
              <w:jc w:val="center"/>
              <w:ind w:right="320"/>
              <w:spacing w:after="0" w:line="216" w:lineRule="exact"/>
              <w:rPr>
                <w:sz w:val="20"/>
                <w:szCs w:val="20"/>
                <w:color w:val="auto"/>
              </w:rPr>
            </w:pPr>
            <w:r>
              <w:rPr>
                <w:rFonts w:ascii="Calibri" w:cs="Calibri" w:eastAsia="Calibri" w:hAnsi="Calibri"/>
                <w:sz w:val="18"/>
                <w:szCs w:val="18"/>
                <w:color w:val="auto"/>
                <w:w w:val="97"/>
              </w:rPr>
              <w:t>Paid-</w:t>
            </w:r>
          </w:p>
        </w:tc>
        <w:tc>
          <w:tcPr>
            <w:tcW w:w="1320" w:type="dxa"/>
            <w:vAlign w:val="bottom"/>
            <w:gridSpan w:val="4"/>
          </w:tcPr>
          <w:p>
            <w:pPr>
              <w:ind w:left="80"/>
              <w:spacing w:after="0" w:line="216" w:lineRule="exact"/>
              <w:rPr>
                <w:sz w:val="20"/>
                <w:szCs w:val="20"/>
                <w:color w:val="auto"/>
              </w:rPr>
            </w:pPr>
            <w:r>
              <w:rPr>
                <w:rFonts w:ascii="Calibri" w:cs="Calibri" w:eastAsia="Calibri" w:hAnsi="Calibri"/>
                <w:sz w:val="18"/>
                <w:szCs w:val="18"/>
                <w:color w:val="auto"/>
              </w:rPr>
              <w:t>Comprehensive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line="216" w:lineRule="exact"/>
              <w:rPr>
                <w:sz w:val="20"/>
                <w:szCs w:val="20"/>
                <w:color w:val="auto"/>
              </w:rPr>
            </w:pPr>
            <w:r>
              <w:rPr>
                <w:rFonts w:ascii="Calibri" w:cs="Calibri" w:eastAsia="Calibri" w:hAnsi="Calibri"/>
                <w:sz w:val="18"/>
                <w:szCs w:val="18"/>
                <w:color w:val="auto"/>
                <w:w w:val="97"/>
              </w:rPr>
              <w:t>Retained</w:t>
            </w:r>
          </w:p>
        </w:tc>
        <w:tc>
          <w:tcPr>
            <w:tcW w:w="1180" w:type="dxa"/>
            <w:vAlign w:val="bottom"/>
            <w:gridSpan w:val="4"/>
          </w:tcPr>
          <w:p>
            <w:pPr>
              <w:ind w:left="80"/>
              <w:spacing w:after="0" w:line="216" w:lineRule="exact"/>
              <w:rPr>
                <w:sz w:val="20"/>
                <w:szCs w:val="20"/>
                <w:color w:val="auto"/>
              </w:rPr>
            </w:pPr>
            <w:r>
              <w:rPr>
                <w:rFonts w:ascii="Calibri" w:cs="Calibri" w:eastAsia="Calibri" w:hAnsi="Calibri"/>
                <w:sz w:val="18"/>
                <w:szCs w:val="18"/>
                <w:color w:val="auto"/>
              </w:rPr>
              <w:t>Shareholders'</w:t>
            </w:r>
          </w:p>
        </w:tc>
        <w:tc>
          <w:tcPr>
            <w:tcW w:w="1380" w:type="dxa"/>
            <w:vAlign w:val="bottom"/>
            <w:gridSpan w:val="4"/>
          </w:tcPr>
          <w:p>
            <w:pPr>
              <w:ind w:left="80"/>
              <w:spacing w:after="0" w:line="216" w:lineRule="exact"/>
              <w:rPr>
                <w:sz w:val="20"/>
                <w:szCs w:val="20"/>
                <w:color w:val="auto"/>
              </w:rPr>
            </w:pPr>
            <w:r>
              <w:rPr>
                <w:rFonts w:ascii="Calibri" w:cs="Calibri" w:eastAsia="Calibri" w:hAnsi="Calibri"/>
                <w:sz w:val="18"/>
                <w:szCs w:val="18"/>
                <w:color w:val="auto"/>
              </w:rPr>
              <w:t>Noncontrolling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60"/>
              <w:spacing w:after="0" w:line="216" w:lineRule="exact"/>
              <w:rPr>
                <w:sz w:val="20"/>
                <w:szCs w:val="20"/>
                <w:color w:val="auto"/>
              </w:rPr>
            </w:pPr>
            <w:r>
              <w:rPr>
                <w:rFonts w:ascii="Calibri" w:cs="Calibri" w:eastAsia="Calibri" w:hAnsi="Calibri"/>
                <w:sz w:val="18"/>
                <w:szCs w:val="18"/>
                <w:color w:val="auto"/>
              </w:rPr>
              <w:t>Total</w:t>
            </w:r>
          </w:p>
        </w:tc>
        <w:tc>
          <w:tcPr>
            <w:tcW w:w="0" w:type="dxa"/>
            <w:vAlign w:val="bottom"/>
          </w:tcPr>
          <w:p>
            <w:pPr>
              <w:spacing w:after="0"/>
              <w:rPr>
                <w:sz w:val="1"/>
                <w:szCs w:val="1"/>
                <w:color w:val="auto"/>
              </w:rPr>
            </w:pPr>
          </w:p>
        </w:tc>
      </w:tr>
      <w:tr>
        <w:trPr>
          <w:trHeight w:val="216"/>
        </w:trPr>
        <w:tc>
          <w:tcPr>
            <w:tcW w:w="2240" w:type="dxa"/>
            <w:vAlign w:val="bottom"/>
          </w:tcPr>
          <w:p>
            <w:pPr>
              <w:spacing w:after="0" w:line="216" w:lineRule="exact"/>
              <w:rPr>
                <w:sz w:val="20"/>
                <w:szCs w:val="20"/>
                <w:color w:val="auto"/>
              </w:rPr>
            </w:pPr>
            <w:r>
              <w:rPr>
                <w:rFonts w:ascii="Calibri" w:cs="Calibri" w:eastAsia="Calibri" w:hAnsi="Calibri"/>
                <w:sz w:val="18"/>
                <w:szCs w:val="18"/>
                <w:i w:val="1"/>
                <w:iCs w:val="1"/>
                <w:color w:val="auto"/>
              </w:rPr>
              <w:t>Data)</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color w:val="auto"/>
                <w:w w:val="95"/>
              </w:rPr>
              <w:t>Stock</w:t>
            </w:r>
          </w:p>
        </w:tc>
        <w:tc>
          <w:tcPr>
            <w:tcW w:w="140" w:type="dxa"/>
            <w:vAlign w:val="bottom"/>
          </w:tcPr>
          <w:p>
            <w:pPr>
              <w:spacing w:after="0"/>
              <w:rPr>
                <w:sz w:val="18"/>
                <w:szCs w:val="18"/>
                <w:color w:val="auto"/>
              </w:rPr>
            </w:pPr>
          </w:p>
        </w:tc>
        <w:tc>
          <w:tcPr>
            <w:tcW w:w="860" w:type="dxa"/>
            <w:vAlign w:val="bottom"/>
            <w:gridSpan w:val="2"/>
          </w:tcPr>
          <w:p>
            <w:pPr>
              <w:jc w:val="center"/>
              <w:ind w:right="360"/>
              <w:spacing w:after="0" w:line="216" w:lineRule="exact"/>
              <w:rPr>
                <w:sz w:val="20"/>
                <w:szCs w:val="20"/>
                <w:color w:val="auto"/>
              </w:rPr>
            </w:pPr>
            <w:r>
              <w:rPr>
                <w:rFonts w:ascii="Calibri" w:cs="Calibri" w:eastAsia="Calibri" w:hAnsi="Calibri"/>
                <w:sz w:val="18"/>
                <w:szCs w:val="18"/>
                <w:color w:val="auto"/>
                <w:w w:val="95"/>
              </w:rPr>
              <w:t>Stock</w:t>
            </w:r>
          </w:p>
        </w:tc>
        <w:tc>
          <w:tcPr>
            <w:tcW w:w="960" w:type="dxa"/>
            <w:vAlign w:val="bottom"/>
            <w:gridSpan w:val="3"/>
          </w:tcPr>
          <w:p>
            <w:pPr>
              <w:jc w:val="center"/>
              <w:ind w:right="140"/>
              <w:spacing w:after="0" w:line="216" w:lineRule="exact"/>
              <w:rPr>
                <w:sz w:val="20"/>
                <w:szCs w:val="20"/>
                <w:color w:val="auto"/>
              </w:rPr>
            </w:pPr>
            <w:r>
              <w:rPr>
                <w:rFonts w:ascii="Calibri" w:cs="Calibri" w:eastAsia="Calibri" w:hAnsi="Calibri"/>
                <w:sz w:val="18"/>
                <w:szCs w:val="18"/>
                <w:color w:val="auto"/>
                <w:w w:val="96"/>
              </w:rPr>
              <w:t>in 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line="216" w:lineRule="exact"/>
              <w:rPr>
                <w:sz w:val="20"/>
                <w:szCs w:val="20"/>
                <w:color w:val="auto"/>
              </w:rPr>
            </w:pPr>
            <w:r>
              <w:rPr>
                <w:rFonts w:ascii="Calibri" w:cs="Calibri" w:eastAsia="Calibri" w:hAnsi="Calibri"/>
                <w:sz w:val="18"/>
                <w:szCs w:val="18"/>
                <w:color w:val="auto"/>
                <w:w w:val="96"/>
              </w:rPr>
              <w:t>Loss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line="216" w:lineRule="exact"/>
              <w:rPr>
                <w:sz w:val="20"/>
                <w:szCs w:val="20"/>
                <w:color w:val="auto"/>
              </w:rPr>
            </w:pPr>
            <w:r>
              <w:rPr>
                <w:rFonts w:ascii="Calibri" w:cs="Calibri" w:eastAsia="Calibri" w:hAnsi="Calibri"/>
                <w:sz w:val="18"/>
                <w:szCs w:val="18"/>
                <w:color w:val="auto"/>
              </w:rPr>
              <w:t>Earnings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0"/>
              <w:spacing w:after="0" w:line="216" w:lineRule="exact"/>
              <w:rPr>
                <w:sz w:val="20"/>
                <w:szCs w:val="20"/>
                <w:color w:val="auto"/>
              </w:rPr>
            </w:pPr>
            <w:r>
              <w:rPr>
                <w:rFonts w:ascii="Calibri" w:cs="Calibri" w:eastAsia="Calibri" w:hAnsi="Calibri"/>
                <w:sz w:val="18"/>
                <w:szCs w:val="18"/>
                <w:color w:val="auto"/>
              </w:rPr>
              <w:t>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line="216" w:lineRule="exact"/>
              <w:rPr>
                <w:sz w:val="20"/>
                <w:szCs w:val="20"/>
                <w:color w:val="auto"/>
              </w:rPr>
            </w:pPr>
            <w:r>
              <w:rPr>
                <w:rFonts w:ascii="Calibri" w:cs="Calibri" w:eastAsia="Calibri" w:hAnsi="Calibri"/>
                <w:sz w:val="18"/>
                <w:szCs w:val="18"/>
                <w:color w:val="auto"/>
              </w:rPr>
              <w:t>Interests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line="216" w:lineRule="exact"/>
              <w:rPr>
                <w:sz w:val="20"/>
                <w:szCs w:val="20"/>
                <w:color w:val="auto"/>
              </w:rPr>
            </w:pPr>
            <w:r>
              <w:rPr>
                <w:rFonts w:ascii="Calibri" w:cs="Calibri" w:eastAsia="Calibri" w:hAnsi="Calibri"/>
                <w:sz w:val="18"/>
                <w:szCs w:val="18"/>
                <w:color w:val="auto"/>
              </w:rPr>
              <w:t>Equity</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w w:val="99"/>
              </w:rPr>
              <w:t>Balance at December 31, 2020</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3,440.8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(158.4)</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$ 2,607.7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5,890.7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5,893.3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40" w:type="dxa"/>
            <w:vAlign w:val="bottom"/>
          </w:tcPr>
          <w:p>
            <w:pPr>
              <w:ind w:left="260"/>
              <w:spacing w:after="0" w:line="215" w:lineRule="exact"/>
              <w:rPr>
                <w:sz w:val="20"/>
                <w:szCs w:val="20"/>
                <w:color w:val="auto"/>
              </w:rPr>
            </w:pPr>
            <w:r>
              <w:rPr>
                <w:rFonts w:ascii="Calibri" w:cs="Calibri" w:eastAsia="Calibri" w:hAnsi="Calibri"/>
                <w:sz w:val="18"/>
                <w:szCs w:val="18"/>
                <w:color w:val="auto"/>
              </w:rPr>
              <w:t>Consolidated net earnings</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4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Other comprehensive</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earnings,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Borders>
              <w:bottom w:val="single" w:sz="8" w:color="CFF0FC"/>
            </w:tcBorders>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net of tax</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60"/>
              <w:spacing w:after="0" w:line="207" w:lineRule="exact"/>
              <w:rPr>
                <w:sz w:val="20"/>
                <w:szCs w:val="20"/>
                <w:color w:val="auto"/>
              </w:rPr>
            </w:pPr>
            <w:r>
              <w:rPr>
                <w:rFonts w:ascii="Calibri" w:cs="Calibri" w:eastAsia="Calibri" w:hAnsi="Calibri"/>
                <w:sz w:val="18"/>
                <w:szCs w:val="18"/>
                <w:color w:val="auto"/>
              </w:rPr>
              <w:t>Dividends declared ($0.57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60"/>
              <w:spacing w:after="0" w:line="215" w:lineRule="exact"/>
              <w:rPr>
                <w:sz w:val="20"/>
                <w:szCs w:val="20"/>
                <w:color w:val="auto"/>
              </w:rPr>
            </w:pPr>
            <w:r>
              <w:rPr>
                <w:rFonts w:ascii="Calibri" w:cs="Calibri" w:eastAsia="Calibri" w:hAnsi="Calibri"/>
                <w:sz w:val="18"/>
                <w:szCs w:val="18"/>
                <w:color w:val="auto"/>
              </w:rPr>
              <w:t>per share)</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(35.8)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(35.8)</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240" w:type="dxa"/>
            <w:vAlign w:val="bottom"/>
            <w:shd w:val="clear" w:color="auto" w:fill="CFF0FC"/>
          </w:tcPr>
          <w:p>
            <w:pPr>
              <w:ind w:left="260"/>
              <w:spacing w:after="0" w:line="207" w:lineRule="exact"/>
              <w:rPr>
                <w:sz w:val="20"/>
                <w:szCs w:val="20"/>
                <w:color w:val="auto"/>
              </w:rPr>
            </w:pPr>
            <w:r>
              <w:rPr>
                <w:rFonts w:ascii="Calibri" w:cs="Calibri" w:eastAsia="Calibri" w:hAnsi="Calibri"/>
                <w:sz w:val="18"/>
                <w:szCs w:val="18"/>
                <w:color w:val="auto"/>
                <w:w w:val="97"/>
              </w:rPr>
              <w:t>Issuances of common stock</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for stock</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tcBorders>
              <w:bottom w:val="single" w:sz="8" w:color="CFF0FC"/>
            </w:tcBorders>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award plans</w:t>
            </w:r>
          </w:p>
        </w:tc>
        <w:tc>
          <w:tcPr>
            <w:tcW w:w="920" w:type="dxa"/>
            <w:vAlign w:val="bottom"/>
            <w:tcBorders>
              <w:bottom w:val="single" w:sz="8" w:color="CFF0FC"/>
            </w:tcBorders>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60"/>
              <w:spacing w:after="0" w:line="207" w:lineRule="exact"/>
              <w:rPr>
                <w:sz w:val="20"/>
                <w:szCs w:val="20"/>
                <w:color w:val="auto"/>
              </w:rPr>
            </w:pPr>
            <w:r>
              <w:rPr>
                <w:rFonts w:ascii="Calibri" w:cs="Calibri" w:eastAsia="Calibri" w:hAnsi="Calibri"/>
                <w:sz w:val="18"/>
                <w:szCs w:val="18"/>
                <w:color w:val="auto"/>
              </w:rPr>
              <w:t>Shares withheld for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60"/>
              <w:spacing w:after="0" w:line="215" w:lineRule="exact"/>
              <w:rPr>
                <w:sz w:val="20"/>
                <w:szCs w:val="20"/>
                <w:color w:val="auto"/>
              </w:rPr>
            </w:pPr>
            <w:r>
              <w:rPr>
                <w:rFonts w:ascii="Calibri" w:cs="Calibri" w:eastAsia="Calibri" w:hAnsi="Calibri"/>
                <w:sz w:val="18"/>
                <w:szCs w:val="18"/>
                <w:color w:val="auto"/>
              </w:rPr>
              <w:t>employees'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80"/>
              <w:spacing w:after="0" w:line="216" w:lineRule="exact"/>
              <w:rPr>
                <w:sz w:val="20"/>
                <w:szCs w:val="20"/>
                <w:color w:val="auto"/>
              </w:rPr>
            </w:pPr>
            <w:r>
              <w:rPr>
                <w:rFonts w:ascii="Calibri" w:cs="Calibri" w:eastAsia="Calibri" w:hAnsi="Calibri"/>
                <w:sz w:val="18"/>
                <w:szCs w:val="18"/>
                <w:color w:val="auto"/>
              </w:rPr>
              <w:t>income tax obligatons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line="216" w:lineRule="exact"/>
              <w:rPr>
                <w:sz w:val="20"/>
                <w:szCs w:val="20"/>
                <w:color w:val="auto"/>
              </w:rPr>
            </w:pPr>
            <w:r>
              <w:rPr>
                <w:rFonts w:ascii="Calibri" w:cs="Calibri" w:eastAsia="Calibri" w:hAnsi="Calibri"/>
                <w:sz w:val="18"/>
                <w:szCs w:val="18"/>
                <w:color w:val="auto"/>
              </w:rPr>
              <w:t>(15.5)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rPr>
              <w:t>(15.5)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line="216" w:lineRule="exact"/>
              <w:rPr>
                <w:sz w:val="20"/>
                <w:szCs w:val="20"/>
                <w:color w:val="auto"/>
              </w:rPr>
            </w:pPr>
            <w:r>
              <w:rPr>
                <w:rFonts w:ascii="Calibri" w:cs="Calibri" w:eastAsia="Calibri" w:hAnsi="Calibri"/>
                <w:sz w:val="18"/>
                <w:szCs w:val="18"/>
                <w:color w:val="auto"/>
              </w:rPr>
              <w:t>(15.5)</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240" w:type="dxa"/>
            <w:vAlign w:val="bottom"/>
            <w:shd w:val="clear" w:color="auto" w:fill="CFF0FC"/>
          </w:tcPr>
          <w:p>
            <w:pPr>
              <w:ind w:left="260"/>
              <w:spacing w:after="0" w:line="207" w:lineRule="exact"/>
              <w:rPr>
                <w:sz w:val="20"/>
                <w:szCs w:val="20"/>
                <w:color w:val="auto"/>
              </w:rPr>
            </w:pPr>
            <w:r>
              <w:rPr>
                <w:rFonts w:ascii="Calibri" w:cs="Calibri" w:eastAsia="Calibri" w:hAnsi="Calibri"/>
                <w:sz w:val="18"/>
                <w:szCs w:val="18"/>
                <w:color w:val="auto"/>
              </w:rPr>
              <w:t>Stock-based compensaton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40" w:type="dxa"/>
            <w:vAlign w:val="bottom"/>
            <w:tcBorders>
              <w:bottom w:val="single" w:sz="8" w:color="CFF0FC"/>
            </w:tcBorders>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expense</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Calibri" w:cs="Calibri" w:eastAsia="Calibri" w:hAnsi="Calibri"/>
                <w:sz w:val="18"/>
                <w:szCs w:val="18"/>
                <w:color w:val="auto"/>
              </w:rPr>
              <w:t>Balance at March 31, 2021</w:t>
            </w: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24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62.4</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0.6</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3,441.7</w:t>
            </w: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(155.6)</w:t>
            </w:r>
          </w:p>
        </w:tc>
        <w:tc>
          <w:tcPr>
            <w:tcW w:w="80" w:type="dxa"/>
            <w:vAlign w:val="bottom"/>
            <w:vMerge w:val="continue"/>
          </w:tcPr>
          <w:p>
            <w:pPr>
              <w:spacing w:after="0"/>
              <w:rPr>
                <w:sz w:val="22"/>
                <w:szCs w:val="22"/>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$ 2,637.2</w:t>
            </w: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8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5,923.9</w:t>
            </w: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c>
          <w:tcPr>
            <w:tcW w:w="24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5,926.7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line="215" w:lineRule="exact"/>
              <w:rPr>
                <w:sz w:val="20"/>
                <w:szCs w:val="20"/>
                <w:color w:val="auto"/>
              </w:rPr>
            </w:pPr>
            <w:r>
              <w:rPr>
                <w:rFonts w:ascii="Calibri" w:cs="Calibri" w:eastAsia="Calibri" w:hAnsi="Calibri"/>
                <w:sz w:val="18"/>
                <w:szCs w:val="18"/>
                <w:color w:val="auto"/>
                <w:w w:val="99"/>
              </w:rPr>
              <w:t>Balance at December 31, 2021</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62.4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0.6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3,470.4</w:t>
            </w:r>
          </w:p>
        </w:tc>
        <w:tc>
          <w:tcPr>
            <w:tcW w:w="120" w:type="dxa"/>
            <w:vAlign w:val="bottom"/>
          </w:tcPr>
          <w:p>
            <w:pPr>
              <w:spacing w:after="0"/>
              <w:rPr>
                <w:sz w:val="19"/>
                <w:szCs w:val="19"/>
                <w:color w:val="auto"/>
              </w:rPr>
            </w:pPr>
          </w:p>
        </w:tc>
        <w:tc>
          <w:tcPr>
            <w:tcW w:w="300" w:type="dxa"/>
            <w:vAlign w:val="bottom"/>
            <w:gridSpan w:val="2"/>
          </w:tcPr>
          <w:p>
            <w:pPr>
              <w:ind w:left="8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(97.6)</w:t>
            </w:r>
          </w:p>
        </w:tc>
        <w:tc>
          <w:tcPr>
            <w:tcW w:w="8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$ 3,161.9</w:t>
            </w:r>
          </w:p>
        </w:tc>
        <w:tc>
          <w:tcPr>
            <w:tcW w:w="120" w:type="dxa"/>
            <w:vAlign w:val="bottom"/>
          </w:tcPr>
          <w:p>
            <w:pPr>
              <w:spacing w:after="0"/>
              <w:rPr>
                <w:sz w:val="19"/>
                <w:szCs w:val="19"/>
                <w:color w:val="auto"/>
              </w:rPr>
            </w:pPr>
          </w:p>
        </w:tc>
        <w:tc>
          <w:tcPr>
            <w:tcW w:w="260" w:type="dxa"/>
            <w:vAlign w:val="bottom"/>
            <w:gridSpan w:val="2"/>
          </w:tcPr>
          <w:p>
            <w:pPr>
              <w:ind w:left="8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6,535.3</w:t>
            </w:r>
          </w:p>
        </w:tc>
        <w:tc>
          <w:tcPr>
            <w:tcW w:w="120" w:type="dxa"/>
            <w:vAlign w:val="bottom"/>
          </w:tcPr>
          <w:p>
            <w:pPr>
              <w:spacing w:after="0"/>
              <w:rPr>
                <w:sz w:val="19"/>
                <w:szCs w:val="19"/>
                <w:color w:val="auto"/>
              </w:rPr>
            </w:pPr>
          </w:p>
        </w:tc>
        <w:tc>
          <w:tcPr>
            <w:tcW w:w="240" w:type="dxa"/>
            <w:vAlign w:val="bottom"/>
            <w:gridSpan w:val="2"/>
          </w:tcPr>
          <w:p>
            <w:pPr>
              <w:ind w:left="8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2.3</w:t>
            </w:r>
          </w:p>
        </w:tc>
        <w:tc>
          <w:tcPr>
            <w:tcW w:w="240" w:type="dxa"/>
            <w:vAlign w:val="bottom"/>
          </w:tcPr>
          <w:p>
            <w:pPr>
              <w:spacing w:after="0"/>
              <w:rPr>
                <w:sz w:val="19"/>
                <w:szCs w:val="19"/>
                <w:color w:val="auto"/>
              </w:rPr>
            </w:pP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6,537.6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4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Consolidated net earnings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40" w:type="dxa"/>
            <w:vAlign w:val="bottom"/>
            <w:tcBorders>
              <w:bottom w:val="single" w:sz="8" w:color="CFF0FC"/>
            </w:tcBorders>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(loss)</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21.4</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21.4</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(0.1)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60"/>
              <w:spacing w:after="0" w:line="207" w:lineRule="exact"/>
              <w:rPr>
                <w:sz w:val="20"/>
                <w:szCs w:val="20"/>
                <w:color w:val="auto"/>
              </w:rPr>
            </w:pPr>
            <w:r>
              <w:rPr>
                <w:rFonts w:ascii="Calibri" w:cs="Calibri" w:eastAsia="Calibri" w:hAnsi="Calibri"/>
                <w:sz w:val="18"/>
                <w:szCs w:val="18"/>
                <w:color w:val="auto"/>
              </w:rPr>
              <w:t>Other comprehensive loss,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60"/>
              <w:spacing w:after="0" w:line="215" w:lineRule="exact"/>
              <w:rPr>
                <w:sz w:val="20"/>
                <w:szCs w:val="20"/>
                <w:color w:val="auto"/>
              </w:rPr>
            </w:pPr>
            <w:r>
              <w:rPr>
                <w:rFonts w:ascii="Calibri" w:cs="Calibri" w:eastAsia="Calibri" w:hAnsi="Calibri"/>
                <w:sz w:val="18"/>
                <w:szCs w:val="18"/>
                <w:color w:val="auto"/>
              </w:rPr>
              <w:t>net of tax</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(31.6)</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(31.6)</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240" w:type="dxa"/>
            <w:vAlign w:val="bottom"/>
            <w:shd w:val="clear" w:color="auto" w:fill="CFF0FC"/>
          </w:tcPr>
          <w:p>
            <w:pPr>
              <w:ind w:left="260"/>
              <w:spacing w:after="0" w:line="207" w:lineRule="exact"/>
              <w:rPr>
                <w:sz w:val="20"/>
                <w:szCs w:val="20"/>
                <w:color w:val="auto"/>
              </w:rPr>
            </w:pPr>
            <w:r>
              <w:rPr>
                <w:rFonts w:ascii="Calibri" w:cs="Calibri" w:eastAsia="Calibri" w:hAnsi="Calibri"/>
                <w:sz w:val="18"/>
                <w:szCs w:val="18"/>
                <w:color w:val="auto"/>
              </w:rPr>
              <w:t>Dividends declared ($0.61</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40" w:type="dxa"/>
            <w:vAlign w:val="bottom"/>
            <w:tcBorders>
              <w:bottom w:val="single" w:sz="8" w:color="CFF0FC"/>
            </w:tcBorders>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per share)</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FF0FC"/>
            </w:tcBorders>
            <w:gridSpan w:val="3"/>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(38.4)</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(38.4)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(38.4)</w:t>
            </w:r>
          </w:p>
        </w:tc>
        <w:tc>
          <w:tcPr>
            <w:tcW w:w="0" w:type="dxa"/>
            <w:vAlign w:val="bottom"/>
          </w:tcPr>
          <w:p>
            <w:pPr>
              <w:spacing w:after="0"/>
              <w:rPr>
                <w:sz w:val="1"/>
                <w:szCs w:val="1"/>
                <w:color w:val="auto"/>
              </w:rPr>
            </w:pPr>
          </w:p>
        </w:tc>
      </w:tr>
      <w:tr>
        <w:trPr>
          <w:trHeight w:val="207"/>
        </w:trPr>
        <w:tc>
          <w:tcPr>
            <w:tcW w:w="2240" w:type="dxa"/>
            <w:vAlign w:val="bottom"/>
          </w:tcPr>
          <w:p>
            <w:pPr>
              <w:ind w:left="260"/>
              <w:spacing w:after="0" w:line="207" w:lineRule="exact"/>
              <w:rPr>
                <w:sz w:val="20"/>
                <w:szCs w:val="20"/>
                <w:color w:val="auto"/>
              </w:rPr>
            </w:pPr>
            <w:r>
              <w:rPr>
                <w:rFonts w:ascii="Calibri" w:cs="Calibri" w:eastAsia="Calibri" w:hAnsi="Calibri"/>
                <w:sz w:val="18"/>
                <w:szCs w:val="18"/>
                <w:color w:val="auto"/>
                <w:w w:val="97"/>
              </w:rPr>
              <w:t>Issuances of common stock</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60"/>
              <w:spacing w:after="0" w:line="215" w:lineRule="exact"/>
              <w:rPr>
                <w:sz w:val="20"/>
                <w:szCs w:val="20"/>
                <w:color w:val="auto"/>
              </w:rPr>
            </w:pPr>
            <w:r>
              <w:rPr>
                <w:rFonts w:ascii="Calibri" w:cs="Calibri" w:eastAsia="Calibri" w:hAnsi="Calibri"/>
                <w:sz w:val="18"/>
                <w:szCs w:val="18"/>
                <w:color w:val="auto"/>
              </w:rPr>
              <w:t>for stock</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80"/>
              <w:spacing w:after="0" w:line="216" w:lineRule="exact"/>
              <w:rPr>
                <w:sz w:val="20"/>
                <w:szCs w:val="20"/>
                <w:color w:val="auto"/>
              </w:rPr>
            </w:pPr>
            <w:r>
              <w:rPr>
                <w:rFonts w:ascii="Calibri" w:cs="Calibri" w:eastAsia="Calibri" w:hAnsi="Calibri"/>
                <w:sz w:val="18"/>
                <w:szCs w:val="18"/>
                <w:color w:val="auto"/>
              </w:rPr>
              <w:t>award plans</w:t>
            </w:r>
          </w:p>
        </w:tc>
        <w:tc>
          <w:tcPr>
            <w:tcW w:w="92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Calibri" w:cs="Calibri" w:eastAsia="Calibri" w:hAnsi="Calibri"/>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Calibri" w:cs="Calibri" w:eastAsia="Calibri" w:hAnsi="Calibri"/>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line="216" w:lineRule="exact"/>
              <w:rPr>
                <w:sz w:val="20"/>
                <w:szCs w:val="20"/>
                <w:color w:val="auto"/>
              </w:rPr>
            </w:pPr>
            <w:r>
              <w:rPr>
                <w:rFonts w:ascii="Calibri" w:cs="Calibri" w:eastAsia="Calibri" w:hAnsi="Calibri"/>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240" w:type="dxa"/>
            <w:vAlign w:val="bottom"/>
            <w:shd w:val="clear" w:color="auto" w:fill="CFF0FC"/>
          </w:tcPr>
          <w:p>
            <w:pPr>
              <w:ind w:left="260"/>
              <w:spacing w:after="0" w:line="207" w:lineRule="exact"/>
              <w:rPr>
                <w:sz w:val="20"/>
                <w:szCs w:val="20"/>
                <w:color w:val="auto"/>
              </w:rPr>
            </w:pPr>
            <w:r>
              <w:rPr>
                <w:rFonts w:ascii="Calibri" w:cs="Calibri" w:eastAsia="Calibri" w:hAnsi="Calibri"/>
                <w:sz w:val="18"/>
                <w:szCs w:val="18"/>
                <w:color w:val="auto"/>
              </w:rPr>
              <w:t>Shares withheld for</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employees'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Borders>
              <w:bottom w:val="single" w:sz="8" w:color="CFF0FC"/>
            </w:tcBorders>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income tax obligatons</w:t>
            </w: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(24.4)</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(24.4)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(24.4)</w:t>
            </w:r>
          </w:p>
        </w:tc>
        <w:tc>
          <w:tcPr>
            <w:tcW w:w="0" w:type="dxa"/>
            <w:vAlign w:val="bottom"/>
          </w:tcPr>
          <w:p>
            <w:pPr>
              <w:spacing w:after="0"/>
              <w:rPr>
                <w:sz w:val="1"/>
                <w:szCs w:val="1"/>
                <w:color w:val="auto"/>
              </w:rPr>
            </w:pPr>
          </w:p>
        </w:tc>
      </w:tr>
      <w:tr>
        <w:trPr>
          <w:trHeight w:val="207"/>
        </w:trPr>
        <w:tc>
          <w:tcPr>
            <w:tcW w:w="2240" w:type="dxa"/>
            <w:vAlign w:val="bottom"/>
          </w:tcPr>
          <w:p>
            <w:pPr>
              <w:ind w:left="260"/>
              <w:spacing w:after="0" w:line="207" w:lineRule="exact"/>
              <w:rPr>
                <w:sz w:val="20"/>
                <w:szCs w:val="20"/>
                <w:color w:val="auto"/>
              </w:rPr>
            </w:pPr>
            <w:r>
              <w:rPr>
                <w:rFonts w:ascii="Calibri" w:cs="Calibri" w:eastAsia="Calibri" w:hAnsi="Calibri"/>
                <w:sz w:val="18"/>
                <w:szCs w:val="18"/>
                <w:color w:val="auto"/>
              </w:rPr>
              <w:t>Repurchases of common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60"/>
              <w:spacing w:after="0" w:line="215" w:lineRule="exact"/>
              <w:rPr>
                <w:sz w:val="20"/>
                <w:szCs w:val="20"/>
                <w:color w:val="auto"/>
              </w:rPr>
            </w:pPr>
            <w:r>
              <w:rPr>
                <w:rFonts w:ascii="Calibri" w:cs="Calibri" w:eastAsia="Calibri" w:hAnsi="Calibri"/>
                <w:sz w:val="18"/>
                <w:szCs w:val="18"/>
                <w:color w:val="auto"/>
              </w:rPr>
              <w:t>stock</w:t>
            </w:r>
          </w:p>
        </w:tc>
        <w:tc>
          <w:tcPr>
            <w:tcW w:w="112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(0.1)</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3"/>
          </w:tcPr>
          <w:p>
            <w:pPr>
              <w:jc w:val="right"/>
              <w:ind w:right="80"/>
              <w:spacing w:after="0" w:line="215" w:lineRule="exact"/>
              <w:rPr>
                <w:sz w:val="20"/>
                <w:szCs w:val="20"/>
                <w:color w:val="auto"/>
              </w:rPr>
            </w:pPr>
            <w:r>
              <w:rPr>
                <w:rFonts w:ascii="Calibri" w:cs="Calibri" w:eastAsia="Calibri" w:hAnsi="Calibri"/>
                <w:sz w:val="18"/>
                <w:szCs w:val="18"/>
                <w:color w:val="auto"/>
              </w:rPr>
              <w:t>(50.0)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(50.0)</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240" w:type="dxa"/>
            <w:vAlign w:val="bottom"/>
            <w:shd w:val="clear" w:color="auto" w:fill="CFF0FC"/>
          </w:tcPr>
          <w:p>
            <w:pPr>
              <w:ind w:left="260"/>
              <w:spacing w:after="0" w:line="207" w:lineRule="exact"/>
              <w:rPr>
                <w:sz w:val="20"/>
                <w:szCs w:val="20"/>
                <w:color w:val="auto"/>
              </w:rPr>
            </w:pPr>
            <w:r>
              <w:rPr>
                <w:rFonts w:ascii="Calibri" w:cs="Calibri" w:eastAsia="Calibri" w:hAnsi="Calibri"/>
                <w:sz w:val="18"/>
                <w:szCs w:val="18"/>
                <w:color w:val="auto"/>
              </w:rPr>
              <w:t>Stock-based compensaton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40" w:type="dxa"/>
            <w:vAlign w:val="bottom"/>
            <w:tcBorders>
              <w:bottom w:val="single" w:sz="8" w:color="CFF0FC"/>
            </w:tcBorders>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expense</w:t>
            </w:r>
          </w:p>
        </w:tc>
        <w:tc>
          <w:tcPr>
            <w:tcW w:w="1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shd w:val="clear" w:color="auto" w:fill="CFF0FC"/>
          </w:tcPr>
          <w:p>
            <w:pPr>
              <w:spacing w:after="0"/>
              <w:rPr>
                <w:sz w:val="20"/>
                <w:szCs w:val="20"/>
                <w:color w:val="auto"/>
              </w:rPr>
            </w:pPr>
            <w:r>
              <w:rPr>
                <w:rFonts w:ascii="Calibri" w:cs="Calibri" w:eastAsia="Calibri" w:hAnsi="Calibri"/>
                <w:sz w:val="18"/>
                <w:szCs w:val="18"/>
                <w:color w:val="auto"/>
              </w:rPr>
              <w:t>Balance at March 31, 2022</w:t>
            </w:r>
          </w:p>
        </w:tc>
        <w:tc>
          <w:tcPr>
            <w:tcW w:w="18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62.4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3,462.6</w:t>
            </w:r>
          </w:p>
        </w:tc>
        <w:tc>
          <w:tcPr>
            <w:tcW w:w="12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(129.2)</w:t>
            </w:r>
          </w:p>
        </w:tc>
        <w:tc>
          <w:tcPr>
            <w:tcW w:w="8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$ 3,094.9</w:t>
            </w:r>
          </w:p>
        </w:tc>
        <w:tc>
          <w:tcPr>
            <w:tcW w:w="12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6,428.9</w:t>
            </w:r>
          </w:p>
        </w:tc>
        <w:tc>
          <w:tcPr>
            <w:tcW w:w="12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2.2</w:t>
            </w:r>
          </w:p>
        </w:tc>
        <w:tc>
          <w:tcPr>
            <w:tcW w:w="24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6,431.1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93" w:lineRule="exact"/>
        <w:rPr>
          <w:sz w:val="20"/>
          <w:szCs w:val="20"/>
          <w:color w:val="auto"/>
        </w:rPr>
      </w:pPr>
    </w:p>
    <w:p>
      <w:pPr>
        <w:ind w:left="5120"/>
        <w:spacing w:after="0"/>
        <w:rPr>
          <w:sz w:val="20"/>
          <w:szCs w:val="20"/>
          <w:color w:val="auto"/>
        </w:rPr>
      </w:pPr>
      <w:r>
        <w:rPr>
          <w:rFonts w:ascii="Calibri" w:cs="Calibri" w:eastAsia="Calibri" w:hAnsi="Calibri"/>
          <w:sz w:val="20"/>
          <w:szCs w:val="20"/>
          <w:color w:val="auto"/>
        </w:rPr>
        <w:t>Page 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spacing w:after="0" w:line="130" w:lineRule="exact"/>
        <w:rPr>
          <w:sz w:val="20"/>
          <w:szCs w:val="20"/>
          <w:color w:val="auto"/>
        </w:rPr>
      </w:pPr>
    </w:p>
    <w:p>
      <w:pPr>
        <w:ind w:left="280" w:right="8440" w:hanging="272"/>
        <w:spacing w:after="0" w:line="335" w:lineRule="auto"/>
        <w:tabs>
          <w:tab w:leader="none" w:pos="269"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Signifcant Accountng Policies Organizaton</w:t>
      </w:r>
    </w:p>
    <w:p>
      <w:pPr>
        <w:spacing w:after="0" w:line="20" w:lineRule="exact"/>
        <w:rPr>
          <w:rFonts w:ascii="Calibri" w:cs="Calibri" w:eastAsia="Calibri" w:hAnsi="Calibri"/>
          <w:sz w:val="20"/>
          <w:szCs w:val="20"/>
          <w:b w:val="1"/>
          <w:bCs w:val="1"/>
          <w:color w:val="auto"/>
        </w:rPr>
      </w:pPr>
    </w:p>
    <w:p>
      <w:pPr>
        <w:jc w:val="both"/>
        <w:ind w:left="280"/>
        <w:spacing w:after="0"/>
        <w:rPr>
          <w:rFonts w:ascii="Calibri" w:cs="Calibri" w:eastAsia="Calibri" w:hAnsi="Calibri"/>
          <w:sz w:val="20"/>
          <w:szCs w:val="20"/>
          <w:b w:val="1"/>
          <w:bCs w:val="1"/>
          <w:color w:val="auto"/>
        </w:rPr>
      </w:pPr>
      <w:r>
        <w:rPr>
          <w:rFonts w:ascii="Calibri" w:cs="Calibri" w:eastAsia="Calibri" w:hAnsi="Calibri"/>
          <w:sz w:val="20"/>
          <w:szCs w:val="20"/>
          <w:color w:val="auto"/>
        </w:rPr>
        <w:t>Martn Marieta Materials, Inc. (the Company or Martn Marieta) is a natural resource-based building materials company. As of March 31, 2022, the Company supplies aggregates (crushed stone, sand and gravel) through its network of approximately 350 quarries, mines and distributon yards in 28 states, Canada and The Bahamas. Martn Marieta also provides cement and downstream products and services, namely, ready mixed concrete, asphalt and paving, in vertcally-integrated structured markets where the Company has a leading aggregates positon. In additon, the Company has two cement plants, cement distributon terminals and ready mixed concrete operatons primarily in California that are classifed as assets held for sale and discontnued operatons as of and for the quarter ended March 31, 2022. The Company’s heavy-side building materials are used in infrastructure, nonresidental and residental constructon projects. Aggregates are also used in agricultural, utlity and environmental applicatons and as railroad ballast. The aggregates, cement, ready mixed concrete, asphalt and paving product lines are reported collectvely as the “Building Materials” business.</w:t>
      </w:r>
    </w:p>
    <w:p>
      <w:pPr>
        <w:spacing w:after="0" w:line="331" w:lineRule="exact"/>
        <w:rPr>
          <w:sz w:val="20"/>
          <w:szCs w:val="20"/>
          <w:color w:val="auto"/>
        </w:rPr>
      </w:pPr>
    </w:p>
    <w:p>
      <w:pPr>
        <w:ind w:left="280"/>
        <w:spacing w:after="0"/>
        <w:rPr>
          <w:sz w:val="20"/>
          <w:szCs w:val="20"/>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93" w:lineRule="exact"/>
        <w:rPr>
          <w:sz w:val="20"/>
          <w:szCs w:val="20"/>
          <w:color w:val="auto"/>
        </w:rPr>
      </w:pPr>
    </w:p>
    <w:p>
      <w:pPr>
        <w:ind w:left="4280"/>
        <w:spacing w:after="0"/>
        <w:rPr>
          <w:sz w:val="20"/>
          <w:szCs w:val="20"/>
          <w:color w:val="auto"/>
        </w:rPr>
      </w:pPr>
      <w:r>
        <w:rPr>
          <w:rFonts w:ascii="Calibri" w:cs="Calibri" w:eastAsia="Calibri" w:hAnsi="Calibri"/>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40" w:type="dxa"/>
            <w:vAlign w:val="bottom"/>
            <w:tcBorders>
              <w:top w:val="single" w:sz="8" w:color="auto"/>
            </w:tcBorders>
            <w:gridSpan w:val="2"/>
          </w:tcPr>
          <w:p>
            <w:pPr>
              <w:spacing w:after="0"/>
              <w:rPr>
                <w:sz w:val="20"/>
                <w:szCs w:val="20"/>
                <w:color w:val="auto"/>
              </w:rPr>
            </w:pPr>
            <w:r>
              <w:rPr>
                <w:rFonts w:ascii="Calibri" w:cs="Calibri" w:eastAsia="Calibri" w:hAnsi="Calibri"/>
                <w:sz w:val="20"/>
                <w:szCs w:val="20"/>
                <w:color w:val="auto"/>
              </w:rPr>
              <w:t>Reportable Segments</w:t>
            </w:r>
          </w:p>
        </w:tc>
        <w:tc>
          <w:tcPr>
            <w:tcW w:w="3900" w:type="dxa"/>
            <w:vAlign w:val="bottom"/>
            <w:tcBorders>
              <w:top w:val="single" w:sz="8" w:color="auto"/>
            </w:tcBorders>
            <w:gridSpan w:val="2"/>
          </w:tcPr>
          <w:p>
            <w:pPr>
              <w:jc w:val="center"/>
              <w:ind w:right="160"/>
              <w:spacing w:after="0"/>
              <w:rPr>
                <w:sz w:val="20"/>
                <w:szCs w:val="20"/>
                <w:color w:val="auto"/>
              </w:rPr>
            </w:pPr>
            <w:r>
              <w:rPr>
                <w:rFonts w:ascii="Calibri" w:cs="Calibri" w:eastAsia="Calibri" w:hAnsi="Calibri"/>
                <w:sz w:val="20"/>
                <w:szCs w:val="20"/>
                <w:color w:val="auto"/>
              </w:rPr>
              <w:t>East Group</w:t>
            </w:r>
          </w:p>
        </w:tc>
        <w:tc>
          <w:tcPr>
            <w:tcW w:w="4000" w:type="dxa"/>
            <w:vAlign w:val="bottom"/>
            <w:tcBorders>
              <w:top w:val="single" w:sz="8" w:color="auto"/>
            </w:tcBorders>
          </w:tcPr>
          <w:p>
            <w:pPr>
              <w:jc w:val="center"/>
              <w:spacing w:after="0"/>
              <w:rPr>
                <w:sz w:val="20"/>
                <w:szCs w:val="20"/>
                <w:color w:val="auto"/>
              </w:rPr>
            </w:pPr>
            <w:r>
              <w:rPr>
                <w:rFonts w:ascii="Calibri" w:cs="Calibri" w:eastAsia="Calibri" w:hAnsi="Calibri"/>
                <w:sz w:val="20"/>
                <w:szCs w:val="20"/>
                <w:color w:val="auto"/>
                <w:w w:val="97"/>
              </w:rPr>
              <w:t>West Group</w:t>
            </w:r>
          </w:p>
        </w:tc>
        <w:tc>
          <w:tcPr>
            <w:tcW w:w="0" w:type="dxa"/>
            <w:vAlign w:val="bottom"/>
          </w:tcPr>
          <w:p>
            <w:pPr>
              <w:spacing w:after="0"/>
              <w:rPr>
                <w:sz w:val="1"/>
                <w:szCs w:val="1"/>
                <w:color w:val="auto"/>
              </w:rPr>
            </w:pPr>
          </w:p>
        </w:tc>
      </w:tr>
      <w:tr>
        <w:trPr>
          <w:trHeight w:val="22"/>
        </w:trPr>
        <w:tc>
          <w:tcPr>
            <w:tcW w:w="31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160" w:type="dxa"/>
            <w:vAlign w:val="bottom"/>
          </w:tcPr>
          <w:p>
            <w:pPr>
              <w:spacing w:after="0" w:line="212" w:lineRule="exact"/>
              <w:rPr>
                <w:sz w:val="20"/>
                <w:szCs w:val="20"/>
                <w:color w:val="auto"/>
              </w:rPr>
            </w:pPr>
            <w:r>
              <w:rPr>
                <w:rFonts w:ascii="Calibri" w:cs="Calibri" w:eastAsia="Calibri" w:hAnsi="Calibri"/>
                <w:sz w:val="20"/>
                <w:szCs w:val="20"/>
                <w:color w:val="auto"/>
              </w:rPr>
              <w:t>Operatng Locatons</w:t>
            </w:r>
          </w:p>
        </w:tc>
        <w:tc>
          <w:tcPr>
            <w:tcW w:w="180" w:type="dxa"/>
            <w:vAlign w:val="bottom"/>
            <w:vMerge w:val="continue"/>
          </w:tcPr>
          <w:p>
            <w:pPr>
              <w:spacing w:after="0"/>
              <w:rPr>
                <w:sz w:val="18"/>
                <w:szCs w:val="18"/>
                <w:color w:val="auto"/>
              </w:rPr>
            </w:pPr>
          </w:p>
        </w:tc>
        <w:tc>
          <w:tcPr>
            <w:tcW w:w="372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w:t>
            </w:r>
          </w:p>
        </w:tc>
        <w:tc>
          <w:tcPr>
            <w:tcW w:w="180" w:type="dxa"/>
            <w:vAlign w:val="bottom"/>
            <w:vMerge w:val="continue"/>
          </w:tcPr>
          <w:p>
            <w:pPr>
              <w:spacing w:after="0"/>
              <w:rPr>
                <w:sz w:val="18"/>
                <w:szCs w:val="18"/>
                <w:color w:val="auto"/>
              </w:rPr>
            </w:pPr>
          </w:p>
        </w:tc>
        <w:tc>
          <w:tcPr>
            <w:tcW w:w="400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2"/>
          </w:tcPr>
          <w:p>
            <w:pPr>
              <w:jc w:val="center"/>
              <w:ind w:right="200"/>
              <w:spacing w:after="0" w:line="234" w:lineRule="exact"/>
              <w:rPr>
                <w:sz w:val="20"/>
                <w:szCs w:val="20"/>
                <w:color w:val="auto"/>
              </w:rPr>
            </w:pPr>
            <w:r>
              <w:rPr>
                <w:rFonts w:ascii="Calibri" w:cs="Calibri" w:eastAsia="Calibri" w:hAnsi="Calibri"/>
                <w:sz w:val="20"/>
                <w:szCs w:val="20"/>
                <w:color w:val="auto"/>
              </w:rPr>
              <w:t>Iowa, Kansas, Kentucky, Maryland,</w:t>
            </w:r>
          </w:p>
        </w:tc>
        <w:tc>
          <w:tcPr>
            <w:tcW w:w="4000" w:type="dxa"/>
            <w:vAlign w:val="bottom"/>
          </w:tcPr>
          <w:p>
            <w:pPr>
              <w:jc w:val="center"/>
              <w:spacing w:after="0" w:line="234" w:lineRule="exact"/>
              <w:rPr>
                <w:sz w:val="20"/>
                <w:szCs w:val="20"/>
                <w:color w:val="auto"/>
              </w:rPr>
            </w:pPr>
            <w:r>
              <w:rPr>
                <w:rFonts w:ascii="Calibri" w:cs="Calibri" w:eastAsia="Calibri" w:hAnsi="Calibri"/>
                <w:sz w:val="20"/>
                <w:szCs w:val="20"/>
                <w:color w:val="auto"/>
              </w:rPr>
              <w:t>Louisiana, Oklahoma, Texas, Utah,</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ind w:left="960"/>
              <w:spacing w:after="0" w:line="243" w:lineRule="exact"/>
              <w:rPr>
                <w:sz w:val="20"/>
                <w:szCs w:val="20"/>
                <w:color w:val="auto"/>
              </w:rPr>
            </w:pPr>
            <w:r>
              <w:rPr>
                <w:rFonts w:ascii="Calibri" w:cs="Calibri" w:eastAsia="Calibri" w:hAnsi="Calibri"/>
                <w:sz w:val="20"/>
                <w:szCs w:val="20"/>
                <w:color w:val="auto"/>
              </w:rPr>
              <w:t>Minnesota, Missouri,</w:t>
            </w:r>
          </w:p>
        </w:tc>
        <w:tc>
          <w:tcPr>
            <w:tcW w:w="4000" w:type="dxa"/>
            <w:vAlign w:val="bottom"/>
          </w:tcPr>
          <w:p>
            <w:pPr>
              <w:jc w:val="center"/>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180"/>
              <w:spacing w:after="0" w:line="243" w:lineRule="exact"/>
              <w:rPr>
                <w:sz w:val="20"/>
                <w:szCs w:val="20"/>
                <w:color w:val="auto"/>
              </w:rPr>
            </w:pPr>
            <w:r>
              <w:rPr>
                <w:rFonts w:ascii="Calibri" w:cs="Calibri" w:eastAsia="Calibri" w:hAnsi="Calibri"/>
                <w:sz w:val="20"/>
                <w:szCs w:val="20"/>
                <w:color w:val="auto"/>
              </w:rPr>
              <w:t>Nebraska, North Carolina, Ohio,</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220"/>
              <w:spacing w:after="0" w:line="243" w:lineRule="exact"/>
              <w:rPr>
                <w:sz w:val="20"/>
                <w:szCs w:val="20"/>
                <w:color w:val="auto"/>
              </w:rPr>
            </w:pPr>
            <w:r>
              <w:rPr>
                <w:rFonts w:ascii="Calibri" w:cs="Calibri" w:eastAsia="Calibri" w:hAnsi="Calibri"/>
                <w:sz w:val="20"/>
                <w:szCs w:val="20"/>
                <w:color w:val="auto"/>
              </w:rPr>
              <w:t>Pennsylvania, South Carolina,</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220"/>
              <w:spacing w:after="0" w:line="243" w:lineRule="exact"/>
              <w:rPr>
                <w:sz w:val="20"/>
                <w:szCs w:val="20"/>
                <w:color w:val="auto"/>
              </w:rPr>
            </w:pPr>
            <w:r>
              <w:rPr>
                <w:rFonts w:ascii="Calibri" w:cs="Calibri" w:eastAsia="Calibri" w:hAnsi="Calibri"/>
                <w:sz w:val="20"/>
                <w:szCs w:val="20"/>
                <w:color w:val="auto"/>
                <w:w w:val="99"/>
              </w:rPr>
              <w:t>Tennessee, Virginia, West Virginia,</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160"/>
              <w:spacing w:after="0" w:line="243" w:lineRule="exact"/>
              <w:rPr>
                <w:sz w:val="20"/>
                <w:szCs w:val="20"/>
                <w:color w:val="auto"/>
              </w:rPr>
            </w:pPr>
            <w:r>
              <w:rPr>
                <w:rFonts w:ascii="Calibri" w:cs="Calibri" w:eastAsia="Calibri" w:hAnsi="Calibri"/>
                <w:sz w:val="20"/>
                <w:szCs w:val="20"/>
                <w:color w:val="auto"/>
              </w:rPr>
              <w:t>Nova Scota and The Bahamas</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3340" w:type="dxa"/>
            <w:vAlign w:val="bottom"/>
            <w:gridSpan w:val="2"/>
          </w:tcPr>
          <w:p>
            <w:pPr>
              <w:spacing w:after="0"/>
              <w:rPr>
                <w:sz w:val="20"/>
                <w:szCs w:val="20"/>
                <w:color w:val="auto"/>
              </w:rPr>
            </w:pPr>
            <w:r>
              <w:rPr>
                <w:rFonts w:ascii="Calibri" w:cs="Calibri" w:eastAsia="Calibri" w:hAnsi="Calibri"/>
                <w:sz w:val="20"/>
                <w:szCs w:val="20"/>
                <w:color w:val="auto"/>
              </w:rPr>
              <w:t>Product Lines</w:t>
            </w:r>
          </w:p>
        </w:tc>
        <w:tc>
          <w:tcPr>
            <w:tcW w:w="3900" w:type="dxa"/>
            <w:vAlign w:val="bottom"/>
            <w:gridSpan w:val="2"/>
          </w:tcPr>
          <w:p>
            <w:pPr>
              <w:jc w:val="center"/>
              <w:ind w:right="160"/>
              <w:spacing w:after="0"/>
              <w:rPr>
                <w:sz w:val="20"/>
                <w:szCs w:val="20"/>
                <w:color w:val="auto"/>
              </w:rPr>
            </w:pPr>
            <w:r>
              <w:rPr>
                <w:rFonts w:ascii="Calibri" w:cs="Calibri" w:eastAsia="Calibri" w:hAnsi="Calibri"/>
                <w:sz w:val="20"/>
                <w:szCs w:val="20"/>
                <w:color w:val="auto"/>
              </w:rPr>
              <w:t>Aggregates and Asphalt</w:t>
            </w:r>
          </w:p>
        </w:tc>
        <w:tc>
          <w:tcPr>
            <w:tcW w:w="4000" w:type="dxa"/>
            <w:vAlign w:val="bottom"/>
          </w:tcPr>
          <w:p>
            <w:pPr>
              <w:jc w:val="center"/>
              <w:spacing w:after="0"/>
              <w:rPr>
                <w:sz w:val="20"/>
                <w:szCs w:val="20"/>
                <w:color w:val="auto"/>
              </w:rPr>
            </w:pPr>
            <w:r>
              <w:rPr>
                <w:rFonts w:ascii="Calibri" w:cs="Calibri" w:eastAsia="Calibri" w:hAnsi="Calibri"/>
                <w:sz w:val="20"/>
                <w:szCs w:val="20"/>
                <w:color w:val="auto"/>
              </w:rPr>
              <w:t>Aggregates, Cement, Ready Mixed Concrete,</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line="243" w:lineRule="exact"/>
              <w:rPr>
                <w:sz w:val="20"/>
                <w:szCs w:val="20"/>
                <w:color w:val="auto"/>
              </w:rPr>
            </w:pPr>
            <w:r>
              <w:rPr>
                <w:rFonts w:ascii="Calibri" w:cs="Calibri" w:eastAsia="Calibri" w:hAnsi="Calibri"/>
                <w:sz w:val="20"/>
                <w:szCs w:val="20"/>
                <w:color w:val="auto"/>
              </w:rPr>
              <w:t>Asphalt and Paving</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The Company’s Magnesia Specialtes business, which represents a separate reportable segment, has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spacing w:after="0" w:line="218" w:lineRule="exact"/>
        <w:rPr>
          <w:sz w:val="20"/>
          <w:szCs w:val="20"/>
          <w:color w:val="auto"/>
        </w:rPr>
      </w:pPr>
    </w:p>
    <w:p>
      <w:pPr>
        <w:ind w:left="280"/>
        <w:spacing w:after="0"/>
        <w:rPr>
          <w:sz w:val="20"/>
          <w:szCs w:val="20"/>
          <w:color w:val="auto"/>
        </w:rPr>
      </w:pPr>
      <w:r>
        <w:rPr>
          <w:rFonts w:ascii="Calibri" w:cs="Calibri" w:eastAsia="Calibri" w:hAnsi="Calibri"/>
          <w:sz w:val="20"/>
          <w:szCs w:val="20"/>
          <w:b w:val="1"/>
          <w:bCs w:val="1"/>
          <w:color w:val="auto"/>
        </w:rPr>
        <w:t>Basis of Presentaton</w:t>
      </w:r>
    </w:p>
    <w:p>
      <w:pPr>
        <w:spacing w:after="0" w:line="117"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20"/>
          <w:szCs w:val="20"/>
          <w:color w:val="auto"/>
        </w:rPr>
        <w:t>The accompanying unaudited consolidated fnancial statements of the Company have been prepared in accordance with accountng principles generally accepted in the United States (U.S. GAAP) for interim fnancial informaton and with the instructons to the Quarterly Report on Form 10-Q and in Artcle 10 of Regulaton S-X. The Company has contnued to follow the accountng policies set forth in the audited consolidated fnancial statements and related notes thereto included in the Company’s Annual Report on Form 10-K for the year ended December 31, 2021. In the opinion of management, the interim consolidated fnancial informaton provided herein refects all adjustments, consistng of normal recurring accruals, necessary for a fair statement of the results of operatons, fnancial positon and cash fows for the interim periods. The consolidated results of operatons for the three months ended March 31, 2022 are not necessarily indicatve of the results expected for other interim periods or the full year. The consolidated balance sheet at December 31, 2021 has been derived from the audited consolidated fnancial statements at that date but does not include all of the informaton and notes required by U.S. GAAP for complete fnancial statements. These consolidated fnancial statements should be read in conjuncton with the audited</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jc w:val="both"/>
        <w:ind w:left="280" w:right="20"/>
        <w:spacing w:after="0" w:line="234" w:lineRule="auto"/>
        <w:rPr>
          <w:sz w:val="20"/>
          <w:szCs w:val="20"/>
          <w:color w:val="auto"/>
        </w:rPr>
      </w:pPr>
      <w:r>
        <w:rPr>
          <w:rFonts w:ascii="Calibri" w:cs="Calibri" w:eastAsia="Calibri" w:hAnsi="Calibri"/>
          <w:sz w:val="20"/>
          <w:szCs w:val="20"/>
          <w:color w:val="auto"/>
        </w:rPr>
        <w:t>consolidated fnancial statements and notes thereto included in the Company’s Annual Report on Form 10-K for the year ended December 31, 2021.</w:t>
      </w:r>
    </w:p>
    <w:p>
      <w:pPr>
        <w:spacing w:after="0" w:line="118"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The preparaton of the Company’s consolidated fnancial statements requires management to make certain estmates and assumptons about future events. As future events and their efects cannot be fully determined with precision, actual results could difer signifcantly from estmates. Changes in estmates are refected in the consolidated fnancial statements in the period in which the change in estmate occurs.</w:t>
      </w:r>
    </w:p>
    <w:p>
      <w:pPr>
        <w:spacing w:after="0" w:line="218" w:lineRule="exact"/>
        <w:rPr>
          <w:sz w:val="20"/>
          <w:szCs w:val="20"/>
          <w:color w:val="auto"/>
        </w:rPr>
      </w:pPr>
    </w:p>
    <w:p>
      <w:pPr>
        <w:ind w:left="280"/>
        <w:spacing w:after="0"/>
        <w:rPr>
          <w:sz w:val="20"/>
          <w:szCs w:val="20"/>
          <w:color w:val="auto"/>
        </w:rPr>
      </w:pPr>
      <w:r>
        <w:rPr>
          <w:rFonts w:ascii="Calibri" w:cs="Calibri" w:eastAsia="Calibri" w:hAnsi="Calibri"/>
          <w:sz w:val="20"/>
          <w:szCs w:val="20"/>
          <w:b w:val="1"/>
          <w:bCs w:val="1"/>
          <w:color w:val="auto"/>
        </w:rPr>
        <w:t>Consolidated Comprehensive (Loss) Earnings and Accumulated Other Comprehensive Loss</w:t>
      </w:r>
    </w:p>
    <w:p>
      <w:pPr>
        <w:spacing w:after="0" w:line="117"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Consolidated comprehensive (loss) earnings and accumulated other comprehensive loss consist of consolidated net earnings; adjustments for the funded status of pension and postretrement beneft plans; and foreign currency translaton adjustments; and are presented in the Company’s consolidated statements of earnings and comprehensive earnings.</w:t>
      </w:r>
    </w:p>
    <w:p>
      <w:pPr>
        <w:spacing w:after="0" w:line="107" w:lineRule="exact"/>
        <w:rPr>
          <w:sz w:val="20"/>
          <w:szCs w:val="20"/>
          <w:color w:val="auto"/>
        </w:rPr>
      </w:pPr>
    </w:p>
    <w:p>
      <w:pPr>
        <w:ind w:left="280"/>
        <w:spacing w:after="0"/>
        <w:rPr>
          <w:sz w:val="20"/>
          <w:szCs w:val="20"/>
          <w:color w:val="auto"/>
        </w:rPr>
      </w:pPr>
      <w:r>
        <w:rPr>
          <w:rFonts w:ascii="Calibri" w:cs="Calibri" w:eastAsia="Calibri" w:hAnsi="Calibri"/>
          <w:sz w:val="20"/>
          <w:szCs w:val="20"/>
          <w:color w:val="auto"/>
        </w:rPr>
        <w:t>Comprehensive (loss) earnings atributable to Martn Marieta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10"/>
          </w:tcPr>
          <w:p>
            <w:pPr>
              <w:jc w:val="center"/>
              <w:ind w:right="860"/>
              <w:spacing w:after="0"/>
              <w:rPr>
                <w:sz w:val="20"/>
                <w:szCs w:val="20"/>
                <w:color w:val="auto"/>
              </w:rPr>
            </w:pPr>
            <w:r>
              <w:rPr>
                <w:rFonts w:ascii="Calibri" w:cs="Calibri" w:eastAsia="Calibri" w:hAnsi="Calibri"/>
                <w:sz w:val="20"/>
                <w:szCs w:val="20"/>
                <w:color w:val="auto"/>
              </w:rPr>
              <w:t>Three Months Ended</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gridSpan w:val="5"/>
          </w:tcPr>
          <w:p>
            <w:pPr>
              <w:jc w:val="center"/>
              <w:ind w:left="662"/>
              <w:spacing w:after="0"/>
              <w:rPr>
                <w:sz w:val="20"/>
                <w:szCs w:val="20"/>
                <w:color w:val="auto"/>
              </w:rPr>
            </w:pPr>
            <w:r>
              <w:rPr>
                <w:rFonts w:ascii="Calibri" w:cs="Calibri" w:eastAsia="Calibri" w:hAnsi="Calibri"/>
                <w:sz w:val="20"/>
                <w:szCs w:val="20"/>
                <w:color w:val="auto"/>
                <w:w w:val="99"/>
              </w:rPr>
              <w:t>March 31,</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60"/>
              <w:spacing w:after="0" w:line="228" w:lineRule="exact"/>
              <w:rPr>
                <w:sz w:val="20"/>
                <w:szCs w:val="20"/>
                <w:color w:val="auto"/>
              </w:rPr>
            </w:pPr>
            <w:r>
              <w:rPr>
                <w:rFonts w:ascii="Calibri" w:cs="Calibri" w:eastAsia="Calibri" w:hAnsi="Calibri"/>
                <w:sz w:val="20"/>
                <w:szCs w:val="20"/>
                <w:color w:val="auto"/>
              </w:rPr>
              <w:t>2022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604"/>
              <w:spacing w:after="0" w:line="228" w:lineRule="exact"/>
              <w:rPr>
                <w:sz w:val="20"/>
                <w:szCs w:val="20"/>
                <w:color w:val="auto"/>
              </w:rPr>
            </w:pPr>
            <w:r>
              <w:rPr>
                <w:rFonts w:ascii="Calibri" w:cs="Calibri" w:eastAsia="Calibri" w:hAnsi="Calibri"/>
                <w:sz w:val="20"/>
                <w:szCs w:val="20"/>
                <w:color w:val="auto"/>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7"/>
          </w:tcPr>
          <w:p>
            <w:pPr>
              <w:jc w:val="center"/>
              <w:ind w:left="282"/>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Net earnings atributable to Martn Marieta</w:t>
            </w:r>
          </w:p>
        </w:tc>
        <w:tc>
          <w:tcPr>
            <w:tcW w:w="7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gridSpan w:val="2"/>
            <w:shd w:val="clear" w:color="auto" w:fill="CFF0FC"/>
          </w:tcPr>
          <w:p>
            <w:pPr>
              <w:jc w:val="right"/>
              <w:ind w:right="186"/>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21.4</w:t>
            </w:r>
          </w:p>
        </w:tc>
        <w:tc>
          <w:tcPr>
            <w:tcW w:w="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gridSpan w:val="3"/>
            <w:shd w:val="clear" w:color="auto" w:fill="CFF0FC"/>
          </w:tcPr>
          <w:p>
            <w:pPr>
              <w:jc w:val="right"/>
              <w:ind w:right="200"/>
              <w:spacing w:after="0" w:line="234" w:lineRule="exact"/>
              <w:rPr>
                <w:sz w:val="20"/>
                <w:szCs w:val="20"/>
                <w:color w:val="auto"/>
              </w:rPr>
            </w:pPr>
            <w:r>
              <w:rPr>
                <w:rFonts w:ascii="Calibri" w:cs="Calibri" w:eastAsia="Calibri" w:hAnsi="Calibri"/>
                <w:sz w:val="20"/>
                <w:szCs w:val="20"/>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65.3</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line="234" w:lineRule="exact"/>
              <w:rPr>
                <w:sz w:val="20"/>
                <w:szCs w:val="20"/>
                <w:color w:val="auto"/>
              </w:rPr>
            </w:pPr>
            <w:r>
              <w:rPr>
                <w:rFonts w:ascii="Calibri" w:cs="Calibri" w:eastAsia="Calibri" w:hAnsi="Calibri"/>
                <w:sz w:val="20"/>
                <w:szCs w:val="20"/>
                <w:color w:val="auto"/>
              </w:rPr>
              <w:t>Other comprehensive (loss) earnings, net of tax</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(31.6)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36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line="217" w:lineRule="exact"/>
              <w:rPr>
                <w:sz w:val="20"/>
                <w:szCs w:val="20"/>
                <w:color w:val="auto"/>
              </w:rPr>
            </w:pPr>
            <w:r>
              <w:rPr>
                <w:rFonts w:ascii="Calibri" w:cs="Calibri" w:eastAsia="Calibri" w:hAnsi="Calibri"/>
                <w:sz w:val="20"/>
                <w:szCs w:val="20"/>
                <w:color w:val="auto"/>
              </w:rPr>
              <w:t>Comprehensive (loss) earnings atributable to Martn</w:t>
            </w: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5360" w:type="dxa"/>
            <w:vAlign w:val="bottom"/>
            <w:tcBorders>
              <w:bottom w:val="single" w:sz="8" w:color="CFF0FC"/>
            </w:tcBorders>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Marieta</w:t>
            </w:r>
          </w:p>
        </w:tc>
        <w:tc>
          <w:tcPr>
            <w:tcW w:w="7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gridSpan w:val="2"/>
            <w:shd w:val="clear" w:color="auto" w:fill="CFF0FC"/>
          </w:tcPr>
          <w:p>
            <w:pPr>
              <w:jc w:val="right"/>
              <w:ind w:right="186"/>
              <w:spacing w:after="0" w:line="243" w:lineRule="exact"/>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gridSpan w:val="2"/>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(10.2)</w:t>
            </w:r>
          </w:p>
        </w:tc>
        <w:tc>
          <w:tcPr>
            <w:tcW w:w="520" w:type="dxa"/>
            <w:vAlign w:val="bottom"/>
            <w:tcBorders>
              <w:bottom w:val="single" w:sz="8" w:color="CFF0FC"/>
            </w:tcBorders>
            <w:gridSpan w:val="3"/>
            <w:shd w:val="clear" w:color="auto" w:fill="CFF0FC"/>
          </w:tcPr>
          <w:p>
            <w:pPr>
              <w:jc w:val="right"/>
              <w:ind w:right="200"/>
              <w:spacing w:after="0" w:line="243" w:lineRule="exact"/>
              <w:rPr>
                <w:sz w:val="20"/>
                <w:szCs w:val="20"/>
                <w:color w:val="auto"/>
              </w:rPr>
            </w:pPr>
            <w:r>
              <w:rPr>
                <w:rFonts w:ascii="Calibri" w:cs="Calibri" w:eastAsia="Calibri" w:hAnsi="Calibri"/>
                <w:sz w:val="20"/>
                <w:szCs w:val="20"/>
                <w:color w:val="auto"/>
              </w:rPr>
              <w:t>$</w:t>
            </w: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68.1</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gridSpan w:val="2"/>
          </w:tcPr>
          <w:p>
            <w:pPr>
              <w:spacing w:after="0" w:line="20" w:lineRule="exact"/>
              <w:rPr>
                <w:sz w:val="1"/>
                <w:szCs w:val="1"/>
                <w:color w:val="auto"/>
              </w:rPr>
            </w:pPr>
          </w:p>
        </w:tc>
        <w:tc>
          <w:tcPr>
            <w:tcW w:w="1140" w:type="dxa"/>
            <w:vAlign w:val="bottom"/>
            <w:tcBorders>
              <w:top w:val="single" w:sz="8" w:color="CFF0FC"/>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40" w:type="dxa"/>
            <w:vAlign w:val="bottom"/>
            <w:gridSpan w:val="6"/>
          </w:tcPr>
          <w:p>
            <w:pPr>
              <w:ind w:left="280"/>
              <w:spacing w:after="0"/>
              <w:rPr>
                <w:sz w:val="20"/>
                <w:szCs w:val="20"/>
                <w:color w:val="auto"/>
              </w:rPr>
            </w:pPr>
            <w:r>
              <w:rPr>
                <w:rFonts w:ascii="Calibri" w:cs="Calibri" w:eastAsia="Calibri" w:hAnsi="Calibri"/>
                <w:sz w:val="20"/>
                <w:szCs w:val="20"/>
                <w:color w:val="auto"/>
              </w:rPr>
              <w:t>Changes in accumulated other comprehensive loss, net of tax, are as follows: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6"/>
          </w:tcPr>
          <w:p>
            <w:pPr>
              <w:ind w:left="20"/>
              <w:spacing w:after="0"/>
              <w:rPr>
                <w:sz w:val="20"/>
                <w:szCs w:val="20"/>
                <w:color w:val="auto"/>
              </w:rPr>
            </w:pPr>
            <w:r>
              <w:rPr>
                <w:rFonts w:ascii="Calibri" w:cs="Calibri" w:eastAsia="Calibri" w:hAnsi="Calibri"/>
                <w:sz w:val="19"/>
                <w:szCs w:val="19"/>
                <w:i w:val="1"/>
                <w:iCs w:val="1"/>
                <w:color w:val="auto"/>
              </w:rPr>
              <w:t>(Dollars in Millions)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3"/>
          </w:tcPr>
          <w:p>
            <w:pPr>
              <w:jc w:val="center"/>
              <w:ind w:right="400"/>
              <w:spacing w:after="0" w:line="219" w:lineRule="exact"/>
              <w:rPr>
                <w:sz w:val="20"/>
                <w:szCs w:val="20"/>
                <w:color w:val="auto"/>
              </w:rPr>
            </w:pPr>
            <w:r>
              <w:rPr>
                <w:rFonts w:ascii="Calibri" w:cs="Calibri" w:eastAsia="Calibri" w:hAnsi="Calibri"/>
                <w:sz w:val="19"/>
                <w:szCs w:val="19"/>
                <w:color w:val="auto"/>
                <w:w w:val="97"/>
              </w:rPr>
              <w:t>Pension and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3"/>
          </w:tcPr>
          <w:p>
            <w:pPr>
              <w:jc w:val="center"/>
              <w:ind w:right="400"/>
              <w:spacing w:after="0"/>
              <w:rPr>
                <w:sz w:val="20"/>
                <w:szCs w:val="20"/>
                <w:color w:val="auto"/>
              </w:rPr>
            </w:pPr>
            <w:r>
              <w:rPr>
                <w:rFonts w:ascii="Calibri" w:cs="Calibri" w:eastAsia="Calibri" w:hAnsi="Calibri"/>
                <w:sz w:val="19"/>
                <w:szCs w:val="19"/>
                <w:color w:val="auto"/>
              </w:rPr>
              <w:t>Postretrement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3"/>
          </w:tcPr>
          <w:p>
            <w:pPr>
              <w:jc w:val="center"/>
              <w:ind w:right="400"/>
              <w:spacing w:after="0"/>
              <w:rPr>
                <w:sz w:val="20"/>
                <w:szCs w:val="20"/>
                <w:color w:val="auto"/>
              </w:rPr>
            </w:pPr>
            <w:r>
              <w:rPr>
                <w:rFonts w:ascii="Calibri" w:cs="Calibri" w:eastAsia="Calibri" w:hAnsi="Calibri"/>
                <w:sz w:val="19"/>
                <w:szCs w:val="19"/>
                <w:color w:val="auto"/>
              </w:rPr>
              <w:t>Beneft Plans</w:t>
            </w:r>
          </w:p>
        </w:tc>
        <w:tc>
          <w:tcPr>
            <w:tcW w:w="100" w:type="dxa"/>
            <w:vAlign w:val="bottom"/>
          </w:tcPr>
          <w:p>
            <w:pPr>
              <w:spacing w:after="0"/>
              <w:rPr>
                <w:sz w:val="21"/>
                <w:szCs w:val="21"/>
                <w:color w:val="auto"/>
              </w:rPr>
            </w:pPr>
          </w:p>
        </w:tc>
        <w:tc>
          <w:tcPr>
            <w:tcW w:w="1660" w:type="dxa"/>
            <w:vAlign w:val="bottom"/>
            <w:gridSpan w:val="5"/>
          </w:tcPr>
          <w:p>
            <w:pPr>
              <w:jc w:val="center"/>
              <w:ind w:right="360"/>
              <w:spacing w:after="0"/>
              <w:rPr>
                <w:sz w:val="20"/>
                <w:szCs w:val="20"/>
                <w:color w:val="auto"/>
              </w:rPr>
            </w:pPr>
            <w:r>
              <w:rPr>
                <w:rFonts w:ascii="Calibri" w:cs="Calibri" w:eastAsia="Calibri" w:hAnsi="Calibri"/>
                <w:sz w:val="19"/>
                <w:szCs w:val="19"/>
                <w:color w:val="auto"/>
                <w:w w:val="98"/>
              </w:rPr>
              <w:t>Foreign Currency</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jc w:val="right"/>
              <w:ind w:right="700"/>
              <w:spacing w:after="0"/>
              <w:rPr>
                <w:sz w:val="20"/>
                <w:szCs w:val="20"/>
                <w:color w:val="auto"/>
              </w:rPr>
            </w:pPr>
            <w:r>
              <w:rPr>
                <w:rFonts w:ascii="Calibri" w:cs="Calibri" w:eastAsia="Calibri" w:hAnsi="Calibri"/>
                <w:sz w:val="19"/>
                <w:szCs w:val="19"/>
                <w:color w:val="auto"/>
              </w:rPr>
              <w:t>Total</w:t>
            </w:r>
          </w:p>
        </w:tc>
        <w:tc>
          <w:tcPr>
            <w:tcW w:w="0" w:type="dxa"/>
            <w:vAlign w:val="bottom"/>
          </w:tcPr>
          <w:p>
            <w:pPr>
              <w:spacing w:after="0"/>
              <w:rPr>
                <w:sz w:val="1"/>
                <w:szCs w:val="1"/>
                <w:color w:val="auto"/>
              </w:rPr>
            </w:pPr>
          </w:p>
        </w:tc>
      </w:tr>
      <w:tr>
        <w:trPr>
          <w:trHeight w:val="35"/>
        </w:trPr>
        <w:tc>
          <w:tcPr>
            <w:tcW w:w="5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40" w:type="dxa"/>
            <w:vAlign w:val="bottom"/>
            <w:gridSpan w:val="14"/>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940" w:type="dxa"/>
            <w:vAlign w:val="bottom"/>
            <w:tcBorders>
              <w:top w:val="single" w:sz="8" w:color="auto"/>
            </w:tcBorders>
            <w:gridSpan w:val="13"/>
          </w:tcPr>
          <w:p>
            <w:pPr>
              <w:jc w:val="center"/>
              <w:ind w:right="160"/>
              <w:spacing w:after="0" w:line="219" w:lineRule="exact"/>
              <w:rPr>
                <w:sz w:val="20"/>
                <w:szCs w:val="20"/>
                <w:color w:val="auto"/>
              </w:rPr>
            </w:pPr>
            <w:r>
              <w:rPr>
                <w:rFonts w:ascii="Calibri" w:cs="Calibri" w:eastAsia="Calibri" w:hAnsi="Calibri"/>
                <w:sz w:val="19"/>
                <w:szCs w:val="19"/>
                <w:color w:val="auto"/>
                <w:w w:val="99"/>
              </w:rPr>
              <w:t>Three Months Ended March 31, 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360" w:type="dxa"/>
            <w:vAlign w:val="bottom"/>
            <w:vMerge w:val="restart"/>
          </w:tcPr>
          <w:p>
            <w:pPr>
              <w:spacing w:after="0"/>
              <w:rPr>
                <w:sz w:val="20"/>
                <w:szCs w:val="20"/>
                <w:color w:val="auto"/>
              </w:rPr>
            </w:pPr>
            <w:r>
              <w:rPr>
                <w:rFonts w:ascii="Calibri" w:cs="Calibri" w:eastAsia="Calibri" w:hAnsi="Calibri"/>
                <w:sz w:val="19"/>
                <w:szCs w:val="19"/>
                <w:color w:val="auto"/>
              </w:rPr>
              <w:t>Balance at beginning of period</w:t>
            </w: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3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Calibri" w:cs="Calibri" w:eastAsia="Calibri" w:hAnsi="Calibri"/>
                <w:sz w:val="19"/>
                <w:szCs w:val="19"/>
                <w:color w:val="auto"/>
                <w:w w:val="82"/>
              </w:rPr>
              <w:t>$</w:t>
            </w:r>
          </w:p>
        </w:tc>
        <w:tc>
          <w:tcPr>
            <w:tcW w:w="1640" w:type="dxa"/>
            <w:vAlign w:val="bottom"/>
            <w:gridSpan w:val="3"/>
          </w:tcPr>
          <w:p>
            <w:pPr>
              <w:jc w:val="right"/>
              <w:ind w:right="200"/>
              <w:spacing w:after="0" w:line="219" w:lineRule="exact"/>
              <w:rPr>
                <w:sz w:val="20"/>
                <w:szCs w:val="20"/>
                <w:color w:val="auto"/>
              </w:rPr>
            </w:pPr>
            <w:r>
              <w:rPr>
                <w:rFonts w:ascii="Calibri" w:cs="Calibri" w:eastAsia="Calibri" w:hAnsi="Calibri"/>
                <w:sz w:val="19"/>
                <w:szCs w:val="19"/>
                <w:color w:val="auto"/>
              </w:rPr>
              <w:t>(97.6)</w:t>
            </w:r>
          </w:p>
        </w:tc>
        <w:tc>
          <w:tcPr>
            <w:tcW w:w="100" w:type="dxa"/>
            <w:vAlign w:val="bottom"/>
          </w:tcPr>
          <w:p>
            <w:pPr>
              <w:spacing w:after="0" w:line="219" w:lineRule="exact"/>
              <w:rPr>
                <w:sz w:val="20"/>
                <w:szCs w:val="20"/>
                <w:color w:val="auto"/>
              </w:rPr>
            </w:pPr>
            <w:r>
              <w:rPr>
                <w:rFonts w:ascii="Calibri" w:cs="Calibri" w:eastAsia="Calibri" w:hAnsi="Calibri"/>
                <w:sz w:val="19"/>
                <w:szCs w:val="19"/>
                <w:color w:val="auto"/>
                <w:w w:val="82"/>
              </w:rPr>
              <w:t>$</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3"/>
          </w:tcPr>
          <w:p>
            <w:pPr>
              <w:jc w:val="right"/>
              <w:ind w:right="260"/>
              <w:spacing w:after="0" w:line="219" w:lineRule="exact"/>
              <w:rPr>
                <w:sz w:val="20"/>
                <w:szCs w:val="20"/>
                <w:color w:val="auto"/>
              </w:rPr>
            </w:pPr>
            <w:r>
              <w:rPr>
                <w:rFonts w:ascii="Calibri" w:cs="Calibri" w:eastAsia="Calibri" w:hAnsi="Calibri"/>
                <w:sz w:val="19"/>
                <w:szCs w:val="19"/>
                <w:color w:val="auto"/>
              </w:rPr>
              <w:t>—</w:t>
            </w:r>
          </w:p>
        </w:tc>
        <w:tc>
          <w:tcPr>
            <w:tcW w:w="380" w:type="dxa"/>
            <w:vAlign w:val="bottom"/>
            <w:gridSpan w:val="2"/>
          </w:tcPr>
          <w:p>
            <w:pPr>
              <w:jc w:val="right"/>
              <w:ind w:right="201"/>
              <w:spacing w:after="0" w:line="219" w:lineRule="exact"/>
              <w:rPr>
                <w:sz w:val="20"/>
                <w:szCs w:val="20"/>
                <w:color w:val="auto"/>
              </w:rPr>
            </w:pPr>
            <w:r>
              <w:rPr>
                <w:rFonts w:ascii="Calibri" w:cs="Calibri" w:eastAsia="Calibri" w:hAnsi="Calibri"/>
                <w:sz w:val="19"/>
                <w:szCs w:val="19"/>
                <w:color w:val="auto"/>
                <w:w w:val="82"/>
              </w:rPr>
              <w:t>$</w:t>
            </w:r>
          </w:p>
        </w:tc>
        <w:tc>
          <w:tcPr>
            <w:tcW w:w="1260" w:type="dxa"/>
            <w:vAlign w:val="bottom"/>
            <w:gridSpan w:val="3"/>
          </w:tcPr>
          <w:p>
            <w:pPr>
              <w:jc w:val="right"/>
              <w:ind w:right="60"/>
              <w:spacing w:after="0" w:line="219" w:lineRule="exact"/>
              <w:rPr>
                <w:sz w:val="20"/>
                <w:szCs w:val="20"/>
                <w:color w:val="auto"/>
              </w:rPr>
            </w:pPr>
            <w:r>
              <w:rPr>
                <w:rFonts w:ascii="Calibri" w:cs="Calibri" w:eastAsia="Calibri" w:hAnsi="Calibri"/>
                <w:sz w:val="19"/>
                <w:szCs w:val="19"/>
                <w:color w:val="auto"/>
              </w:rPr>
              <w:t>(97.6)</w:t>
            </w: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360" w:type="dxa"/>
            <w:vAlign w:val="bottom"/>
            <w:shd w:val="clear" w:color="auto" w:fill="CFF0FC"/>
          </w:tcPr>
          <w:p>
            <w:pPr>
              <w:spacing w:after="0" w:line="226" w:lineRule="exact"/>
              <w:rPr>
                <w:sz w:val="20"/>
                <w:szCs w:val="20"/>
                <w:color w:val="auto"/>
              </w:rPr>
            </w:pPr>
            <w:r>
              <w:rPr>
                <w:rFonts w:ascii="Calibri" w:cs="Calibri" w:eastAsia="Calibri" w:hAnsi="Calibri"/>
                <w:sz w:val="19"/>
                <w:szCs w:val="19"/>
                <w:color w:val="auto"/>
              </w:rPr>
              <w:t>Other comprehensive (loss) earnings before reclassifcatons,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net of tax</w:t>
            </w:r>
          </w:p>
        </w:tc>
        <w:tc>
          <w:tcPr>
            <w:tcW w:w="7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Calibri" w:cs="Calibri" w:eastAsia="Calibri" w:hAnsi="Calibri"/>
                <w:sz w:val="19"/>
                <w:szCs w:val="19"/>
                <w:color w:val="auto"/>
              </w:rPr>
              <w:t>(33.3)</w:t>
            </w:r>
          </w:p>
        </w:tc>
        <w:tc>
          <w:tcPr>
            <w:tcW w:w="1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9"/>
                <w:szCs w:val="19"/>
                <w:color w:val="auto"/>
                <w:w w:val="99"/>
              </w:rPr>
              <w:t>0.4</w:t>
            </w:r>
          </w:p>
        </w:tc>
        <w:tc>
          <w:tcPr>
            <w:tcW w:w="2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gridSpan w:val="3"/>
            <w:shd w:val="clear" w:color="auto" w:fill="CFF0FC"/>
          </w:tcPr>
          <w:p>
            <w:pPr>
              <w:jc w:val="right"/>
              <w:ind w:right="60"/>
              <w:spacing w:after="0"/>
              <w:rPr>
                <w:sz w:val="20"/>
                <w:szCs w:val="20"/>
                <w:color w:val="auto"/>
              </w:rPr>
            </w:pPr>
            <w:r>
              <w:rPr>
                <w:rFonts w:ascii="Calibri" w:cs="Calibri" w:eastAsia="Calibri" w:hAnsi="Calibri"/>
                <w:sz w:val="19"/>
                <w:szCs w:val="19"/>
                <w:color w:val="auto"/>
              </w:rPr>
              <w:t>(32.9)</w:t>
            </w:r>
          </w:p>
        </w:tc>
        <w:tc>
          <w:tcPr>
            <w:tcW w:w="0" w:type="dxa"/>
            <w:vAlign w:val="bottom"/>
          </w:tcPr>
          <w:p>
            <w:pPr>
              <w:spacing w:after="0"/>
              <w:rPr>
                <w:sz w:val="1"/>
                <w:szCs w:val="1"/>
                <w:color w:val="auto"/>
              </w:rPr>
            </w:pPr>
          </w:p>
        </w:tc>
      </w:tr>
      <w:tr>
        <w:trPr>
          <w:trHeight w:val="226"/>
        </w:trPr>
        <w:tc>
          <w:tcPr>
            <w:tcW w:w="5360" w:type="dxa"/>
            <w:vAlign w:val="bottom"/>
          </w:tcPr>
          <w:p>
            <w:pPr>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9"/>
                <w:szCs w:val="19"/>
                <w:color w:val="auto"/>
              </w:rPr>
              <w:t>1.3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Calibri" w:cs="Calibri" w:eastAsia="Calibri" w:hAnsi="Calibri"/>
                <w:sz w:val="19"/>
                <w:szCs w:val="19"/>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5360" w:type="dxa"/>
            <w:vAlign w:val="bottom"/>
            <w:tcBorders>
              <w:bottom w:val="single" w:sz="8" w:color="CFF0FC"/>
            </w:tcBorders>
          </w:tcPr>
          <w:p>
            <w:pPr>
              <w:spacing w:after="0"/>
              <w:rPr>
                <w:sz w:val="3"/>
                <w:szCs w:val="3"/>
                <w:color w:val="auto"/>
              </w:rPr>
            </w:pPr>
          </w:p>
        </w:tc>
        <w:tc>
          <w:tcPr>
            <w:tcW w:w="7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9"/>
                <w:szCs w:val="19"/>
                <w:color w:val="auto"/>
              </w:rPr>
              <w:t>Other comprehensive (loss) earnings, net of tax</w:t>
            </w:r>
          </w:p>
        </w:tc>
        <w:tc>
          <w:tcPr>
            <w:tcW w:w="7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(32.0)</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spacing w:after="0" w:line="219" w:lineRule="exact"/>
              <w:rPr>
                <w:sz w:val="20"/>
                <w:szCs w:val="20"/>
                <w:color w:val="auto"/>
              </w:rPr>
            </w:pPr>
            <w:r>
              <w:rPr>
                <w:rFonts w:ascii="Calibri" w:cs="Calibri" w:eastAsia="Calibri" w:hAnsi="Calibri"/>
                <w:sz w:val="19"/>
                <w:szCs w:val="19"/>
                <w:color w:val="auto"/>
                <w:w w:val="99"/>
              </w:rPr>
              <w:t>0.4</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60" w:type="dxa"/>
            <w:vAlign w:val="bottom"/>
          </w:tcPr>
          <w:p>
            <w:pPr>
              <w:spacing w:after="0" w:line="215" w:lineRule="exact"/>
              <w:rPr>
                <w:sz w:val="20"/>
                <w:szCs w:val="20"/>
                <w:color w:val="auto"/>
              </w:rPr>
            </w:pPr>
            <w:r>
              <w:rPr>
                <w:rFonts w:ascii="Calibri" w:cs="Calibri" w:eastAsia="Calibri" w:hAnsi="Calibri"/>
                <w:sz w:val="19"/>
                <w:szCs w:val="19"/>
                <w:color w:val="auto"/>
              </w:rPr>
              <w:t>Balance at end of period</w:t>
            </w:r>
          </w:p>
        </w:tc>
        <w:tc>
          <w:tcPr>
            <w:tcW w:w="700" w:type="dxa"/>
            <w:vAlign w:val="bottom"/>
          </w:tcPr>
          <w:p>
            <w:pPr>
              <w:spacing w:after="0"/>
              <w:rPr>
                <w:sz w:val="19"/>
                <w:szCs w:val="19"/>
                <w:color w:val="auto"/>
              </w:rPr>
            </w:pPr>
          </w:p>
        </w:tc>
        <w:tc>
          <w:tcPr>
            <w:tcW w:w="140" w:type="dxa"/>
            <w:vAlign w:val="bottom"/>
            <w:tcBorders>
              <w:top w:val="single" w:sz="8" w:color="auto"/>
            </w:tcBorders>
          </w:tcPr>
          <w:p>
            <w:pPr>
              <w:jc w:val="right"/>
              <w:spacing w:after="0" w:line="219" w:lineRule="exact"/>
              <w:rPr>
                <w:sz w:val="20"/>
                <w:szCs w:val="20"/>
                <w:color w:val="auto"/>
              </w:rPr>
            </w:pPr>
            <w:r>
              <w:rPr>
                <w:rFonts w:ascii="Calibri" w:cs="Calibri" w:eastAsia="Calibri" w:hAnsi="Calibri"/>
                <w:sz w:val="19"/>
                <w:szCs w:val="19"/>
                <w:color w:val="auto"/>
                <w:w w:val="82"/>
              </w:rPr>
              <w:t>$</w:t>
            </w:r>
          </w:p>
        </w:tc>
        <w:tc>
          <w:tcPr>
            <w:tcW w:w="1380" w:type="dxa"/>
            <w:vAlign w:val="bottom"/>
            <w:tcBorders>
              <w:top w:val="single" w:sz="8" w:color="auto"/>
            </w:tcBorders>
            <w:gridSpan w:val="2"/>
          </w:tcPr>
          <w:p>
            <w:pPr>
              <w:jc w:val="right"/>
              <w:spacing w:after="0" w:line="219" w:lineRule="exact"/>
              <w:rPr>
                <w:sz w:val="20"/>
                <w:szCs w:val="20"/>
                <w:color w:val="auto"/>
              </w:rPr>
            </w:pPr>
            <w:r>
              <w:rPr>
                <w:rFonts w:ascii="Calibri" w:cs="Calibri" w:eastAsia="Calibri" w:hAnsi="Calibri"/>
                <w:sz w:val="19"/>
                <w:szCs w:val="19"/>
                <w:color w:val="auto"/>
              </w:rPr>
              <w:t>(129.6)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line="219" w:lineRule="exact"/>
              <w:rPr>
                <w:sz w:val="20"/>
                <w:szCs w:val="20"/>
                <w:color w:val="auto"/>
              </w:rPr>
            </w:pPr>
            <w:r>
              <w:rPr>
                <w:rFonts w:ascii="Calibri" w:cs="Calibri" w:eastAsia="Calibri" w:hAnsi="Calibri"/>
                <w:sz w:val="19"/>
                <w:szCs w:val="19"/>
                <w:color w:val="auto"/>
                <w:w w:val="82"/>
              </w:rPr>
              <w:t>$</w:t>
            </w:r>
          </w:p>
        </w:tc>
        <w:tc>
          <w:tcPr>
            <w:tcW w:w="10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line="219" w:lineRule="exact"/>
              <w:rPr>
                <w:sz w:val="20"/>
                <w:szCs w:val="20"/>
                <w:color w:val="auto"/>
              </w:rPr>
            </w:pPr>
            <w:r>
              <w:rPr>
                <w:rFonts w:ascii="Calibri" w:cs="Calibri" w:eastAsia="Calibri" w:hAnsi="Calibri"/>
                <w:sz w:val="19"/>
                <w:szCs w:val="19"/>
                <w:color w:val="auto"/>
                <w:w w:val="99"/>
              </w:rPr>
              <w:t>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201"/>
              <w:spacing w:after="0"/>
              <w:rPr>
                <w:sz w:val="20"/>
                <w:szCs w:val="20"/>
                <w:color w:val="auto"/>
              </w:rPr>
            </w:pPr>
            <w:r>
              <w:rPr>
                <w:rFonts w:ascii="Calibri" w:cs="Calibri" w:eastAsia="Calibri" w:hAnsi="Calibri"/>
                <w:sz w:val="16"/>
                <w:szCs w:val="16"/>
                <w:color w:val="auto"/>
                <w:w w:val="73"/>
              </w:rPr>
              <w:t>$</w:t>
            </w:r>
          </w:p>
        </w:tc>
        <w:tc>
          <w:tcPr>
            <w:tcW w:w="1160" w:type="dxa"/>
            <w:vAlign w:val="bottom"/>
            <w:tcBorders>
              <w:top w:val="single" w:sz="8" w:color="auto"/>
            </w:tcBorders>
            <w:gridSpan w:val="2"/>
          </w:tcPr>
          <w:p>
            <w:pPr>
              <w:jc w:val="right"/>
              <w:spacing w:after="0" w:line="219" w:lineRule="exact"/>
              <w:rPr>
                <w:sz w:val="20"/>
                <w:szCs w:val="20"/>
                <w:color w:val="auto"/>
              </w:rPr>
            </w:pPr>
            <w:r>
              <w:rPr>
                <w:rFonts w:ascii="Calibri" w:cs="Calibri" w:eastAsia="Calibri" w:hAnsi="Calibri"/>
                <w:sz w:val="19"/>
                <w:szCs w:val="19"/>
                <w:color w:val="auto"/>
              </w:rPr>
              <w:t>(129.2)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280" w:type="dxa"/>
            <w:vAlign w:val="bottom"/>
            <w:gridSpan w:val="2"/>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14"/>
          </w:tcPr>
          <w:p>
            <w:pPr>
              <w:jc w:val="center"/>
              <w:ind w:right="260"/>
              <w:spacing w:after="0"/>
              <w:rPr>
                <w:sz w:val="20"/>
                <w:szCs w:val="20"/>
                <w:color w:val="auto"/>
              </w:rPr>
            </w:pPr>
            <w:r>
              <w:rPr>
                <w:rFonts w:ascii="Calibri" w:cs="Calibri" w:eastAsia="Calibri" w:hAnsi="Calibri"/>
                <w:sz w:val="19"/>
                <w:szCs w:val="19"/>
                <w:color w:val="auto"/>
                <w:w w:val="99"/>
              </w:rPr>
              <w:t>Three Months Ended March 31, 2021</w:t>
            </w:r>
          </w:p>
        </w:tc>
        <w:tc>
          <w:tcPr>
            <w:tcW w:w="0" w:type="dxa"/>
            <w:vAlign w:val="bottom"/>
          </w:tcPr>
          <w:p>
            <w:pPr>
              <w:spacing w:after="0"/>
              <w:rPr>
                <w:sz w:val="1"/>
                <w:szCs w:val="1"/>
                <w:color w:val="auto"/>
              </w:rPr>
            </w:pPr>
          </w:p>
        </w:tc>
      </w:tr>
      <w:tr>
        <w:trPr>
          <w:trHeight w:val="35"/>
        </w:trPr>
        <w:tc>
          <w:tcPr>
            <w:tcW w:w="5360" w:type="dxa"/>
            <w:vAlign w:val="bottom"/>
            <w:vMerge w:val="restart"/>
          </w:tcPr>
          <w:p>
            <w:pPr>
              <w:spacing w:after="0"/>
              <w:rPr>
                <w:sz w:val="20"/>
                <w:szCs w:val="20"/>
                <w:color w:val="auto"/>
              </w:rPr>
            </w:pPr>
            <w:r>
              <w:rPr>
                <w:rFonts w:ascii="Calibri" w:cs="Calibri" w:eastAsia="Calibri" w:hAnsi="Calibri"/>
                <w:sz w:val="19"/>
                <w:szCs w:val="19"/>
                <w:color w:val="auto"/>
              </w:rPr>
              <w:t>Balance at beginning of period</w:t>
            </w:r>
          </w:p>
        </w:tc>
        <w:tc>
          <w:tcPr>
            <w:tcW w:w="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5"/>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3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Calibri" w:cs="Calibri" w:eastAsia="Calibri" w:hAnsi="Calibri"/>
                <w:sz w:val="19"/>
                <w:szCs w:val="19"/>
                <w:color w:val="auto"/>
                <w:w w:val="82"/>
              </w:rPr>
              <w:t>$</w:t>
            </w:r>
          </w:p>
        </w:tc>
        <w:tc>
          <w:tcPr>
            <w:tcW w:w="1640" w:type="dxa"/>
            <w:vAlign w:val="bottom"/>
            <w:gridSpan w:val="3"/>
          </w:tcPr>
          <w:p>
            <w:pPr>
              <w:jc w:val="right"/>
              <w:ind w:right="200"/>
              <w:spacing w:after="0" w:line="219" w:lineRule="exact"/>
              <w:rPr>
                <w:sz w:val="20"/>
                <w:szCs w:val="20"/>
                <w:color w:val="auto"/>
              </w:rPr>
            </w:pPr>
            <w:r>
              <w:rPr>
                <w:rFonts w:ascii="Calibri" w:cs="Calibri" w:eastAsia="Calibri" w:hAnsi="Calibri"/>
                <w:sz w:val="19"/>
                <w:szCs w:val="19"/>
                <w:color w:val="auto"/>
              </w:rPr>
              <w:t>(158.1)</w:t>
            </w:r>
          </w:p>
        </w:tc>
        <w:tc>
          <w:tcPr>
            <w:tcW w:w="100" w:type="dxa"/>
            <w:vAlign w:val="bottom"/>
          </w:tcPr>
          <w:p>
            <w:pPr>
              <w:spacing w:after="0" w:line="219" w:lineRule="exact"/>
              <w:rPr>
                <w:sz w:val="20"/>
                <w:szCs w:val="20"/>
                <w:color w:val="auto"/>
              </w:rPr>
            </w:pPr>
            <w:r>
              <w:rPr>
                <w:rFonts w:ascii="Calibri" w:cs="Calibri" w:eastAsia="Calibri" w:hAnsi="Calibri"/>
                <w:sz w:val="19"/>
                <w:szCs w:val="19"/>
                <w:color w:val="auto"/>
                <w:w w:val="82"/>
              </w:rPr>
              <w:t>$</w:t>
            </w:r>
          </w:p>
        </w:tc>
        <w:tc>
          <w:tcPr>
            <w:tcW w:w="1660" w:type="dxa"/>
            <w:vAlign w:val="bottom"/>
            <w:gridSpan w:val="5"/>
          </w:tcPr>
          <w:p>
            <w:pPr>
              <w:jc w:val="right"/>
              <w:ind w:right="200"/>
              <w:spacing w:after="0" w:line="219" w:lineRule="exact"/>
              <w:rPr>
                <w:sz w:val="20"/>
                <w:szCs w:val="20"/>
                <w:color w:val="auto"/>
              </w:rPr>
            </w:pPr>
            <w:r>
              <w:rPr>
                <w:rFonts w:ascii="Calibri" w:cs="Calibri" w:eastAsia="Calibri" w:hAnsi="Calibri"/>
                <w:sz w:val="19"/>
                <w:szCs w:val="19"/>
                <w:color w:val="auto"/>
              </w:rPr>
              <w:t>(0.3)</w:t>
            </w:r>
          </w:p>
        </w:tc>
        <w:tc>
          <w:tcPr>
            <w:tcW w:w="380" w:type="dxa"/>
            <w:vAlign w:val="bottom"/>
            <w:gridSpan w:val="2"/>
          </w:tcPr>
          <w:p>
            <w:pPr>
              <w:jc w:val="right"/>
              <w:ind w:right="201"/>
              <w:spacing w:after="0" w:line="219" w:lineRule="exact"/>
              <w:rPr>
                <w:sz w:val="20"/>
                <w:szCs w:val="20"/>
                <w:color w:val="auto"/>
              </w:rPr>
            </w:pPr>
            <w:r>
              <w:rPr>
                <w:rFonts w:ascii="Calibri" w:cs="Calibri" w:eastAsia="Calibri" w:hAnsi="Calibri"/>
                <w:sz w:val="19"/>
                <w:szCs w:val="19"/>
                <w:color w:val="auto"/>
                <w:w w:val="82"/>
              </w:rPr>
              <w:t>$</w:t>
            </w:r>
          </w:p>
        </w:tc>
        <w:tc>
          <w:tcPr>
            <w:tcW w:w="1260" w:type="dxa"/>
            <w:vAlign w:val="bottom"/>
            <w:gridSpan w:val="3"/>
          </w:tcPr>
          <w:p>
            <w:pPr>
              <w:jc w:val="right"/>
              <w:ind w:right="60"/>
              <w:spacing w:after="0" w:line="219" w:lineRule="exact"/>
              <w:rPr>
                <w:sz w:val="20"/>
                <w:szCs w:val="20"/>
                <w:color w:val="auto"/>
              </w:rPr>
            </w:pPr>
            <w:r>
              <w:rPr>
                <w:rFonts w:ascii="Calibri" w:cs="Calibri" w:eastAsia="Calibri" w:hAnsi="Calibri"/>
                <w:sz w:val="19"/>
                <w:szCs w:val="19"/>
                <w:color w:val="auto"/>
              </w:rPr>
              <w:t>(158.4)</w:t>
            </w: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360" w:type="dxa"/>
            <w:vAlign w:val="bottom"/>
            <w:shd w:val="clear" w:color="auto" w:fill="CFF0FC"/>
          </w:tcPr>
          <w:p>
            <w:pPr>
              <w:spacing w:after="0" w:line="226" w:lineRule="exact"/>
              <w:rPr>
                <w:sz w:val="20"/>
                <w:szCs w:val="20"/>
                <w:color w:val="auto"/>
              </w:rPr>
            </w:pPr>
            <w:r>
              <w:rPr>
                <w:rFonts w:ascii="Calibri" w:cs="Calibri" w:eastAsia="Calibri" w:hAnsi="Calibri"/>
                <w:sz w:val="19"/>
                <w:szCs w:val="19"/>
                <w:color w:val="auto"/>
              </w:rPr>
              <w:t>Other comprehensive earnings before reclassifcatons,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6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net of tax</w:t>
            </w:r>
          </w:p>
        </w:tc>
        <w:tc>
          <w:tcPr>
            <w:tcW w:w="7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9"/>
                <w:szCs w:val="19"/>
                <w:color w:val="auto"/>
                <w:w w:val="99"/>
              </w:rPr>
              <w:t>0.3</w:t>
            </w:r>
          </w:p>
        </w:tc>
        <w:tc>
          <w:tcPr>
            <w:tcW w:w="2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9"/>
                <w:szCs w:val="19"/>
                <w:color w:val="auto"/>
              </w:rPr>
              <w:t>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360" w:type="dxa"/>
            <w:vAlign w:val="bottom"/>
          </w:tcPr>
          <w:p>
            <w:pPr>
              <w:spacing w:after="0" w:line="226" w:lineRule="exact"/>
              <w:rPr>
                <w:sz w:val="20"/>
                <w:szCs w:val="20"/>
                <w:color w:val="auto"/>
              </w:rPr>
            </w:pPr>
            <w:r>
              <w:rPr>
                <w:rFonts w:ascii="Calibri" w:cs="Calibri" w:eastAsia="Calibri" w:hAnsi="Calibri"/>
                <w:sz w:val="19"/>
                <w:szCs w:val="19"/>
                <w:color w:val="auto"/>
              </w:rPr>
              <w:t>Amounts reclassifed from accumulated other</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140"/>
              <w:spacing w:after="0"/>
              <w:rPr>
                <w:sz w:val="20"/>
                <w:szCs w:val="20"/>
                <w:color w:val="auto"/>
              </w:rPr>
            </w:pPr>
            <w:r>
              <w:rPr>
                <w:rFonts w:ascii="Calibri" w:cs="Calibri" w:eastAsia="Calibri" w:hAnsi="Calibri"/>
                <w:sz w:val="19"/>
                <w:szCs w:val="19"/>
                <w:color w:val="auto"/>
              </w:rPr>
              <w:t>comprehensive loss, net of tax</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9"/>
                <w:szCs w:val="19"/>
                <w:color w:val="auto"/>
              </w:rPr>
              <w:t>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3"/>
          </w:tcPr>
          <w:p>
            <w:pPr>
              <w:jc w:val="right"/>
              <w:ind w:right="26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Calibri" w:cs="Calibri" w:eastAsia="Calibri" w:hAnsi="Calibri"/>
                <w:sz w:val="19"/>
                <w:szCs w:val="19"/>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5360" w:type="dxa"/>
            <w:vAlign w:val="bottom"/>
            <w:tcBorders>
              <w:bottom w:val="single" w:sz="8" w:color="CFF0FC"/>
            </w:tcBorders>
          </w:tcPr>
          <w:p>
            <w:pPr>
              <w:spacing w:after="0"/>
              <w:rPr>
                <w:sz w:val="3"/>
                <w:szCs w:val="3"/>
                <w:color w:val="auto"/>
              </w:rPr>
            </w:pPr>
          </w:p>
        </w:tc>
        <w:tc>
          <w:tcPr>
            <w:tcW w:w="7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9"/>
                <w:szCs w:val="19"/>
                <w:color w:val="auto"/>
              </w:rPr>
              <w:t>Other comprehensive earnings, net of tax</w:t>
            </w:r>
          </w:p>
        </w:tc>
        <w:tc>
          <w:tcPr>
            <w:tcW w:w="7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gridSpan w:val="2"/>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2.5</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spacing w:after="0" w:line="219" w:lineRule="exact"/>
              <w:rPr>
                <w:sz w:val="20"/>
                <w:szCs w:val="20"/>
                <w:color w:val="auto"/>
              </w:rPr>
            </w:pPr>
            <w:r>
              <w:rPr>
                <w:rFonts w:ascii="Calibri" w:cs="Calibri" w:eastAsia="Calibri" w:hAnsi="Calibri"/>
                <w:sz w:val="19"/>
                <w:szCs w:val="19"/>
                <w:color w:val="auto"/>
                <w:w w:val="99"/>
              </w:rPr>
              <w:t>0.3</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gridSpan w:val="2"/>
            <w:shd w:val="clear" w:color="auto" w:fill="CFF0FC"/>
          </w:tcPr>
          <w:p>
            <w:pPr>
              <w:jc w:val="right"/>
              <w:ind w:right="20"/>
              <w:spacing w:after="0" w:line="219" w:lineRule="exact"/>
              <w:rPr>
                <w:sz w:val="20"/>
                <w:szCs w:val="20"/>
                <w:color w:val="auto"/>
              </w:rPr>
            </w:pPr>
            <w:r>
              <w:rPr>
                <w:rFonts w:ascii="Calibri" w:cs="Calibri" w:eastAsia="Calibri" w:hAnsi="Calibri"/>
                <w:sz w:val="19"/>
                <w:szCs w:val="19"/>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Calibri" w:cs="Calibri" w:eastAsia="Calibri" w:hAnsi="Calibri"/>
                <w:sz w:val="19"/>
                <w:szCs w:val="19"/>
                <w:color w:val="auto"/>
              </w:rPr>
              <w:t>Balance at end of period</w:t>
            </w:r>
          </w:p>
        </w:tc>
        <w:tc>
          <w:tcPr>
            <w:tcW w:w="7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Calibri" w:cs="Calibri" w:eastAsia="Calibri" w:hAnsi="Calibri"/>
                <w:sz w:val="19"/>
                <w:szCs w:val="19"/>
                <w:color w:val="auto"/>
                <w:w w:val="82"/>
              </w:rPr>
              <w:t>$</w:t>
            </w:r>
          </w:p>
        </w:tc>
        <w:tc>
          <w:tcPr>
            <w:tcW w:w="1640" w:type="dxa"/>
            <w:vAlign w:val="bottom"/>
            <w:gridSpan w:val="3"/>
          </w:tcPr>
          <w:p>
            <w:pPr>
              <w:jc w:val="right"/>
              <w:ind w:right="200"/>
              <w:spacing w:after="0" w:line="219" w:lineRule="exact"/>
              <w:rPr>
                <w:sz w:val="20"/>
                <w:szCs w:val="20"/>
                <w:color w:val="auto"/>
              </w:rPr>
            </w:pPr>
            <w:r>
              <w:rPr>
                <w:rFonts w:ascii="Calibri" w:cs="Calibri" w:eastAsia="Calibri" w:hAnsi="Calibri"/>
                <w:sz w:val="19"/>
                <w:szCs w:val="19"/>
                <w:color w:val="auto"/>
              </w:rPr>
              <w:t>(155.6)</w:t>
            </w:r>
          </w:p>
        </w:tc>
        <w:tc>
          <w:tcPr>
            <w:tcW w:w="100" w:type="dxa"/>
            <w:vAlign w:val="bottom"/>
          </w:tcPr>
          <w:p>
            <w:pPr>
              <w:spacing w:after="0" w:line="219" w:lineRule="exact"/>
              <w:rPr>
                <w:sz w:val="20"/>
                <w:szCs w:val="20"/>
                <w:color w:val="auto"/>
              </w:rPr>
            </w:pPr>
            <w:r>
              <w:rPr>
                <w:rFonts w:ascii="Calibri" w:cs="Calibri" w:eastAsia="Calibri" w:hAnsi="Calibri"/>
                <w:sz w:val="19"/>
                <w:szCs w:val="19"/>
                <w:color w:val="auto"/>
                <w:w w:val="82"/>
              </w:rPr>
              <w:t>$</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spacing w:after="0" w:line="219" w:lineRule="exact"/>
              <w:rPr>
                <w:sz w:val="20"/>
                <w:szCs w:val="20"/>
                <w:color w:val="auto"/>
              </w:rPr>
            </w:pPr>
            <w:r>
              <w:rPr>
                <w:rFonts w:ascii="Calibri" w:cs="Calibri" w:eastAsia="Calibri" w:hAnsi="Calibri"/>
                <w:sz w:val="19"/>
                <w:szCs w:val="19"/>
                <w:color w:val="auto"/>
              </w:rPr>
              <w:t>—</w:t>
            </w:r>
          </w:p>
        </w:tc>
        <w:tc>
          <w:tcPr>
            <w:tcW w:w="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60" w:type="dxa"/>
            <w:vAlign w:val="bottom"/>
          </w:tcPr>
          <w:p>
            <w:pPr>
              <w:jc w:val="right"/>
              <w:ind w:right="201"/>
              <w:spacing w:after="0"/>
              <w:rPr>
                <w:sz w:val="20"/>
                <w:szCs w:val="20"/>
                <w:color w:val="auto"/>
              </w:rPr>
            </w:pPr>
            <w:r>
              <w:rPr>
                <w:rFonts w:ascii="Calibri" w:cs="Calibri" w:eastAsia="Calibri" w:hAnsi="Calibri"/>
                <w:sz w:val="16"/>
                <w:szCs w:val="16"/>
                <w:color w:val="auto"/>
                <w:w w:val="73"/>
              </w:rPr>
              <w:t>$</w:t>
            </w:r>
          </w:p>
        </w:tc>
        <w:tc>
          <w:tcPr>
            <w:tcW w:w="1260" w:type="dxa"/>
            <w:vAlign w:val="bottom"/>
            <w:gridSpan w:val="3"/>
          </w:tcPr>
          <w:p>
            <w:pPr>
              <w:jc w:val="right"/>
              <w:ind w:right="60"/>
              <w:spacing w:after="0" w:line="219" w:lineRule="exact"/>
              <w:rPr>
                <w:sz w:val="20"/>
                <w:szCs w:val="20"/>
                <w:color w:val="auto"/>
              </w:rPr>
            </w:pPr>
            <w:r>
              <w:rPr>
                <w:rFonts w:ascii="Calibri" w:cs="Calibri" w:eastAsia="Calibri" w:hAnsi="Calibri"/>
                <w:sz w:val="19"/>
                <w:szCs w:val="19"/>
                <w:color w:val="auto"/>
              </w:rPr>
              <w:t>(155.6)</w:t>
            </w: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80" w:right="280"/>
        <w:spacing w:after="0" w:line="236" w:lineRule="auto"/>
        <w:rPr>
          <w:sz w:val="20"/>
          <w:szCs w:val="20"/>
          <w:color w:val="auto"/>
        </w:rPr>
      </w:pPr>
      <w:r>
        <w:rPr>
          <w:rFonts w:ascii="Calibri" w:cs="Calibri" w:eastAsia="Calibri" w:hAnsi="Calibri"/>
          <w:sz w:val="20"/>
          <w:szCs w:val="20"/>
          <w:color w:val="auto"/>
        </w:rPr>
        <w:t>The $33.3 million, net of tax, other comprehensive loss before reclassifcatons in the Pension and Postretrement Beneft Plans for the three months ended March 31, 2022 is driven by the remeasurement of the funded status of the Company’s qualifed pension plan, required as a result of the plan amendment that provided an enhanced beneft for eligible hourly employees.</w:t>
      </w:r>
    </w:p>
    <w:p>
      <w:pPr>
        <w:spacing w:after="0" w:line="229" w:lineRule="exact"/>
        <w:rPr>
          <w:sz w:val="20"/>
          <w:szCs w:val="20"/>
          <w:color w:val="auto"/>
        </w:rPr>
      </w:pPr>
    </w:p>
    <w:p>
      <w:pPr>
        <w:ind w:left="280"/>
        <w:spacing w:after="0"/>
        <w:rPr>
          <w:sz w:val="20"/>
          <w:szCs w:val="20"/>
          <w:color w:val="auto"/>
        </w:rPr>
      </w:pPr>
      <w:r>
        <w:rPr>
          <w:rFonts w:ascii="Calibri" w:cs="Calibri" w:eastAsia="Calibri" w:hAnsi="Calibri"/>
          <w:sz w:val="20"/>
          <w:szCs w:val="20"/>
          <w:color w:val="auto"/>
        </w:rPr>
        <w:t>Changes in net noncurrent deferred tax assets related to accumulated other comprehensive loss are as follows:</w:t>
      </w:r>
    </w:p>
    <w:p>
      <w:pPr>
        <w:spacing w:after="0" w:line="107" w:lineRule="exact"/>
        <w:rPr>
          <w:sz w:val="20"/>
          <w:szCs w:val="20"/>
          <w:color w:val="auto"/>
        </w:rPr>
      </w:pPr>
    </w:p>
    <w:p>
      <w:pPr>
        <w:jc w:val="center"/>
        <w:ind w:left="6660"/>
        <w:spacing w:after="0"/>
        <w:rPr>
          <w:sz w:val="20"/>
          <w:szCs w:val="20"/>
          <w:color w:val="auto"/>
        </w:rPr>
      </w:pPr>
      <w:r>
        <w:rPr>
          <w:rFonts w:ascii="Calibri" w:cs="Calibri" w:eastAsia="Calibri" w:hAnsi="Calibri"/>
          <w:sz w:val="20"/>
          <w:szCs w:val="20"/>
          <w:color w:val="auto"/>
        </w:rPr>
        <w:t>Pension and Postretrement Beneft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20955</wp:posOffset>
            </wp:positionV>
            <wp:extent cx="2734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6" w:lineRule="exact"/>
        <w:rPr>
          <w:sz w:val="20"/>
          <w:szCs w:val="20"/>
          <w:color w:val="auto"/>
        </w:rPr>
      </w:pPr>
    </w:p>
    <w:p>
      <w:pPr>
        <w:jc w:val="center"/>
        <w:ind w:left="6660"/>
        <w:spacing w:after="0"/>
        <w:rPr>
          <w:sz w:val="20"/>
          <w:szCs w:val="20"/>
          <w:color w:val="auto"/>
        </w:rPr>
      </w:pPr>
      <w:r>
        <w:rPr>
          <w:rFonts w:ascii="Calibri" w:cs="Calibri" w:eastAsia="Calibri" w:hAnsi="Calibri"/>
          <w:sz w:val="20"/>
          <w:szCs w:val="20"/>
          <w:color w:val="auto"/>
        </w:rPr>
        <w:t>Three Months Ended</w:t>
      </w:r>
    </w:p>
    <w:p>
      <w:pPr>
        <w:spacing w:after="0" w:line="12" w:lineRule="exact"/>
        <w:rPr>
          <w:sz w:val="20"/>
          <w:szCs w:val="20"/>
          <w:color w:val="auto"/>
        </w:rPr>
      </w:pPr>
    </w:p>
    <w:p>
      <w:pPr>
        <w:jc w:val="center"/>
        <w:ind w:left="6660"/>
        <w:spacing w:after="0"/>
        <w:rPr>
          <w:sz w:val="20"/>
          <w:szCs w:val="20"/>
          <w:color w:val="auto"/>
        </w:rPr>
      </w:pPr>
      <w:r>
        <w:rPr>
          <w:rFonts w:ascii="Calibri" w:cs="Calibri" w:eastAsia="Calibri" w:hAnsi="Calibri"/>
          <w:sz w:val="20"/>
          <w:szCs w:val="20"/>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20955</wp:posOffset>
            </wp:positionV>
            <wp:extent cx="27343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color w:val="auto"/>
              </w:rPr>
              <w:t>2022</w:t>
            </w: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Pr>
          <w:p>
            <w:pPr>
              <w:jc w:val="right"/>
              <w:ind w:right="701"/>
              <w:spacing w:after="0"/>
              <w:rPr>
                <w:sz w:val="20"/>
                <w:szCs w:val="20"/>
                <w:color w:val="auto"/>
              </w:rPr>
            </w:pPr>
            <w:r>
              <w:rPr>
                <w:rFonts w:ascii="Calibri" w:cs="Calibri" w:eastAsia="Calibri" w:hAnsi="Calibri"/>
                <w:sz w:val="20"/>
                <w:szCs w:val="20"/>
                <w:color w:val="auto"/>
              </w:rPr>
              <w:t>2021</w:t>
            </w:r>
          </w:p>
        </w:tc>
        <w:tc>
          <w:tcPr>
            <w:tcW w:w="120" w:type="dxa"/>
            <w:vAlign w:val="bottom"/>
          </w:tcPr>
          <w:p>
            <w:pPr>
              <w:spacing w:after="0"/>
              <w:rPr>
                <w:sz w:val="21"/>
                <w:szCs w:val="21"/>
                <w:color w:val="auto"/>
              </w:rPr>
            </w:pPr>
          </w:p>
        </w:tc>
      </w:tr>
      <w:tr>
        <w:trPr>
          <w:trHeight w:val="33"/>
        </w:trPr>
        <w:tc>
          <w:tcPr>
            <w:tcW w:w="6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6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40" w:type="dxa"/>
            <w:vAlign w:val="bottom"/>
            <w:gridSpan w:val="3"/>
          </w:tcPr>
          <w:p>
            <w:pPr>
              <w:jc w:val="right"/>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6820" w:type="dxa"/>
            <w:vAlign w:val="bottom"/>
          </w:tcPr>
          <w:p>
            <w:pPr>
              <w:spacing w:after="0"/>
              <w:rPr>
                <w:sz w:val="20"/>
                <w:szCs w:val="20"/>
                <w:color w:val="auto"/>
              </w:rPr>
            </w:pPr>
            <w:r>
              <w:rPr>
                <w:rFonts w:ascii="Calibri" w:cs="Calibri" w:eastAsia="Calibri" w:hAnsi="Calibri"/>
                <w:sz w:val="20"/>
                <w:szCs w:val="20"/>
                <w:color w:val="auto"/>
              </w:rPr>
              <w:t>Balance at beginning of period</w:t>
            </w:r>
          </w:p>
        </w:tc>
        <w:tc>
          <w:tcPr>
            <w:tcW w:w="1260" w:type="dxa"/>
            <w:vAlign w:val="bottom"/>
          </w:tcPr>
          <w:p>
            <w:pPr>
              <w:jc w:val="right"/>
              <w:ind w:right="1061"/>
              <w:spacing w:after="0"/>
              <w:rPr>
                <w:sz w:val="20"/>
                <w:szCs w:val="20"/>
                <w:color w:val="auto"/>
              </w:rPr>
            </w:pPr>
            <w:r>
              <w:rPr>
                <w:rFonts w:ascii="Calibri" w:cs="Calibri" w:eastAsia="Calibri" w:hAnsi="Calibri"/>
                <w:sz w:val="20"/>
                <w:szCs w:val="20"/>
                <w:color w:val="auto"/>
                <w:w w:val="78"/>
              </w:rPr>
              <w:t>$</w:t>
            </w:r>
          </w:p>
        </w:tc>
        <w:tc>
          <w:tcPr>
            <w:tcW w:w="720" w:type="dxa"/>
            <w:vAlign w:val="bottom"/>
          </w:tcPr>
          <w:p>
            <w:pPr>
              <w:jc w:val="right"/>
              <w:spacing w:after="0"/>
              <w:rPr>
                <w:sz w:val="20"/>
                <w:szCs w:val="20"/>
                <w:color w:val="auto"/>
              </w:rPr>
            </w:pPr>
            <w:r>
              <w:rPr>
                <w:rFonts w:ascii="Calibri" w:cs="Calibri" w:eastAsia="Calibri" w:hAnsi="Calibri"/>
                <w:sz w:val="20"/>
                <w:szCs w:val="20"/>
                <w:color w:val="auto"/>
              </w:rPr>
              <w:t>69.7</w:t>
            </w:r>
          </w:p>
        </w:tc>
        <w:tc>
          <w:tcPr>
            <w:tcW w:w="1020" w:type="dxa"/>
            <w:vAlign w:val="bottom"/>
            <w:gridSpan w:val="2"/>
          </w:tcPr>
          <w:p>
            <w:pPr>
              <w:jc w:val="right"/>
              <w:ind w:right="501"/>
              <w:spacing w:after="0"/>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89.4</w:t>
            </w:r>
          </w:p>
        </w:tc>
        <w:tc>
          <w:tcPr>
            <w:tcW w:w="120" w:type="dxa"/>
            <w:vAlign w:val="bottom"/>
          </w:tcPr>
          <w:p>
            <w:pPr>
              <w:spacing w:after="0"/>
              <w:rPr>
                <w:sz w:val="21"/>
                <w:szCs w:val="21"/>
                <w:color w:val="auto"/>
              </w:rPr>
            </w:pPr>
          </w:p>
        </w:tc>
      </w:tr>
      <w:tr>
        <w:trPr>
          <w:trHeight w:val="33"/>
        </w:trPr>
        <w:tc>
          <w:tcPr>
            <w:tcW w:w="6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6"/>
        </w:trPr>
        <w:tc>
          <w:tcPr>
            <w:tcW w:w="682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Tax efect of other comprehensive loss (earnings)</w:t>
            </w:r>
          </w:p>
        </w:tc>
        <w:tc>
          <w:tcPr>
            <w:tcW w:w="12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10.5</w:t>
            </w:r>
          </w:p>
        </w:tc>
        <w:tc>
          <w:tcPr>
            <w:tcW w:w="32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gridSpan w:val="2"/>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rPr>
              <w:t>(0.7)</w:t>
            </w:r>
          </w:p>
        </w:tc>
      </w:tr>
      <w:tr>
        <w:trPr>
          <w:trHeight w:val="228"/>
        </w:trPr>
        <w:tc>
          <w:tcPr>
            <w:tcW w:w="6820" w:type="dxa"/>
            <w:vAlign w:val="bottom"/>
          </w:tcPr>
          <w:p>
            <w:pPr>
              <w:spacing w:after="0" w:line="217" w:lineRule="exact"/>
              <w:rPr>
                <w:sz w:val="20"/>
                <w:szCs w:val="20"/>
                <w:color w:val="auto"/>
              </w:rPr>
            </w:pPr>
            <w:r>
              <w:rPr>
                <w:rFonts w:ascii="Calibri" w:cs="Calibri" w:eastAsia="Calibri" w:hAnsi="Calibri"/>
                <w:sz w:val="20"/>
                <w:szCs w:val="20"/>
                <w:color w:val="auto"/>
              </w:rPr>
              <w:t>Balance at end of period</w:t>
            </w:r>
          </w:p>
        </w:tc>
        <w:tc>
          <w:tcPr>
            <w:tcW w:w="1260" w:type="dxa"/>
            <w:vAlign w:val="bottom"/>
            <w:tcBorders>
              <w:top w:val="single" w:sz="8" w:color="auto"/>
            </w:tcBorders>
          </w:tcPr>
          <w:p>
            <w:pPr>
              <w:jc w:val="right"/>
              <w:ind w:right="1061"/>
              <w:spacing w:after="0" w:line="228" w:lineRule="exact"/>
              <w:rPr>
                <w:sz w:val="20"/>
                <w:szCs w:val="20"/>
                <w:color w:val="auto"/>
              </w:rPr>
            </w:pPr>
            <w:r>
              <w:rPr>
                <w:rFonts w:ascii="Calibri" w:cs="Calibri" w:eastAsia="Calibri" w:hAnsi="Calibri"/>
                <w:sz w:val="20"/>
                <w:szCs w:val="20"/>
                <w:color w:val="auto"/>
                <w:w w:val="78"/>
              </w:rPr>
              <w:t>$</w:t>
            </w:r>
          </w:p>
        </w:tc>
        <w:tc>
          <w:tcPr>
            <w:tcW w:w="7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80.2</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ind w:right="501"/>
              <w:spacing w:after="0" w:line="228" w:lineRule="exact"/>
              <w:rPr>
                <w:sz w:val="20"/>
                <w:szCs w:val="20"/>
                <w:color w:val="auto"/>
              </w:rPr>
            </w:pPr>
            <w:r>
              <w:rPr>
                <w:rFonts w:ascii="Calibri" w:cs="Calibri" w:eastAsia="Calibri" w:hAnsi="Calibri"/>
                <w:sz w:val="20"/>
                <w:szCs w:val="20"/>
                <w:color w:val="auto"/>
                <w:w w:val="78"/>
              </w:rPr>
              <w:t>$</w:t>
            </w:r>
          </w:p>
        </w:tc>
        <w:tc>
          <w:tcPr>
            <w:tcW w:w="13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88.7</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13970</wp:posOffset>
            </wp:positionV>
            <wp:extent cx="2734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Calibri" w:cs="Calibri" w:eastAsia="Calibri" w:hAnsi="Calibri"/>
          <w:sz w:val="20"/>
          <w:szCs w:val="20"/>
          <w:color w:val="auto"/>
        </w:rPr>
        <w:t>Reclassifcatons out of accumulated other comprehensive loss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-140970</wp:posOffset>
            </wp:positionV>
            <wp:extent cx="2734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00" w:type="dxa"/>
            <w:vAlign w:val="bottom"/>
            <w:gridSpan w:val="4"/>
          </w:tcPr>
          <w:p>
            <w:pPr>
              <w:jc w:val="right"/>
              <w:ind w:right="166"/>
              <w:spacing w:after="0"/>
              <w:rPr>
                <w:sz w:val="20"/>
                <w:szCs w:val="20"/>
                <w:color w:val="auto"/>
              </w:rPr>
            </w:pPr>
            <w:r>
              <w:rPr>
                <w:rFonts w:ascii="Calibri" w:cs="Calibri" w:eastAsia="Calibri" w:hAnsi="Calibri"/>
                <w:sz w:val="19"/>
                <w:szCs w:val="19"/>
                <w:color w:val="auto"/>
              </w:rPr>
              <w:t>Three Months Ended</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80" w:type="dxa"/>
            <w:vAlign w:val="bottom"/>
          </w:tcPr>
          <w:p>
            <w:pPr>
              <w:jc w:val="center"/>
              <w:ind w:left="6"/>
              <w:spacing w:after="0"/>
              <w:rPr>
                <w:sz w:val="20"/>
                <w:szCs w:val="20"/>
                <w:color w:val="auto"/>
              </w:rPr>
            </w:pPr>
            <w:r>
              <w:rPr>
                <w:rFonts w:ascii="Calibri" w:cs="Calibri" w:eastAsia="Calibri" w:hAnsi="Calibri"/>
                <w:sz w:val="19"/>
                <w:szCs w:val="19"/>
                <w:color w:val="auto"/>
              </w:rPr>
              <w:t>Afected line items in the</w:t>
            </w: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gridSpan w:val="3"/>
          </w:tcPr>
          <w:p>
            <w:pPr>
              <w:jc w:val="right"/>
              <w:ind w:right="586"/>
              <w:spacing w:after="0"/>
              <w:rPr>
                <w:sz w:val="20"/>
                <w:szCs w:val="20"/>
                <w:color w:val="auto"/>
              </w:rPr>
            </w:pPr>
            <w:r>
              <w:rPr>
                <w:rFonts w:ascii="Calibri" w:cs="Calibri" w:eastAsia="Calibri" w:hAnsi="Calibri"/>
                <w:sz w:val="19"/>
                <w:szCs w:val="19"/>
                <w:color w:val="auto"/>
              </w:rPr>
              <w:t>March 31,</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Calibri" w:cs="Calibri" w:eastAsia="Calibri" w:hAnsi="Calibri"/>
                <w:sz w:val="19"/>
                <w:szCs w:val="19"/>
                <w:color w:val="auto"/>
                <w:w w:val="99"/>
              </w:rPr>
              <w:t>consolidated statements of earnings</w:t>
            </w:r>
          </w:p>
        </w:tc>
        <w:tc>
          <w:tcPr>
            <w:tcW w:w="0" w:type="dxa"/>
            <w:vAlign w:val="bottom"/>
          </w:tcPr>
          <w:p>
            <w:pPr>
              <w:spacing w:after="0"/>
              <w:rPr>
                <w:sz w:val="1"/>
                <w:szCs w:val="1"/>
                <w:color w:val="auto"/>
              </w:rPr>
            </w:pPr>
          </w:p>
        </w:tc>
      </w:tr>
      <w:tr>
        <w:trPr>
          <w:trHeight w:val="35"/>
        </w:trPr>
        <w:tc>
          <w:tcPr>
            <w:tcW w:w="2980" w:type="dxa"/>
            <w:vAlign w:val="bottom"/>
          </w:tcPr>
          <w:p>
            <w:pPr>
              <w:spacing w:after="0"/>
              <w:rPr>
                <w:sz w:val="3"/>
                <w:szCs w:val="3"/>
                <w:color w:val="auto"/>
              </w:rPr>
            </w:pPr>
          </w:p>
        </w:tc>
        <w:tc>
          <w:tcPr>
            <w:tcW w:w="174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380" w:type="dxa"/>
            <w:vAlign w:val="bottom"/>
            <w:vMerge w:val="restart"/>
          </w:tcPr>
          <w:p>
            <w:pPr>
              <w:jc w:val="center"/>
              <w:ind w:left="6"/>
              <w:spacing w:after="0"/>
              <w:rPr>
                <w:sz w:val="20"/>
                <w:szCs w:val="20"/>
                <w:color w:val="auto"/>
              </w:rPr>
            </w:pPr>
            <w:r>
              <w:rPr>
                <w:rFonts w:ascii="Calibri" w:cs="Calibri" w:eastAsia="Calibri" w:hAnsi="Calibri"/>
                <w:sz w:val="19"/>
                <w:szCs w:val="19"/>
                <w:color w:val="auto"/>
                <w:w w:val="99"/>
              </w:rPr>
              <w:t>and comprehensive earnings</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Borders>
              <w:top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2022</w:t>
            </w: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2021</w:t>
            </w: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00" w:type="dxa"/>
            <w:vAlign w:val="bottom"/>
            <w:gridSpan w:val="4"/>
          </w:tcPr>
          <w:p>
            <w:pPr>
              <w:jc w:val="right"/>
              <w:ind w:right="86"/>
              <w:spacing w:after="0" w:line="219" w:lineRule="exact"/>
              <w:rPr>
                <w:sz w:val="20"/>
                <w:szCs w:val="20"/>
                <w:color w:val="auto"/>
              </w:rPr>
            </w:pPr>
            <w:r>
              <w:rPr>
                <w:rFonts w:ascii="Calibri" w:cs="Calibri" w:eastAsia="Calibri" w:hAnsi="Calibri"/>
                <w:sz w:val="19"/>
                <w:szCs w:val="19"/>
                <w:i w:val="1"/>
                <w:iCs w:val="1"/>
                <w:color w:val="auto"/>
              </w:rPr>
              <w:t>(Dollars in Millions)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980" w:type="dxa"/>
            <w:vAlign w:val="bottom"/>
            <w:shd w:val="clear" w:color="auto" w:fill="CFF0FC"/>
          </w:tcPr>
          <w:p>
            <w:pPr>
              <w:spacing w:after="0" w:line="226" w:lineRule="exact"/>
              <w:rPr>
                <w:sz w:val="20"/>
                <w:szCs w:val="20"/>
                <w:color w:val="auto"/>
              </w:rPr>
            </w:pPr>
            <w:r>
              <w:rPr>
                <w:rFonts w:ascii="Calibri" w:cs="Calibri" w:eastAsia="Calibri" w:hAnsi="Calibri"/>
                <w:sz w:val="19"/>
                <w:szCs w:val="19"/>
                <w:color w:val="auto"/>
              </w:rPr>
              <w:t>Pension and postretrement</w:t>
            </w:r>
          </w:p>
        </w:tc>
        <w:tc>
          <w:tcPr>
            <w:tcW w:w="8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8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beneft plans</w:t>
            </w:r>
          </w:p>
        </w:tc>
        <w:tc>
          <w:tcPr>
            <w:tcW w:w="8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43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980" w:type="dxa"/>
            <w:vAlign w:val="bottom"/>
          </w:tcPr>
          <w:p>
            <w:pPr>
              <w:ind w:left="260"/>
              <w:spacing w:after="0" w:line="226" w:lineRule="exact"/>
              <w:rPr>
                <w:sz w:val="20"/>
                <w:szCs w:val="20"/>
                <w:color w:val="auto"/>
              </w:rPr>
            </w:pPr>
            <w:r>
              <w:rPr>
                <w:rFonts w:ascii="Calibri" w:cs="Calibri" w:eastAsia="Calibri" w:hAnsi="Calibri"/>
                <w:sz w:val="19"/>
                <w:szCs w:val="19"/>
                <w:color w:val="auto"/>
              </w:rPr>
              <w:t>Amortzaton of:</w:t>
            </w: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FF0FC"/>
            </w:tcBorders>
            <w:shd w:val="clear" w:color="auto" w:fill="CFF0FC"/>
          </w:tcPr>
          <w:p>
            <w:pPr>
              <w:ind w:left="500"/>
              <w:spacing w:after="0" w:line="226" w:lineRule="exact"/>
              <w:rPr>
                <w:sz w:val="20"/>
                <w:szCs w:val="20"/>
                <w:color w:val="auto"/>
              </w:rPr>
            </w:pPr>
            <w:r>
              <w:rPr>
                <w:rFonts w:ascii="Calibri" w:cs="Calibri" w:eastAsia="Calibri" w:hAnsi="Calibri"/>
                <w:sz w:val="19"/>
                <w:szCs w:val="19"/>
                <w:color w:val="auto"/>
              </w:rPr>
              <w:t>Prior service credit</w:t>
            </w:r>
          </w:p>
        </w:tc>
        <w:tc>
          <w:tcPr>
            <w:tcW w:w="1740" w:type="dxa"/>
            <w:vAlign w:val="bottom"/>
            <w:tcBorders>
              <w:bottom w:val="single" w:sz="8" w:color="CFF0FC"/>
            </w:tcBorders>
            <w:gridSpan w:val="2"/>
            <w:shd w:val="clear" w:color="auto" w:fill="CFF0FC"/>
          </w:tcPr>
          <w:p>
            <w:pPr>
              <w:jc w:val="right"/>
              <w:ind w:right="726"/>
              <w:spacing w:after="0" w:line="226" w:lineRule="exact"/>
              <w:rPr>
                <w:sz w:val="20"/>
                <w:szCs w:val="20"/>
                <w:color w:val="auto"/>
              </w:rPr>
            </w:pPr>
            <w:r>
              <w:rPr>
                <w:rFonts w:ascii="Calibri" w:cs="Calibri" w:eastAsia="Calibri" w:hAnsi="Calibri"/>
                <w:sz w:val="19"/>
                <w:szCs w:val="19"/>
                <w:color w:val="auto"/>
              </w:rPr>
              <w:t>$</w:t>
            </w:r>
          </w:p>
        </w:tc>
        <w:tc>
          <w:tcPr>
            <w:tcW w:w="40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1.0</w:t>
            </w:r>
          </w:p>
        </w:tc>
        <w:tc>
          <w:tcPr>
            <w:tcW w:w="2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ind w:right="726"/>
              <w:spacing w:after="0" w:line="226" w:lineRule="exact"/>
              <w:rPr>
                <w:sz w:val="20"/>
                <w:szCs w:val="20"/>
                <w:color w:val="auto"/>
              </w:rPr>
            </w:pPr>
            <w:r>
              <w:rPr>
                <w:rFonts w:ascii="Calibri" w:cs="Calibri" w:eastAsia="Calibri" w:hAnsi="Calibri"/>
                <w:sz w:val="19"/>
                <w:szCs w:val="19"/>
                <w:color w:val="auto"/>
                <w:w w:val="82"/>
              </w:rPr>
              <w:t>$</w:t>
            </w:r>
          </w:p>
        </w:tc>
        <w:tc>
          <w:tcPr>
            <w:tcW w:w="560" w:type="dxa"/>
            <w:vAlign w:val="bottom"/>
            <w:tcBorders>
              <w:bottom w:val="single" w:sz="8" w:color="CFF0FC"/>
            </w:tcBorders>
            <w:gridSpan w:val="2"/>
            <w:shd w:val="clear" w:color="auto" w:fill="CFF0FC"/>
          </w:tcPr>
          <w:p>
            <w:pPr>
              <w:jc w:val="right"/>
              <w:ind w:right="180"/>
              <w:spacing w:after="0" w:line="226" w:lineRule="exact"/>
              <w:rPr>
                <w:sz w:val="20"/>
                <w:szCs w:val="20"/>
                <w:color w:val="auto"/>
              </w:rPr>
            </w:pPr>
            <w:r>
              <w:rPr>
                <w:rFonts w:ascii="Calibri" w:cs="Calibri" w:eastAsia="Calibri" w:hAnsi="Calibri"/>
                <w:sz w:val="19"/>
                <w:szCs w:val="19"/>
                <w:color w:val="auto"/>
              </w:rPr>
              <w:t>—</w:t>
            </w:r>
          </w:p>
        </w:tc>
        <w:tc>
          <w:tcPr>
            <w:tcW w:w="43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80" w:type="dxa"/>
            <w:vAlign w:val="bottom"/>
          </w:tcPr>
          <w:p>
            <w:pPr>
              <w:ind w:left="500"/>
              <w:spacing w:after="0" w:line="226" w:lineRule="exact"/>
              <w:rPr>
                <w:sz w:val="20"/>
                <w:szCs w:val="20"/>
                <w:color w:val="auto"/>
              </w:rPr>
            </w:pPr>
            <w:r>
              <w:rPr>
                <w:rFonts w:ascii="Calibri" w:cs="Calibri" w:eastAsia="Calibri" w:hAnsi="Calibri"/>
                <w:sz w:val="19"/>
                <w:szCs w:val="19"/>
                <w:color w:val="auto"/>
              </w:rPr>
              <w:t>Actuarial loss</w:t>
            </w: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line="226" w:lineRule="exact"/>
              <w:rPr>
                <w:sz w:val="20"/>
                <w:szCs w:val="20"/>
                <w:color w:val="auto"/>
              </w:rPr>
            </w:pPr>
            <w:r>
              <w:rPr>
                <w:rFonts w:ascii="Calibri" w:cs="Calibri" w:eastAsia="Calibri" w:hAnsi="Calibri"/>
                <w:sz w:val="19"/>
                <w:szCs w:val="19"/>
                <w:color w:val="auto"/>
              </w:rPr>
              <w:t>0.8</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line="226" w:lineRule="exact"/>
              <w:rPr>
                <w:sz w:val="20"/>
                <w:szCs w:val="20"/>
                <w:color w:val="auto"/>
              </w:rPr>
            </w:pPr>
            <w:r>
              <w:rPr>
                <w:rFonts w:ascii="Calibri" w:cs="Calibri" w:eastAsia="Calibri" w:hAnsi="Calibri"/>
                <w:sz w:val="19"/>
                <w:szCs w:val="19"/>
                <w:color w:val="auto"/>
              </w:rPr>
              <w:t>3.2</w:t>
            </w:r>
          </w:p>
        </w:tc>
        <w:tc>
          <w:tcPr>
            <w:tcW w:w="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98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3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1.8</w:t>
            </w:r>
          </w:p>
        </w:tc>
        <w:tc>
          <w:tcPr>
            <w:tcW w:w="2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3.2</w:t>
            </w:r>
          </w:p>
        </w:tc>
        <w:tc>
          <w:tcPr>
            <w:tcW w:w="160" w:type="dxa"/>
            <w:vAlign w:val="bottom"/>
            <w:tcBorders>
              <w:bottom w:val="single" w:sz="8" w:color="CFF0FC"/>
            </w:tcBorders>
            <w:shd w:val="clear" w:color="auto" w:fill="CFF0FC"/>
          </w:tcPr>
          <w:p>
            <w:pPr>
              <w:spacing w:after="0"/>
              <w:rPr>
                <w:sz w:val="20"/>
                <w:szCs w:val="20"/>
                <w:color w:val="auto"/>
              </w:rPr>
            </w:pPr>
          </w:p>
        </w:tc>
        <w:tc>
          <w:tcPr>
            <w:tcW w:w="4380" w:type="dxa"/>
            <w:vAlign w:val="bottom"/>
            <w:tcBorders>
              <w:bottom w:val="single" w:sz="8" w:color="CFF0FC"/>
            </w:tcBorders>
            <w:shd w:val="clear" w:color="auto" w:fill="CFF0FC"/>
          </w:tcPr>
          <w:p>
            <w:pPr>
              <w:ind w:left="100"/>
              <w:spacing w:after="0" w:line="215" w:lineRule="exact"/>
              <w:rPr>
                <w:sz w:val="20"/>
                <w:szCs w:val="20"/>
                <w:color w:val="auto"/>
              </w:rPr>
            </w:pPr>
            <w:r>
              <w:rPr>
                <w:rFonts w:ascii="Calibri" w:cs="Calibri" w:eastAsia="Calibri" w:hAnsi="Calibri"/>
                <w:sz w:val="19"/>
                <w:szCs w:val="19"/>
                <w:color w:val="auto"/>
              </w:rPr>
              <w:t>Other nonoperatng income, net</w:t>
            </w:r>
          </w:p>
        </w:tc>
        <w:tc>
          <w:tcPr>
            <w:tcW w:w="0" w:type="dxa"/>
            <w:vAlign w:val="bottom"/>
          </w:tcPr>
          <w:p>
            <w:pPr>
              <w:spacing w:after="0"/>
              <w:rPr>
                <w:sz w:val="1"/>
                <w:szCs w:val="1"/>
                <w:color w:val="auto"/>
              </w:rPr>
            </w:pPr>
          </w:p>
        </w:tc>
      </w:tr>
      <w:tr>
        <w:trPr>
          <w:trHeight w:val="226"/>
        </w:trPr>
        <w:tc>
          <w:tcPr>
            <w:tcW w:w="2980" w:type="dxa"/>
            <w:vAlign w:val="bottom"/>
          </w:tcPr>
          <w:p>
            <w:pPr>
              <w:ind w:left="260"/>
              <w:spacing w:after="0" w:line="226" w:lineRule="exact"/>
              <w:rPr>
                <w:sz w:val="20"/>
                <w:szCs w:val="20"/>
                <w:color w:val="auto"/>
              </w:rPr>
            </w:pPr>
            <w:r>
              <w:rPr>
                <w:rFonts w:ascii="Calibri" w:cs="Calibri" w:eastAsia="Calibri" w:hAnsi="Calibri"/>
                <w:sz w:val="19"/>
                <w:szCs w:val="19"/>
                <w:color w:val="auto"/>
              </w:rPr>
              <w:t>Tax beneft</w:t>
            </w: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220"/>
              <w:spacing w:after="0" w:line="226" w:lineRule="exact"/>
              <w:rPr>
                <w:sz w:val="20"/>
                <w:szCs w:val="20"/>
                <w:color w:val="auto"/>
              </w:rPr>
            </w:pPr>
            <w:r>
              <w:rPr>
                <w:rFonts w:ascii="Calibri" w:cs="Calibri" w:eastAsia="Calibri" w:hAnsi="Calibri"/>
                <w:sz w:val="19"/>
                <w:szCs w:val="19"/>
                <w:color w:val="auto"/>
              </w:rPr>
              <w:t>(0.5)</w:t>
            </w:r>
          </w:p>
        </w:tc>
        <w:tc>
          <w:tcPr>
            <w:tcW w:w="920" w:type="dxa"/>
            <w:vAlign w:val="bottom"/>
          </w:tcPr>
          <w:p>
            <w:pPr>
              <w:spacing w:after="0"/>
              <w:rPr>
                <w:sz w:val="19"/>
                <w:szCs w:val="19"/>
                <w:color w:val="auto"/>
              </w:rPr>
            </w:pPr>
          </w:p>
        </w:tc>
        <w:tc>
          <w:tcPr>
            <w:tcW w:w="560" w:type="dxa"/>
            <w:vAlign w:val="bottom"/>
            <w:gridSpan w:val="2"/>
          </w:tcPr>
          <w:p>
            <w:pPr>
              <w:jc w:val="right"/>
              <w:ind w:right="120"/>
              <w:spacing w:after="0" w:line="226" w:lineRule="exact"/>
              <w:rPr>
                <w:sz w:val="20"/>
                <w:szCs w:val="20"/>
                <w:color w:val="auto"/>
              </w:rPr>
            </w:pPr>
            <w:r>
              <w:rPr>
                <w:rFonts w:ascii="Calibri" w:cs="Calibri" w:eastAsia="Calibri" w:hAnsi="Calibri"/>
                <w:sz w:val="19"/>
                <w:szCs w:val="19"/>
                <w:color w:val="auto"/>
              </w:rPr>
              <w:t>(0.7)</w:t>
            </w:r>
          </w:p>
        </w:tc>
        <w:tc>
          <w:tcPr>
            <w:tcW w:w="4380" w:type="dxa"/>
            <w:vAlign w:val="bottom"/>
          </w:tcPr>
          <w:p>
            <w:pPr>
              <w:ind w:left="100"/>
              <w:spacing w:after="0" w:line="226" w:lineRule="exact"/>
              <w:rPr>
                <w:sz w:val="20"/>
                <w:szCs w:val="20"/>
                <w:color w:val="auto"/>
              </w:rPr>
            </w:pPr>
            <w:r>
              <w:rPr>
                <w:rFonts w:ascii="Calibri" w:cs="Calibri" w:eastAsia="Calibri" w:hAnsi="Calibri"/>
                <w:sz w:val="19"/>
                <w:szCs w:val="19"/>
                <w:color w:val="auto"/>
              </w:rPr>
              <w:t>Income tax expense</w:t>
            </w:r>
          </w:p>
        </w:tc>
        <w:tc>
          <w:tcPr>
            <w:tcW w:w="0" w:type="dxa"/>
            <w:vAlign w:val="bottom"/>
          </w:tcPr>
          <w:p>
            <w:pPr>
              <w:spacing w:after="0"/>
              <w:rPr>
                <w:sz w:val="1"/>
                <w:szCs w:val="1"/>
                <w:color w:val="auto"/>
              </w:rPr>
            </w:pPr>
          </w:p>
        </w:tc>
      </w:tr>
      <w:tr>
        <w:trPr>
          <w:trHeight w:val="31"/>
        </w:trPr>
        <w:tc>
          <w:tcPr>
            <w:tcW w:w="298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3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26"/>
              <w:spacing w:after="0" w:line="219" w:lineRule="exact"/>
              <w:rPr>
                <w:sz w:val="20"/>
                <w:szCs w:val="20"/>
                <w:color w:val="auto"/>
              </w:rPr>
            </w:pPr>
            <w:r>
              <w:rPr>
                <w:rFonts w:ascii="Calibri" w:cs="Calibri" w:eastAsia="Calibri" w:hAnsi="Calibri"/>
                <w:sz w:val="19"/>
                <w:szCs w:val="19"/>
                <w:color w:val="auto"/>
                <w:w w:val="82"/>
              </w:rPr>
              <w:t>$</w:t>
            </w:r>
          </w:p>
        </w:tc>
        <w:tc>
          <w:tcPr>
            <w:tcW w:w="400" w:type="dxa"/>
            <w:vAlign w:val="bottom"/>
            <w:tcBorders>
              <w:bottom w:val="single" w:sz="8" w:color="CFF0FC"/>
            </w:tcBorders>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1.3</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26"/>
              <w:spacing w:after="0" w:line="219" w:lineRule="exact"/>
              <w:rPr>
                <w:sz w:val="20"/>
                <w:szCs w:val="20"/>
                <w:color w:val="auto"/>
              </w:rPr>
            </w:pPr>
            <w:r>
              <w:rPr>
                <w:rFonts w:ascii="Calibri" w:cs="Calibri" w:eastAsia="Calibri" w:hAnsi="Calibri"/>
                <w:sz w:val="19"/>
                <w:szCs w:val="19"/>
                <w:color w:val="auto"/>
                <w:w w:val="82"/>
              </w:rPr>
              <w:t>$</w:t>
            </w:r>
          </w:p>
        </w:tc>
        <w:tc>
          <w:tcPr>
            <w:tcW w:w="400" w:type="dxa"/>
            <w:vAlign w:val="bottom"/>
            <w:tcBorders>
              <w:bottom w:val="single" w:sz="8" w:color="CFF0FC"/>
            </w:tcBorders>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2.5</w:t>
            </w:r>
          </w:p>
        </w:tc>
        <w:tc>
          <w:tcPr>
            <w:tcW w:w="160" w:type="dxa"/>
            <w:vAlign w:val="bottom"/>
            <w:tcBorders>
              <w:bottom w:val="single" w:sz="8" w:color="CFF0FC"/>
            </w:tcBorders>
            <w:shd w:val="clear" w:color="auto" w:fill="CFF0FC"/>
          </w:tcPr>
          <w:p>
            <w:pPr>
              <w:spacing w:after="0"/>
              <w:rPr>
                <w:sz w:val="21"/>
                <w:szCs w:val="21"/>
                <w:color w:val="auto"/>
              </w:rPr>
            </w:pPr>
          </w:p>
        </w:tc>
        <w:tc>
          <w:tcPr>
            <w:tcW w:w="4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80"/>
        <w:spacing w:after="0"/>
        <w:rPr>
          <w:sz w:val="20"/>
          <w:szCs w:val="20"/>
          <w:color w:val="auto"/>
        </w:rPr>
      </w:pPr>
      <w:r>
        <w:rPr>
          <w:rFonts w:ascii="Calibri" w:cs="Calibri" w:eastAsia="Calibri" w:hAnsi="Calibri"/>
          <w:sz w:val="20"/>
          <w:szCs w:val="20"/>
          <w:b w:val="1"/>
          <w:bCs w:val="1"/>
          <w:color w:val="auto"/>
        </w:rPr>
        <w:t>Earnings per Common Share</w:t>
      </w:r>
    </w:p>
    <w:p>
      <w:pPr>
        <w:spacing w:after="0" w:line="117"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20"/>
          <w:szCs w:val="20"/>
          <w:color w:val="auto"/>
        </w:rPr>
        <w:t>The numerator for basic and diluted earnings per common share is net earnings atributable to Martn Marieta reduced by dividends and undistributed earnings atributable to certain of the Company’s stock-based compensaton. If there is a net loss, no amount of the undistributed loss is atributed to unvested partcipatng securites.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compensaton arrangements if the conversion is dilutve. For the three months ended March 31, 2022 and 2021, the diluted per-share computatons refect the number of common shares outstanding to include the number of additonal shares that would have been outstanding if the potentally dilutve common shares had been issued.</w:t>
      </w: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ind w:left="280" w:right="720"/>
        <w:spacing w:after="0" w:line="234" w:lineRule="auto"/>
        <w:rPr>
          <w:sz w:val="20"/>
          <w:szCs w:val="20"/>
          <w:color w:val="auto"/>
        </w:rPr>
      </w:pPr>
      <w:r>
        <w:rPr>
          <w:rFonts w:ascii="Calibri" w:cs="Calibri" w:eastAsia="Calibri" w:hAnsi="Calibri"/>
          <w:sz w:val="20"/>
          <w:szCs w:val="20"/>
          <w:color w:val="auto"/>
        </w:rPr>
        <w:t>The following table reconciles the numerator and denominator for basic and diluted earnings from contnuing operatons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960" w:type="dxa"/>
            <w:vAlign w:val="bottom"/>
            <w:gridSpan w:val="4"/>
          </w:tcPr>
          <w:p>
            <w:pPr>
              <w:jc w:val="center"/>
              <w:ind w:left="381"/>
              <w:spacing w:after="0"/>
              <w:rPr>
                <w:sz w:val="20"/>
                <w:szCs w:val="20"/>
                <w:color w:val="auto"/>
              </w:rPr>
            </w:pPr>
            <w:r>
              <w:rPr>
                <w:rFonts w:ascii="Calibri" w:cs="Calibri" w:eastAsia="Calibri" w:hAnsi="Calibri"/>
                <w:sz w:val="20"/>
                <w:szCs w:val="20"/>
                <w:color w:val="auto"/>
              </w:rPr>
              <w:t>Three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7"/>
        </w:trPr>
        <w:tc>
          <w:tcPr>
            <w:tcW w:w="6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60" w:type="dxa"/>
            <w:vAlign w:val="bottom"/>
            <w:gridSpan w:val="3"/>
          </w:tcPr>
          <w:p>
            <w:pPr>
              <w:jc w:val="center"/>
              <w:ind w:right="521"/>
              <w:spacing w:after="0"/>
              <w:rPr>
                <w:sz w:val="20"/>
                <w:szCs w:val="20"/>
                <w:color w:val="auto"/>
              </w:rPr>
            </w:pPr>
            <w:r>
              <w:rPr>
                <w:rFonts w:ascii="Calibri" w:cs="Calibri" w:eastAsia="Calibri" w:hAnsi="Calibri"/>
                <w:sz w:val="20"/>
                <w:szCs w:val="20"/>
                <w:color w:val="auto"/>
              </w:rPr>
              <w:t>March 31,</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3"/>
        </w:trPr>
        <w:tc>
          <w:tcPr>
            <w:tcW w:w="660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6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Borders>
              <w:top w:val="single" w:sz="8" w:color="auto"/>
            </w:tcBorders>
          </w:tcPr>
          <w:p>
            <w:pPr>
              <w:jc w:val="right"/>
              <w:ind w:right="1"/>
              <w:spacing w:after="0" w:line="228" w:lineRule="exact"/>
              <w:rPr>
                <w:sz w:val="20"/>
                <w:szCs w:val="20"/>
                <w:color w:val="auto"/>
              </w:rPr>
            </w:pPr>
            <w:r>
              <w:rPr>
                <w:rFonts w:ascii="Calibri" w:cs="Calibri" w:eastAsia="Calibri" w:hAnsi="Calibri"/>
                <w:sz w:val="20"/>
                <w:szCs w:val="20"/>
                <w:color w:val="auto"/>
              </w:rPr>
              <w:t>2022</w:t>
            </w:r>
          </w:p>
        </w:tc>
        <w:tc>
          <w:tcPr>
            <w:tcW w:w="4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rPr>
              <w:t>2021</w:t>
            </w: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6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gridSpan w:val="3"/>
          </w:tcPr>
          <w:p>
            <w:pPr>
              <w:jc w:val="center"/>
              <w:ind w:right="521"/>
              <w:spacing w:after="0" w:line="228" w:lineRule="exact"/>
              <w:rPr>
                <w:sz w:val="20"/>
                <w:szCs w:val="20"/>
                <w:color w:val="auto"/>
              </w:rPr>
            </w:pPr>
            <w:r>
              <w:rPr>
                <w:rFonts w:ascii="Calibri" w:cs="Calibri" w:eastAsia="Calibri" w:hAnsi="Calibri"/>
                <w:sz w:val="20"/>
                <w:szCs w:val="20"/>
                <w:i w:val="1"/>
                <w:iCs w:val="1"/>
                <w:color w:val="auto"/>
              </w:rPr>
              <w:t>(In Millions)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2"/>
        </w:trPr>
        <w:tc>
          <w:tcPr>
            <w:tcW w:w="660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Net earnings from contnuing operatons atributable to</w:t>
            </w:r>
          </w:p>
        </w:tc>
        <w:tc>
          <w:tcPr>
            <w:tcW w:w="10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7"/>
        </w:trPr>
        <w:tc>
          <w:tcPr>
            <w:tcW w:w="66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Martn Marieta</w:t>
            </w:r>
          </w:p>
        </w:tc>
        <w:tc>
          <w:tcPr>
            <w:tcW w:w="2180" w:type="dxa"/>
            <w:vAlign w:val="bottom"/>
            <w:tcBorders>
              <w:bottom w:val="single" w:sz="8" w:color="CFF0FC"/>
            </w:tcBorders>
            <w:gridSpan w:val="2"/>
            <w:shd w:val="clear" w:color="auto" w:fill="CFF0FC"/>
          </w:tcPr>
          <w:p>
            <w:pPr>
              <w:jc w:val="right"/>
              <w:ind w:right="901"/>
              <w:spacing w:after="0" w:line="234" w:lineRule="exact"/>
              <w:rPr>
                <w:sz w:val="20"/>
                <w:szCs w:val="20"/>
                <w:color w:val="auto"/>
              </w:rPr>
            </w:pPr>
            <w:r>
              <w:rPr>
                <w:rFonts w:ascii="Calibri" w:cs="Calibri" w:eastAsia="Calibri" w:hAnsi="Calibri"/>
                <w:sz w:val="20"/>
                <w:szCs w:val="20"/>
                <w:color w:val="auto"/>
              </w:rPr>
              <w:t>$</w:t>
            </w:r>
          </w:p>
        </w:tc>
        <w:tc>
          <w:tcPr>
            <w:tcW w:w="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24.5</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901"/>
              <w:spacing w:after="0" w:line="234" w:lineRule="exact"/>
              <w:rPr>
                <w:sz w:val="20"/>
                <w:szCs w:val="20"/>
                <w:color w:val="auto"/>
              </w:rPr>
            </w:pPr>
            <w:r>
              <w:rPr>
                <w:rFonts w:ascii="Calibri" w:cs="Calibri" w:eastAsia="Calibri" w:hAnsi="Calibri"/>
                <w:sz w:val="20"/>
                <w:szCs w:val="20"/>
                <w:color w:val="auto"/>
                <w:w w:val="78"/>
              </w:rPr>
              <w:t>$</w:t>
            </w:r>
          </w:p>
        </w:tc>
        <w:tc>
          <w:tcPr>
            <w:tcW w:w="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2"/>
        </w:trPr>
        <w:tc>
          <w:tcPr>
            <w:tcW w:w="6600" w:type="dxa"/>
            <w:vAlign w:val="bottom"/>
          </w:tcPr>
          <w:p>
            <w:pPr>
              <w:spacing w:after="0" w:line="232" w:lineRule="exact"/>
              <w:rPr>
                <w:sz w:val="20"/>
                <w:szCs w:val="20"/>
                <w:color w:val="auto"/>
              </w:rPr>
            </w:pPr>
            <w:r>
              <w:rPr>
                <w:rFonts w:ascii="Calibri" w:cs="Calibri" w:eastAsia="Calibri" w:hAnsi="Calibri"/>
                <w:sz w:val="20"/>
                <w:szCs w:val="20"/>
                <w:color w:val="auto"/>
              </w:rPr>
              <w:t>Less: Distributed and undistributed earnings</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6600" w:type="dxa"/>
            <w:vAlign w:val="bottom"/>
          </w:tcPr>
          <w:p>
            <w:pPr>
              <w:ind w:left="140"/>
              <w:spacing w:after="0" w:line="234" w:lineRule="exact"/>
              <w:rPr>
                <w:sz w:val="20"/>
                <w:szCs w:val="20"/>
                <w:color w:val="auto"/>
              </w:rPr>
            </w:pPr>
            <w:r>
              <w:rPr>
                <w:rFonts w:ascii="Calibri" w:cs="Calibri" w:eastAsia="Calibri" w:hAnsi="Calibri"/>
                <w:sz w:val="20"/>
                <w:szCs w:val="20"/>
                <w:color w:val="auto"/>
              </w:rPr>
              <w:t>atributable to unvested awards</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gridSpan w:val="2"/>
          </w:tcPr>
          <w:p>
            <w:pPr>
              <w:jc w:val="right"/>
              <w:ind w:right="28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Pr>
          <w:p>
            <w:pPr>
              <w:spacing w:after="0"/>
              <w:rPr>
                <w:sz w:val="20"/>
                <w:szCs w:val="20"/>
                <w:color w:val="auto"/>
              </w:rPr>
            </w:pPr>
          </w:p>
        </w:tc>
        <w:tc>
          <w:tcPr>
            <w:tcW w:w="480" w:type="dxa"/>
            <w:vAlign w:val="bottom"/>
          </w:tcPr>
          <w:p>
            <w:pPr>
              <w:jc w:val="right"/>
              <w:spacing w:after="0" w:line="234" w:lineRule="exact"/>
              <w:rPr>
                <w:sz w:val="20"/>
                <w:szCs w:val="20"/>
                <w:color w:val="auto"/>
              </w:rPr>
            </w:pPr>
            <w:r>
              <w:rPr>
                <w:rFonts w:ascii="Calibri" w:cs="Calibri" w:eastAsia="Calibri" w:hAnsi="Calibri"/>
                <w:sz w:val="20"/>
                <w:szCs w:val="20"/>
                <w:color w:val="auto"/>
              </w:rPr>
              <w:t>0.1</w:t>
            </w:r>
          </w:p>
        </w:tc>
        <w:tc>
          <w:tcPr>
            <w:tcW w:w="120" w:type="dxa"/>
            <w:vAlign w:val="bottom"/>
          </w:tcPr>
          <w:p>
            <w:pPr>
              <w:spacing w:after="0"/>
              <w:rPr>
                <w:sz w:val="20"/>
                <w:szCs w:val="20"/>
                <w:color w:val="auto"/>
              </w:rPr>
            </w:pPr>
          </w:p>
        </w:tc>
      </w:tr>
      <w:tr>
        <w:trPr>
          <w:trHeight w:val="33"/>
        </w:trPr>
        <w:tc>
          <w:tcPr>
            <w:tcW w:w="660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17"/>
        </w:trPr>
        <w:tc>
          <w:tcPr>
            <w:tcW w:w="6600" w:type="dxa"/>
            <w:vAlign w:val="bottom"/>
            <w:shd w:val="clear" w:color="auto" w:fill="CFF0FC"/>
          </w:tcPr>
          <w:p>
            <w:pPr>
              <w:spacing w:after="0" w:line="217" w:lineRule="exact"/>
              <w:rPr>
                <w:sz w:val="20"/>
                <w:szCs w:val="20"/>
                <w:color w:val="auto"/>
              </w:rPr>
            </w:pPr>
            <w:r>
              <w:rPr>
                <w:rFonts w:ascii="Calibri" w:cs="Calibri" w:eastAsia="Calibri" w:hAnsi="Calibri"/>
                <w:sz w:val="20"/>
                <w:szCs w:val="20"/>
                <w:color w:val="auto"/>
              </w:rPr>
              <w:t>Basic and diluted net earnings from contnuing operatons available</w:t>
            </w:r>
          </w:p>
        </w:tc>
        <w:tc>
          <w:tcPr>
            <w:tcW w:w="10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81"/>
        </w:trPr>
        <w:tc>
          <w:tcPr>
            <w:tcW w:w="6600" w:type="dxa"/>
            <w:vAlign w:val="bottom"/>
            <w:tcBorders>
              <w:bottom w:val="single" w:sz="8" w:color="CFF0FC"/>
            </w:tcBorders>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to common shareholders atributable to Martn Marieta</w:t>
            </w:r>
          </w:p>
        </w:tc>
        <w:tc>
          <w:tcPr>
            <w:tcW w:w="2180" w:type="dxa"/>
            <w:vAlign w:val="bottom"/>
            <w:tcBorders>
              <w:bottom w:val="single" w:sz="8" w:color="CFF0FC"/>
            </w:tcBorders>
            <w:gridSpan w:val="2"/>
            <w:shd w:val="clear" w:color="auto" w:fill="CFF0FC"/>
          </w:tcPr>
          <w:p>
            <w:pPr>
              <w:jc w:val="right"/>
              <w:ind w:right="901"/>
              <w:spacing w:after="0" w:line="243" w:lineRule="exact"/>
              <w:rPr>
                <w:sz w:val="20"/>
                <w:szCs w:val="20"/>
                <w:color w:val="auto"/>
              </w:rPr>
            </w:pPr>
            <w:r>
              <w:rPr>
                <w:rFonts w:ascii="Calibri" w:cs="Calibri" w:eastAsia="Calibri" w:hAnsi="Calibri"/>
                <w:sz w:val="20"/>
                <w:szCs w:val="20"/>
                <w:color w:val="auto"/>
              </w:rPr>
              <w:t>$</w:t>
            </w:r>
          </w:p>
        </w:tc>
        <w:tc>
          <w:tcPr>
            <w:tcW w:w="48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24.5</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901"/>
              <w:spacing w:after="0" w:line="243" w:lineRule="exact"/>
              <w:rPr>
                <w:sz w:val="20"/>
                <w:szCs w:val="20"/>
                <w:color w:val="auto"/>
              </w:rPr>
            </w:pPr>
            <w:r>
              <w:rPr>
                <w:rFonts w:ascii="Calibri" w:cs="Calibri" w:eastAsia="Calibri" w:hAnsi="Calibri"/>
                <w:sz w:val="20"/>
                <w:szCs w:val="20"/>
                <w:color w:val="auto"/>
                <w:w w:val="78"/>
              </w:rPr>
              <w:t>$</w:t>
            </w:r>
          </w:p>
        </w:tc>
        <w:tc>
          <w:tcPr>
            <w:tcW w:w="48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65.2</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37"/>
        </w:trPr>
        <w:tc>
          <w:tcPr>
            <w:tcW w:w="6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66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Basic weighted-average common shares outstanding</w:t>
            </w:r>
          </w:p>
        </w:tc>
        <w:tc>
          <w:tcPr>
            <w:tcW w:w="10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62.4</w:t>
            </w:r>
          </w:p>
        </w:tc>
        <w:tc>
          <w:tcPr>
            <w:tcW w:w="2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62.3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600" w:type="dxa"/>
            <w:vAlign w:val="bottom"/>
          </w:tcPr>
          <w:p>
            <w:pPr>
              <w:spacing w:after="0" w:line="234" w:lineRule="exact"/>
              <w:rPr>
                <w:sz w:val="20"/>
                <w:szCs w:val="20"/>
                <w:color w:val="auto"/>
              </w:rPr>
            </w:pPr>
            <w:r>
              <w:rPr>
                <w:rFonts w:ascii="Calibri" w:cs="Calibri" w:eastAsia="Calibri" w:hAnsi="Calibri"/>
                <w:sz w:val="20"/>
                <w:szCs w:val="20"/>
                <w:color w:val="auto"/>
              </w:rPr>
              <w:t>Efect of dilutve employee and director awards</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jc w:val="right"/>
              <w:spacing w:after="0" w:line="234" w:lineRule="exact"/>
              <w:rPr>
                <w:sz w:val="20"/>
                <w:szCs w:val="20"/>
                <w:color w:val="auto"/>
              </w:rPr>
            </w:pPr>
            <w:r>
              <w:rPr>
                <w:rFonts w:ascii="Calibri" w:cs="Calibri" w:eastAsia="Calibri" w:hAnsi="Calibri"/>
                <w:sz w:val="20"/>
                <w:szCs w:val="20"/>
                <w:color w:val="auto"/>
              </w:rPr>
              <w:t>0.2</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jc w:val="right"/>
              <w:spacing w:after="0" w:line="234" w:lineRule="exact"/>
              <w:rPr>
                <w:sz w:val="20"/>
                <w:szCs w:val="20"/>
                <w:color w:val="auto"/>
              </w:rPr>
            </w:pPr>
            <w:r>
              <w:rPr>
                <w:rFonts w:ascii="Calibri" w:cs="Calibri" w:eastAsia="Calibri" w:hAnsi="Calibri"/>
                <w:sz w:val="20"/>
                <w:szCs w:val="20"/>
                <w:color w:val="auto"/>
              </w:rPr>
              <w:t>0.2</w:t>
            </w:r>
          </w:p>
        </w:tc>
        <w:tc>
          <w:tcPr>
            <w:tcW w:w="120" w:type="dxa"/>
            <w:vAlign w:val="bottom"/>
          </w:tcPr>
          <w:p>
            <w:pPr>
              <w:spacing w:after="0"/>
              <w:rPr>
                <w:sz w:val="20"/>
                <w:szCs w:val="20"/>
                <w:color w:val="auto"/>
              </w:rPr>
            </w:pPr>
          </w:p>
        </w:tc>
      </w:tr>
      <w:tr>
        <w:trPr>
          <w:trHeight w:val="22"/>
        </w:trPr>
        <w:tc>
          <w:tcPr>
            <w:tcW w:w="660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55"/>
        </w:trPr>
        <w:tc>
          <w:tcPr>
            <w:tcW w:w="660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Diluted weighted-average common shares outstanding</w:t>
            </w:r>
          </w:p>
        </w:tc>
        <w:tc>
          <w:tcPr>
            <w:tcW w:w="10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62.6</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62.5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82" w:lineRule="exact"/>
        <w:rPr>
          <w:sz w:val="20"/>
          <w:szCs w:val="20"/>
          <w:color w:val="auto"/>
        </w:rPr>
      </w:pPr>
    </w:p>
    <w:p>
      <w:pPr>
        <w:ind w:left="280"/>
        <w:spacing w:after="0"/>
        <w:rPr>
          <w:sz w:val="20"/>
          <w:szCs w:val="20"/>
          <w:color w:val="auto"/>
        </w:rPr>
      </w:pPr>
      <w:r>
        <w:rPr>
          <w:rFonts w:ascii="Calibri" w:cs="Calibri" w:eastAsia="Calibri" w:hAnsi="Calibri"/>
          <w:sz w:val="20"/>
          <w:szCs w:val="20"/>
          <w:b w:val="1"/>
          <w:bCs w:val="1"/>
          <w:color w:val="auto"/>
        </w:rPr>
        <w:t>Restricted Cash</w:t>
      </w:r>
    </w:p>
    <w:p>
      <w:pPr>
        <w:spacing w:after="0" w:line="117" w:lineRule="exact"/>
        <w:rPr>
          <w:sz w:val="20"/>
          <w:szCs w:val="20"/>
          <w:color w:val="auto"/>
        </w:rPr>
      </w:pPr>
    </w:p>
    <w:p>
      <w:pPr>
        <w:jc w:val="both"/>
        <w:ind w:left="280"/>
        <w:spacing w:after="0"/>
        <w:rPr>
          <w:sz w:val="20"/>
          <w:szCs w:val="20"/>
          <w:color w:val="auto"/>
        </w:rPr>
      </w:pPr>
      <w:r>
        <w:rPr>
          <w:rFonts w:ascii="Calibri" w:cs="Calibri" w:eastAsia="Calibri" w:hAnsi="Calibri"/>
          <w:sz w:val="20"/>
          <w:szCs w:val="20"/>
          <w:color w:val="auto"/>
        </w:rPr>
        <w:t>At December 31, 2021, the Company had restricted cash of $0.5 million, which was invested in an account designated for the purchase of like-kind exchange replacement assets under Secton 1031 of the Internal Revenue Code and related IRS procedures (Secton 1031). The Company was restricted from utlizing the cash for purposes other than the purchase of the qualifed assets for a designated period from receipt of the proceeds from the sale of the exchanged property. There was no restricted cash at March 31, 2022.</w:t>
      </w:r>
    </w:p>
    <w:p>
      <w:pPr>
        <w:spacing w:after="0" w:line="346" w:lineRule="exact"/>
        <w:rPr>
          <w:sz w:val="20"/>
          <w:szCs w:val="20"/>
          <w:color w:val="auto"/>
        </w:rPr>
      </w:pPr>
    </w:p>
    <w:p>
      <w:pPr>
        <w:jc w:val="both"/>
        <w:ind w:left="280"/>
        <w:spacing w:after="0" w:line="234" w:lineRule="auto"/>
        <w:rPr>
          <w:sz w:val="20"/>
          <w:szCs w:val="20"/>
          <w:color w:val="auto"/>
        </w:rPr>
      </w:pPr>
      <w:r>
        <w:rPr>
          <w:rFonts w:ascii="Calibri" w:cs="Calibri" w:eastAsia="Calibri" w:hAnsi="Calibri"/>
          <w:sz w:val="20"/>
          <w:szCs w:val="20"/>
          <w:color w:val="auto"/>
        </w:rPr>
        <w:t xml:space="preserve">In connecton with Accountng Standards Update 2016-18, </w:t>
      </w:r>
      <w:r>
        <w:rPr>
          <w:rFonts w:ascii="Calibri" w:cs="Calibri" w:eastAsia="Calibri" w:hAnsi="Calibri"/>
          <w:sz w:val="20"/>
          <w:szCs w:val="20"/>
          <w:i w:val="1"/>
          <w:iCs w:val="1"/>
          <w:color w:val="auto"/>
        </w:rPr>
        <w:t>Statement of Cash Flows (Topic 230),</w:t>
      </w:r>
      <w:r>
        <w:rPr>
          <w:rFonts w:ascii="Calibri" w:cs="Calibri" w:eastAsia="Calibri" w:hAnsi="Calibri"/>
          <w:sz w:val="20"/>
          <w:szCs w:val="20"/>
          <w:color w:val="auto"/>
        </w:rPr>
        <w:t xml:space="preserve"> the statement of cash fows refects cash fow changes and balances for cash, cash equivalents and restricted cash on an aggregated basis.</w:t>
      </w:r>
    </w:p>
    <w:p>
      <w:pPr>
        <w:spacing w:after="0" w:line="118" w:lineRule="exact"/>
        <w:rPr>
          <w:sz w:val="20"/>
          <w:szCs w:val="20"/>
          <w:color w:val="auto"/>
        </w:rPr>
      </w:pPr>
    </w:p>
    <w:p>
      <w:pPr>
        <w:jc w:val="both"/>
        <w:ind w:left="280"/>
        <w:spacing w:after="0" w:line="234" w:lineRule="auto"/>
        <w:rPr>
          <w:sz w:val="20"/>
          <w:szCs w:val="20"/>
          <w:color w:val="auto"/>
        </w:rPr>
      </w:pPr>
      <w:r>
        <w:rPr>
          <w:rFonts w:ascii="Calibri" w:cs="Calibri" w:eastAsia="Calibri" w:hAnsi="Calibri"/>
          <w:sz w:val="20"/>
          <w:szCs w:val="20"/>
          <w:color w:val="auto"/>
        </w:rPr>
        <w:t>The following table reconciles cash, cash equivalents and restricted cash as reported on the consolidated balance sheets to the aggregated amounts presented on the consolidated statements of cash fows: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Calibri" w:cs="Calibri" w:eastAsia="Calibri" w:hAnsi="Calibri"/>
                <w:sz w:val="20"/>
                <w:szCs w:val="20"/>
                <w:color w:val="auto"/>
              </w:rPr>
              <w:t>March 31,</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ind w:left="160"/>
              <w:spacing w:after="0"/>
              <w:rPr>
                <w:sz w:val="20"/>
                <w:szCs w:val="20"/>
                <w:color w:val="auto"/>
              </w:rPr>
            </w:pPr>
            <w:r>
              <w:rPr>
                <w:rFonts w:ascii="Calibri" w:cs="Calibri" w:eastAsia="Calibri" w:hAnsi="Calibri"/>
                <w:sz w:val="20"/>
                <w:szCs w:val="20"/>
                <w:color w:val="auto"/>
              </w:rPr>
              <w:t>December 31,</w:t>
            </w:r>
          </w:p>
        </w:tc>
      </w:tr>
      <w:tr>
        <w:trPr>
          <w:trHeight w:val="256"/>
        </w:trPr>
        <w:tc>
          <w:tcPr>
            <w:tcW w:w="5860" w:type="dxa"/>
            <w:vAlign w:val="bottom"/>
          </w:tcPr>
          <w:p>
            <w:pPr>
              <w:spacing w:after="0"/>
              <w:rPr>
                <w:sz w:val="22"/>
                <w:szCs w:val="22"/>
                <w:color w:val="auto"/>
              </w:rPr>
            </w:pPr>
          </w:p>
        </w:tc>
        <w:tc>
          <w:tcPr>
            <w:tcW w:w="2380" w:type="dxa"/>
            <w:vAlign w:val="bottom"/>
            <w:gridSpan w:val="2"/>
          </w:tcPr>
          <w:p>
            <w:pPr>
              <w:jc w:val="right"/>
              <w:ind w:right="181"/>
              <w:spacing w:after="0"/>
              <w:rPr>
                <w:sz w:val="20"/>
                <w:szCs w:val="20"/>
                <w:color w:val="auto"/>
              </w:rPr>
            </w:pPr>
            <w:r>
              <w:rPr>
                <w:rFonts w:ascii="Calibri" w:cs="Calibri" w:eastAsia="Calibri" w:hAnsi="Calibri"/>
                <w:sz w:val="20"/>
                <w:szCs w:val="20"/>
                <w:color w:val="auto"/>
              </w:rPr>
              <w:t>2022</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721"/>
              <w:spacing w:after="0"/>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22"/>
                <w:szCs w:val="22"/>
                <w:color w:val="auto"/>
              </w:rPr>
            </w:pPr>
          </w:p>
        </w:tc>
      </w:tr>
      <w:tr>
        <w:trPr>
          <w:trHeight w:val="33"/>
        </w:trPr>
        <w:tc>
          <w:tcPr>
            <w:tcW w:w="5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60" w:type="dxa"/>
            <w:vAlign w:val="bottom"/>
            <w:gridSpan w:val="6"/>
          </w:tcPr>
          <w:p>
            <w:pPr>
              <w:spacing w:after="0"/>
              <w:rPr>
                <w:sz w:val="2"/>
                <w:szCs w:val="2"/>
                <w:color w:val="auto"/>
              </w:rPr>
            </w:pPr>
          </w:p>
        </w:tc>
      </w:tr>
      <w:tr>
        <w:trPr>
          <w:trHeight w:val="228"/>
        </w:trPr>
        <w:tc>
          <w:tcPr>
            <w:tcW w:w="5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360" w:type="dxa"/>
            <w:vAlign w:val="bottom"/>
            <w:tcBorders>
              <w:top w:val="single" w:sz="8" w:color="auto"/>
            </w:tcBorders>
            <w:gridSpan w:val="5"/>
          </w:tcPr>
          <w:p>
            <w:pPr>
              <w:jc w:val="right"/>
              <w:ind w:right="130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00" w:type="dxa"/>
            <w:vAlign w:val="bottom"/>
          </w:tcPr>
          <w:p>
            <w:pPr>
              <w:spacing w:after="0"/>
              <w:rPr>
                <w:sz w:val="19"/>
                <w:szCs w:val="19"/>
                <w:color w:val="auto"/>
              </w:rPr>
            </w:pPr>
          </w:p>
        </w:tc>
      </w:tr>
      <w:tr>
        <w:trPr>
          <w:trHeight w:val="22"/>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Cash and cash equivalents</w:t>
            </w:r>
          </w:p>
        </w:tc>
        <w:tc>
          <w:tcPr>
            <w:tcW w:w="2380" w:type="dxa"/>
            <w:vAlign w:val="bottom"/>
            <w:tcBorders>
              <w:bottom w:val="single" w:sz="8" w:color="CFF0FC"/>
            </w:tcBorders>
            <w:gridSpan w:val="2"/>
            <w:shd w:val="clear" w:color="auto" w:fill="CFF0FC"/>
          </w:tcPr>
          <w:p>
            <w:pPr>
              <w:jc w:val="right"/>
              <w:ind w:right="1261"/>
              <w:spacing w:after="0" w:line="234" w:lineRule="exact"/>
              <w:rPr>
                <w:sz w:val="20"/>
                <w:szCs w:val="20"/>
                <w:color w:val="auto"/>
              </w:rPr>
            </w:pPr>
            <w:r>
              <w:rPr>
                <w:rFonts w:ascii="Calibri" w:cs="Calibri" w:eastAsia="Calibri" w:hAnsi="Calibri"/>
                <w:sz w:val="20"/>
                <w:szCs w:val="20"/>
                <w:color w:val="auto"/>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189.6</w:t>
            </w:r>
          </w:p>
        </w:tc>
        <w:tc>
          <w:tcPr>
            <w:tcW w:w="620" w:type="dxa"/>
            <w:vAlign w:val="bottom"/>
            <w:tcBorders>
              <w:bottom w:val="single" w:sz="8" w:color="CFF0FC"/>
            </w:tcBorders>
            <w:gridSpan w:val="2"/>
            <w:shd w:val="clear" w:color="auto" w:fill="CFF0FC"/>
          </w:tcPr>
          <w:p>
            <w:pPr>
              <w:jc w:val="right"/>
              <w:ind w:right="160"/>
              <w:spacing w:after="0" w:line="234" w:lineRule="exact"/>
              <w:rPr>
                <w:sz w:val="20"/>
                <w:szCs w:val="20"/>
                <w:color w:val="auto"/>
              </w:rPr>
            </w:pPr>
            <w:r>
              <w:rPr>
                <w:rFonts w:ascii="Calibri" w:cs="Calibri" w:eastAsia="Calibri" w:hAnsi="Calibri"/>
                <w:sz w:val="20"/>
                <w:szCs w:val="20"/>
                <w:color w:val="auto"/>
              </w:rPr>
              <w:t>$</w:t>
            </w:r>
          </w:p>
        </w:tc>
        <w:tc>
          <w:tcPr>
            <w:tcW w:w="17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5860" w:type="dxa"/>
            <w:vAlign w:val="bottom"/>
          </w:tcPr>
          <w:p>
            <w:pPr>
              <w:spacing w:after="0" w:line="234" w:lineRule="exact"/>
              <w:rPr>
                <w:sz w:val="20"/>
                <w:szCs w:val="20"/>
                <w:color w:val="auto"/>
              </w:rPr>
            </w:pPr>
            <w:r>
              <w:rPr>
                <w:rFonts w:ascii="Calibri" w:cs="Calibri" w:eastAsia="Calibri" w:hAnsi="Calibri"/>
                <w:sz w:val="20"/>
                <w:szCs w:val="20"/>
                <w:color w:val="auto"/>
              </w:rPr>
              <w:t>Restricted cash</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line="234" w:lineRule="exact"/>
              <w:rPr>
                <w:sz w:val="20"/>
                <w:szCs w:val="20"/>
                <w:color w:val="auto"/>
              </w:rPr>
            </w:pPr>
            <w:r>
              <w:rPr>
                <w:rFonts w:ascii="Calibri" w:cs="Calibri" w:eastAsia="Calibri" w:hAnsi="Calibri"/>
                <w:sz w:val="20"/>
                <w:szCs w:val="20"/>
                <w:color w:val="auto"/>
              </w:rPr>
              <w:t>0.5</w:t>
            </w:r>
          </w:p>
        </w:tc>
        <w:tc>
          <w:tcPr>
            <w:tcW w:w="100" w:type="dxa"/>
            <w:vAlign w:val="bottom"/>
          </w:tcPr>
          <w:p>
            <w:pPr>
              <w:spacing w:after="0"/>
              <w:rPr>
                <w:sz w:val="20"/>
                <w:szCs w:val="20"/>
                <w:color w:val="auto"/>
              </w:rPr>
            </w:pPr>
          </w:p>
        </w:tc>
      </w:tr>
      <w:tr>
        <w:trPr>
          <w:trHeight w:val="22"/>
        </w:trPr>
        <w:tc>
          <w:tcPr>
            <w:tcW w:w="58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7"/>
        </w:trPr>
        <w:tc>
          <w:tcPr>
            <w:tcW w:w="5860" w:type="dxa"/>
            <w:vAlign w:val="bottom"/>
            <w:shd w:val="clear" w:color="auto" w:fill="CFF0FC"/>
          </w:tcPr>
          <w:p>
            <w:pPr>
              <w:spacing w:after="0" w:line="217" w:lineRule="exact"/>
              <w:rPr>
                <w:sz w:val="20"/>
                <w:szCs w:val="20"/>
                <w:color w:val="auto"/>
              </w:rPr>
            </w:pPr>
            <w:r>
              <w:rPr>
                <w:rFonts w:ascii="Calibri" w:cs="Calibri" w:eastAsia="Calibri" w:hAnsi="Calibri"/>
                <w:sz w:val="20"/>
                <w:szCs w:val="20"/>
                <w:color w:val="auto"/>
              </w:rPr>
              <w:t>Total cash, cash equivalents and restricted cash presented in</w:t>
            </w:r>
          </w:p>
        </w:tc>
        <w:tc>
          <w:tcPr>
            <w:tcW w:w="9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1"/>
        </w:trPr>
        <w:tc>
          <w:tcPr>
            <w:tcW w:w="5860" w:type="dxa"/>
            <w:vAlign w:val="bottom"/>
            <w:tcBorders>
              <w:bottom w:val="single" w:sz="8" w:color="CFF0FC"/>
            </w:tcBorders>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the consolidated statements of cash fows</w:t>
            </w:r>
          </w:p>
        </w:tc>
        <w:tc>
          <w:tcPr>
            <w:tcW w:w="2380" w:type="dxa"/>
            <w:vAlign w:val="bottom"/>
            <w:tcBorders>
              <w:bottom w:val="single" w:sz="8" w:color="CFF0FC"/>
            </w:tcBorders>
            <w:gridSpan w:val="2"/>
            <w:shd w:val="clear" w:color="auto" w:fill="CFF0FC"/>
          </w:tcPr>
          <w:p>
            <w:pPr>
              <w:jc w:val="right"/>
              <w:ind w:right="1261"/>
              <w:spacing w:after="0" w:line="243" w:lineRule="exact"/>
              <w:rPr>
                <w:sz w:val="20"/>
                <w:szCs w:val="20"/>
                <w:color w:val="auto"/>
              </w:rPr>
            </w:pPr>
            <w:r>
              <w:rPr>
                <w:rFonts w:ascii="Calibri" w:cs="Calibri" w:eastAsia="Calibri" w:hAnsi="Calibri"/>
                <w:sz w:val="20"/>
                <w:szCs w:val="20"/>
                <w:color w:val="auto"/>
              </w:rPr>
              <w:t>$</w:t>
            </w:r>
          </w:p>
        </w:tc>
        <w:tc>
          <w:tcPr>
            <w:tcW w:w="52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189.6</w:t>
            </w:r>
          </w:p>
        </w:tc>
        <w:tc>
          <w:tcPr>
            <w:tcW w:w="620" w:type="dxa"/>
            <w:vAlign w:val="bottom"/>
            <w:tcBorders>
              <w:bottom w:val="single" w:sz="8" w:color="CFF0FC"/>
            </w:tcBorders>
            <w:gridSpan w:val="2"/>
            <w:shd w:val="clear" w:color="auto" w:fill="CFF0FC"/>
          </w:tcPr>
          <w:p>
            <w:pPr>
              <w:jc w:val="right"/>
              <w:ind w:right="160"/>
              <w:spacing w:after="0" w:line="243" w:lineRule="exact"/>
              <w:rPr>
                <w:sz w:val="20"/>
                <w:szCs w:val="20"/>
                <w:color w:val="auto"/>
              </w:rPr>
            </w:pPr>
            <w:r>
              <w:rPr>
                <w:rFonts w:ascii="Calibri" w:cs="Calibri" w:eastAsia="Calibri" w:hAnsi="Calibri"/>
                <w:sz w:val="20"/>
                <w:szCs w:val="20"/>
                <w:color w:val="auto"/>
              </w:rPr>
              <w:t>$</w:t>
            </w:r>
          </w:p>
        </w:tc>
        <w:tc>
          <w:tcPr>
            <w:tcW w:w="176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258.9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3" w:lineRule="exact"/>
        <w:rPr>
          <w:sz w:val="20"/>
          <w:szCs w:val="20"/>
          <w:color w:val="auto"/>
        </w:rPr>
      </w:pPr>
    </w:p>
    <w:p>
      <w:pPr>
        <w:ind w:left="280" w:hanging="272"/>
        <w:spacing w:after="0"/>
        <w:tabs>
          <w:tab w:leader="none" w:pos="28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 Recogniton</w:t>
      </w:r>
    </w:p>
    <w:p>
      <w:pPr>
        <w:spacing w:after="0" w:line="116" w:lineRule="exact"/>
        <w:rPr>
          <w:rFonts w:ascii="Calibri" w:cs="Calibri" w:eastAsia="Calibri" w:hAnsi="Calibri"/>
          <w:sz w:val="20"/>
          <w:szCs w:val="20"/>
          <w:b w:val="1"/>
          <w:bCs w:val="1"/>
          <w:color w:val="auto"/>
        </w:rPr>
      </w:pPr>
    </w:p>
    <w:p>
      <w:pPr>
        <w:jc w:val="both"/>
        <w:ind w:left="2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are recognized using the percentage-of-completion method</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jc w:val="both"/>
        <w:ind w:left="280"/>
        <w:spacing w:after="0" w:line="234" w:lineRule="auto"/>
        <w:rPr>
          <w:sz w:val="20"/>
          <w:szCs w:val="20"/>
          <w:color w:val="auto"/>
        </w:rPr>
      </w:pPr>
      <w:r>
        <w:rPr>
          <w:rFonts w:ascii="Calibri" w:cs="Calibri" w:eastAsia="Calibri" w:hAnsi="Calibri"/>
          <w:sz w:val="20"/>
          <w:szCs w:val="20"/>
          <w:color w:val="auto"/>
        </w:rPr>
        <w:t>under the cost-to-cost approach. Freight revenues refect delivery arranged by the Company using a third party on behalf of the customer and are recognized consistently with the tming of the product revenues.</w:t>
      </w:r>
    </w:p>
    <w:p>
      <w:pPr>
        <w:spacing w:after="0" w:line="118"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20"/>
          <w:szCs w:val="20"/>
          <w:b w:val="1"/>
          <w:bCs w:val="1"/>
          <w:i w:val="1"/>
          <w:iCs w:val="1"/>
          <w:color w:val="auto"/>
        </w:rPr>
        <w:t xml:space="preserve">Performance Obligatons. </w:t>
      </w:r>
      <w:r>
        <w:rPr>
          <w:rFonts w:ascii="Calibri" w:cs="Calibri" w:eastAsia="Calibri" w:hAnsi="Calibri"/>
          <w:sz w:val="20"/>
          <w:szCs w:val="20"/>
          <w:color w:val="auto"/>
        </w:rPr>
        <w:t>Performance obligatons are contractual promises to transfer or provide a distnct good or service for 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stated price. The Company’s product sales agreements are single-performance obligatons that are satsfed at a point in tme. Performance obligatons within paving service agreements are satsfed over tme, primarily ranging from one day to two years. For product revenues and freight revenues, customer payment terms are generally 30 days from invoice date. Customer payments for the paving operatons are based on a contractual billing schedule and are due 30 days from invoice date.</w:t>
      </w:r>
    </w:p>
    <w:p>
      <w:pPr>
        <w:spacing w:after="0" w:line="118"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Future revenues from unsatsfed performance obligatons at March 31, 2022 and 2021 were $213.9 million and $172.8 million, respectvely, where the remaining periods to complete these obligatons ranged from one month to 25 months and one month to 19 months, respectvely.</w:t>
      </w:r>
    </w:p>
    <w:p>
      <w:pPr>
        <w:spacing w:after="0" w:line="107" w:lineRule="exact"/>
        <w:rPr>
          <w:sz w:val="20"/>
          <w:szCs w:val="20"/>
          <w:color w:val="auto"/>
        </w:rPr>
      </w:pPr>
    </w:p>
    <w:p>
      <w:pPr>
        <w:ind w:left="280"/>
        <w:spacing w:after="0"/>
        <w:rPr>
          <w:sz w:val="20"/>
          <w:szCs w:val="20"/>
          <w:color w:val="auto"/>
        </w:rPr>
      </w:pPr>
      <w:r>
        <w:rPr>
          <w:rFonts w:ascii="Calibri" w:cs="Calibri" w:eastAsia="Calibri" w:hAnsi="Calibri"/>
          <w:sz w:val="20"/>
          <w:szCs w:val="20"/>
          <w:b w:val="1"/>
          <w:bCs w:val="1"/>
          <w:i w:val="1"/>
          <w:iCs w:val="1"/>
          <w:color w:val="auto"/>
        </w:rPr>
        <w:t xml:space="preserve">Revenue by Category. </w:t>
      </w:r>
      <w:r>
        <w:rPr>
          <w:rFonts w:ascii="Calibri" w:cs="Calibri" w:eastAsia="Calibri" w:hAnsi="Calibri"/>
          <w:sz w:val="20"/>
          <w:szCs w:val="20"/>
          <w:color w:val="auto"/>
        </w:rPr>
        <w:t>The following table presents the Company’s total revenues by category for each reportable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gridSpan w:val="4"/>
          </w:tcPr>
          <w:p>
            <w:pPr>
              <w:jc w:val="center"/>
              <w:ind w:right="20"/>
              <w:spacing w:after="0"/>
              <w:rPr>
                <w:sz w:val="20"/>
                <w:szCs w:val="20"/>
                <w:color w:val="auto"/>
              </w:rPr>
            </w:pPr>
            <w:r>
              <w:rPr>
                <w:rFonts w:ascii="Calibri" w:cs="Calibri" w:eastAsia="Calibri" w:hAnsi="Calibri"/>
                <w:sz w:val="20"/>
                <w:szCs w:val="20"/>
                <w:color w:val="auto"/>
              </w:rPr>
              <w:t>Three Months Ended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400"/>
              <w:spacing w:after="0"/>
              <w:rPr>
                <w:sz w:val="20"/>
                <w:szCs w:val="20"/>
                <w:color w:val="auto"/>
              </w:rPr>
            </w:pPr>
            <w:r>
              <w:rPr>
                <w:rFonts w:ascii="Calibri" w:cs="Calibri" w:eastAsia="Calibri" w:hAnsi="Calibri"/>
                <w:sz w:val="20"/>
                <w:szCs w:val="20"/>
                <w:color w:val="auto"/>
              </w:rPr>
              <w:t>March 31, 2022</w:t>
            </w: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1"/>
              <w:spacing w:after="0" w:line="225" w:lineRule="exact"/>
              <w:rPr>
                <w:sz w:val="20"/>
                <w:szCs w:val="20"/>
                <w:color w:val="auto"/>
              </w:rPr>
            </w:pPr>
            <w:r>
              <w:rPr>
                <w:rFonts w:ascii="Calibri" w:cs="Calibri" w:eastAsia="Calibri" w:hAnsi="Calibri"/>
                <w:sz w:val="20"/>
                <w:szCs w:val="20"/>
                <w:color w:val="auto"/>
              </w:rPr>
              <w:t>Products and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61"/>
              <w:spacing w:after="0" w:line="234" w:lineRule="exact"/>
              <w:rPr>
                <w:sz w:val="20"/>
                <w:szCs w:val="20"/>
                <w:color w:val="auto"/>
              </w:rPr>
            </w:pPr>
            <w:r>
              <w:rPr>
                <w:rFonts w:ascii="Calibri" w:cs="Calibri" w:eastAsia="Calibri" w:hAnsi="Calibri"/>
                <w:sz w:val="20"/>
                <w:szCs w:val="20"/>
                <w:color w:val="auto"/>
                <w:w w:val="99"/>
              </w:rPr>
              <w:t>Services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380"/>
              <w:spacing w:after="0" w:line="234" w:lineRule="exact"/>
              <w:rPr>
                <w:sz w:val="20"/>
                <w:szCs w:val="20"/>
                <w:color w:val="auto"/>
              </w:rPr>
            </w:pPr>
            <w:r>
              <w:rPr>
                <w:rFonts w:ascii="Calibri" w:cs="Calibri" w:eastAsia="Calibri" w:hAnsi="Calibri"/>
                <w:sz w:val="20"/>
                <w:szCs w:val="20"/>
                <w:color w:val="auto"/>
              </w:rPr>
              <w:t>Freight</w:t>
            </w:r>
          </w:p>
        </w:tc>
        <w:tc>
          <w:tcPr>
            <w:tcW w:w="320" w:type="dxa"/>
            <w:vAlign w:val="bottom"/>
          </w:tcPr>
          <w:p>
            <w:pPr>
              <w:spacing w:after="0"/>
              <w:rPr>
                <w:sz w:val="20"/>
                <w:szCs w:val="20"/>
                <w:color w:val="auto"/>
              </w:rPr>
            </w:pPr>
          </w:p>
        </w:tc>
        <w:tc>
          <w:tcPr>
            <w:tcW w:w="1300" w:type="dxa"/>
            <w:vAlign w:val="bottom"/>
            <w:gridSpan w:val="2"/>
          </w:tcPr>
          <w:p>
            <w:pPr>
              <w:ind w:left="240"/>
              <w:spacing w:after="0" w:line="234" w:lineRule="exact"/>
              <w:rPr>
                <w:sz w:val="20"/>
                <w:szCs w:val="20"/>
                <w:color w:val="auto"/>
              </w:rPr>
            </w:pPr>
            <w:r>
              <w:rPr>
                <w:rFonts w:ascii="Calibri" w:cs="Calibri" w:eastAsia="Calibri" w:hAnsi="Calibri"/>
                <w:sz w:val="20"/>
                <w:szCs w:val="20"/>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60" w:type="dxa"/>
            <w:vAlign w:val="bottom"/>
            <w:gridSpan w:val="4"/>
          </w:tcPr>
          <w:p>
            <w:pPr>
              <w:jc w:val="center"/>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0"/>
                <w:szCs w:val="20"/>
                <w:color w:val="auto"/>
              </w:rPr>
            </w:pPr>
            <w:r>
              <w:rPr>
                <w:rFonts w:ascii="Calibri" w:cs="Calibri" w:eastAsia="Calibri" w:hAnsi="Calibri"/>
                <w:sz w:val="20"/>
                <w:szCs w:val="20"/>
                <w:color w:val="auto"/>
              </w:rPr>
              <w:t>East Group</w:t>
            </w:r>
          </w:p>
        </w:tc>
        <w:tc>
          <w:tcPr>
            <w:tcW w:w="160" w:type="dxa"/>
            <w:vAlign w:val="bottom"/>
          </w:tcPr>
          <w:p>
            <w:pPr>
              <w:jc w:val="right"/>
              <w:spacing w:after="0"/>
              <w:rPr>
                <w:sz w:val="20"/>
                <w:szCs w:val="20"/>
                <w:color w:val="auto"/>
              </w:rPr>
            </w:pPr>
            <w:r>
              <w:rPr>
                <w:rFonts w:ascii="Calibri" w:cs="Calibri" w:eastAsia="Calibri" w:hAnsi="Calibri"/>
                <w:sz w:val="20"/>
                <w:szCs w:val="20"/>
                <w:color w:val="auto"/>
                <w:w w:val="78"/>
              </w:rPr>
              <w:t>$</w:t>
            </w:r>
          </w:p>
        </w:tc>
        <w:tc>
          <w:tcPr>
            <w:tcW w:w="1340" w:type="dxa"/>
            <w:vAlign w:val="bottom"/>
          </w:tcPr>
          <w:p>
            <w:pPr>
              <w:jc w:val="right"/>
              <w:spacing w:after="0"/>
              <w:rPr>
                <w:sz w:val="20"/>
                <w:szCs w:val="20"/>
                <w:color w:val="auto"/>
              </w:rPr>
            </w:pPr>
            <w:r>
              <w:rPr>
                <w:rFonts w:ascii="Calibri" w:cs="Calibri" w:eastAsia="Calibri" w:hAnsi="Calibri"/>
                <w:sz w:val="20"/>
                <w:szCs w:val="20"/>
                <w:color w:val="auto"/>
              </w:rPr>
              <w:t>394.6</w:t>
            </w:r>
          </w:p>
        </w:tc>
        <w:tc>
          <w:tcPr>
            <w:tcW w:w="3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400" w:type="dxa"/>
            <w:vAlign w:val="bottom"/>
          </w:tcPr>
          <w:p>
            <w:pPr>
              <w:jc w:val="right"/>
              <w:spacing w:after="0"/>
              <w:rPr>
                <w:sz w:val="20"/>
                <w:szCs w:val="20"/>
                <w:color w:val="auto"/>
              </w:rPr>
            </w:pPr>
            <w:r>
              <w:rPr>
                <w:rFonts w:ascii="Calibri" w:cs="Calibri" w:eastAsia="Calibri" w:hAnsi="Calibri"/>
                <w:sz w:val="20"/>
                <w:szCs w:val="20"/>
                <w:color w:val="auto"/>
              </w:rPr>
              <w:t>24.2</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Calibri" w:cs="Calibri" w:eastAsia="Calibri" w:hAnsi="Calibri"/>
                <w:sz w:val="20"/>
                <w:szCs w:val="20"/>
                <w:color w:val="auto"/>
                <w:w w:val="78"/>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418.8</w:t>
            </w:r>
          </w:p>
        </w:tc>
        <w:tc>
          <w:tcPr>
            <w:tcW w:w="100" w:type="dxa"/>
            <w:vAlign w:val="bottom"/>
          </w:tcPr>
          <w:p>
            <w:pPr>
              <w:spacing w:after="0"/>
              <w:rPr>
                <w:sz w:val="21"/>
                <w:szCs w:val="21"/>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6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West Group</w:t>
            </w:r>
          </w:p>
        </w:tc>
        <w:tc>
          <w:tcPr>
            <w:tcW w:w="1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682.4</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52.6</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735.0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60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1,077.0</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76.8</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1,153.8</w:t>
            </w:r>
          </w:p>
        </w:tc>
        <w:tc>
          <w:tcPr>
            <w:tcW w:w="100" w:type="dxa"/>
            <w:vAlign w:val="bottom"/>
          </w:tcPr>
          <w:p>
            <w:pPr>
              <w:spacing w:after="0"/>
              <w:rPr>
                <w:sz w:val="19"/>
                <w:szCs w:val="19"/>
                <w:color w:val="auto"/>
              </w:rPr>
            </w:pPr>
          </w:p>
        </w:tc>
      </w:tr>
      <w:tr>
        <w:trPr>
          <w:trHeight w:val="22"/>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Magnesia Specialtes</w:t>
            </w:r>
          </w:p>
        </w:tc>
        <w:tc>
          <w:tcPr>
            <w:tcW w:w="1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70.8</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6.2</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77.0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60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w:t>
            </w:r>
          </w:p>
        </w:tc>
        <w:tc>
          <w:tcPr>
            <w:tcW w:w="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3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1,147.8</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4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83.0</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w w:val="78"/>
              </w:rPr>
              <w:t>$</w:t>
            </w: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1,230.8</w:t>
            </w:r>
          </w:p>
        </w:tc>
        <w:tc>
          <w:tcPr>
            <w:tcW w:w="100" w:type="dxa"/>
            <w:vAlign w:val="bottom"/>
          </w:tcPr>
          <w:p>
            <w:pPr>
              <w:spacing w:after="0"/>
              <w:rPr>
                <w:sz w:val="19"/>
                <w:szCs w:val="19"/>
                <w:color w:val="auto"/>
              </w:rPr>
            </w:pPr>
          </w:p>
        </w:tc>
      </w:tr>
      <w:tr>
        <w:trPr>
          <w:trHeight w:val="22"/>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4"/>
          </w:tcPr>
          <w:p>
            <w:pPr>
              <w:jc w:val="center"/>
              <w:ind w:right="20"/>
              <w:spacing w:after="0"/>
              <w:rPr>
                <w:sz w:val="20"/>
                <w:szCs w:val="20"/>
                <w:color w:val="auto"/>
              </w:rPr>
            </w:pPr>
            <w:r>
              <w:rPr>
                <w:rFonts w:ascii="Calibri" w:cs="Calibri" w:eastAsia="Calibri" w:hAnsi="Calibri"/>
                <w:sz w:val="20"/>
                <w:szCs w:val="20"/>
                <w:color w:val="auto"/>
              </w:rPr>
              <w:t>Three Months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400"/>
              <w:spacing w:after="0"/>
              <w:rPr>
                <w:sz w:val="20"/>
                <w:szCs w:val="20"/>
                <w:color w:val="auto"/>
              </w:rPr>
            </w:pPr>
            <w:r>
              <w:rPr>
                <w:rFonts w:ascii="Calibri" w:cs="Calibri" w:eastAsia="Calibri" w:hAnsi="Calibri"/>
                <w:sz w:val="20"/>
                <w:szCs w:val="20"/>
                <w:color w:val="auto"/>
              </w:rPr>
              <w:t>March 31, 2021</w:t>
            </w: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1"/>
              <w:spacing w:after="0" w:line="225" w:lineRule="exact"/>
              <w:rPr>
                <w:sz w:val="20"/>
                <w:szCs w:val="20"/>
                <w:color w:val="auto"/>
              </w:rPr>
            </w:pPr>
            <w:r>
              <w:rPr>
                <w:rFonts w:ascii="Calibri" w:cs="Calibri" w:eastAsia="Calibri" w:hAnsi="Calibri"/>
                <w:sz w:val="20"/>
                <w:szCs w:val="20"/>
                <w:color w:val="auto"/>
              </w:rPr>
              <w:t>Products and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61"/>
              <w:spacing w:after="0" w:line="234" w:lineRule="exact"/>
              <w:rPr>
                <w:sz w:val="20"/>
                <w:szCs w:val="20"/>
                <w:color w:val="auto"/>
              </w:rPr>
            </w:pPr>
            <w:r>
              <w:rPr>
                <w:rFonts w:ascii="Calibri" w:cs="Calibri" w:eastAsia="Calibri" w:hAnsi="Calibri"/>
                <w:sz w:val="20"/>
                <w:szCs w:val="20"/>
                <w:color w:val="auto"/>
                <w:w w:val="99"/>
              </w:rPr>
              <w:t>Services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380"/>
              <w:spacing w:after="0" w:line="234" w:lineRule="exact"/>
              <w:rPr>
                <w:sz w:val="20"/>
                <w:szCs w:val="20"/>
                <w:color w:val="auto"/>
              </w:rPr>
            </w:pPr>
            <w:r>
              <w:rPr>
                <w:rFonts w:ascii="Calibri" w:cs="Calibri" w:eastAsia="Calibri" w:hAnsi="Calibri"/>
                <w:sz w:val="20"/>
                <w:szCs w:val="20"/>
                <w:color w:val="auto"/>
              </w:rPr>
              <w:t>Freight</w:t>
            </w:r>
          </w:p>
        </w:tc>
        <w:tc>
          <w:tcPr>
            <w:tcW w:w="320" w:type="dxa"/>
            <w:vAlign w:val="bottom"/>
          </w:tcPr>
          <w:p>
            <w:pPr>
              <w:spacing w:after="0"/>
              <w:rPr>
                <w:sz w:val="20"/>
                <w:szCs w:val="20"/>
                <w:color w:val="auto"/>
              </w:rPr>
            </w:pPr>
          </w:p>
        </w:tc>
        <w:tc>
          <w:tcPr>
            <w:tcW w:w="1300" w:type="dxa"/>
            <w:vAlign w:val="bottom"/>
            <w:gridSpan w:val="2"/>
          </w:tcPr>
          <w:p>
            <w:pPr>
              <w:ind w:left="240"/>
              <w:spacing w:after="0" w:line="234" w:lineRule="exact"/>
              <w:rPr>
                <w:sz w:val="20"/>
                <w:szCs w:val="20"/>
                <w:color w:val="auto"/>
              </w:rPr>
            </w:pPr>
            <w:r>
              <w:rPr>
                <w:rFonts w:ascii="Calibri" w:cs="Calibri" w:eastAsia="Calibri" w:hAnsi="Calibri"/>
                <w:sz w:val="20"/>
                <w:szCs w:val="20"/>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60" w:type="dxa"/>
            <w:vAlign w:val="bottom"/>
            <w:gridSpan w:val="4"/>
          </w:tcPr>
          <w:p>
            <w:pPr>
              <w:jc w:val="center"/>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0"/>
                <w:szCs w:val="20"/>
                <w:color w:val="auto"/>
              </w:rPr>
            </w:pPr>
            <w:r>
              <w:rPr>
                <w:rFonts w:ascii="Calibri" w:cs="Calibri" w:eastAsia="Calibri" w:hAnsi="Calibri"/>
                <w:sz w:val="20"/>
                <w:szCs w:val="20"/>
                <w:color w:val="auto"/>
              </w:rPr>
              <w:t>East Group</w:t>
            </w:r>
          </w:p>
        </w:tc>
        <w:tc>
          <w:tcPr>
            <w:tcW w:w="160" w:type="dxa"/>
            <w:vAlign w:val="bottom"/>
          </w:tcPr>
          <w:p>
            <w:pPr>
              <w:jc w:val="right"/>
              <w:spacing w:after="0"/>
              <w:rPr>
                <w:sz w:val="20"/>
                <w:szCs w:val="20"/>
                <w:color w:val="auto"/>
              </w:rPr>
            </w:pPr>
            <w:r>
              <w:rPr>
                <w:rFonts w:ascii="Calibri" w:cs="Calibri" w:eastAsia="Calibri" w:hAnsi="Calibri"/>
                <w:sz w:val="20"/>
                <w:szCs w:val="20"/>
                <w:color w:val="auto"/>
                <w:w w:val="78"/>
              </w:rPr>
              <w:t>$</w:t>
            </w:r>
          </w:p>
        </w:tc>
        <w:tc>
          <w:tcPr>
            <w:tcW w:w="1340" w:type="dxa"/>
            <w:vAlign w:val="bottom"/>
          </w:tcPr>
          <w:p>
            <w:pPr>
              <w:jc w:val="right"/>
              <w:spacing w:after="0"/>
              <w:rPr>
                <w:sz w:val="20"/>
                <w:szCs w:val="20"/>
                <w:color w:val="auto"/>
              </w:rPr>
            </w:pPr>
            <w:r>
              <w:rPr>
                <w:rFonts w:ascii="Calibri" w:cs="Calibri" w:eastAsia="Calibri" w:hAnsi="Calibri"/>
                <w:sz w:val="20"/>
                <w:szCs w:val="20"/>
                <w:color w:val="auto"/>
              </w:rPr>
              <w:t>372.5</w:t>
            </w:r>
          </w:p>
        </w:tc>
        <w:tc>
          <w:tcPr>
            <w:tcW w:w="3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400" w:type="dxa"/>
            <w:vAlign w:val="bottom"/>
          </w:tcPr>
          <w:p>
            <w:pPr>
              <w:jc w:val="right"/>
              <w:spacing w:after="0"/>
              <w:rPr>
                <w:sz w:val="20"/>
                <w:szCs w:val="20"/>
                <w:color w:val="auto"/>
              </w:rPr>
            </w:pPr>
            <w:r>
              <w:rPr>
                <w:rFonts w:ascii="Calibri" w:cs="Calibri" w:eastAsia="Calibri" w:hAnsi="Calibri"/>
                <w:sz w:val="20"/>
                <w:szCs w:val="20"/>
                <w:color w:val="auto"/>
              </w:rPr>
              <w:t>22.4</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Calibri" w:cs="Calibri" w:eastAsia="Calibri" w:hAnsi="Calibri"/>
                <w:sz w:val="20"/>
                <w:szCs w:val="20"/>
                <w:color w:val="auto"/>
                <w:w w:val="78"/>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394.9</w:t>
            </w:r>
          </w:p>
        </w:tc>
        <w:tc>
          <w:tcPr>
            <w:tcW w:w="100" w:type="dxa"/>
            <w:vAlign w:val="bottom"/>
          </w:tcPr>
          <w:p>
            <w:pPr>
              <w:spacing w:after="0"/>
              <w:rPr>
                <w:sz w:val="21"/>
                <w:szCs w:val="21"/>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6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West Group</w:t>
            </w:r>
          </w:p>
        </w:tc>
        <w:tc>
          <w:tcPr>
            <w:tcW w:w="1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484.1</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60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 Building Materials business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856.6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54.9</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911.5</w:t>
            </w:r>
          </w:p>
        </w:tc>
        <w:tc>
          <w:tcPr>
            <w:tcW w:w="100" w:type="dxa"/>
            <w:vAlign w:val="bottom"/>
          </w:tcPr>
          <w:p>
            <w:pPr>
              <w:spacing w:after="0"/>
              <w:rPr>
                <w:sz w:val="19"/>
                <w:szCs w:val="19"/>
                <w:color w:val="auto"/>
              </w:rPr>
            </w:pPr>
          </w:p>
        </w:tc>
      </w:tr>
      <w:tr>
        <w:trPr>
          <w:trHeight w:val="22"/>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Magnesia Specialtes</w:t>
            </w:r>
          </w:p>
        </w:tc>
        <w:tc>
          <w:tcPr>
            <w:tcW w:w="1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65.3</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5.6</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70.9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606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w:t>
            </w:r>
          </w:p>
        </w:tc>
        <w:tc>
          <w:tcPr>
            <w:tcW w:w="1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3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921.9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4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60.5</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w w:val="78"/>
              </w:rPr>
              <w:t>$</w:t>
            </w: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982.4</w:t>
            </w:r>
          </w:p>
        </w:tc>
        <w:tc>
          <w:tcPr>
            <w:tcW w:w="100" w:type="dxa"/>
            <w:vAlign w:val="bottom"/>
          </w:tcPr>
          <w:p>
            <w:pPr>
              <w:spacing w:after="0"/>
              <w:rPr>
                <w:sz w:val="19"/>
                <w:szCs w:val="19"/>
                <w:color w:val="auto"/>
              </w:rPr>
            </w:pPr>
          </w:p>
        </w:tc>
      </w:tr>
      <w:tr>
        <w:trPr>
          <w:trHeight w:val="22"/>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left="280" w:right="20"/>
        <w:spacing w:after="0" w:line="234" w:lineRule="auto"/>
        <w:rPr>
          <w:sz w:val="20"/>
          <w:szCs w:val="20"/>
          <w:color w:val="auto"/>
        </w:rPr>
      </w:pPr>
      <w:r>
        <w:rPr>
          <w:rFonts w:ascii="Calibri" w:cs="Calibri" w:eastAsia="Calibri" w:hAnsi="Calibri"/>
          <w:sz w:val="20"/>
          <w:szCs w:val="20"/>
          <w:color w:val="auto"/>
        </w:rPr>
        <w:t>Service revenues, which include paving services located in California and Colorado, were $18.3 million and $8.8 million for the three months ended March 31, 2022 and 2021, respectvely, and are reported in the West Group.</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20"/>
          <w:szCs w:val="20"/>
          <w:b w:val="1"/>
          <w:bCs w:val="1"/>
          <w:i w:val="1"/>
          <w:iCs w:val="1"/>
          <w:color w:val="auto"/>
        </w:rPr>
        <w:t xml:space="preserve">Contract Balances. </w:t>
      </w:r>
      <w:r>
        <w:rPr>
          <w:rFonts w:ascii="Calibri" w:cs="Calibri" w:eastAsia="Calibri" w:hAnsi="Calibri"/>
          <w:sz w:val="20"/>
          <w:szCs w:val="20"/>
          <w:color w:val="auto"/>
        </w:rPr>
        <w:t>Costs in excess of billings relate to the conditonal right to consideraton for completed contractual performance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and are contract assets 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40" w:type="dxa"/>
            <w:vAlign w:val="bottom"/>
          </w:tcPr>
          <w:p>
            <w:pPr>
              <w:spacing w:after="0"/>
              <w:rPr>
                <w:sz w:val="20"/>
                <w:szCs w:val="20"/>
                <w:color w:val="auto"/>
              </w:rPr>
            </w:pPr>
            <w:r>
              <w:rPr>
                <w:rFonts w:ascii="Calibri" w:cs="Calibri" w:eastAsia="Calibri" w:hAnsi="Calibri"/>
                <w:sz w:val="20"/>
                <w:szCs w:val="20"/>
                <w:i w:val="1"/>
                <w:iCs w:val="1"/>
                <w:color w:val="auto"/>
              </w:rPr>
              <w:t>(Dollars in Millions)</w:t>
            </w:r>
          </w:p>
        </w:tc>
        <w:tc>
          <w:tcPr>
            <w:tcW w:w="2760" w:type="dxa"/>
            <w:vAlign w:val="bottom"/>
          </w:tcPr>
          <w:p>
            <w:pPr>
              <w:spacing w:after="0"/>
              <w:rPr>
                <w:sz w:val="21"/>
                <w:szCs w:val="21"/>
                <w:color w:val="auto"/>
              </w:rPr>
            </w:pPr>
          </w:p>
        </w:tc>
        <w:tc>
          <w:tcPr>
            <w:tcW w:w="1760" w:type="dxa"/>
            <w:vAlign w:val="bottom"/>
          </w:tcPr>
          <w:p>
            <w:pPr>
              <w:jc w:val="right"/>
              <w:ind w:right="301"/>
              <w:spacing w:after="0"/>
              <w:rPr>
                <w:sz w:val="20"/>
                <w:szCs w:val="20"/>
                <w:color w:val="auto"/>
              </w:rPr>
            </w:pPr>
            <w:r>
              <w:rPr>
                <w:rFonts w:ascii="Calibri" w:cs="Calibri" w:eastAsia="Calibri" w:hAnsi="Calibri"/>
                <w:sz w:val="20"/>
                <w:szCs w:val="20"/>
                <w:color w:val="auto"/>
              </w:rPr>
              <w:t>March 31, 2022</w:t>
            </w:r>
          </w:p>
        </w:tc>
        <w:tc>
          <w:tcPr>
            <w:tcW w:w="2080" w:type="dxa"/>
            <w:vAlign w:val="bottom"/>
            <w:gridSpan w:val="3"/>
          </w:tcPr>
          <w:p>
            <w:pPr>
              <w:ind w:left="240"/>
              <w:spacing w:after="0"/>
              <w:rPr>
                <w:sz w:val="20"/>
                <w:szCs w:val="20"/>
                <w:color w:val="auto"/>
              </w:rPr>
            </w:pPr>
            <w:r>
              <w:rPr>
                <w:rFonts w:ascii="Calibri" w:cs="Calibri" w:eastAsia="Calibri" w:hAnsi="Calibri"/>
                <w:sz w:val="20"/>
                <w:szCs w:val="20"/>
                <w:color w:val="auto"/>
              </w:rPr>
              <w:t>December 31, 2021</w:t>
            </w:r>
          </w:p>
        </w:tc>
      </w:tr>
      <w:tr>
        <w:trPr>
          <w:trHeight w:val="33"/>
        </w:trPr>
        <w:tc>
          <w:tcPr>
            <w:tcW w:w="46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30"/>
        </w:trPr>
        <w:tc>
          <w:tcPr>
            <w:tcW w:w="4640" w:type="dxa"/>
            <w:vAlign w:val="bottom"/>
            <w:tcBorders>
              <w:bottom w:val="single" w:sz="8" w:color="CFF0FC"/>
            </w:tcBorders>
            <w:shd w:val="clear" w:color="auto" w:fill="CFF0FC"/>
          </w:tcPr>
          <w:p>
            <w:pPr>
              <w:spacing w:after="0" w:line="228" w:lineRule="exact"/>
              <w:rPr>
                <w:sz w:val="20"/>
                <w:szCs w:val="20"/>
                <w:color w:val="auto"/>
              </w:rPr>
            </w:pPr>
            <w:r>
              <w:rPr>
                <w:rFonts w:ascii="Calibri" w:cs="Calibri" w:eastAsia="Calibri" w:hAnsi="Calibri"/>
                <w:sz w:val="20"/>
                <w:szCs w:val="20"/>
                <w:color w:val="auto"/>
              </w:rPr>
              <w:t>Costs in excess of billings</w:t>
            </w:r>
          </w:p>
        </w:tc>
        <w:tc>
          <w:tcPr>
            <w:tcW w:w="27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w:t>
            </w:r>
          </w:p>
        </w:tc>
        <w:tc>
          <w:tcPr>
            <w:tcW w:w="1760" w:type="dxa"/>
            <w:vAlign w:val="bottom"/>
            <w:tcBorders>
              <w:bottom w:val="single" w:sz="8" w:color="CFF0FC"/>
            </w:tcBorders>
            <w:shd w:val="clear" w:color="auto" w:fill="CFF0FC"/>
          </w:tcPr>
          <w:p>
            <w:pPr>
              <w:jc w:val="right"/>
              <w:ind w:right="41"/>
              <w:spacing w:after="0" w:line="228" w:lineRule="exact"/>
              <w:rPr>
                <w:sz w:val="20"/>
                <w:szCs w:val="20"/>
                <w:color w:val="auto"/>
              </w:rPr>
            </w:pPr>
            <w:r>
              <w:rPr>
                <w:rFonts w:ascii="Calibri" w:cs="Calibri" w:eastAsia="Calibri" w:hAnsi="Calibri"/>
                <w:sz w:val="20"/>
                <w:szCs w:val="20"/>
                <w:color w:val="auto"/>
              </w:rPr>
              <w:t>3.9</w:t>
            </w:r>
          </w:p>
        </w:tc>
        <w:tc>
          <w:tcPr>
            <w:tcW w:w="980" w:type="dxa"/>
            <w:vAlign w:val="bottom"/>
            <w:tcBorders>
              <w:bottom w:val="single" w:sz="8" w:color="CFF0FC"/>
            </w:tcBorders>
            <w:shd w:val="clear" w:color="auto" w:fill="CFF0FC"/>
          </w:tcPr>
          <w:p>
            <w:pPr>
              <w:jc w:val="right"/>
              <w:ind w:right="621"/>
              <w:spacing w:after="0" w:line="228" w:lineRule="exact"/>
              <w:rPr>
                <w:sz w:val="20"/>
                <w:szCs w:val="20"/>
                <w:color w:val="auto"/>
              </w:rPr>
            </w:pPr>
            <w:r>
              <w:rPr>
                <w:rFonts w:ascii="Calibri" w:cs="Calibri" w:eastAsia="Calibri" w:hAnsi="Calibri"/>
                <w:sz w:val="20"/>
                <w:szCs w:val="20"/>
                <w:color w:val="auto"/>
              </w:rPr>
              <w:t>$</w:t>
            </w:r>
          </w:p>
        </w:tc>
        <w:tc>
          <w:tcPr>
            <w:tcW w:w="9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4640" w:type="dxa"/>
            <w:vAlign w:val="bottom"/>
          </w:tcPr>
          <w:p>
            <w:pPr>
              <w:spacing w:after="0" w:line="234" w:lineRule="exact"/>
              <w:rPr>
                <w:sz w:val="20"/>
                <w:szCs w:val="20"/>
                <w:color w:val="auto"/>
              </w:rPr>
            </w:pPr>
            <w:r>
              <w:rPr>
                <w:rFonts w:ascii="Calibri" w:cs="Calibri" w:eastAsia="Calibri" w:hAnsi="Calibri"/>
                <w:sz w:val="20"/>
                <w:szCs w:val="20"/>
                <w:color w:val="auto"/>
              </w:rPr>
              <w:t>Billings in excess of costs</w:t>
            </w:r>
          </w:p>
        </w:tc>
        <w:tc>
          <w:tcPr>
            <w:tcW w:w="276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1760" w:type="dxa"/>
            <w:vAlign w:val="bottom"/>
          </w:tcPr>
          <w:p>
            <w:pPr>
              <w:jc w:val="right"/>
              <w:ind w:right="41"/>
              <w:spacing w:after="0" w:line="234" w:lineRule="exact"/>
              <w:rPr>
                <w:sz w:val="20"/>
                <w:szCs w:val="20"/>
                <w:color w:val="auto"/>
              </w:rPr>
            </w:pPr>
            <w:r>
              <w:rPr>
                <w:rFonts w:ascii="Calibri" w:cs="Calibri" w:eastAsia="Calibri" w:hAnsi="Calibri"/>
                <w:sz w:val="20"/>
                <w:szCs w:val="20"/>
                <w:color w:val="auto"/>
              </w:rPr>
              <w:t>6.4</w:t>
            </w:r>
          </w:p>
        </w:tc>
        <w:tc>
          <w:tcPr>
            <w:tcW w:w="980" w:type="dxa"/>
            <w:vAlign w:val="bottom"/>
          </w:tcPr>
          <w:p>
            <w:pPr>
              <w:jc w:val="right"/>
              <w:ind w:right="621"/>
              <w:spacing w:after="0" w:line="234" w:lineRule="exact"/>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line="234" w:lineRule="exact"/>
              <w:rPr>
                <w:sz w:val="20"/>
                <w:szCs w:val="20"/>
                <w:color w:val="auto"/>
              </w:rPr>
            </w:pPr>
            <w:r>
              <w:rPr>
                <w:rFonts w:ascii="Calibri" w:cs="Calibri" w:eastAsia="Calibri" w:hAnsi="Calibri"/>
                <w:sz w:val="20"/>
                <w:szCs w:val="20"/>
                <w:color w:val="auto"/>
              </w:rPr>
              <w:t>7.8</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both"/>
        <w:ind w:left="280"/>
        <w:spacing w:after="0" w:line="234" w:lineRule="auto"/>
        <w:rPr>
          <w:sz w:val="20"/>
          <w:szCs w:val="20"/>
          <w:color w:val="auto"/>
        </w:rPr>
      </w:pPr>
      <w:r>
        <w:rPr>
          <w:rFonts w:ascii="Calibri" w:cs="Calibri" w:eastAsia="Calibri" w:hAnsi="Calibri"/>
          <w:sz w:val="20"/>
          <w:szCs w:val="20"/>
          <w:color w:val="auto"/>
        </w:rPr>
        <w:t>Revenues recognized from the beginning balance of contract liabilites for the three months ended March 31, 2022 and 2021 were $3.5 million and $4.9 million, respectvely.</w:t>
      </w:r>
    </w:p>
    <w:p>
      <w:pPr>
        <w:spacing w:after="0" w:line="118"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Retainage, which primarily relates to the paving services, represents amounts that have been billed to customers but payment withheld untl fnal acceptance by the customer of the performance obligaton. Included in other current assets on the Company’s consolidated balance sheets, retainage was $5.5 million and $10.5 million at March 31, 2022 and December 31, 2021, respectvely.</w:t>
      </w:r>
    </w:p>
    <w:p>
      <w:pPr>
        <w:spacing w:after="0" w:line="117"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b w:val="1"/>
          <w:bCs w:val="1"/>
          <w:i w:val="1"/>
          <w:iCs w:val="1"/>
          <w:color w:val="auto"/>
        </w:rPr>
        <w:t xml:space="preserve">Policy Electons. </w:t>
      </w:r>
      <w:r>
        <w:rPr>
          <w:rFonts w:ascii="Calibri" w:cs="Calibri" w:eastAsia="Calibri" w:hAnsi="Calibri"/>
          <w:sz w:val="20"/>
          <w:szCs w:val="20"/>
          <w:color w:val="auto"/>
        </w:rPr>
        <w:t>When the Company arranges third-party freight to deliver products to customers, the Company has elected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delivery to be a fulfllment actvity rather than a separate performance obligaton. Further, the Company acts as a principal in the delivery arrangements and, as required by the accountng standard, the related revenues and costs are presented gross and are included in the consolidated statements of earnings.</w:t>
      </w:r>
    </w:p>
    <w:p>
      <w:pPr>
        <w:spacing w:after="0" w:line="336" w:lineRule="exact"/>
        <w:rPr>
          <w:sz w:val="20"/>
          <w:szCs w:val="20"/>
          <w:color w:val="auto"/>
        </w:rPr>
      </w:pPr>
    </w:p>
    <w:p>
      <w:pPr>
        <w:ind w:left="280" w:right="6540" w:hanging="272"/>
        <w:spacing w:after="0" w:line="335" w:lineRule="auto"/>
        <w:tabs>
          <w:tab w:leader="none" w:pos="269"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 and Discontnued Operatons Business Combinatons</w:t>
      </w:r>
    </w:p>
    <w:p>
      <w:pPr>
        <w:spacing w:after="0" w:line="20" w:lineRule="exact"/>
        <w:rPr>
          <w:rFonts w:ascii="Calibri" w:cs="Calibri" w:eastAsia="Calibri" w:hAnsi="Calibri"/>
          <w:sz w:val="20"/>
          <w:szCs w:val="20"/>
          <w:b w:val="1"/>
          <w:bCs w:val="1"/>
          <w:color w:val="auto"/>
        </w:rPr>
      </w:pPr>
    </w:p>
    <w:p>
      <w:pPr>
        <w:jc w:val="both"/>
        <w:ind w:left="280" w:right="2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In October 2021, the Company completed the acquisiton of Lehigh Hanson, Inc.’s West Region business (Lehigh West Region) for $2.26 billion. The acquisiton was primarily fnanced using proceeds from the issuance of publicly traded debt. These operatons provided a new upstream, materials-led growth platorm across several of the naton’s largest and fastest-growing megaregions in California and Arizona. The results from the acquired business are included in the Company’s West Group.</w:t>
      </w:r>
    </w:p>
    <w:p>
      <w:pPr>
        <w:spacing w:after="0" w:line="119" w:lineRule="exact"/>
        <w:rPr>
          <w:rFonts w:ascii="Calibri" w:cs="Calibri" w:eastAsia="Calibri" w:hAnsi="Calibri"/>
          <w:sz w:val="20"/>
          <w:szCs w:val="20"/>
          <w:b w:val="1"/>
          <w:bCs w:val="1"/>
          <w:color w:val="auto"/>
        </w:rPr>
      </w:pPr>
    </w:p>
    <w:p>
      <w:pPr>
        <w:jc w:val="both"/>
        <w:ind w:left="2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determined fair values of assets acquired and liabilites assumed. Although the inital accountng for the business combinaton has been recorded, these amounts are subject to change during the measurement period, which extends no longer than one year from the consummaton date based on additonal reviews, such as asset verifcaton. Therefore, the measurement period remains open as of March 31, 2022. Specifc accounts subject to ongoing purchase accountng adjustments included, but are not limited to, property, plant and equipment; lease assets and liabilites; goodwill; intangible assets; asset retrement obligatons; and other liabilites. The goodwill generated by the transacton is deductble for income tax purposes.</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ind w:left="280"/>
        <w:spacing w:after="0" w:line="234" w:lineRule="auto"/>
        <w:rPr>
          <w:sz w:val="20"/>
          <w:szCs w:val="20"/>
          <w:color w:val="auto"/>
        </w:rPr>
      </w:pPr>
      <w:r>
        <w:rPr>
          <w:rFonts w:ascii="Calibri" w:cs="Calibri" w:eastAsia="Calibri" w:hAnsi="Calibri"/>
          <w:sz w:val="20"/>
          <w:szCs w:val="20"/>
          <w:color w:val="auto"/>
        </w:rPr>
        <w:t>The following is a summary of the preliminary estmated fair values of the assets acquired and liabilites assumed as of October 1, 2021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20" w:type="dxa"/>
            <w:vAlign w:val="bottom"/>
          </w:tcPr>
          <w:p>
            <w:pPr>
              <w:spacing w:after="0"/>
              <w:rPr>
                <w:sz w:val="20"/>
                <w:szCs w:val="20"/>
                <w:color w:val="auto"/>
              </w:rPr>
            </w:pPr>
            <w:r>
              <w:rPr>
                <w:rFonts w:ascii="Calibri" w:cs="Calibri" w:eastAsia="Calibri" w:hAnsi="Calibri"/>
                <w:sz w:val="20"/>
                <w:szCs w:val="20"/>
                <w:color w:val="auto"/>
              </w:rPr>
              <w:t>Assets:</w:t>
            </w:r>
          </w:p>
        </w:tc>
        <w:tc>
          <w:tcPr>
            <w:tcW w:w="36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3"/>
        </w:trPr>
        <w:tc>
          <w:tcPr>
            <w:tcW w:w="60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602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Inventories</w:t>
            </w:r>
          </w:p>
        </w:tc>
        <w:tc>
          <w:tcPr>
            <w:tcW w:w="3620" w:type="dxa"/>
            <w:vAlign w:val="bottom"/>
            <w:tcBorders>
              <w:bottom w:val="single" w:sz="8" w:color="CFF0FC"/>
            </w:tcBorders>
            <w:shd w:val="clear" w:color="auto" w:fill="CFF0FC"/>
          </w:tcPr>
          <w:p>
            <w:pPr>
              <w:jc w:val="right"/>
              <w:ind w:right="761"/>
              <w:spacing w:after="0" w:line="234" w:lineRule="exact"/>
              <w:rPr>
                <w:sz w:val="20"/>
                <w:szCs w:val="20"/>
                <w:color w:val="auto"/>
              </w:rPr>
            </w:pPr>
            <w:r>
              <w:rPr>
                <w:rFonts w:ascii="Calibri" w:cs="Calibri" w:eastAsia="Calibri" w:hAnsi="Calibri"/>
                <w:sz w:val="20"/>
                <w:szCs w:val="20"/>
                <w:color w:val="auto"/>
              </w:rPr>
              <w:t>$</w:t>
            </w:r>
          </w:p>
        </w:tc>
        <w:tc>
          <w:tcPr>
            <w:tcW w:w="1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94.1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020" w:type="dxa"/>
            <w:vAlign w:val="bottom"/>
          </w:tcPr>
          <w:p>
            <w:pPr>
              <w:ind w:left="260"/>
              <w:spacing w:after="0" w:line="234" w:lineRule="exact"/>
              <w:rPr>
                <w:sz w:val="20"/>
                <w:szCs w:val="20"/>
                <w:color w:val="auto"/>
              </w:rPr>
            </w:pPr>
            <w:r>
              <w:rPr>
                <w:rFonts w:ascii="Calibri" w:cs="Calibri" w:eastAsia="Calibri" w:hAnsi="Calibri"/>
                <w:sz w:val="20"/>
                <w:szCs w:val="20"/>
                <w:color w:val="auto"/>
              </w:rPr>
              <w:t>Property, plant and equipment</w:t>
            </w:r>
          </w:p>
        </w:tc>
        <w:tc>
          <w:tcPr>
            <w:tcW w:w="3620" w:type="dxa"/>
            <w:vAlign w:val="bottom"/>
          </w:tcPr>
          <w:p>
            <w:pPr>
              <w:spacing w:after="0"/>
              <w:rPr>
                <w:sz w:val="20"/>
                <w:szCs w:val="20"/>
                <w:color w:val="auto"/>
              </w:rPr>
            </w:pP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850.2</w:t>
            </w:r>
          </w:p>
        </w:tc>
        <w:tc>
          <w:tcPr>
            <w:tcW w:w="120" w:type="dxa"/>
            <w:vAlign w:val="bottom"/>
          </w:tcPr>
          <w:p>
            <w:pPr>
              <w:spacing w:after="0"/>
              <w:rPr>
                <w:sz w:val="20"/>
                <w:szCs w:val="20"/>
                <w:color w:val="auto"/>
              </w:rPr>
            </w:pPr>
          </w:p>
        </w:tc>
      </w:tr>
      <w:tr>
        <w:trPr>
          <w:trHeight w:val="22"/>
        </w:trPr>
        <w:tc>
          <w:tcPr>
            <w:tcW w:w="6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02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Intangible assets, other than goodwill</w:t>
            </w:r>
          </w:p>
        </w:tc>
        <w:tc>
          <w:tcPr>
            <w:tcW w:w="36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551.0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020" w:type="dxa"/>
            <w:vAlign w:val="bottom"/>
          </w:tcPr>
          <w:p>
            <w:pPr>
              <w:ind w:left="260"/>
              <w:spacing w:after="0" w:line="234" w:lineRule="exact"/>
              <w:rPr>
                <w:sz w:val="20"/>
                <w:szCs w:val="20"/>
                <w:color w:val="auto"/>
              </w:rPr>
            </w:pPr>
            <w:r>
              <w:rPr>
                <w:rFonts w:ascii="Calibri" w:cs="Calibri" w:eastAsia="Calibri" w:hAnsi="Calibri"/>
                <w:sz w:val="20"/>
                <w:szCs w:val="20"/>
                <w:color w:val="auto"/>
              </w:rPr>
              <w:t>Goodwill</w:t>
            </w:r>
          </w:p>
        </w:tc>
        <w:tc>
          <w:tcPr>
            <w:tcW w:w="3620" w:type="dxa"/>
            <w:vAlign w:val="bottom"/>
          </w:tcPr>
          <w:p>
            <w:pPr>
              <w:spacing w:after="0"/>
              <w:rPr>
                <w:sz w:val="20"/>
                <w:szCs w:val="20"/>
                <w:color w:val="auto"/>
              </w:rPr>
            </w:pP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992.8</w:t>
            </w:r>
          </w:p>
        </w:tc>
        <w:tc>
          <w:tcPr>
            <w:tcW w:w="120" w:type="dxa"/>
            <w:vAlign w:val="bottom"/>
          </w:tcPr>
          <w:p>
            <w:pPr>
              <w:spacing w:after="0"/>
              <w:rPr>
                <w:sz w:val="20"/>
                <w:szCs w:val="20"/>
                <w:color w:val="auto"/>
              </w:rPr>
            </w:pPr>
          </w:p>
        </w:tc>
      </w:tr>
      <w:tr>
        <w:trPr>
          <w:trHeight w:val="22"/>
        </w:trPr>
        <w:tc>
          <w:tcPr>
            <w:tcW w:w="6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602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Other assets</w:t>
            </w:r>
          </w:p>
        </w:tc>
        <w:tc>
          <w:tcPr>
            <w:tcW w:w="362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54.6</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28"/>
        </w:trPr>
        <w:tc>
          <w:tcPr>
            <w:tcW w:w="602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 assets</w:t>
            </w:r>
          </w:p>
        </w:tc>
        <w:tc>
          <w:tcPr>
            <w:tcW w:w="36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2,542.7</w:t>
            </w:r>
          </w:p>
        </w:tc>
        <w:tc>
          <w:tcPr>
            <w:tcW w:w="120" w:type="dxa"/>
            <w:vAlign w:val="bottom"/>
          </w:tcPr>
          <w:p>
            <w:pPr>
              <w:spacing w:after="0"/>
              <w:rPr>
                <w:sz w:val="19"/>
                <w:szCs w:val="19"/>
                <w:color w:val="auto"/>
              </w:rPr>
            </w:pP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30"/>
        </w:trPr>
        <w:tc>
          <w:tcPr>
            <w:tcW w:w="6020" w:type="dxa"/>
            <w:vAlign w:val="bottom"/>
            <w:tcBorders>
              <w:bottom w:val="single" w:sz="8" w:color="CFF0FC"/>
            </w:tcBorders>
            <w:shd w:val="clear" w:color="auto" w:fill="CFF0FC"/>
          </w:tcPr>
          <w:p>
            <w:pPr>
              <w:spacing w:after="0" w:line="228" w:lineRule="exact"/>
              <w:rPr>
                <w:sz w:val="20"/>
                <w:szCs w:val="20"/>
                <w:color w:val="auto"/>
              </w:rPr>
            </w:pPr>
            <w:r>
              <w:rPr>
                <w:rFonts w:ascii="Calibri" w:cs="Calibri" w:eastAsia="Calibri" w:hAnsi="Calibri"/>
                <w:sz w:val="20"/>
                <w:szCs w:val="20"/>
                <w:color w:val="auto"/>
              </w:rPr>
              <w:t>Liabilites:</w:t>
            </w:r>
          </w:p>
        </w:tc>
        <w:tc>
          <w:tcPr>
            <w:tcW w:w="36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020" w:type="dxa"/>
            <w:vAlign w:val="bottom"/>
          </w:tcPr>
          <w:p>
            <w:pPr>
              <w:ind w:left="260"/>
              <w:spacing w:after="0" w:line="234" w:lineRule="exact"/>
              <w:rPr>
                <w:sz w:val="20"/>
                <w:szCs w:val="20"/>
                <w:color w:val="auto"/>
              </w:rPr>
            </w:pPr>
            <w:r>
              <w:rPr>
                <w:rFonts w:ascii="Calibri" w:cs="Calibri" w:eastAsia="Calibri" w:hAnsi="Calibri"/>
                <w:sz w:val="20"/>
                <w:szCs w:val="20"/>
                <w:color w:val="auto"/>
              </w:rPr>
              <w:t>Asset retrement obligatons</w:t>
            </w:r>
          </w:p>
        </w:tc>
        <w:tc>
          <w:tcPr>
            <w:tcW w:w="3620" w:type="dxa"/>
            <w:vAlign w:val="bottom"/>
          </w:tcPr>
          <w:p>
            <w:pPr>
              <w:spacing w:after="0"/>
              <w:rPr>
                <w:sz w:val="20"/>
                <w:szCs w:val="20"/>
                <w:color w:val="auto"/>
              </w:rPr>
            </w:pP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178.9</w:t>
            </w:r>
          </w:p>
        </w:tc>
        <w:tc>
          <w:tcPr>
            <w:tcW w:w="120" w:type="dxa"/>
            <w:vAlign w:val="bottom"/>
          </w:tcPr>
          <w:p>
            <w:pPr>
              <w:spacing w:after="0"/>
              <w:rPr>
                <w:sz w:val="20"/>
                <w:szCs w:val="20"/>
                <w:color w:val="auto"/>
              </w:rPr>
            </w:pPr>
          </w:p>
        </w:tc>
      </w:tr>
      <w:tr>
        <w:trPr>
          <w:trHeight w:val="22"/>
        </w:trPr>
        <w:tc>
          <w:tcPr>
            <w:tcW w:w="6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02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Operatng and fnance lease liabilites</w:t>
            </w:r>
          </w:p>
        </w:tc>
        <w:tc>
          <w:tcPr>
            <w:tcW w:w="36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57.5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020" w:type="dxa"/>
            <w:vAlign w:val="bottom"/>
          </w:tcPr>
          <w:p>
            <w:pPr>
              <w:ind w:left="260"/>
              <w:spacing w:after="0" w:line="234" w:lineRule="exact"/>
              <w:rPr>
                <w:sz w:val="20"/>
                <w:szCs w:val="20"/>
                <w:color w:val="auto"/>
              </w:rPr>
            </w:pPr>
            <w:r>
              <w:rPr>
                <w:rFonts w:ascii="Calibri" w:cs="Calibri" w:eastAsia="Calibri" w:hAnsi="Calibri"/>
                <w:sz w:val="20"/>
                <w:szCs w:val="20"/>
                <w:color w:val="auto"/>
              </w:rPr>
              <w:t>Other liabilites</w:t>
            </w:r>
          </w:p>
        </w:tc>
        <w:tc>
          <w:tcPr>
            <w:tcW w:w="3620" w:type="dxa"/>
            <w:vAlign w:val="bottom"/>
          </w:tcPr>
          <w:p>
            <w:pPr>
              <w:spacing w:after="0"/>
              <w:rPr>
                <w:sz w:val="20"/>
                <w:szCs w:val="20"/>
                <w:color w:val="auto"/>
              </w:rPr>
            </w:pPr>
          </w:p>
        </w:tc>
        <w:tc>
          <w:tcPr>
            <w:tcW w:w="1480" w:type="dxa"/>
            <w:vAlign w:val="bottom"/>
          </w:tcPr>
          <w:p>
            <w:pPr>
              <w:jc w:val="right"/>
              <w:spacing w:after="0" w:line="234" w:lineRule="exact"/>
              <w:rPr>
                <w:sz w:val="20"/>
                <w:szCs w:val="20"/>
                <w:color w:val="auto"/>
              </w:rPr>
            </w:pPr>
            <w:r>
              <w:rPr>
                <w:rFonts w:ascii="Calibri" w:cs="Calibri" w:eastAsia="Calibri" w:hAnsi="Calibri"/>
                <w:sz w:val="20"/>
                <w:szCs w:val="20"/>
                <w:color w:val="auto"/>
              </w:rPr>
              <w:t>41.7</w:t>
            </w:r>
          </w:p>
        </w:tc>
        <w:tc>
          <w:tcPr>
            <w:tcW w:w="120" w:type="dxa"/>
            <w:vAlign w:val="bottom"/>
          </w:tcPr>
          <w:p>
            <w:pPr>
              <w:spacing w:after="0"/>
              <w:rPr>
                <w:sz w:val="20"/>
                <w:szCs w:val="20"/>
                <w:color w:val="auto"/>
              </w:rPr>
            </w:pP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50"/>
        </w:trPr>
        <w:tc>
          <w:tcPr>
            <w:tcW w:w="6020" w:type="dxa"/>
            <w:vAlign w:val="bottom"/>
            <w:tcBorders>
              <w:bottom w:val="single" w:sz="8" w:color="CFF0FC"/>
            </w:tcBorders>
            <w:shd w:val="clear" w:color="auto" w:fill="CFF0FC"/>
          </w:tcPr>
          <w:p>
            <w:pPr>
              <w:spacing w:after="0" w:line="228" w:lineRule="exact"/>
              <w:rPr>
                <w:sz w:val="20"/>
                <w:szCs w:val="20"/>
                <w:color w:val="auto"/>
              </w:rPr>
            </w:pPr>
            <w:r>
              <w:rPr>
                <w:rFonts w:ascii="Calibri" w:cs="Calibri" w:eastAsia="Calibri" w:hAnsi="Calibri"/>
                <w:sz w:val="20"/>
                <w:szCs w:val="20"/>
                <w:color w:val="auto"/>
              </w:rPr>
              <w:t>Total liabilites</w:t>
            </w:r>
          </w:p>
        </w:tc>
        <w:tc>
          <w:tcPr>
            <w:tcW w:w="36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278.1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28"/>
        </w:trPr>
        <w:tc>
          <w:tcPr>
            <w:tcW w:w="602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 consideraton</w:t>
            </w:r>
          </w:p>
        </w:tc>
        <w:tc>
          <w:tcPr>
            <w:tcW w:w="3620" w:type="dxa"/>
            <w:vAlign w:val="bottom"/>
            <w:tcBorders>
              <w:top w:val="single" w:sz="8" w:color="auto"/>
            </w:tcBorders>
          </w:tcPr>
          <w:p>
            <w:pPr>
              <w:jc w:val="right"/>
              <w:ind w:right="761"/>
              <w:spacing w:after="0" w:line="228" w:lineRule="exact"/>
              <w:rPr>
                <w:sz w:val="20"/>
                <w:szCs w:val="20"/>
                <w:color w:val="auto"/>
              </w:rPr>
            </w:pPr>
            <w:r>
              <w:rPr>
                <w:rFonts w:ascii="Calibri" w:cs="Calibri" w:eastAsia="Calibri" w:hAnsi="Calibri"/>
                <w:sz w:val="20"/>
                <w:szCs w:val="20"/>
                <w:color w:val="auto"/>
              </w:rPr>
              <w:t>$</w:t>
            </w:r>
          </w:p>
        </w:tc>
        <w:tc>
          <w:tcPr>
            <w:tcW w:w="14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2,264.6</w:t>
            </w:r>
          </w:p>
        </w:tc>
        <w:tc>
          <w:tcPr>
            <w:tcW w:w="120" w:type="dxa"/>
            <w:vAlign w:val="bottom"/>
          </w:tcPr>
          <w:p>
            <w:pPr>
              <w:spacing w:after="0"/>
              <w:rPr>
                <w:sz w:val="19"/>
                <w:szCs w:val="19"/>
                <w:color w:val="auto"/>
              </w:rPr>
            </w:pP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280"/>
        <w:spacing w:after="0"/>
        <w:rPr>
          <w:sz w:val="20"/>
          <w:szCs w:val="20"/>
          <w:color w:val="auto"/>
        </w:rPr>
      </w:pPr>
      <w:r>
        <w:rPr>
          <w:rFonts w:ascii="Calibri" w:cs="Calibri" w:eastAsia="Calibri" w:hAnsi="Calibri"/>
          <w:sz w:val="20"/>
          <w:szCs w:val="20"/>
          <w:color w:val="auto"/>
        </w:rPr>
        <w:t>In July 2021, the Company acquired assets of Southern Crushed Concrete (SCC) in the Houston area, one of the country’s largest addressable aggregates markets. SCC was a leading producer of recycled concrete, which is principally used as a base aggregates product in infrastructure, commercial and residental constructon applicatons. Although the inital accountng for the business combinaton has been recorded, the fair values of these amounts are subject to change during the measurement period, which remains open as of March 31, 2022. The goodwill generated by the transacton is deductble for income tax purposes. The results from the acquired business are included in the Company’s West Group, but are immaterial for pro-forma fnancial statement disclosures.</w:t>
      </w:r>
    </w:p>
    <w:p>
      <w:pPr>
        <w:spacing w:after="0" w:line="344"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20"/>
          <w:szCs w:val="20"/>
          <w:color w:val="auto"/>
        </w:rPr>
        <w:t>In April 2021, the Company completed the acquisiton of Tiller Corporaton (Tiller), a leading aggregates and hot mix asphalt supplier in the Minneapolis/St. Paul area, which is one of the largest and fastest-growing midwestern metropolitan areas. The Tiller acquisiton complemented the Company’s existng product oferings in the surrounding areas. The Company has recorded fair values of the assets acquired and liabilites assumed, which are subject to asset verifcaton and a normal post-closing working capital adjustment. Although the inital accountng for the business combinaton has been recorded, the fair values of these amounts are subject to change during the measurement period, which remains open as of March 31, 2022. The goodwill generated by the transacton is deductble for income tax purposes. The results from the acquired business are included in the Company’s East Group, but are immaterial for pro-forma fnancial statement disclosures.</w:t>
      </w:r>
    </w:p>
    <w:p>
      <w:pPr>
        <w:spacing w:after="0" w:line="222" w:lineRule="exact"/>
        <w:rPr>
          <w:sz w:val="20"/>
          <w:szCs w:val="20"/>
          <w:color w:val="auto"/>
        </w:rPr>
      </w:pPr>
    </w:p>
    <w:p>
      <w:pPr>
        <w:ind w:left="280"/>
        <w:spacing w:after="0"/>
        <w:rPr>
          <w:sz w:val="20"/>
          <w:szCs w:val="20"/>
          <w:color w:val="auto"/>
        </w:rPr>
      </w:pPr>
      <w:r>
        <w:rPr>
          <w:rFonts w:ascii="Calibri" w:cs="Calibri" w:eastAsia="Calibri" w:hAnsi="Calibri"/>
          <w:sz w:val="20"/>
          <w:szCs w:val="20"/>
          <w:b w:val="1"/>
          <w:bCs w:val="1"/>
          <w:color w:val="auto"/>
        </w:rPr>
        <w:t>Discontnued Operatons</w:t>
      </w:r>
    </w:p>
    <w:p>
      <w:pPr>
        <w:spacing w:after="0" w:line="117" w:lineRule="exact"/>
        <w:rPr>
          <w:sz w:val="20"/>
          <w:szCs w:val="20"/>
          <w:color w:val="auto"/>
        </w:rPr>
      </w:pPr>
    </w:p>
    <w:p>
      <w:pPr>
        <w:jc w:val="both"/>
        <w:ind w:left="280" w:right="20"/>
        <w:spacing w:after="0" w:line="234" w:lineRule="auto"/>
        <w:rPr>
          <w:sz w:val="20"/>
          <w:szCs w:val="20"/>
          <w:color w:val="auto"/>
        </w:rPr>
      </w:pPr>
      <w:r>
        <w:rPr>
          <w:rFonts w:ascii="Calibri" w:cs="Calibri" w:eastAsia="Calibri" w:hAnsi="Calibri"/>
          <w:sz w:val="20"/>
          <w:szCs w:val="20"/>
          <w:color w:val="auto"/>
        </w:rPr>
        <w:t>Discontnued operatons include the cement and California ready-mixed concrete businesses acquired as part of the Lehigh West Region acquisiton.</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80" w:type="dxa"/>
            <w:vAlign w:val="bottom"/>
          </w:tcPr>
          <w:p>
            <w:pPr>
              <w:ind w:left="280"/>
              <w:spacing w:after="0"/>
              <w:rPr>
                <w:sz w:val="20"/>
                <w:szCs w:val="20"/>
                <w:color w:val="auto"/>
              </w:rPr>
            </w:pPr>
            <w:r>
              <w:rPr>
                <w:rFonts w:ascii="Calibri" w:cs="Calibri" w:eastAsia="Calibri" w:hAnsi="Calibri"/>
                <w:sz w:val="20"/>
                <w:szCs w:val="20"/>
                <w:color w:val="auto"/>
              </w:rPr>
              <w:t>Discontnued operatons for the quarter ended March 31, 2022 include the following:</w:t>
            </w:r>
          </w:p>
        </w:tc>
        <w:tc>
          <w:tcPr>
            <w:tcW w:w="1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1"/>
        </w:trPr>
        <w:tc>
          <w:tcPr>
            <w:tcW w:w="7980" w:type="dxa"/>
            <w:vAlign w:val="bottom"/>
          </w:tcPr>
          <w:p>
            <w:pPr>
              <w:spacing w:after="0"/>
              <w:rPr>
                <w:sz w:val="20"/>
                <w:szCs w:val="20"/>
                <w:color w:val="auto"/>
              </w:rPr>
            </w:pPr>
            <w:r>
              <w:rPr>
                <w:rFonts w:ascii="Calibri" w:cs="Calibri" w:eastAsia="Calibri" w:hAnsi="Calibri"/>
                <w:sz w:val="20"/>
                <w:szCs w:val="20"/>
                <w:i w:val="1"/>
                <w:iCs w:val="1"/>
                <w:color w:val="auto"/>
              </w:rPr>
              <w:t>(Dollars in Millions)</w:t>
            </w: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
        </w:trPr>
        <w:tc>
          <w:tcPr>
            <w:tcW w:w="7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2"/>
        </w:trPr>
        <w:tc>
          <w:tcPr>
            <w:tcW w:w="79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Total revenues</w:t>
            </w:r>
          </w:p>
        </w:tc>
        <w:tc>
          <w:tcPr>
            <w:tcW w:w="1780" w:type="dxa"/>
            <w:vAlign w:val="bottom"/>
            <w:tcBorders>
              <w:bottom w:val="single" w:sz="8" w:color="CFF0FC"/>
            </w:tcBorders>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1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94.7</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0"/>
        </w:trPr>
        <w:tc>
          <w:tcPr>
            <w:tcW w:w="79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37"/>
        </w:trPr>
        <w:tc>
          <w:tcPr>
            <w:tcW w:w="7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2"/>
        </w:trPr>
        <w:tc>
          <w:tcPr>
            <w:tcW w:w="79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Loss from operatons</w:t>
            </w:r>
          </w:p>
        </w:tc>
        <w:tc>
          <w:tcPr>
            <w:tcW w:w="1780" w:type="dxa"/>
            <w:vAlign w:val="bottom"/>
            <w:tcBorders>
              <w:bottom w:val="single" w:sz="8" w:color="CFF0FC"/>
            </w:tcBorders>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1480" w:type="dxa"/>
            <w:vAlign w:val="bottom"/>
            <w:tcBorders>
              <w:bottom w:val="single" w:sz="8" w:color="CFF0FC"/>
            </w:tcBorders>
            <w:gridSpan w:val="2"/>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rPr>
              <w:t>(4.0)</w:t>
            </w:r>
          </w:p>
        </w:tc>
      </w:tr>
      <w:tr>
        <w:trPr>
          <w:trHeight w:val="20"/>
        </w:trPr>
        <w:tc>
          <w:tcPr>
            <w:tcW w:w="79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37"/>
        </w:trPr>
        <w:tc>
          <w:tcPr>
            <w:tcW w:w="7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79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Pretax loss</w:t>
            </w:r>
          </w:p>
        </w:tc>
        <w:tc>
          <w:tcPr>
            <w:tcW w:w="1780" w:type="dxa"/>
            <w:vAlign w:val="bottom"/>
            <w:tcBorders>
              <w:bottom w:val="single" w:sz="8" w:color="CFF0FC"/>
            </w:tcBorders>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1480" w:type="dxa"/>
            <w:vAlign w:val="bottom"/>
            <w:tcBorders>
              <w:bottom w:val="single" w:sz="8" w:color="CFF0FC"/>
            </w:tcBorders>
            <w:gridSpan w:val="2"/>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rPr>
              <w:t>(4.1)</w:t>
            </w:r>
          </w:p>
        </w:tc>
      </w:tr>
      <w:tr>
        <w:trPr>
          <w:trHeight w:val="234"/>
        </w:trPr>
        <w:tc>
          <w:tcPr>
            <w:tcW w:w="7980" w:type="dxa"/>
            <w:vAlign w:val="bottom"/>
          </w:tcPr>
          <w:p>
            <w:pPr>
              <w:spacing w:after="0" w:line="234" w:lineRule="exact"/>
              <w:rPr>
                <w:sz w:val="20"/>
                <w:szCs w:val="20"/>
                <w:color w:val="auto"/>
              </w:rPr>
            </w:pPr>
            <w:r>
              <w:rPr>
                <w:rFonts w:ascii="Calibri" w:cs="Calibri" w:eastAsia="Calibri" w:hAnsi="Calibri"/>
                <w:sz w:val="20"/>
                <w:szCs w:val="20"/>
                <w:color w:val="auto"/>
              </w:rPr>
              <w:t>Income tax beneft</w:t>
            </w:r>
          </w:p>
        </w:tc>
        <w:tc>
          <w:tcPr>
            <w:tcW w:w="1780" w:type="dxa"/>
            <w:vAlign w:val="bottom"/>
          </w:tcPr>
          <w:p>
            <w:pPr>
              <w:spacing w:after="0"/>
              <w:rPr>
                <w:sz w:val="20"/>
                <w:szCs w:val="20"/>
                <w:color w:val="auto"/>
              </w:rPr>
            </w:pPr>
          </w:p>
        </w:tc>
        <w:tc>
          <w:tcPr>
            <w:tcW w:w="1360" w:type="dxa"/>
            <w:vAlign w:val="bottom"/>
          </w:tcPr>
          <w:p>
            <w:pPr>
              <w:jc w:val="right"/>
              <w:spacing w:after="0" w:line="234" w:lineRule="exact"/>
              <w:rPr>
                <w:sz w:val="20"/>
                <w:szCs w:val="20"/>
                <w:color w:val="auto"/>
              </w:rPr>
            </w:pPr>
            <w:r>
              <w:rPr>
                <w:rFonts w:ascii="Calibri" w:cs="Calibri" w:eastAsia="Calibri" w:hAnsi="Calibri"/>
                <w:sz w:val="20"/>
                <w:szCs w:val="20"/>
                <w:color w:val="auto"/>
              </w:rPr>
              <w:t>1.0</w:t>
            </w:r>
          </w:p>
        </w:tc>
        <w:tc>
          <w:tcPr>
            <w:tcW w:w="120" w:type="dxa"/>
            <w:vAlign w:val="bottom"/>
          </w:tcPr>
          <w:p>
            <w:pPr>
              <w:spacing w:after="0"/>
              <w:rPr>
                <w:sz w:val="20"/>
                <w:szCs w:val="20"/>
                <w:color w:val="auto"/>
              </w:rPr>
            </w:pPr>
          </w:p>
        </w:tc>
      </w:tr>
      <w:tr>
        <w:trPr>
          <w:trHeight w:val="22"/>
        </w:trPr>
        <w:tc>
          <w:tcPr>
            <w:tcW w:w="7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55"/>
        </w:trPr>
        <w:tc>
          <w:tcPr>
            <w:tcW w:w="7980" w:type="dxa"/>
            <w:vAlign w:val="bottom"/>
            <w:tcBorders>
              <w:bottom w:val="single" w:sz="8" w:color="CFF0FC"/>
            </w:tcBorders>
            <w:shd w:val="clear" w:color="auto" w:fill="CFF0FC"/>
          </w:tcPr>
          <w:p>
            <w:pPr>
              <w:spacing w:after="0" w:line="228" w:lineRule="exact"/>
              <w:rPr>
                <w:sz w:val="20"/>
                <w:szCs w:val="20"/>
                <w:color w:val="auto"/>
              </w:rPr>
            </w:pPr>
            <w:r>
              <w:rPr>
                <w:rFonts w:ascii="Calibri" w:cs="Calibri" w:eastAsia="Calibri" w:hAnsi="Calibri"/>
                <w:sz w:val="20"/>
                <w:szCs w:val="20"/>
                <w:color w:val="auto"/>
              </w:rPr>
              <w:t>Net loss</w:t>
            </w:r>
          </w:p>
        </w:tc>
        <w:tc>
          <w:tcPr>
            <w:tcW w:w="1780" w:type="dxa"/>
            <w:vAlign w:val="bottom"/>
            <w:tcBorders>
              <w:bottom w:val="single" w:sz="8" w:color="CFF0FC"/>
            </w:tcBorders>
            <w:shd w:val="clear" w:color="auto" w:fill="CFF0FC"/>
          </w:tcPr>
          <w:p>
            <w:pPr>
              <w:jc w:val="right"/>
              <w:ind w:right="881"/>
              <w:spacing w:after="0" w:line="228" w:lineRule="exact"/>
              <w:rPr>
                <w:sz w:val="20"/>
                <w:szCs w:val="20"/>
                <w:color w:val="auto"/>
              </w:rPr>
            </w:pPr>
            <w:r>
              <w:rPr>
                <w:rFonts w:ascii="Calibri" w:cs="Calibri" w:eastAsia="Calibri" w:hAnsi="Calibri"/>
                <w:sz w:val="20"/>
                <w:szCs w:val="20"/>
                <w:color w:val="auto"/>
              </w:rPr>
              <w:t>$</w:t>
            </w:r>
          </w:p>
        </w:tc>
        <w:tc>
          <w:tcPr>
            <w:tcW w:w="1480" w:type="dxa"/>
            <w:vAlign w:val="bottom"/>
            <w:tcBorders>
              <w:bottom w:val="single" w:sz="8" w:color="CFF0FC"/>
            </w:tcBorders>
            <w:gridSpan w:val="2"/>
            <w:shd w:val="clear" w:color="auto" w:fill="CFF0FC"/>
          </w:tcPr>
          <w:p>
            <w:pPr>
              <w:jc w:val="right"/>
              <w:ind w:right="60"/>
              <w:spacing w:after="0" w:line="228" w:lineRule="exact"/>
              <w:rPr>
                <w:sz w:val="20"/>
                <w:szCs w:val="20"/>
                <w:color w:val="auto"/>
              </w:rPr>
            </w:pPr>
            <w:r>
              <w:rPr>
                <w:rFonts w:ascii="Calibri" w:cs="Calibri" w:eastAsia="Calibri" w:hAnsi="Calibri"/>
                <w:sz w:val="20"/>
                <w:szCs w:val="20"/>
                <w:color w:val="auto"/>
              </w:rPr>
              <w:t>(3.1)</w:t>
            </w:r>
          </w:p>
        </w:tc>
      </w:tr>
      <w:tr>
        <w:trPr>
          <w:trHeight w:val="20"/>
        </w:trPr>
        <w:tc>
          <w:tcPr>
            <w:tcW w:w="79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65"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Total cash used for operatng and investng actvites for the discontnued operatons was $14.0 million, including $8.6 million in capital expenditures, for the quarter ended March 31, 2022. Non-cash items related to operatng and investng actvites for the discontnued operatons were immaterial for the quarter ended March 31, 2022.</w:t>
      </w:r>
    </w:p>
    <w:p>
      <w:pPr>
        <w:spacing w:after="0" w:line="117"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20"/>
          <w:szCs w:val="20"/>
          <w:b w:val="1"/>
          <w:bCs w:val="1"/>
          <w:i w:val="1"/>
          <w:iCs w:val="1"/>
          <w:color w:val="auto"/>
        </w:rPr>
        <w:t xml:space="preserve">Assets Held for Sale. </w:t>
      </w:r>
      <w:r>
        <w:rPr>
          <w:rFonts w:ascii="Calibri" w:cs="Calibri" w:eastAsia="Calibri" w:hAnsi="Calibri"/>
          <w:sz w:val="20"/>
          <w:szCs w:val="20"/>
          <w:color w:val="auto"/>
        </w:rPr>
        <w:t>On March 1, 2022, the Company announced a defnitve agreement to sell the Redding, California cement plant,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related cement distributon terminals and 14 California ready mix operatons for $250 million in cash. The transacton is expected to close in the second half of 2022, subject to customary regulatory approvals and closing conditons. The Company did not record any amortzaton or depreciaton expense related to these businesses for the quarter ended March 31, 2022, as these are classifed as assets held for sale.</w:t>
      </w:r>
    </w:p>
    <w:p>
      <w:pPr>
        <w:spacing w:after="0" w:line="118"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During the quarter, the Company reached agreement with one of the naton’s largest privately-owned concrete producers to divest the Colorado and Central Texas ready mix concrete operatons, which was completed on April 1, 2022. This opportunity optmized the Company’s aggregates-led portolio and improved its ability to generate generally more atractve margins over the long term by reducing both business cyclicality and exposure to raw material cost infaton.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4" w:name="page15"/>
    <w:bookmarkEnd w:id="14"/>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82"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Assets and liabilites held for sale as of March 31, 2022 and December 31, 2021, which also include a cement plant in Tehachapi, California; related cement distributon terminals; the remaining California ready mixed concrete plants; certain investment propertes; and the Colorado and Central Texas ready mixed concrete operatons, which were only classifed as held for sale as of March 31, 2022 (see Note 14),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4"/>
          </w:tcPr>
          <w:p>
            <w:pPr>
              <w:jc w:val="right"/>
              <w:ind w:right="60"/>
              <w:spacing w:after="0"/>
              <w:rPr>
                <w:sz w:val="20"/>
                <w:szCs w:val="20"/>
                <w:color w:val="auto"/>
              </w:rPr>
            </w:pPr>
            <w:r>
              <w:rPr>
                <w:rFonts w:ascii="Calibri" w:cs="Calibri" w:eastAsia="Calibri" w:hAnsi="Calibri"/>
                <w:sz w:val="20"/>
                <w:szCs w:val="20"/>
                <w:color w:val="auto"/>
              </w:rPr>
              <w:t>March 31, 2022</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6"/>
          </w:tcPr>
          <w:p>
            <w:pPr>
              <w:ind w:left="520"/>
              <w:spacing w:after="0"/>
              <w:rPr>
                <w:sz w:val="20"/>
                <w:szCs w:val="20"/>
                <w:color w:val="auto"/>
              </w:rPr>
            </w:pPr>
            <w:r>
              <w:rPr>
                <w:rFonts w:ascii="Calibri" w:cs="Calibri" w:eastAsia="Calibri" w:hAnsi="Calibri"/>
                <w:sz w:val="20"/>
                <w:szCs w:val="20"/>
                <w:color w:val="auto"/>
              </w:rPr>
              <w:t>December 31, 2021</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
        </w:trPr>
        <w:tc>
          <w:tcPr>
            <w:tcW w:w="43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4300" w:type="dxa"/>
            <w:vAlign w:val="bottom"/>
          </w:tcPr>
          <w:p>
            <w:pPr>
              <w:spacing w:after="0"/>
              <w:rPr>
                <w:sz w:val="19"/>
                <w:szCs w:val="19"/>
                <w:color w:val="auto"/>
              </w:rPr>
            </w:pPr>
          </w:p>
        </w:tc>
        <w:tc>
          <w:tcPr>
            <w:tcW w:w="980" w:type="dxa"/>
            <w:vAlign w:val="bottom"/>
            <w:gridSpan w:val="3"/>
          </w:tcPr>
          <w:p>
            <w:pPr>
              <w:spacing w:after="0" w:line="225" w:lineRule="exact"/>
              <w:rPr>
                <w:sz w:val="20"/>
                <w:szCs w:val="20"/>
                <w:color w:val="auto"/>
              </w:rPr>
            </w:pPr>
            <w:r>
              <w:rPr>
                <w:rFonts w:ascii="Calibri" w:cs="Calibri" w:eastAsia="Calibri" w:hAnsi="Calibri"/>
                <w:sz w:val="20"/>
                <w:szCs w:val="20"/>
                <w:color w:val="auto"/>
              </w:rPr>
              <w:t>Contnuing</w:t>
            </w:r>
          </w:p>
        </w:tc>
        <w:tc>
          <w:tcPr>
            <w:tcW w:w="40" w:type="dxa"/>
            <w:vAlign w:val="bottom"/>
          </w:tcPr>
          <w:p>
            <w:pPr>
              <w:spacing w:after="0"/>
              <w:rPr>
                <w:sz w:val="19"/>
                <w:szCs w:val="19"/>
                <w:color w:val="auto"/>
              </w:rPr>
            </w:pPr>
          </w:p>
        </w:tc>
        <w:tc>
          <w:tcPr>
            <w:tcW w:w="1320" w:type="dxa"/>
            <w:vAlign w:val="bottom"/>
            <w:gridSpan w:val="3"/>
          </w:tcPr>
          <w:p>
            <w:pPr>
              <w:ind w:left="140"/>
              <w:spacing w:after="0" w:line="225" w:lineRule="exact"/>
              <w:rPr>
                <w:sz w:val="20"/>
                <w:szCs w:val="20"/>
                <w:color w:val="auto"/>
              </w:rPr>
            </w:pPr>
            <w:r>
              <w:rPr>
                <w:rFonts w:ascii="Calibri" w:cs="Calibri" w:eastAsia="Calibri" w:hAnsi="Calibri"/>
                <w:sz w:val="20"/>
                <w:szCs w:val="20"/>
                <w:color w:val="auto"/>
              </w:rPr>
              <w:t>Discontnued</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ind w:left="140"/>
              <w:spacing w:after="0" w:line="225" w:lineRule="exact"/>
              <w:rPr>
                <w:sz w:val="20"/>
                <w:szCs w:val="20"/>
                <w:color w:val="auto"/>
              </w:rPr>
            </w:pPr>
            <w:r>
              <w:rPr>
                <w:rFonts w:ascii="Calibri" w:cs="Calibri" w:eastAsia="Calibri" w:hAnsi="Calibri"/>
                <w:sz w:val="20"/>
                <w:szCs w:val="20"/>
                <w:color w:val="auto"/>
              </w:rPr>
              <w:t>Contnuing</w:t>
            </w:r>
          </w:p>
        </w:tc>
        <w:tc>
          <w:tcPr>
            <w:tcW w:w="1440" w:type="dxa"/>
            <w:vAlign w:val="bottom"/>
            <w:gridSpan w:val="4"/>
          </w:tcPr>
          <w:p>
            <w:pPr>
              <w:ind w:left="140"/>
              <w:spacing w:after="0" w:line="225" w:lineRule="exact"/>
              <w:rPr>
                <w:sz w:val="20"/>
                <w:szCs w:val="20"/>
                <w:color w:val="auto"/>
              </w:rPr>
            </w:pPr>
            <w:r>
              <w:rPr>
                <w:rFonts w:ascii="Calibri" w:cs="Calibri" w:eastAsia="Calibri" w:hAnsi="Calibri"/>
                <w:sz w:val="20"/>
                <w:szCs w:val="20"/>
                <w:color w:val="auto"/>
              </w:rPr>
              <w:t>Discontnued</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00" w:type="dxa"/>
            <w:vAlign w:val="bottom"/>
          </w:tcPr>
          <w:p>
            <w:pPr>
              <w:spacing w:after="0"/>
              <w:rPr>
                <w:sz w:val="20"/>
                <w:szCs w:val="20"/>
                <w:color w:val="auto"/>
              </w:rPr>
            </w:pPr>
          </w:p>
        </w:tc>
        <w:tc>
          <w:tcPr>
            <w:tcW w:w="980" w:type="dxa"/>
            <w:vAlign w:val="bottom"/>
            <w:gridSpan w:val="3"/>
          </w:tcPr>
          <w:p>
            <w:pPr>
              <w:spacing w:after="0" w:line="234" w:lineRule="exact"/>
              <w:rPr>
                <w:sz w:val="20"/>
                <w:szCs w:val="20"/>
                <w:color w:val="auto"/>
              </w:rPr>
            </w:pPr>
            <w:r>
              <w:rPr>
                <w:rFonts w:ascii="Calibri" w:cs="Calibri" w:eastAsia="Calibri" w:hAnsi="Calibri"/>
                <w:sz w:val="20"/>
                <w:szCs w:val="20"/>
                <w:color w:val="auto"/>
              </w:rPr>
              <w:t>Operatons</w:t>
            </w:r>
          </w:p>
        </w:tc>
        <w:tc>
          <w:tcPr>
            <w:tcW w:w="40" w:type="dxa"/>
            <w:vAlign w:val="bottom"/>
          </w:tcPr>
          <w:p>
            <w:pPr>
              <w:spacing w:after="0"/>
              <w:rPr>
                <w:sz w:val="20"/>
                <w:szCs w:val="20"/>
                <w:color w:val="auto"/>
              </w:rPr>
            </w:pPr>
          </w:p>
        </w:tc>
        <w:tc>
          <w:tcPr>
            <w:tcW w:w="1320" w:type="dxa"/>
            <w:vAlign w:val="bottom"/>
            <w:gridSpan w:val="3"/>
          </w:tcPr>
          <w:p>
            <w:pPr>
              <w:jc w:val="right"/>
              <w:ind w:right="200"/>
              <w:spacing w:after="0" w:line="234" w:lineRule="exact"/>
              <w:rPr>
                <w:sz w:val="20"/>
                <w:szCs w:val="20"/>
                <w:color w:val="auto"/>
              </w:rPr>
            </w:pPr>
            <w:r>
              <w:rPr>
                <w:rFonts w:ascii="Calibri" w:cs="Calibri" w:eastAsia="Calibri" w:hAnsi="Calibri"/>
                <w:sz w:val="20"/>
                <w:szCs w:val="20"/>
                <w:color w:val="auto"/>
              </w:rPr>
              <w:t>Operatons</w:t>
            </w:r>
          </w:p>
        </w:tc>
        <w:tc>
          <w:tcPr>
            <w:tcW w:w="260" w:type="dxa"/>
            <w:vAlign w:val="bottom"/>
          </w:tcPr>
          <w:p>
            <w:pPr>
              <w:spacing w:after="0"/>
              <w:rPr>
                <w:sz w:val="20"/>
                <w:szCs w:val="20"/>
                <w:color w:val="auto"/>
              </w:rPr>
            </w:pPr>
          </w:p>
        </w:tc>
        <w:tc>
          <w:tcPr>
            <w:tcW w:w="800" w:type="dxa"/>
            <w:vAlign w:val="bottom"/>
            <w:gridSpan w:val="2"/>
          </w:tcPr>
          <w:p>
            <w:pPr>
              <w:jc w:val="right"/>
              <w:ind w:right="320"/>
              <w:spacing w:after="0" w:line="234" w:lineRule="exact"/>
              <w:rPr>
                <w:sz w:val="20"/>
                <w:szCs w:val="20"/>
                <w:color w:val="auto"/>
              </w:rPr>
            </w:pPr>
            <w:r>
              <w:rPr>
                <w:rFonts w:ascii="Calibri" w:cs="Calibri" w:eastAsia="Calibri" w:hAnsi="Calibri"/>
                <w:sz w:val="20"/>
                <w:szCs w:val="20"/>
                <w:color w:val="auto"/>
              </w:rPr>
              <w:t>Total</w:t>
            </w:r>
          </w:p>
        </w:tc>
        <w:tc>
          <w:tcPr>
            <w:tcW w:w="1160" w:type="dxa"/>
            <w:vAlign w:val="bottom"/>
            <w:gridSpan w:val="3"/>
          </w:tcPr>
          <w:p>
            <w:pPr>
              <w:ind w:left="140"/>
              <w:spacing w:after="0" w:line="234" w:lineRule="exact"/>
              <w:rPr>
                <w:sz w:val="20"/>
                <w:szCs w:val="20"/>
                <w:color w:val="auto"/>
              </w:rPr>
            </w:pPr>
            <w:r>
              <w:rPr>
                <w:rFonts w:ascii="Calibri" w:cs="Calibri" w:eastAsia="Calibri" w:hAnsi="Calibri"/>
                <w:sz w:val="20"/>
                <w:szCs w:val="20"/>
                <w:color w:val="auto"/>
              </w:rPr>
              <w:t>Operatons</w:t>
            </w:r>
          </w:p>
        </w:tc>
        <w:tc>
          <w:tcPr>
            <w:tcW w:w="1440" w:type="dxa"/>
            <w:vAlign w:val="bottom"/>
            <w:gridSpan w:val="4"/>
          </w:tcPr>
          <w:p>
            <w:pPr>
              <w:ind w:left="220"/>
              <w:spacing w:after="0" w:line="234" w:lineRule="exact"/>
              <w:rPr>
                <w:sz w:val="20"/>
                <w:szCs w:val="20"/>
                <w:color w:val="auto"/>
              </w:rPr>
            </w:pPr>
            <w:r>
              <w:rPr>
                <w:rFonts w:ascii="Calibri" w:cs="Calibri" w:eastAsia="Calibri" w:hAnsi="Calibri"/>
                <w:sz w:val="20"/>
                <w:szCs w:val="20"/>
                <w:color w:val="auto"/>
              </w:rPr>
              <w:t>Operatons</w:t>
            </w:r>
          </w:p>
        </w:tc>
        <w:tc>
          <w:tcPr>
            <w:tcW w:w="180" w:type="dxa"/>
            <w:vAlign w:val="bottom"/>
          </w:tcPr>
          <w:p>
            <w:pPr>
              <w:spacing w:after="0"/>
              <w:rPr>
                <w:sz w:val="20"/>
                <w:szCs w:val="20"/>
                <w:color w:val="auto"/>
              </w:rPr>
            </w:pPr>
          </w:p>
        </w:tc>
        <w:tc>
          <w:tcPr>
            <w:tcW w:w="760" w:type="dxa"/>
            <w:vAlign w:val="bottom"/>
            <w:gridSpan w:val="2"/>
          </w:tcPr>
          <w:p>
            <w:pPr>
              <w:jc w:val="right"/>
              <w:ind w:right="320"/>
              <w:spacing w:after="0" w:line="234" w:lineRule="exact"/>
              <w:rPr>
                <w:sz w:val="20"/>
                <w:szCs w:val="20"/>
                <w:color w:val="auto"/>
              </w:rPr>
            </w:pPr>
            <w:r>
              <w:rPr>
                <w:rFonts w:ascii="Calibri" w:cs="Calibri" w:eastAsia="Calibri" w:hAnsi="Calibri"/>
                <w:sz w:val="20"/>
                <w:szCs w:val="20"/>
                <w:color w:val="auto"/>
              </w:rPr>
              <w:t>Total</w:t>
            </w:r>
          </w:p>
        </w:tc>
      </w:tr>
      <w:tr>
        <w:trPr>
          <w:trHeight w:val="33"/>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5"/>
          </w:tcPr>
          <w:p>
            <w:pPr>
              <w:ind w:left="2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Inventories, net</w:t>
            </w:r>
          </w:p>
        </w:tc>
        <w:tc>
          <w:tcPr>
            <w:tcW w:w="2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8.9</w:t>
            </w:r>
          </w:p>
        </w:tc>
        <w:tc>
          <w:tcPr>
            <w:tcW w:w="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gridSpan w:val="2"/>
            <w:shd w:val="clear" w:color="auto" w:fill="CFF0FC"/>
          </w:tcPr>
          <w:p>
            <w:pPr>
              <w:ind w:left="180"/>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41.8</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50.7</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53.1</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300" w:type="dxa"/>
            <w:vAlign w:val="bottom"/>
          </w:tcPr>
          <w:p>
            <w:pPr>
              <w:spacing w:after="0" w:line="234" w:lineRule="exact"/>
              <w:rPr>
                <w:sz w:val="20"/>
                <w:szCs w:val="20"/>
                <w:color w:val="auto"/>
              </w:rPr>
            </w:pPr>
            <w:r>
              <w:rPr>
                <w:rFonts w:ascii="Calibri" w:cs="Calibri" w:eastAsia="Calibri" w:hAnsi="Calibri"/>
                <w:sz w:val="20"/>
                <w:szCs w:val="20"/>
                <w:color w:val="auto"/>
              </w:rPr>
              <w:t>Investment land</w:t>
            </w:r>
          </w:p>
        </w:tc>
        <w:tc>
          <w:tcPr>
            <w:tcW w:w="28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40.7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20"/>
                <w:szCs w:val="20"/>
                <w:color w:val="auto"/>
              </w:rPr>
            </w:pPr>
          </w:p>
        </w:tc>
        <w:tc>
          <w:tcPr>
            <w:tcW w:w="700" w:type="dxa"/>
            <w:vAlign w:val="bottom"/>
          </w:tcPr>
          <w:p>
            <w:pPr>
              <w:jc w:val="right"/>
              <w:spacing w:after="0" w:line="234" w:lineRule="exact"/>
              <w:rPr>
                <w:sz w:val="20"/>
                <w:szCs w:val="20"/>
                <w:color w:val="auto"/>
              </w:rPr>
            </w:pPr>
            <w:r>
              <w:rPr>
                <w:rFonts w:ascii="Calibri" w:cs="Calibri" w:eastAsia="Calibri" w:hAnsi="Calibri"/>
                <w:sz w:val="20"/>
                <w:szCs w:val="20"/>
                <w:color w:val="auto"/>
              </w:rPr>
              <w:t>40.7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line="234"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3"/>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80" w:type="dxa"/>
            <w:vAlign w:val="bottom"/>
          </w:tcPr>
          <w:p>
            <w:pPr>
              <w:spacing w:after="0"/>
              <w:rPr>
                <w:sz w:val="20"/>
                <w:szCs w:val="20"/>
                <w:color w:val="auto"/>
              </w:rPr>
            </w:pP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20"/>
                <w:szCs w:val="20"/>
                <w:color w:val="auto"/>
              </w:rPr>
            </w:pPr>
          </w:p>
        </w:tc>
      </w:tr>
      <w:tr>
        <w:trPr>
          <w:trHeight w:val="22"/>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3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Other assets</w:t>
            </w:r>
          </w:p>
        </w:tc>
        <w:tc>
          <w:tcPr>
            <w:tcW w:w="2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0.5</w:t>
            </w:r>
          </w:p>
        </w:tc>
        <w:tc>
          <w:tcPr>
            <w:tcW w:w="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29.3</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29.8</w:t>
            </w:r>
          </w:p>
        </w:tc>
        <w:tc>
          <w:tcPr>
            <w:tcW w:w="1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43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 current assets held for sale</w:t>
            </w:r>
          </w:p>
        </w:tc>
        <w:tc>
          <w:tcPr>
            <w:tcW w:w="2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w:t>
            </w:r>
          </w:p>
        </w:tc>
        <w:tc>
          <w:tcPr>
            <w:tcW w:w="6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71.1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w:t>
            </w:r>
          </w:p>
        </w:tc>
        <w:tc>
          <w:tcPr>
            <w:tcW w:w="7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121.2</w:t>
            </w:r>
          </w:p>
        </w:tc>
        <w:tc>
          <w:tcPr>
            <w:tcW w:w="100" w:type="dxa"/>
            <w:vAlign w:val="bottom"/>
          </w:tcPr>
          <w:p>
            <w:pPr>
              <w:spacing w:after="0"/>
              <w:rPr>
                <w:sz w:val="19"/>
                <w:szCs w:val="19"/>
                <w:color w:val="auto"/>
              </w:rPr>
            </w:pPr>
          </w:p>
        </w:tc>
        <w:tc>
          <w:tcPr>
            <w:tcW w:w="46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6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19"/>
                <w:szCs w:val="19"/>
                <w:color w:val="auto"/>
              </w:rPr>
            </w:pPr>
          </w:p>
        </w:tc>
        <w:tc>
          <w:tcPr>
            <w:tcW w:w="50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69.5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102.2</w:t>
            </w:r>
          </w:p>
        </w:tc>
        <w:tc>
          <w:tcPr>
            <w:tcW w:w="100" w:type="dxa"/>
            <w:vAlign w:val="bottom"/>
          </w:tcPr>
          <w:p>
            <w:pPr>
              <w:spacing w:after="0"/>
              <w:rPr>
                <w:sz w:val="19"/>
                <w:szCs w:val="19"/>
                <w:color w:val="auto"/>
              </w:rPr>
            </w:pPr>
          </w:p>
        </w:tc>
      </w:tr>
      <w:tr>
        <w:trPr>
          <w:trHeight w:val="62"/>
        </w:trPr>
        <w:tc>
          <w:tcPr>
            <w:tcW w:w="4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40" w:type="dxa"/>
            <w:vAlign w:val="bottom"/>
            <w:tcBorders>
              <w:bottom w:val="single" w:sz="8" w:color="CFF0FC"/>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r>
      <w:tr>
        <w:trPr>
          <w:trHeight w:val="237"/>
        </w:trPr>
        <w:tc>
          <w:tcPr>
            <w:tcW w:w="4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4300" w:type="dxa"/>
            <w:vAlign w:val="bottom"/>
          </w:tcPr>
          <w:p>
            <w:pPr>
              <w:spacing w:after="0" w:line="234" w:lineRule="exact"/>
              <w:rPr>
                <w:sz w:val="20"/>
                <w:szCs w:val="20"/>
                <w:color w:val="auto"/>
              </w:rPr>
            </w:pPr>
            <w:r>
              <w:rPr>
                <w:rFonts w:ascii="Calibri" w:cs="Calibri" w:eastAsia="Calibri" w:hAnsi="Calibri"/>
                <w:sz w:val="20"/>
                <w:szCs w:val="20"/>
                <w:color w:val="auto"/>
              </w:rPr>
              <w:t>Property, plant and equipment</w:t>
            </w:r>
          </w:p>
        </w:tc>
        <w:tc>
          <w:tcPr>
            <w:tcW w:w="280" w:type="dxa"/>
            <w:vAlign w:val="bottom"/>
          </w:tcPr>
          <w:p>
            <w:pPr>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65.6</w:t>
            </w:r>
          </w:p>
        </w:tc>
        <w:tc>
          <w:tcPr>
            <w:tcW w:w="60" w:type="dxa"/>
            <w:vAlign w:val="bottom"/>
          </w:tcPr>
          <w:p>
            <w:pPr>
              <w:spacing w:after="0"/>
              <w:rPr>
                <w:sz w:val="20"/>
                <w:szCs w:val="20"/>
                <w:color w:val="auto"/>
              </w:rPr>
            </w:pPr>
          </w:p>
        </w:tc>
        <w:tc>
          <w:tcPr>
            <w:tcW w:w="540" w:type="dxa"/>
            <w:vAlign w:val="bottom"/>
            <w:gridSpan w:val="2"/>
          </w:tcPr>
          <w:p>
            <w:pPr>
              <w:ind w:left="180"/>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spacing w:after="0" w:line="234" w:lineRule="exact"/>
              <w:rPr>
                <w:sz w:val="20"/>
                <w:szCs w:val="20"/>
                <w:color w:val="auto"/>
              </w:rPr>
            </w:pPr>
            <w:r>
              <w:rPr>
                <w:rFonts w:ascii="Calibri" w:cs="Calibri" w:eastAsia="Calibri" w:hAnsi="Calibri"/>
                <w:sz w:val="20"/>
                <w:szCs w:val="20"/>
                <w:color w:val="auto"/>
              </w:rPr>
              <w:t>226.9</w:t>
            </w:r>
          </w:p>
        </w:tc>
        <w:tc>
          <w:tcPr>
            <w:tcW w:w="100" w:type="dxa"/>
            <w:vAlign w:val="bottom"/>
          </w:tcPr>
          <w:p>
            <w:pPr>
              <w:spacing w:after="0"/>
              <w:rPr>
                <w:sz w:val="20"/>
                <w:szCs w:val="20"/>
                <w:color w:val="auto"/>
              </w:rPr>
            </w:pPr>
          </w:p>
        </w:tc>
        <w:tc>
          <w:tcPr>
            <w:tcW w:w="26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Pr>
          <w:p>
            <w:pPr>
              <w:jc w:val="right"/>
              <w:spacing w:after="0" w:line="234" w:lineRule="exact"/>
              <w:rPr>
                <w:sz w:val="20"/>
                <w:szCs w:val="20"/>
                <w:color w:val="auto"/>
              </w:rPr>
            </w:pPr>
            <w:r>
              <w:rPr>
                <w:rFonts w:ascii="Calibri" w:cs="Calibri" w:eastAsia="Calibri" w:hAnsi="Calibri"/>
                <w:sz w:val="20"/>
                <w:szCs w:val="20"/>
                <w:color w:val="auto"/>
              </w:rPr>
              <w:t>292.5</w:t>
            </w:r>
          </w:p>
        </w:tc>
        <w:tc>
          <w:tcPr>
            <w:tcW w:w="100" w:type="dxa"/>
            <w:vAlign w:val="bottom"/>
          </w:tcPr>
          <w:p>
            <w:pPr>
              <w:spacing w:after="0"/>
              <w:rPr>
                <w:sz w:val="20"/>
                <w:szCs w:val="20"/>
                <w:color w:val="auto"/>
              </w:rPr>
            </w:pPr>
          </w:p>
        </w:tc>
        <w:tc>
          <w:tcPr>
            <w:tcW w:w="460" w:type="dxa"/>
            <w:vAlign w:val="bottom"/>
          </w:tcPr>
          <w:p>
            <w:pPr>
              <w:ind w:left="14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Pr>
          <w:p>
            <w:pPr>
              <w:ind w:left="140"/>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spacing w:after="0" w:line="234" w:lineRule="exact"/>
              <w:rPr>
                <w:sz w:val="20"/>
                <w:szCs w:val="20"/>
                <w:color w:val="auto"/>
              </w:rPr>
            </w:pPr>
            <w:r>
              <w:rPr>
                <w:rFonts w:ascii="Calibri" w:cs="Calibri" w:eastAsia="Calibri" w:hAnsi="Calibri"/>
                <w:sz w:val="20"/>
                <w:szCs w:val="20"/>
                <w:color w:val="auto"/>
              </w:rPr>
              <w:t>226.0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226.0</w:t>
            </w:r>
          </w:p>
        </w:tc>
        <w:tc>
          <w:tcPr>
            <w:tcW w:w="100" w:type="dxa"/>
            <w:vAlign w:val="bottom"/>
          </w:tcPr>
          <w:p>
            <w:pPr>
              <w:spacing w:after="0"/>
              <w:rPr>
                <w:sz w:val="20"/>
                <w:szCs w:val="20"/>
                <w:color w:val="auto"/>
              </w:rPr>
            </w:pPr>
          </w:p>
        </w:tc>
      </w:tr>
      <w:tr>
        <w:trPr>
          <w:trHeight w:val="22"/>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Intangible assets, excluding goodwill</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5.7</w:t>
            </w: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264.9</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270.6</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264.9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300" w:type="dxa"/>
            <w:vAlign w:val="bottom"/>
          </w:tcPr>
          <w:p>
            <w:pPr>
              <w:spacing w:after="0" w:line="234" w:lineRule="exact"/>
              <w:rPr>
                <w:sz w:val="20"/>
                <w:szCs w:val="20"/>
                <w:color w:val="auto"/>
              </w:rPr>
            </w:pPr>
            <w:r>
              <w:rPr>
                <w:rFonts w:ascii="Calibri" w:cs="Calibri" w:eastAsia="Calibri" w:hAnsi="Calibri"/>
                <w:sz w:val="20"/>
                <w:szCs w:val="20"/>
                <w:color w:val="auto"/>
              </w:rPr>
              <w:t>Operatng lease right-of-use assets</w:t>
            </w:r>
          </w:p>
        </w:tc>
        <w:tc>
          <w:tcPr>
            <w:tcW w:w="28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7.4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line="234" w:lineRule="exact"/>
              <w:rPr>
                <w:sz w:val="20"/>
                <w:szCs w:val="20"/>
                <w:color w:val="auto"/>
              </w:rPr>
            </w:pPr>
            <w:r>
              <w:rPr>
                <w:rFonts w:ascii="Calibri" w:cs="Calibri" w:eastAsia="Calibri" w:hAnsi="Calibri"/>
                <w:sz w:val="20"/>
                <w:szCs w:val="20"/>
                <w:color w:val="auto"/>
              </w:rPr>
              <w:t>18.9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line="234" w:lineRule="exact"/>
              <w:rPr>
                <w:sz w:val="20"/>
                <w:szCs w:val="20"/>
                <w:color w:val="auto"/>
              </w:rPr>
            </w:pPr>
            <w:r>
              <w:rPr>
                <w:rFonts w:ascii="Calibri" w:cs="Calibri" w:eastAsia="Calibri" w:hAnsi="Calibri"/>
                <w:sz w:val="20"/>
                <w:szCs w:val="20"/>
                <w:color w:val="auto"/>
              </w:rPr>
              <w:t>26.3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Pr>
          <w:p>
            <w:pPr>
              <w:spacing w:after="0"/>
              <w:rPr>
                <w:sz w:val="20"/>
                <w:szCs w:val="20"/>
                <w:color w:val="auto"/>
              </w:rPr>
            </w:pPr>
          </w:p>
        </w:tc>
        <w:tc>
          <w:tcPr>
            <w:tcW w:w="720" w:type="dxa"/>
            <w:vAlign w:val="bottom"/>
          </w:tcPr>
          <w:p>
            <w:pPr>
              <w:jc w:val="right"/>
              <w:spacing w:after="0" w:line="234" w:lineRule="exact"/>
              <w:rPr>
                <w:sz w:val="20"/>
                <w:szCs w:val="20"/>
                <w:color w:val="auto"/>
              </w:rPr>
            </w:pPr>
            <w:r>
              <w:rPr>
                <w:rFonts w:ascii="Calibri" w:cs="Calibri" w:eastAsia="Calibri" w:hAnsi="Calibri"/>
                <w:sz w:val="20"/>
                <w:szCs w:val="20"/>
                <w:color w:val="auto"/>
              </w:rPr>
              <w:t>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18.1</w:t>
            </w:r>
          </w:p>
        </w:tc>
        <w:tc>
          <w:tcPr>
            <w:tcW w:w="100" w:type="dxa"/>
            <w:vAlign w:val="bottom"/>
          </w:tcPr>
          <w:p>
            <w:pPr>
              <w:spacing w:after="0"/>
              <w:rPr>
                <w:sz w:val="20"/>
                <w:szCs w:val="20"/>
                <w:color w:val="auto"/>
              </w:rPr>
            </w:pPr>
          </w:p>
        </w:tc>
      </w:tr>
      <w:tr>
        <w:trPr>
          <w:trHeight w:val="22"/>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Goodwill</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115.9</w:t>
            </w: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104.7</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220.6</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109.3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300" w:type="dxa"/>
            <w:vAlign w:val="bottom"/>
          </w:tcPr>
          <w:p>
            <w:pPr>
              <w:spacing w:after="0" w:line="234" w:lineRule="exact"/>
              <w:rPr>
                <w:sz w:val="20"/>
                <w:szCs w:val="20"/>
                <w:color w:val="auto"/>
              </w:rPr>
            </w:pPr>
            <w:r>
              <w:rPr>
                <w:rFonts w:ascii="Calibri" w:cs="Calibri" w:eastAsia="Calibri" w:hAnsi="Calibri"/>
                <w:sz w:val="20"/>
                <w:szCs w:val="20"/>
                <w:color w:val="auto"/>
              </w:rPr>
              <w:t>Other assets</w:t>
            </w:r>
          </w:p>
        </w:tc>
        <w:tc>
          <w:tcPr>
            <w:tcW w:w="280" w:type="dxa"/>
            <w:vAlign w:val="bottom"/>
          </w:tcPr>
          <w:p>
            <w:pPr>
              <w:spacing w:after="0"/>
              <w:rPr>
                <w:sz w:val="20"/>
                <w:szCs w:val="20"/>
                <w:color w:val="auto"/>
              </w:rPr>
            </w:pPr>
          </w:p>
        </w:tc>
        <w:tc>
          <w:tcPr>
            <w:tcW w:w="70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spacing w:after="0" w:line="234" w:lineRule="exact"/>
              <w:rPr>
                <w:sz w:val="20"/>
                <w:szCs w:val="20"/>
                <w:color w:val="auto"/>
              </w:rPr>
            </w:pPr>
            <w:r>
              <w:rPr>
                <w:rFonts w:ascii="Calibri" w:cs="Calibri" w:eastAsia="Calibri" w:hAnsi="Calibri"/>
                <w:sz w:val="20"/>
                <w:szCs w:val="20"/>
                <w:color w:val="auto"/>
              </w:rPr>
              <w:t>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line="234" w:lineRule="exact"/>
              <w:rPr>
                <w:sz w:val="20"/>
                <w:szCs w:val="20"/>
                <w:color w:val="auto"/>
              </w:rPr>
            </w:pPr>
            <w:r>
              <w:rPr>
                <w:rFonts w:ascii="Calibri" w:cs="Calibri" w:eastAsia="Calibri" w:hAnsi="Calibri"/>
                <w:sz w:val="20"/>
                <w:szCs w:val="20"/>
                <w:color w:val="auto"/>
              </w:rPr>
              <w:t>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Pr>
          <w:p>
            <w:pPr>
              <w:spacing w:after="0"/>
              <w:rPr>
                <w:sz w:val="20"/>
                <w:szCs w:val="20"/>
                <w:color w:val="auto"/>
              </w:rPr>
            </w:pPr>
          </w:p>
        </w:tc>
        <w:tc>
          <w:tcPr>
            <w:tcW w:w="720" w:type="dxa"/>
            <w:vAlign w:val="bottom"/>
          </w:tcPr>
          <w:p>
            <w:pPr>
              <w:jc w:val="right"/>
              <w:spacing w:after="0" w:line="234" w:lineRule="exact"/>
              <w:rPr>
                <w:sz w:val="20"/>
                <w:szCs w:val="20"/>
                <w:color w:val="auto"/>
              </w:rPr>
            </w:pPr>
            <w:r>
              <w:rPr>
                <w:rFonts w:ascii="Calibri" w:cs="Calibri" w:eastAsia="Calibri" w:hAnsi="Calibri"/>
                <w:sz w:val="20"/>
                <w:szCs w:val="20"/>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4.6</w:t>
            </w:r>
          </w:p>
        </w:tc>
        <w:tc>
          <w:tcPr>
            <w:tcW w:w="100" w:type="dxa"/>
            <w:vAlign w:val="bottom"/>
          </w:tcPr>
          <w:p>
            <w:pPr>
              <w:spacing w:after="0"/>
              <w:rPr>
                <w:sz w:val="20"/>
                <w:szCs w:val="20"/>
                <w:color w:val="auto"/>
              </w:rPr>
            </w:pPr>
          </w:p>
        </w:tc>
      </w:tr>
      <w:tr>
        <w:trPr>
          <w:trHeight w:val="22"/>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3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Valuaton allowance for loss on sale</w:t>
            </w:r>
          </w:p>
        </w:tc>
        <w:tc>
          <w:tcPr>
            <w:tcW w:w="28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(6.0)</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(6.0)</w:t>
            </w:r>
          </w:p>
        </w:tc>
        <w:tc>
          <w:tcPr>
            <w:tcW w:w="4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(6.0)</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(6.0)</w:t>
            </w:r>
          </w:p>
        </w:tc>
      </w:tr>
      <w:tr>
        <w:trPr>
          <w:trHeight w:val="228"/>
        </w:trPr>
        <w:tc>
          <w:tcPr>
            <w:tcW w:w="43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 noncurrent assets held for sale</w:t>
            </w:r>
          </w:p>
        </w:tc>
        <w:tc>
          <w:tcPr>
            <w:tcW w:w="2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w:t>
            </w:r>
          </w:p>
        </w:tc>
        <w:tc>
          <w:tcPr>
            <w:tcW w:w="6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194.6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618.3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w:t>
            </w:r>
          </w:p>
        </w:tc>
        <w:tc>
          <w:tcPr>
            <w:tcW w:w="7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812.9</w:t>
            </w:r>
          </w:p>
        </w:tc>
        <w:tc>
          <w:tcPr>
            <w:tcW w:w="100" w:type="dxa"/>
            <w:vAlign w:val="bottom"/>
          </w:tcPr>
          <w:p>
            <w:pPr>
              <w:spacing w:after="0"/>
              <w:rPr>
                <w:sz w:val="19"/>
                <w:szCs w:val="19"/>
                <w:color w:val="auto"/>
              </w:rPr>
            </w:pPr>
          </w:p>
        </w:tc>
        <w:tc>
          <w:tcPr>
            <w:tcW w:w="46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6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19"/>
                <w:szCs w:val="19"/>
                <w:color w:val="auto"/>
              </w:rPr>
            </w:pPr>
          </w:p>
        </w:tc>
        <w:tc>
          <w:tcPr>
            <w:tcW w:w="50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616.9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616.9</w:t>
            </w:r>
          </w:p>
        </w:tc>
        <w:tc>
          <w:tcPr>
            <w:tcW w:w="100" w:type="dxa"/>
            <w:vAlign w:val="bottom"/>
          </w:tcPr>
          <w:p>
            <w:pPr>
              <w:spacing w:after="0"/>
              <w:rPr>
                <w:sz w:val="19"/>
                <w:szCs w:val="19"/>
                <w:color w:val="auto"/>
              </w:rPr>
            </w:pPr>
          </w:p>
        </w:tc>
      </w:tr>
      <w:tr>
        <w:trPr>
          <w:trHeight w:val="62"/>
        </w:trPr>
        <w:tc>
          <w:tcPr>
            <w:tcW w:w="4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40" w:type="dxa"/>
            <w:vAlign w:val="bottom"/>
            <w:tcBorders>
              <w:bottom w:val="single" w:sz="8" w:color="CFF0FC"/>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r>
      <w:tr>
        <w:trPr>
          <w:trHeight w:val="237"/>
        </w:trPr>
        <w:tc>
          <w:tcPr>
            <w:tcW w:w="4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4300" w:type="dxa"/>
            <w:vAlign w:val="bottom"/>
          </w:tcPr>
          <w:p>
            <w:pPr>
              <w:spacing w:after="0" w:line="234" w:lineRule="exact"/>
              <w:rPr>
                <w:sz w:val="20"/>
                <w:szCs w:val="20"/>
                <w:color w:val="auto"/>
              </w:rPr>
            </w:pPr>
            <w:r>
              <w:rPr>
                <w:rFonts w:ascii="Calibri" w:cs="Calibri" w:eastAsia="Calibri" w:hAnsi="Calibri"/>
                <w:sz w:val="20"/>
                <w:szCs w:val="20"/>
                <w:color w:val="auto"/>
              </w:rPr>
              <w:t>Lease obligatons</w:t>
            </w:r>
          </w:p>
        </w:tc>
        <w:tc>
          <w:tcPr>
            <w:tcW w:w="280" w:type="dxa"/>
            <w:vAlign w:val="bottom"/>
          </w:tcPr>
          <w:p>
            <w:pPr>
              <w:spacing w:after="0" w:line="234" w:lineRule="exact"/>
              <w:rPr>
                <w:sz w:val="20"/>
                <w:szCs w:val="20"/>
                <w:color w:val="auto"/>
              </w:rPr>
            </w:pPr>
            <w:r>
              <w:rPr>
                <w:rFonts w:ascii="Calibri" w:cs="Calibri" w:eastAsia="Calibri" w:hAnsi="Calibri"/>
                <w:sz w:val="20"/>
                <w:szCs w:val="20"/>
                <w:color w:val="auto"/>
              </w:rPr>
              <w:t>$</w:t>
            </w:r>
          </w:p>
        </w:tc>
        <w:tc>
          <w:tcPr>
            <w:tcW w:w="70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(1.0)</w:t>
            </w:r>
          </w:p>
        </w:tc>
        <w:tc>
          <w:tcPr>
            <w:tcW w:w="540" w:type="dxa"/>
            <w:vAlign w:val="bottom"/>
            <w:gridSpan w:val="2"/>
          </w:tcPr>
          <w:p>
            <w:pPr>
              <w:ind w:left="180"/>
              <w:spacing w:after="0" w:line="234" w:lineRule="exact"/>
              <w:rPr>
                <w:sz w:val="20"/>
                <w:szCs w:val="20"/>
                <w:color w:val="auto"/>
              </w:rPr>
            </w:pPr>
            <w:r>
              <w:rPr>
                <w:rFonts w:ascii="Calibri" w:cs="Calibri" w:eastAsia="Calibri" w:hAnsi="Calibri"/>
                <w:sz w:val="20"/>
                <w:szCs w:val="20"/>
                <w:color w:val="auto"/>
              </w:rPr>
              <w:t>$</w:t>
            </w:r>
          </w:p>
        </w:tc>
        <w:tc>
          <w:tcPr>
            <w:tcW w:w="82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(8.3)</w:t>
            </w:r>
          </w:p>
        </w:tc>
        <w:tc>
          <w:tcPr>
            <w:tcW w:w="26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80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(9.3)</w:t>
            </w:r>
          </w:p>
        </w:tc>
        <w:tc>
          <w:tcPr>
            <w:tcW w:w="460" w:type="dxa"/>
            <w:vAlign w:val="bottom"/>
          </w:tcPr>
          <w:p>
            <w:pPr>
              <w:ind w:left="14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Pr>
          <w:p>
            <w:pPr>
              <w:ind w:left="140"/>
              <w:spacing w:after="0" w:line="234" w:lineRule="exact"/>
              <w:rPr>
                <w:sz w:val="20"/>
                <w:szCs w:val="20"/>
                <w:color w:val="auto"/>
              </w:rPr>
            </w:pPr>
            <w:r>
              <w:rPr>
                <w:rFonts w:ascii="Calibri" w:cs="Calibri" w:eastAsia="Calibri" w:hAnsi="Calibri"/>
                <w:sz w:val="20"/>
                <w:szCs w:val="20"/>
                <w:color w:val="auto"/>
              </w:rPr>
              <w:t>$</w:t>
            </w:r>
          </w:p>
        </w:tc>
        <w:tc>
          <w:tcPr>
            <w:tcW w:w="82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(7.5)</w:t>
            </w:r>
          </w:p>
        </w:tc>
        <w:tc>
          <w:tcPr>
            <w:tcW w:w="120" w:type="dxa"/>
            <w:vAlign w:val="bottom"/>
          </w:tcPr>
          <w:p>
            <w:pPr>
              <w:spacing w:after="0"/>
              <w:rPr>
                <w:sz w:val="20"/>
                <w:szCs w:val="20"/>
                <w:color w:val="auto"/>
              </w:rPr>
            </w:pP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7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(7.5)</w:t>
            </w:r>
          </w:p>
        </w:tc>
      </w:tr>
      <w:tr>
        <w:trPr>
          <w:trHeight w:val="22"/>
        </w:trPr>
        <w:tc>
          <w:tcPr>
            <w:tcW w:w="4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5"/>
        </w:trPr>
        <w:tc>
          <w:tcPr>
            <w:tcW w:w="4300" w:type="dxa"/>
            <w:vAlign w:val="bottom"/>
            <w:tcBorders>
              <w:bottom w:val="single" w:sz="8" w:color="CFF0FC"/>
            </w:tcBorders>
            <w:shd w:val="clear" w:color="auto" w:fill="CFF0FC"/>
          </w:tcPr>
          <w:p>
            <w:pPr>
              <w:spacing w:after="0" w:line="228" w:lineRule="exact"/>
              <w:rPr>
                <w:sz w:val="20"/>
                <w:szCs w:val="20"/>
                <w:color w:val="auto"/>
              </w:rPr>
            </w:pPr>
            <w:r>
              <w:rPr>
                <w:rFonts w:ascii="Calibri" w:cs="Calibri" w:eastAsia="Calibri" w:hAnsi="Calibri"/>
                <w:sz w:val="20"/>
                <w:szCs w:val="20"/>
                <w:color w:val="auto"/>
              </w:rPr>
              <w:t>Total current liabilites held for sale</w:t>
            </w:r>
          </w:p>
        </w:tc>
        <w:tc>
          <w:tcPr>
            <w:tcW w:w="280" w:type="dxa"/>
            <w:vAlign w:val="bottom"/>
            <w:tcBorders>
              <w:bottom w:val="single" w:sz="8" w:color="CFF0FC"/>
            </w:tcBorders>
            <w:shd w:val="clear" w:color="auto" w:fill="CFF0FC"/>
          </w:tcPr>
          <w:p>
            <w:pPr>
              <w:spacing w:after="0" w:line="228"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(1.0)</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ind w:left="140"/>
              <w:spacing w:after="0" w:line="228" w:lineRule="exact"/>
              <w:rPr>
                <w:sz w:val="20"/>
                <w:szCs w:val="20"/>
                <w:color w:val="auto"/>
              </w:rPr>
            </w:pPr>
            <w:r>
              <w:rPr>
                <w:rFonts w:ascii="Calibri" w:cs="Calibri" w:eastAsia="Calibri" w:hAnsi="Calibri"/>
                <w:sz w:val="20"/>
                <w:szCs w:val="20"/>
                <w:color w:val="auto"/>
              </w:rPr>
              <w:t>$</w:t>
            </w:r>
          </w:p>
        </w:tc>
        <w:tc>
          <w:tcPr>
            <w:tcW w:w="60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6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4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3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Asset retrement obligatons</w:t>
            </w:r>
          </w:p>
        </w:tc>
        <w:tc>
          <w:tcPr>
            <w:tcW w:w="2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(0.7)</w:t>
            </w:r>
          </w:p>
        </w:tc>
        <w:tc>
          <w:tcPr>
            <w:tcW w:w="540" w:type="dxa"/>
            <w:vAlign w:val="bottom"/>
            <w:tcBorders>
              <w:bottom w:val="single" w:sz="8" w:color="CFF0FC"/>
            </w:tcBorders>
            <w:gridSpan w:val="2"/>
            <w:shd w:val="clear" w:color="auto" w:fill="CFF0FC"/>
          </w:tcPr>
          <w:p>
            <w:pPr>
              <w:ind w:left="180"/>
              <w:spacing w:after="0" w:line="234" w:lineRule="exact"/>
              <w:rPr>
                <w:sz w:val="20"/>
                <w:szCs w:val="20"/>
                <w:color w:val="auto"/>
              </w:rPr>
            </w:pPr>
            <w:r>
              <w:rPr>
                <w:rFonts w:ascii="Calibri" w:cs="Calibri" w:eastAsia="Calibri" w:hAnsi="Calibri"/>
                <w:sz w:val="20"/>
                <w:szCs w:val="20"/>
                <w:color w:val="auto"/>
              </w:rPr>
              <w:t>$</w:t>
            </w:r>
          </w:p>
        </w:tc>
        <w:tc>
          <w:tcPr>
            <w:tcW w:w="82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(32.7)</w:t>
            </w:r>
          </w:p>
        </w:tc>
        <w:tc>
          <w:tcPr>
            <w:tcW w:w="2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80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(33.4)</w:t>
            </w:r>
          </w:p>
        </w:tc>
        <w:tc>
          <w:tcPr>
            <w:tcW w:w="46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w:t>
            </w:r>
          </w:p>
        </w:tc>
        <w:tc>
          <w:tcPr>
            <w:tcW w:w="82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(31.5)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76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(31.5)</w:t>
            </w:r>
          </w:p>
        </w:tc>
      </w:tr>
      <w:tr>
        <w:trPr>
          <w:trHeight w:val="234"/>
        </w:trPr>
        <w:tc>
          <w:tcPr>
            <w:tcW w:w="4300" w:type="dxa"/>
            <w:vAlign w:val="bottom"/>
          </w:tcPr>
          <w:p>
            <w:pPr>
              <w:spacing w:after="0" w:line="234" w:lineRule="exact"/>
              <w:rPr>
                <w:sz w:val="20"/>
                <w:szCs w:val="20"/>
                <w:color w:val="auto"/>
              </w:rPr>
            </w:pPr>
            <w:r>
              <w:rPr>
                <w:rFonts w:ascii="Calibri" w:cs="Calibri" w:eastAsia="Calibri" w:hAnsi="Calibri"/>
                <w:sz w:val="20"/>
                <w:szCs w:val="20"/>
                <w:color w:val="auto"/>
              </w:rPr>
              <w:t>Lease obligatons</w:t>
            </w:r>
          </w:p>
        </w:tc>
        <w:tc>
          <w:tcPr>
            <w:tcW w:w="280" w:type="dxa"/>
            <w:vAlign w:val="bottom"/>
          </w:tcPr>
          <w:p>
            <w:pPr>
              <w:spacing w:after="0"/>
              <w:rPr>
                <w:sz w:val="20"/>
                <w:szCs w:val="20"/>
                <w:color w:val="auto"/>
              </w:rPr>
            </w:pPr>
          </w:p>
        </w:tc>
        <w:tc>
          <w:tcPr>
            <w:tcW w:w="70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(6.8)</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(23.2)</w:t>
            </w:r>
          </w:p>
        </w:tc>
        <w:tc>
          <w:tcPr>
            <w:tcW w:w="260" w:type="dxa"/>
            <w:vAlign w:val="bottom"/>
          </w:tcPr>
          <w:p>
            <w:pPr>
              <w:spacing w:after="0"/>
              <w:rPr>
                <w:sz w:val="20"/>
                <w:szCs w:val="20"/>
                <w:color w:val="auto"/>
              </w:rPr>
            </w:pPr>
          </w:p>
        </w:tc>
        <w:tc>
          <w:tcPr>
            <w:tcW w:w="80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(30.0)</w:t>
            </w:r>
          </w:p>
        </w:tc>
        <w:tc>
          <w:tcPr>
            <w:tcW w:w="460" w:type="dxa"/>
            <w:vAlign w:val="bottom"/>
          </w:tcPr>
          <w:p>
            <w:pPr>
              <w:spacing w:after="0"/>
              <w:rPr>
                <w:sz w:val="20"/>
                <w:szCs w:val="20"/>
                <w:color w:val="auto"/>
              </w:rPr>
            </w:pPr>
          </w:p>
        </w:tc>
        <w:tc>
          <w:tcPr>
            <w:tcW w:w="7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Pr>
          <w:p>
            <w:pPr>
              <w:spacing w:after="0"/>
              <w:rPr>
                <w:sz w:val="20"/>
                <w:szCs w:val="20"/>
                <w:color w:val="auto"/>
              </w:rPr>
            </w:pPr>
          </w:p>
        </w:tc>
        <w:tc>
          <w:tcPr>
            <w:tcW w:w="82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(22.0)</w:t>
            </w:r>
          </w:p>
        </w:tc>
      </w:tr>
      <w:tr>
        <w:trPr>
          <w:trHeight w:val="22"/>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3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Other liabilites</w:t>
            </w:r>
          </w:p>
        </w:tc>
        <w:tc>
          <w:tcPr>
            <w:tcW w:w="28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gridSpan w:val="2"/>
            <w:shd w:val="clear" w:color="auto" w:fill="CFF0FC"/>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(0.5)</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(0.5)</w:t>
            </w:r>
          </w:p>
        </w:tc>
        <w:tc>
          <w:tcPr>
            <w:tcW w:w="4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c>
          <w:tcPr>
            <w:tcW w:w="5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gridSpan w:val="3"/>
            <w:shd w:val="clear" w:color="auto" w:fill="CFF0FC"/>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gridSpan w:val="2"/>
            <w:shd w:val="clear" w:color="auto" w:fill="CFF0FC"/>
          </w:tcPr>
          <w:p>
            <w:pPr>
              <w:jc w:val="right"/>
              <w:ind w:right="120"/>
              <w:spacing w:after="0" w:line="234" w:lineRule="exact"/>
              <w:rPr>
                <w:sz w:val="20"/>
                <w:szCs w:val="20"/>
                <w:color w:val="auto"/>
              </w:rPr>
            </w:pPr>
            <w:r>
              <w:rPr>
                <w:rFonts w:ascii="Calibri" w:cs="Calibri" w:eastAsia="Calibri" w:hAnsi="Calibri"/>
                <w:sz w:val="20"/>
                <w:szCs w:val="20"/>
                <w:color w:val="auto"/>
              </w:rPr>
              <w:t>—</w:t>
            </w:r>
          </w:p>
        </w:tc>
      </w:tr>
      <w:tr>
        <w:trPr>
          <w:trHeight w:val="228"/>
        </w:trPr>
        <w:tc>
          <w:tcPr>
            <w:tcW w:w="430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Total noncurrent liabilites held for sale</w:t>
            </w:r>
          </w:p>
        </w:tc>
        <w:tc>
          <w:tcPr>
            <w:tcW w:w="28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w:t>
            </w:r>
          </w:p>
        </w:tc>
        <w:tc>
          <w:tcPr>
            <w:tcW w:w="6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(56.4)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w:t>
            </w:r>
          </w:p>
        </w:tc>
        <w:tc>
          <w:tcPr>
            <w:tcW w:w="7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(63.9)</w:t>
            </w:r>
          </w:p>
        </w:tc>
        <w:tc>
          <w:tcPr>
            <w:tcW w:w="100" w:type="dxa"/>
            <w:vAlign w:val="bottom"/>
          </w:tcPr>
          <w:p>
            <w:pPr>
              <w:spacing w:after="0"/>
              <w:rPr>
                <w:sz w:val="19"/>
                <w:szCs w:val="19"/>
                <w:color w:val="auto"/>
              </w:rPr>
            </w:pPr>
          </w:p>
        </w:tc>
        <w:tc>
          <w:tcPr>
            <w:tcW w:w="46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6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19"/>
                <w:szCs w:val="19"/>
                <w:color w:val="auto"/>
              </w:rPr>
            </w:pPr>
          </w:p>
        </w:tc>
        <w:tc>
          <w:tcPr>
            <w:tcW w:w="500" w:type="dxa"/>
            <w:vAlign w:val="bottom"/>
            <w:tcBorders>
              <w:top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w:t>
            </w:r>
          </w:p>
        </w:tc>
        <w:tc>
          <w:tcPr>
            <w:tcW w:w="7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(53.5)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6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(53.5)</w:t>
            </w:r>
          </w:p>
        </w:tc>
        <w:tc>
          <w:tcPr>
            <w:tcW w:w="100" w:type="dxa"/>
            <w:vAlign w:val="bottom"/>
          </w:tcPr>
          <w:p>
            <w:pPr>
              <w:spacing w:after="0"/>
              <w:rPr>
                <w:sz w:val="19"/>
                <w:szCs w:val="19"/>
                <w:color w:val="auto"/>
              </w:rPr>
            </w:pPr>
          </w:p>
        </w:tc>
      </w:tr>
      <w:tr>
        <w:trPr>
          <w:trHeight w:val="22"/>
        </w:trPr>
        <w:tc>
          <w:tcPr>
            <w:tcW w:w="4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ind w:left="280" w:hanging="272"/>
        <w:spacing w:after="0"/>
        <w:tabs>
          <w:tab w:leader="none" w:pos="28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Goodwill</w:t>
      </w:r>
    </w:p>
    <w:p>
      <w:pPr>
        <w:spacing w:after="0" w:line="120" w:lineRule="exact"/>
        <w:rPr>
          <w:rFonts w:ascii="Calibri" w:cs="Calibri" w:eastAsia="Calibri" w:hAnsi="Calibri"/>
          <w:sz w:val="20"/>
          <w:szCs w:val="20"/>
          <w:b w:val="1"/>
          <w:bCs w:val="1"/>
          <w:color w:val="auto"/>
        </w:rPr>
      </w:pPr>
    </w:p>
    <w:p>
      <w:pPr>
        <w:ind w:left="2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shows the changes in goodwill by reportable segment and in total: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Calibri" w:cs="Calibri" w:eastAsia="Calibri" w:hAnsi="Calibri"/>
                <w:sz w:val="20"/>
                <w:szCs w:val="20"/>
                <w:color w:val="auto"/>
              </w:rPr>
              <w:t>East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560"/>
              <w:spacing w:after="0"/>
              <w:rPr>
                <w:sz w:val="20"/>
                <w:szCs w:val="20"/>
                <w:color w:val="auto"/>
              </w:rPr>
            </w:pPr>
            <w:r>
              <w:rPr>
                <w:rFonts w:ascii="Calibri" w:cs="Calibri" w:eastAsia="Calibri" w:hAnsi="Calibri"/>
                <w:sz w:val="20"/>
                <w:szCs w:val="20"/>
                <w:color w:val="auto"/>
                <w:w w:val="99"/>
              </w:rPr>
              <w:t>West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Group</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2"/>
          </w:tcPr>
          <w:p>
            <w:pPr>
              <w:jc w:val="center"/>
              <w:ind w:right="560"/>
              <w:spacing w:after="0"/>
              <w:rPr>
                <w:sz w:val="20"/>
                <w:szCs w:val="20"/>
                <w:color w:val="auto"/>
              </w:rPr>
            </w:pPr>
            <w:r>
              <w:rPr>
                <w:rFonts w:ascii="Calibri" w:cs="Calibri" w:eastAsia="Calibri" w:hAnsi="Calibri"/>
                <w:sz w:val="20"/>
                <w:szCs w:val="20"/>
                <w:color w:val="auto"/>
                <w:w w:val="97"/>
              </w:rPr>
              <w:t>Group</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jc w:val="right"/>
              <w:ind w:right="680"/>
              <w:spacing w:after="0"/>
              <w:rPr>
                <w:sz w:val="20"/>
                <w:szCs w:val="20"/>
                <w:color w:val="auto"/>
              </w:rPr>
            </w:pPr>
            <w:r>
              <w:rPr>
                <w:rFonts w:ascii="Calibri" w:cs="Calibri" w:eastAsia="Calibri" w:hAnsi="Calibri"/>
                <w:sz w:val="20"/>
                <w:szCs w:val="20"/>
                <w:color w:val="auto"/>
              </w:rPr>
              <w:t>Total</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gridSpan w:val="4"/>
          </w:tcPr>
          <w:p>
            <w:pPr>
              <w:jc w:val="center"/>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920" w:type="dxa"/>
            <w:vAlign w:val="bottom"/>
            <w:vMerge w:val="restart"/>
          </w:tcPr>
          <w:p>
            <w:pPr>
              <w:spacing w:after="0"/>
              <w:rPr>
                <w:sz w:val="20"/>
                <w:szCs w:val="20"/>
                <w:color w:val="auto"/>
              </w:rPr>
            </w:pPr>
            <w:r>
              <w:rPr>
                <w:rFonts w:ascii="Calibri" w:cs="Calibri" w:eastAsia="Calibri" w:hAnsi="Calibri"/>
                <w:sz w:val="20"/>
                <w:szCs w:val="20"/>
                <w:color w:val="auto"/>
              </w:rPr>
              <w:t>Balance at January 1, 2022</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920" w:type="dxa"/>
            <w:vAlign w:val="bottom"/>
            <w:vMerge w:val="continue"/>
          </w:tcPr>
          <w:p>
            <w:pPr>
              <w:spacing w:after="0"/>
              <w:rPr>
                <w:sz w:val="19"/>
                <w:szCs w:val="19"/>
                <w:color w:val="auto"/>
              </w:rPr>
            </w:pPr>
          </w:p>
        </w:tc>
        <w:tc>
          <w:tcPr>
            <w:tcW w:w="1180" w:type="dxa"/>
            <w:vAlign w:val="bottom"/>
            <w:gridSpan w:val="2"/>
          </w:tcPr>
          <w:p>
            <w:pPr>
              <w:jc w:val="right"/>
              <w:ind w:right="841"/>
              <w:spacing w:after="0" w:line="228" w:lineRule="exact"/>
              <w:rPr>
                <w:sz w:val="20"/>
                <w:szCs w:val="20"/>
                <w:color w:val="auto"/>
              </w:rPr>
            </w:pPr>
            <w:r>
              <w:rPr>
                <w:rFonts w:ascii="Calibri" w:cs="Calibri" w:eastAsia="Calibri" w:hAnsi="Calibri"/>
                <w:sz w:val="20"/>
                <w:szCs w:val="20"/>
                <w:color w:val="auto"/>
              </w:rPr>
              <w:t>$</w:t>
            </w:r>
          </w:p>
        </w:tc>
        <w:tc>
          <w:tcPr>
            <w:tcW w:w="480" w:type="dxa"/>
            <w:vAlign w:val="bottom"/>
          </w:tcPr>
          <w:p>
            <w:pPr>
              <w:jc w:val="right"/>
              <w:spacing w:after="0" w:line="228" w:lineRule="exact"/>
              <w:rPr>
                <w:sz w:val="20"/>
                <w:szCs w:val="20"/>
                <w:color w:val="auto"/>
              </w:rPr>
            </w:pPr>
            <w:r>
              <w:rPr>
                <w:rFonts w:ascii="Calibri" w:cs="Calibri" w:eastAsia="Calibri" w:hAnsi="Calibri"/>
                <w:sz w:val="20"/>
                <w:szCs w:val="20"/>
                <w:color w:val="auto"/>
                <w:w w:val="96"/>
              </w:rPr>
              <w:t>759.4</w:t>
            </w:r>
          </w:p>
        </w:tc>
        <w:tc>
          <w:tcPr>
            <w:tcW w:w="560" w:type="dxa"/>
            <w:vAlign w:val="bottom"/>
            <w:gridSpan w:val="2"/>
          </w:tcPr>
          <w:p>
            <w:pPr>
              <w:jc w:val="right"/>
              <w:ind w:right="101"/>
              <w:spacing w:after="0" w:line="228" w:lineRule="exact"/>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line="228" w:lineRule="exact"/>
              <w:rPr>
                <w:sz w:val="20"/>
                <w:szCs w:val="20"/>
                <w:color w:val="auto"/>
              </w:rPr>
            </w:pPr>
            <w:r>
              <w:rPr>
                <w:rFonts w:ascii="Calibri" w:cs="Calibri" w:eastAsia="Calibri" w:hAnsi="Calibri"/>
                <w:sz w:val="20"/>
                <w:szCs w:val="20"/>
                <w:color w:val="auto"/>
              </w:rPr>
              <w:t>2,735.0</w:t>
            </w:r>
          </w:p>
        </w:tc>
        <w:tc>
          <w:tcPr>
            <w:tcW w:w="260" w:type="dxa"/>
            <w:vAlign w:val="bottom"/>
          </w:tcPr>
          <w:p>
            <w:pPr>
              <w:spacing w:after="0"/>
              <w:rPr>
                <w:sz w:val="19"/>
                <w:szCs w:val="19"/>
                <w:color w:val="auto"/>
              </w:rPr>
            </w:pPr>
          </w:p>
        </w:tc>
        <w:tc>
          <w:tcPr>
            <w:tcW w:w="340" w:type="dxa"/>
            <w:vAlign w:val="bottom"/>
            <w:gridSpan w:val="2"/>
          </w:tcPr>
          <w:p>
            <w:pPr>
              <w:jc w:val="right"/>
              <w:ind w:right="158"/>
              <w:spacing w:after="0" w:line="228" w:lineRule="exact"/>
              <w:rPr>
                <w:sz w:val="20"/>
                <w:szCs w:val="20"/>
                <w:color w:val="auto"/>
              </w:rPr>
            </w:pPr>
            <w:r>
              <w:rPr>
                <w:rFonts w:ascii="Calibri" w:cs="Calibri" w:eastAsia="Calibri" w:hAnsi="Calibri"/>
                <w:sz w:val="20"/>
                <w:szCs w:val="20"/>
                <w:color w:val="auto"/>
                <w:w w:val="78"/>
              </w:rPr>
              <w:t>$</w:t>
            </w:r>
          </w:p>
        </w:tc>
        <w:tc>
          <w:tcPr>
            <w:tcW w:w="1200" w:type="dxa"/>
            <w:vAlign w:val="bottom"/>
          </w:tcPr>
          <w:p>
            <w:pPr>
              <w:jc w:val="right"/>
              <w:spacing w:after="0" w:line="228" w:lineRule="exact"/>
              <w:rPr>
                <w:sz w:val="20"/>
                <w:szCs w:val="20"/>
                <w:color w:val="auto"/>
              </w:rPr>
            </w:pPr>
            <w:r>
              <w:rPr>
                <w:rFonts w:ascii="Calibri" w:cs="Calibri" w:eastAsia="Calibri" w:hAnsi="Calibri"/>
                <w:sz w:val="20"/>
                <w:szCs w:val="20"/>
                <w:color w:val="auto"/>
              </w:rPr>
              <w:t>3,494.4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920" w:type="dxa"/>
            <w:vAlign w:val="bottom"/>
            <w:shd w:val="clear" w:color="auto" w:fill="CFF0FC"/>
          </w:tcPr>
          <w:p>
            <w:pPr>
              <w:spacing w:after="0" w:line="234" w:lineRule="exact"/>
              <w:rPr>
                <w:sz w:val="20"/>
                <w:szCs w:val="20"/>
                <w:color w:val="auto"/>
              </w:rPr>
            </w:pPr>
            <w:r>
              <w:rPr>
                <w:rFonts w:ascii="Calibri" w:cs="Calibri" w:eastAsia="Calibri" w:hAnsi="Calibri"/>
                <w:sz w:val="20"/>
                <w:szCs w:val="20"/>
                <w:color w:val="auto"/>
              </w:rPr>
              <w:t>Adjustments to purchase price allocatons</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9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20"/>
                <w:szCs w:val="20"/>
                <w:color w:val="auto"/>
              </w:rPr>
              <w:t>Goodwill allocated to assets held for sale</w:t>
            </w:r>
          </w:p>
        </w:tc>
        <w:tc>
          <w:tcPr>
            <w:tcW w:w="1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20"/>
                <w:szCs w:val="20"/>
                <w:color w:val="auto"/>
              </w:rPr>
              <w:t>(111.2)</w:t>
            </w:r>
          </w:p>
        </w:tc>
        <w:tc>
          <w:tcPr>
            <w:tcW w:w="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20"/>
                <w:szCs w:val="20"/>
                <w:color w:val="auto"/>
              </w:rPr>
              <w:t>(111.2)</w:t>
            </w:r>
          </w:p>
        </w:tc>
        <w:tc>
          <w:tcPr>
            <w:tcW w:w="0" w:type="dxa"/>
            <w:vAlign w:val="bottom"/>
          </w:tcPr>
          <w:p>
            <w:pPr>
              <w:spacing w:after="0"/>
              <w:rPr>
                <w:sz w:val="1"/>
                <w:szCs w:val="1"/>
                <w:color w:val="auto"/>
              </w:rPr>
            </w:pPr>
          </w:p>
        </w:tc>
      </w:tr>
      <w:tr>
        <w:trPr>
          <w:trHeight w:val="228"/>
        </w:trPr>
        <w:tc>
          <w:tcPr>
            <w:tcW w:w="5920" w:type="dxa"/>
            <w:vAlign w:val="bottom"/>
            <w:tcBorders>
              <w:top w:val="single" w:sz="8" w:color="auto"/>
            </w:tcBorders>
          </w:tcPr>
          <w:p>
            <w:pPr>
              <w:spacing w:after="0" w:line="228" w:lineRule="exact"/>
              <w:rPr>
                <w:sz w:val="20"/>
                <w:szCs w:val="20"/>
                <w:color w:val="auto"/>
              </w:rPr>
            </w:pPr>
            <w:r>
              <w:rPr>
                <w:rFonts w:ascii="Calibri" w:cs="Calibri" w:eastAsia="Calibri" w:hAnsi="Calibri"/>
                <w:sz w:val="20"/>
                <w:szCs w:val="20"/>
                <w:color w:val="auto"/>
              </w:rPr>
              <w:t>Balance at March 31, 2022</w:t>
            </w:r>
          </w:p>
        </w:tc>
        <w:tc>
          <w:tcPr>
            <w:tcW w:w="1180" w:type="dxa"/>
            <w:vAlign w:val="bottom"/>
            <w:tcBorders>
              <w:top w:val="single" w:sz="8" w:color="auto"/>
            </w:tcBorders>
            <w:gridSpan w:val="2"/>
          </w:tcPr>
          <w:p>
            <w:pPr>
              <w:jc w:val="right"/>
              <w:ind w:right="841"/>
              <w:spacing w:after="0" w:line="228" w:lineRule="exact"/>
              <w:rPr>
                <w:sz w:val="20"/>
                <w:szCs w:val="20"/>
                <w:color w:val="auto"/>
              </w:rPr>
            </w:pPr>
            <w:r>
              <w:rPr>
                <w:rFonts w:ascii="Calibri" w:cs="Calibri" w:eastAsia="Calibri" w:hAnsi="Calibri"/>
                <w:sz w:val="20"/>
                <w:szCs w:val="20"/>
                <w:color w:val="auto"/>
              </w:rPr>
              <w:t>$</w:t>
            </w:r>
          </w:p>
        </w:tc>
        <w:tc>
          <w:tcPr>
            <w:tcW w:w="4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6"/>
              </w:rPr>
              <w:t>764.4</w:t>
            </w: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101"/>
              <w:spacing w:after="0" w:line="228" w:lineRule="exact"/>
              <w:rPr>
                <w:sz w:val="20"/>
                <w:szCs w:val="20"/>
                <w:color w:val="auto"/>
              </w:rPr>
            </w:pPr>
            <w:r>
              <w:rPr>
                <w:rFonts w:ascii="Calibri" w:cs="Calibri" w:eastAsia="Calibri" w:hAnsi="Calibri"/>
                <w:sz w:val="20"/>
                <w:szCs w:val="20"/>
                <w:color w:val="auto"/>
                <w:w w:val="78"/>
              </w:rPr>
              <w:t>$</w:t>
            </w: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2,627.6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58"/>
              <w:spacing w:after="0"/>
              <w:rPr>
                <w:sz w:val="20"/>
                <w:szCs w:val="20"/>
                <w:color w:val="auto"/>
              </w:rPr>
            </w:pPr>
            <w:r>
              <w:rPr>
                <w:rFonts w:ascii="Calibri" w:cs="Calibri" w:eastAsia="Calibri" w:hAnsi="Calibri"/>
                <w:sz w:val="16"/>
                <w:szCs w:val="16"/>
                <w:color w:val="auto"/>
                <w:w w:val="73"/>
              </w:rPr>
              <w:t>$</w:t>
            </w:r>
          </w:p>
        </w:tc>
        <w:tc>
          <w:tcPr>
            <w:tcW w:w="12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3,392.0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40" w:type="dxa"/>
            <w:vAlign w:val="bottom"/>
          </w:tcPr>
          <w:p>
            <w:pPr>
              <w:spacing w:after="0"/>
              <w:rPr>
                <w:sz w:val="20"/>
                <w:szCs w:val="20"/>
                <w:color w:val="auto"/>
              </w:rPr>
            </w:pPr>
            <w:r>
              <w:rPr>
                <w:rFonts w:ascii="Calibri" w:cs="Calibri" w:eastAsia="Calibri" w:hAnsi="Calibri"/>
                <w:sz w:val="20"/>
                <w:szCs w:val="20"/>
                <w:b w:val="1"/>
                <w:bCs w:val="1"/>
                <w:color w:val="auto"/>
              </w:rPr>
              <w:t>5. Inventories, Net</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ind w:right="740"/>
              <w:spacing w:after="0"/>
              <w:rPr>
                <w:sz w:val="20"/>
                <w:szCs w:val="20"/>
                <w:color w:val="auto"/>
              </w:rPr>
            </w:pPr>
            <w:r>
              <w:rPr>
                <w:rFonts w:ascii="Calibri" w:cs="Calibri" w:eastAsia="Calibri" w:hAnsi="Calibri"/>
                <w:sz w:val="20"/>
                <w:szCs w:val="20"/>
                <w:color w:val="auto"/>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460"/>
              <w:spacing w:after="0"/>
              <w:rPr>
                <w:sz w:val="20"/>
                <w:szCs w:val="20"/>
                <w:color w:val="auto"/>
              </w:rPr>
            </w:pPr>
            <w:r>
              <w:rPr>
                <w:rFonts w:ascii="Calibri" w:cs="Calibri" w:eastAsia="Calibri" w:hAnsi="Calibri"/>
                <w:sz w:val="20"/>
                <w:szCs w:val="20"/>
                <w:color w:val="auto"/>
              </w:rPr>
              <w:t>December 31,</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624"/>
              <w:spacing w:after="0"/>
              <w:rPr>
                <w:sz w:val="20"/>
                <w:szCs w:val="20"/>
                <w:color w:val="auto"/>
              </w:rPr>
            </w:pPr>
            <w:r>
              <w:rPr>
                <w:rFonts w:ascii="Calibri" w:cs="Calibri" w:eastAsia="Calibri" w:hAnsi="Calibri"/>
                <w:sz w:val="20"/>
                <w:szCs w:val="20"/>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ind w:right="624"/>
              <w:spacing w:after="0"/>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gridSpan w:val="3"/>
          </w:tcPr>
          <w:p>
            <w:pPr>
              <w:spacing w:after="0"/>
              <w:rPr>
                <w:sz w:val="2"/>
                <w:szCs w:val="2"/>
                <w:color w:val="auto"/>
              </w:rPr>
            </w:pPr>
          </w:p>
        </w:tc>
        <w:tc>
          <w:tcPr>
            <w:tcW w:w="18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gridSpan w:val="7"/>
          </w:tcPr>
          <w:p>
            <w:pPr>
              <w:jc w:val="right"/>
              <w:ind w:right="1104"/>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Finished products</w:t>
            </w:r>
          </w:p>
        </w:tc>
        <w:tc>
          <w:tcPr>
            <w:tcW w:w="2540" w:type="dxa"/>
            <w:vAlign w:val="bottom"/>
            <w:tcBorders>
              <w:bottom w:val="single" w:sz="8" w:color="CFF0FC"/>
            </w:tcBorders>
            <w:gridSpan w:val="2"/>
            <w:shd w:val="clear" w:color="auto" w:fill="CFF0FC"/>
          </w:tcPr>
          <w:p>
            <w:pPr>
              <w:jc w:val="right"/>
              <w:ind w:right="1"/>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810.8</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gridSpan w:val="3"/>
            <w:shd w:val="clear" w:color="auto" w:fill="CFF0FC"/>
          </w:tcPr>
          <w:p>
            <w:pPr>
              <w:jc w:val="right"/>
              <w:ind w:right="81"/>
              <w:spacing w:after="0" w:line="234" w:lineRule="exact"/>
              <w:rPr>
                <w:sz w:val="20"/>
                <w:szCs w:val="20"/>
                <w:color w:val="auto"/>
              </w:rPr>
            </w:pPr>
            <w:r>
              <w:rPr>
                <w:rFonts w:ascii="Calibri" w:cs="Calibri" w:eastAsia="Calibri" w:hAnsi="Calibri"/>
                <w:sz w:val="20"/>
                <w:szCs w:val="20"/>
                <w:color w:val="auto"/>
              </w:rPr>
              <w:t>$</w:t>
            </w:r>
          </w:p>
        </w:tc>
        <w:tc>
          <w:tcPr>
            <w:tcW w:w="15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713.3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line="234" w:lineRule="exact"/>
              <w:rPr>
                <w:sz w:val="20"/>
                <w:szCs w:val="20"/>
                <w:color w:val="auto"/>
              </w:rPr>
            </w:pPr>
            <w:r>
              <w:rPr>
                <w:rFonts w:ascii="Calibri" w:cs="Calibri" w:eastAsia="Calibri" w:hAnsi="Calibri"/>
                <w:sz w:val="20"/>
                <w:szCs w:val="20"/>
                <w:color w:val="auto"/>
              </w:rPr>
              <w:t>Products in process</w:t>
            </w: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line="234" w:lineRule="exact"/>
              <w:rPr>
                <w:sz w:val="20"/>
                <w:szCs w:val="20"/>
                <w:color w:val="auto"/>
              </w:rPr>
            </w:pPr>
            <w:r>
              <w:rPr>
                <w:rFonts w:ascii="Calibri" w:cs="Calibri" w:eastAsia="Calibri" w:hAnsi="Calibri"/>
                <w:sz w:val="20"/>
                <w:szCs w:val="20"/>
                <w:color w:val="auto"/>
              </w:rPr>
              <w:t>14.1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line="234" w:lineRule="exact"/>
              <w:rPr>
                <w:sz w:val="20"/>
                <w:szCs w:val="20"/>
                <w:color w:val="auto"/>
              </w:rPr>
            </w:pPr>
            <w:r>
              <w:rPr>
                <w:rFonts w:ascii="Calibri" w:cs="Calibri" w:eastAsia="Calibri" w:hAnsi="Calibri"/>
                <w:sz w:val="20"/>
                <w:szCs w:val="20"/>
                <w:color w:val="auto"/>
              </w:rPr>
              <w:t>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Raw materials</w:t>
            </w:r>
          </w:p>
        </w:tc>
        <w:tc>
          <w:tcPr>
            <w:tcW w:w="2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83.9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line="234" w:lineRule="exact"/>
              <w:rPr>
                <w:sz w:val="20"/>
                <w:szCs w:val="20"/>
                <w:color w:val="auto"/>
              </w:rPr>
            </w:pPr>
            <w:r>
              <w:rPr>
                <w:rFonts w:ascii="Calibri" w:cs="Calibri" w:eastAsia="Calibri" w:hAnsi="Calibri"/>
                <w:sz w:val="20"/>
                <w:szCs w:val="20"/>
                <w:color w:val="auto"/>
              </w:rPr>
              <w:t>Supplies and expendable parts</w:t>
            </w: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line="234" w:lineRule="exact"/>
              <w:rPr>
                <w:sz w:val="20"/>
                <w:szCs w:val="20"/>
                <w:color w:val="auto"/>
              </w:rPr>
            </w:pPr>
            <w:r>
              <w:rPr>
                <w:rFonts w:ascii="Calibri" w:cs="Calibri" w:eastAsia="Calibri" w:hAnsi="Calibri"/>
                <w:sz w:val="20"/>
                <w:szCs w:val="20"/>
                <w:color w:val="auto"/>
              </w:rPr>
              <w:t>133.5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line="234" w:lineRule="exact"/>
              <w:rPr>
                <w:sz w:val="20"/>
                <w:szCs w:val="20"/>
                <w:color w:val="auto"/>
              </w:rPr>
            </w:pPr>
            <w:r>
              <w:rPr>
                <w:rFonts w:ascii="Calibri" w:cs="Calibri" w:eastAsia="Calibri" w:hAnsi="Calibri"/>
                <w:sz w:val="20"/>
                <w:szCs w:val="20"/>
                <w:color w:val="auto"/>
              </w:rPr>
              <w:t>153.9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40" w:type="dxa"/>
            <w:vAlign w:val="bottom"/>
            <w:tcBorders>
              <w:bottom w:val="single" w:sz="8" w:color="CFF0FC"/>
            </w:tcBorders>
          </w:tcPr>
          <w:p>
            <w:pPr>
              <w:spacing w:after="0" w:line="20" w:lineRule="exact"/>
              <w:rPr>
                <w:sz w:val="1"/>
                <w:szCs w:val="1"/>
                <w:color w:val="auto"/>
              </w:rPr>
            </w:pPr>
          </w:p>
        </w:tc>
        <w:tc>
          <w:tcPr>
            <w:tcW w:w="23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shd w:val="clear" w:color="auto" w:fill="CFF0FC"/>
          </w:tcPr>
          <w:p>
            <w:pPr>
              <w:spacing w:after="0"/>
              <w:rPr>
                <w:sz w:val="20"/>
                <w:szCs w:val="20"/>
                <w:color w:val="auto"/>
              </w:rPr>
            </w:pPr>
          </w:p>
        </w:tc>
        <w:tc>
          <w:tcPr>
            <w:tcW w:w="2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1,042.3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966.9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line="234" w:lineRule="exact"/>
              <w:rPr>
                <w:sz w:val="20"/>
                <w:szCs w:val="20"/>
                <w:color w:val="auto"/>
              </w:rPr>
            </w:pPr>
            <w:r>
              <w:rPr>
                <w:rFonts w:ascii="Calibri" w:cs="Calibri" w:eastAsia="Calibri" w:hAnsi="Calibri"/>
                <w:sz w:val="20"/>
                <w:szCs w:val="20"/>
                <w:color w:val="auto"/>
              </w:rPr>
              <w:t>Less: Allowances</w:t>
            </w: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(259.9)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(214.3)</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FF0FC"/>
            </w:tcBorders>
          </w:tcPr>
          <w:p>
            <w:pPr>
              <w:spacing w:after="0" w:line="20" w:lineRule="exact"/>
              <w:rPr>
                <w:sz w:val="1"/>
                <w:szCs w:val="1"/>
                <w:color w:val="auto"/>
              </w:rPr>
            </w:pPr>
          </w:p>
        </w:tc>
        <w:tc>
          <w:tcPr>
            <w:tcW w:w="23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84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Total</w:t>
            </w:r>
          </w:p>
        </w:tc>
        <w:tc>
          <w:tcPr>
            <w:tcW w:w="2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
              <w:spacing w:after="0" w:line="228" w:lineRule="exact"/>
              <w:rPr>
                <w:sz w:val="20"/>
                <w:szCs w:val="20"/>
                <w:color w:val="auto"/>
              </w:rPr>
            </w:pPr>
            <w:r>
              <w:rPr>
                <w:rFonts w:ascii="Calibri" w:cs="Calibri" w:eastAsia="Calibri" w:hAnsi="Calibri"/>
                <w:sz w:val="20"/>
                <w:szCs w:val="20"/>
                <w:color w:val="auto"/>
                <w:w w:val="78"/>
              </w:rPr>
              <w:t>$</w:t>
            </w: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782.4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81"/>
              <w:spacing w:after="0" w:line="228" w:lineRule="exact"/>
              <w:rPr>
                <w:sz w:val="20"/>
                <w:szCs w:val="20"/>
                <w:color w:val="auto"/>
              </w:rPr>
            </w:pPr>
            <w:r>
              <w:rPr>
                <w:rFonts w:ascii="Calibri" w:cs="Calibri" w:eastAsia="Calibri" w:hAnsi="Calibri"/>
                <w:sz w:val="20"/>
                <w:szCs w:val="20"/>
                <w:color w:val="auto"/>
                <w:w w:val="78"/>
              </w:rPr>
              <w:t>$</w:t>
            </w:r>
          </w:p>
        </w:tc>
        <w:tc>
          <w:tcPr>
            <w:tcW w:w="15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752.6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Calibri" w:cs="Calibri" w:eastAsia="Calibri" w:hAnsi="Calibri"/>
                <w:sz w:val="20"/>
                <w:szCs w:val="20"/>
                <w:b w:val="1"/>
                <w:bCs w:val="1"/>
                <w:color w:val="auto"/>
              </w:rPr>
              <w:t>6. Long-Term Debt</w:t>
            </w:r>
          </w:p>
        </w:tc>
        <w:tc>
          <w:tcPr>
            <w:tcW w:w="2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ind w:right="620"/>
              <w:spacing w:after="0"/>
              <w:rPr>
                <w:sz w:val="20"/>
                <w:szCs w:val="20"/>
                <w:color w:val="auto"/>
              </w:rPr>
            </w:pPr>
            <w:r>
              <w:rPr>
                <w:rFonts w:ascii="Calibri" w:cs="Calibri" w:eastAsia="Calibri" w:hAnsi="Calibri"/>
                <w:sz w:val="19"/>
                <w:szCs w:val="19"/>
                <w:color w:val="auto"/>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440"/>
              <w:spacing w:after="0"/>
              <w:rPr>
                <w:sz w:val="20"/>
                <w:szCs w:val="20"/>
                <w:color w:val="auto"/>
              </w:rPr>
            </w:pPr>
            <w:r>
              <w:rPr>
                <w:rFonts w:ascii="Calibri" w:cs="Calibri" w:eastAsia="Calibri" w:hAnsi="Calibri"/>
                <w:sz w:val="19"/>
                <w:szCs w:val="19"/>
                <w:color w:val="auto"/>
              </w:rPr>
              <w:t>December 31,</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484"/>
              <w:spacing w:after="0"/>
              <w:rPr>
                <w:sz w:val="20"/>
                <w:szCs w:val="20"/>
                <w:color w:val="auto"/>
              </w:rPr>
            </w:pPr>
            <w:r>
              <w:rPr>
                <w:rFonts w:ascii="Calibri" w:cs="Calibri" w:eastAsia="Calibri" w:hAnsi="Calibri"/>
                <w:sz w:val="19"/>
                <w:szCs w:val="19"/>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ind w:right="604"/>
              <w:spacing w:after="0"/>
              <w:rPr>
                <w:sz w:val="20"/>
                <w:szCs w:val="20"/>
                <w:color w:val="auto"/>
              </w:rPr>
            </w:pPr>
            <w:r>
              <w:rPr>
                <w:rFonts w:ascii="Calibri" w:cs="Calibri" w:eastAsia="Calibri" w:hAnsi="Calibri"/>
                <w:sz w:val="19"/>
                <w:szCs w:val="19"/>
                <w:color w:val="auto"/>
              </w:rPr>
              <w:t>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48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60" w:type="dxa"/>
            <w:vAlign w:val="bottom"/>
            <w:gridSpan w:val="8"/>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gridSpan w:val="7"/>
          </w:tcPr>
          <w:p>
            <w:pPr>
              <w:jc w:val="right"/>
              <w:ind w:right="1064"/>
              <w:spacing w:after="0" w:line="219" w:lineRule="exact"/>
              <w:rPr>
                <w:sz w:val="20"/>
                <w:szCs w:val="20"/>
                <w:color w:val="auto"/>
              </w:rPr>
            </w:pPr>
            <w:r>
              <w:rPr>
                <w:rFonts w:ascii="Calibri" w:cs="Calibri" w:eastAsia="Calibri" w:hAnsi="Calibri"/>
                <w:sz w:val="19"/>
                <w:szCs w:val="19"/>
                <w:i w:val="1"/>
                <w:iCs w:val="1"/>
                <w:color w:val="auto"/>
              </w:rPr>
              <w:t>(Dollars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0.650% Senior Notes, due 2023</w:t>
            </w:r>
          </w:p>
        </w:tc>
        <w:tc>
          <w:tcPr>
            <w:tcW w:w="2740" w:type="dxa"/>
            <w:vAlign w:val="bottom"/>
            <w:tcBorders>
              <w:bottom w:val="single" w:sz="8" w:color="CFF0FC"/>
            </w:tcBorders>
            <w:gridSpan w:val="3"/>
            <w:shd w:val="clear" w:color="auto" w:fill="CFF0FC"/>
          </w:tcPr>
          <w:p>
            <w:pPr>
              <w:jc w:val="right"/>
              <w:ind w:right="6"/>
              <w:spacing w:after="0" w:line="226" w:lineRule="exact"/>
              <w:rPr>
                <w:sz w:val="20"/>
                <w:szCs w:val="20"/>
                <w:color w:val="auto"/>
              </w:rPr>
            </w:pPr>
            <w:r>
              <w:rPr>
                <w:rFonts w:ascii="Calibri" w:cs="Calibri" w:eastAsia="Calibri" w:hAnsi="Calibri"/>
                <w:sz w:val="19"/>
                <w:szCs w:val="19"/>
                <w:color w:val="auto"/>
              </w:rPr>
              <w:t>$</w:t>
            </w:r>
          </w:p>
        </w:tc>
        <w:tc>
          <w:tcPr>
            <w:tcW w:w="152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697.8</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gridSpan w:val="3"/>
            <w:shd w:val="clear" w:color="auto" w:fill="CFF0FC"/>
          </w:tcPr>
          <w:p>
            <w:pPr>
              <w:jc w:val="right"/>
              <w:ind w:right="1"/>
              <w:spacing w:after="0" w:line="226" w:lineRule="exact"/>
              <w:rPr>
                <w:sz w:val="20"/>
                <w:szCs w:val="20"/>
                <w:color w:val="auto"/>
              </w:rPr>
            </w:pPr>
            <w:r>
              <w:rPr>
                <w:rFonts w:ascii="Calibri" w:cs="Calibri" w:eastAsia="Calibri" w:hAnsi="Calibri"/>
                <w:sz w:val="19"/>
                <w:szCs w:val="19"/>
                <w:color w:val="auto"/>
              </w:rPr>
              <w:t>$</w:t>
            </w:r>
          </w:p>
        </w:tc>
        <w:tc>
          <w:tcPr>
            <w:tcW w:w="15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697.4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line="226" w:lineRule="exact"/>
              <w:rPr>
                <w:sz w:val="20"/>
                <w:szCs w:val="20"/>
                <w:color w:val="auto"/>
              </w:rPr>
            </w:pPr>
            <w:r>
              <w:rPr>
                <w:rFonts w:ascii="Calibri" w:cs="Calibri" w:eastAsia="Calibri" w:hAnsi="Calibri"/>
                <w:sz w:val="19"/>
                <w:szCs w:val="19"/>
                <w:color w:val="auto"/>
              </w:rPr>
              <w:t>4.250% Senior Notes, due 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398.4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line="226" w:lineRule="exact"/>
              <w:rPr>
                <w:sz w:val="20"/>
                <w:szCs w:val="20"/>
                <w:color w:val="auto"/>
              </w:rPr>
            </w:pPr>
            <w:r>
              <w:rPr>
                <w:rFonts w:ascii="Calibri" w:cs="Calibri" w:eastAsia="Calibri" w:hAnsi="Calibri"/>
                <w:sz w:val="19"/>
                <w:szCs w:val="19"/>
                <w:color w:val="auto"/>
              </w:rPr>
              <w:t>398.3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7% Debentures, due 2025</w:t>
            </w:r>
          </w:p>
        </w:tc>
        <w:tc>
          <w:tcPr>
            <w:tcW w:w="2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124.6</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124.6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line="226" w:lineRule="exact"/>
              <w:rPr>
                <w:sz w:val="20"/>
                <w:szCs w:val="20"/>
                <w:color w:val="auto"/>
              </w:rPr>
            </w:pPr>
            <w:r>
              <w:rPr>
                <w:rFonts w:ascii="Calibri" w:cs="Calibri" w:eastAsia="Calibri" w:hAnsi="Calibri"/>
                <w:sz w:val="19"/>
                <w:szCs w:val="19"/>
                <w:color w:val="auto"/>
              </w:rPr>
              <w:t>3.450% Senior Notes, due 2027</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298.0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line="226" w:lineRule="exact"/>
              <w:rPr>
                <w:sz w:val="20"/>
                <w:szCs w:val="20"/>
                <w:color w:val="auto"/>
              </w:rPr>
            </w:pPr>
            <w:r>
              <w:rPr>
                <w:rFonts w:ascii="Calibri" w:cs="Calibri" w:eastAsia="Calibri" w:hAnsi="Calibri"/>
                <w:sz w:val="19"/>
                <w:szCs w:val="19"/>
                <w:color w:val="auto"/>
              </w:rPr>
              <w:t>297.9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3.500% Senior Notes, due 2027</w:t>
            </w:r>
          </w:p>
        </w:tc>
        <w:tc>
          <w:tcPr>
            <w:tcW w:w="2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496.5</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496.4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line="226" w:lineRule="exact"/>
              <w:rPr>
                <w:sz w:val="20"/>
                <w:szCs w:val="20"/>
                <w:color w:val="auto"/>
              </w:rPr>
            </w:pPr>
            <w:r>
              <w:rPr>
                <w:rFonts w:ascii="Calibri" w:cs="Calibri" w:eastAsia="Calibri" w:hAnsi="Calibri"/>
                <w:sz w:val="19"/>
                <w:szCs w:val="19"/>
                <w:color w:val="auto"/>
              </w:rPr>
              <w:t>2.500% Senior Notes, due 2030</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491.4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line="226" w:lineRule="exact"/>
              <w:rPr>
                <w:sz w:val="20"/>
                <w:szCs w:val="20"/>
                <w:color w:val="auto"/>
              </w:rPr>
            </w:pPr>
            <w:r>
              <w:rPr>
                <w:rFonts w:ascii="Calibri" w:cs="Calibri" w:eastAsia="Calibri" w:hAnsi="Calibri"/>
                <w:sz w:val="19"/>
                <w:szCs w:val="19"/>
                <w:color w:val="auto"/>
              </w:rPr>
              <w:t>491.1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2.400% Senior Notes, due 2031</w:t>
            </w:r>
          </w:p>
        </w:tc>
        <w:tc>
          <w:tcPr>
            <w:tcW w:w="2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892.1</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891.8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line="226" w:lineRule="exact"/>
              <w:rPr>
                <w:sz w:val="20"/>
                <w:szCs w:val="20"/>
                <w:color w:val="auto"/>
              </w:rPr>
            </w:pPr>
            <w:r>
              <w:rPr>
                <w:rFonts w:ascii="Calibri" w:cs="Calibri" w:eastAsia="Calibri" w:hAnsi="Calibri"/>
                <w:sz w:val="19"/>
                <w:szCs w:val="19"/>
                <w:color w:val="auto"/>
              </w:rPr>
              <w:t>6.25% Senior Notes, due 2037</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228.3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line="226" w:lineRule="exact"/>
              <w:rPr>
                <w:sz w:val="20"/>
                <w:szCs w:val="20"/>
                <w:color w:val="auto"/>
              </w:rPr>
            </w:pPr>
            <w:r>
              <w:rPr>
                <w:rFonts w:ascii="Calibri" w:cs="Calibri" w:eastAsia="Calibri" w:hAnsi="Calibri"/>
                <w:sz w:val="19"/>
                <w:szCs w:val="19"/>
                <w:color w:val="auto"/>
              </w:rPr>
              <w:t>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4.250% Senior Notes, due 2047</w:t>
            </w:r>
          </w:p>
        </w:tc>
        <w:tc>
          <w:tcPr>
            <w:tcW w:w="2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gridSpan w:val="2"/>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592.1</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592.1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line="226" w:lineRule="exact"/>
              <w:rPr>
                <w:sz w:val="20"/>
                <w:szCs w:val="20"/>
                <w:color w:val="auto"/>
              </w:rPr>
            </w:pPr>
            <w:r>
              <w:rPr>
                <w:rFonts w:ascii="Calibri" w:cs="Calibri" w:eastAsia="Calibri" w:hAnsi="Calibri"/>
                <w:sz w:val="19"/>
                <w:szCs w:val="19"/>
                <w:color w:val="auto"/>
              </w:rPr>
              <w:t>3.200% Senior Notes, due 2051</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883.1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line="226" w:lineRule="exact"/>
              <w:rPr>
                <w:sz w:val="20"/>
                <w:szCs w:val="20"/>
                <w:color w:val="auto"/>
              </w:rPr>
            </w:pPr>
            <w:r>
              <w:rPr>
                <w:rFonts w:ascii="Calibri" w:cs="Calibri" w:eastAsia="Calibri" w:hAnsi="Calibri"/>
                <w:sz w:val="19"/>
                <w:szCs w:val="19"/>
                <w:color w:val="auto"/>
              </w:rPr>
              <w:t>882.9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40" w:type="dxa"/>
            <w:vAlign w:val="bottom"/>
          </w:tcPr>
          <w:p>
            <w:pPr>
              <w:spacing w:after="0"/>
              <w:rPr>
                <w:sz w:val="20"/>
                <w:szCs w:val="20"/>
                <w:color w:val="auto"/>
              </w:rPr>
            </w:pPr>
            <w:r>
              <w:rPr>
                <w:rFonts w:ascii="Calibri" w:cs="Calibri" w:eastAsia="Calibri" w:hAnsi="Calibri"/>
                <w:sz w:val="19"/>
                <w:szCs w:val="19"/>
                <w:color w:val="auto"/>
              </w:rPr>
              <w:t>Other notes</w:t>
            </w: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Calibri" w:cs="Calibri" w:eastAsia="Calibri" w:hAnsi="Calibri"/>
                <w:sz w:val="19"/>
                <w:szCs w:val="19"/>
                <w:color w:val="auto"/>
              </w:rPr>
              <w:t>0.1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Calibri" w:cs="Calibri" w:eastAsia="Calibri" w:hAnsi="Calibri"/>
                <w:sz w:val="19"/>
                <w:szCs w:val="19"/>
                <w:color w:val="auto"/>
              </w:rPr>
              <w:t>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4840" w:type="dxa"/>
            <w:vAlign w:val="bottom"/>
            <w:tcBorders>
              <w:bottom w:val="single" w:sz="8" w:color="CFF0FC"/>
            </w:tcBorders>
          </w:tcPr>
          <w:p>
            <w:pPr>
              <w:spacing w:after="0"/>
              <w:rPr>
                <w:sz w:val="3"/>
                <w:szCs w:val="3"/>
                <w:color w:val="auto"/>
              </w:rPr>
            </w:pPr>
          </w:p>
        </w:tc>
        <w:tc>
          <w:tcPr>
            <w:tcW w:w="2340" w:type="dxa"/>
            <w:vAlign w:val="bottom"/>
            <w:tcBorders>
              <w:bottom w:val="single" w:sz="8" w:color="CFF0FC"/>
            </w:tcBorders>
          </w:tcPr>
          <w:p>
            <w:pPr>
              <w:spacing w:after="0"/>
              <w:rPr>
                <w:sz w:val="3"/>
                <w:szCs w:val="3"/>
                <w:color w:val="auto"/>
              </w:rPr>
            </w:pPr>
          </w:p>
        </w:tc>
        <w:tc>
          <w:tcPr>
            <w:tcW w:w="2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9"/>
                <w:szCs w:val="19"/>
                <w:color w:val="auto"/>
              </w:rPr>
              <w:t>Total debt</w:t>
            </w:r>
          </w:p>
        </w:tc>
        <w:tc>
          <w:tcPr>
            <w:tcW w:w="2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gridSpan w:val="2"/>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5,102.4</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5,100.9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line="226" w:lineRule="exact"/>
              <w:rPr>
                <w:sz w:val="20"/>
                <w:szCs w:val="20"/>
                <w:color w:val="auto"/>
              </w:rPr>
            </w:pPr>
            <w:r>
              <w:rPr>
                <w:rFonts w:ascii="Calibri" w:cs="Calibri" w:eastAsia="Calibri" w:hAnsi="Calibri"/>
                <w:sz w:val="19"/>
                <w:szCs w:val="19"/>
                <w:color w:val="auto"/>
              </w:rPr>
              <w:t>Less: Current maturites</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right"/>
              <w:ind w:right="80"/>
              <w:spacing w:after="0" w:line="226" w:lineRule="exact"/>
              <w:rPr>
                <w:sz w:val="20"/>
                <w:szCs w:val="20"/>
                <w:color w:val="auto"/>
              </w:rPr>
            </w:pPr>
            <w:r>
              <w:rPr>
                <w:rFonts w:ascii="Calibri" w:cs="Calibri" w:eastAsia="Calibri" w:hAnsi="Calibri"/>
                <w:sz w:val="19"/>
                <w:szCs w:val="19"/>
                <w:color w:val="auto"/>
              </w:rPr>
              <w:t>(0.1)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60"/>
              <w:spacing w:after="0" w:line="226" w:lineRule="exact"/>
              <w:rPr>
                <w:sz w:val="20"/>
                <w:szCs w:val="20"/>
                <w:color w:val="auto"/>
              </w:rPr>
            </w:pPr>
            <w:r>
              <w:rPr>
                <w:rFonts w:ascii="Calibri" w:cs="Calibri" w:eastAsia="Calibri" w:hAnsi="Calibri"/>
                <w:sz w:val="19"/>
                <w:szCs w:val="19"/>
                <w:color w:val="auto"/>
              </w:rPr>
              <w:t>(0.1)</w:t>
            </w:r>
          </w:p>
        </w:tc>
        <w:tc>
          <w:tcPr>
            <w:tcW w:w="0" w:type="dxa"/>
            <w:vAlign w:val="bottom"/>
          </w:tcPr>
          <w:p>
            <w:pPr>
              <w:spacing w:after="0"/>
              <w:rPr>
                <w:sz w:val="1"/>
                <w:szCs w:val="1"/>
                <w:color w:val="auto"/>
              </w:rPr>
            </w:pPr>
          </w:p>
        </w:tc>
      </w:tr>
      <w:tr>
        <w:trPr>
          <w:trHeight w:val="31"/>
        </w:trPr>
        <w:tc>
          <w:tcPr>
            <w:tcW w:w="4840" w:type="dxa"/>
            <w:vAlign w:val="bottom"/>
            <w:tcBorders>
              <w:bottom w:val="single" w:sz="8" w:color="CFF0FC"/>
            </w:tcBorders>
          </w:tcPr>
          <w:p>
            <w:pPr>
              <w:spacing w:after="0"/>
              <w:rPr>
                <w:sz w:val="2"/>
                <w:szCs w:val="2"/>
                <w:color w:val="auto"/>
              </w:rPr>
            </w:pPr>
          </w:p>
        </w:tc>
        <w:tc>
          <w:tcPr>
            <w:tcW w:w="2540" w:type="dxa"/>
            <w:vAlign w:val="bottom"/>
            <w:tcBorders>
              <w:bottom w:val="single" w:sz="8" w:color="CFF0FC"/>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9"/>
                <w:szCs w:val="19"/>
                <w:color w:val="auto"/>
              </w:rPr>
              <w:t>Long-term debt</w:t>
            </w:r>
          </w:p>
        </w:tc>
        <w:tc>
          <w:tcPr>
            <w:tcW w:w="25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6"/>
              <w:spacing w:after="0" w:line="219" w:lineRule="exact"/>
              <w:rPr>
                <w:sz w:val="20"/>
                <w:szCs w:val="20"/>
                <w:color w:val="auto"/>
              </w:rPr>
            </w:pPr>
            <w:r>
              <w:rPr>
                <w:rFonts w:ascii="Calibri" w:cs="Calibri" w:eastAsia="Calibri" w:hAnsi="Calibri"/>
                <w:sz w:val="19"/>
                <w:szCs w:val="19"/>
                <w:color w:val="auto"/>
                <w:w w:val="82"/>
              </w:rPr>
              <w:t>$</w:t>
            </w:r>
          </w:p>
        </w:tc>
        <w:tc>
          <w:tcPr>
            <w:tcW w:w="1520" w:type="dxa"/>
            <w:vAlign w:val="bottom"/>
            <w:tcBorders>
              <w:bottom w:val="single" w:sz="8" w:color="CFF0FC"/>
            </w:tcBorders>
            <w:gridSpan w:val="2"/>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5,102.3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ind w:right="1"/>
              <w:spacing w:after="0"/>
              <w:rPr>
                <w:sz w:val="20"/>
                <w:szCs w:val="20"/>
                <w:color w:val="auto"/>
              </w:rPr>
            </w:pPr>
            <w:r>
              <w:rPr>
                <w:rFonts w:ascii="Calibri" w:cs="Calibri" w:eastAsia="Calibri" w:hAnsi="Calibri"/>
                <w:sz w:val="16"/>
                <w:szCs w:val="16"/>
                <w:color w:val="auto"/>
                <w:w w:val="73"/>
              </w:rPr>
              <w:t>$</w:t>
            </w:r>
          </w:p>
        </w:tc>
        <w:tc>
          <w:tcPr>
            <w:tcW w:w="1580" w:type="dxa"/>
            <w:vAlign w:val="bottom"/>
            <w:tcBorders>
              <w:bottom w:val="single" w:sz="8" w:color="CFF0FC"/>
            </w:tcBorders>
            <w:shd w:val="clear" w:color="auto" w:fill="CFF0FC"/>
          </w:tcPr>
          <w:p>
            <w:pPr>
              <w:jc w:val="right"/>
              <w:spacing w:after="0" w:line="219" w:lineRule="exact"/>
              <w:rPr>
                <w:sz w:val="20"/>
                <w:szCs w:val="20"/>
                <w:color w:val="auto"/>
              </w:rPr>
            </w:pPr>
            <w:r>
              <w:rPr>
                <w:rFonts w:ascii="Calibri" w:cs="Calibri" w:eastAsia="Calibri" w:hAnsi="Calibri"/>
                <w:sz w:val="19"/>
                <w:szCs w:val="19"/>
                <w:color w:val="auto"/>
              </w:rPr>
              <w:t>5,100.8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82" w:lineRule="exact"/>
        <w:rPr>
          <w:sz w:val="20"/>
          <w:szCs w:val="20"/>
          <w:color w:val="auto"/>
        </w:rPr>
      </w:pPr>
    </w:p>
    <w:p>
      <w:pPr>
        <w:jc w:val="both"/>
        <w:ind w:left="280"/>
        <w:spacing w:after="0"/>
        <w:rPr>
          <w:sz w:val="20"/>
          <w:szCs w:val="20"/>
          <w:color w:val="auto"/>
        </w:rPr>
      </w:pPr>
      <w:r>
        <w:rPr>
          <w:rFonts w:ascii="Calibri" w:cs="Calibri" w:eastAsia="Calibri" w:hAnsi="Calibri"/>
          <w:sz w:val="20"/>
          <w:szCs w:val="20"/>
          <w:color w:val="auto"/>
        </w:rPr>
        <w:t>The Company, through a wholly-owned special-purpose subsidiary, has a $400 million trade receivable securitization facility (the Trade Receivable Facility). On September 22, 2021 the Company extended the maturity to September 21, 2022. The Trade Receivable Facility, with Truist Bank, Regions Bank, PNC Bank, N.A., MUFG Bank,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by the Company to the wholly-owned special-purpose subsidiary.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0.85% for borrowings funded by conduit lenders and one-month London Inter-bank Offered Rate (LIBOR) plus 1.00%, subject to change in the event that this rate no longer reflects the lender’s cost of lending, for borrowings funded by all other lenders. The Trade Receivable Facility contains a cross-default provision to the Company’s other debt agreements. Subject to certain conditons, including lenders providing the requisite commitments, the Trade Receivable Facility may be increased to a borrowing base not to exceed $500 million. There were no borrowings outstanding under the Trade Receivable Facility at March 31, 2022 and December 31, 2021.</w:t>
      </w:r>
    </w:p>
    <w:p>
      <w:pPr>
        <w:spacing w:after="0" w:line="120"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20"/>
          <w:szCs w:val="20"/>
          <w:color w:val="auto"/>
        </w:rPr>
        <w:t>The Company has a $800 million fve-year senior unsecured revolving facility (the Revolving Facility) with JPMorgan Chase Bank, N.A., as Administratve Agent, Deutsche Bank Securites, Inc., PNC Bank, Truist Bank and Wells Fargo Bank, N.A., as Syndicaton Agents, and the lenders party thereto (the Credit Agreement). Borrowings under the Revolving Facility bear interest, at the Company’s opton, at rates based upon LIBOR or a base rate, plus, for each rate, a margin determined in accordance with a ratngs-based pricing grid. There were no borrowings outstanding under the Credit Agreement at March 31, 2022 or December 31, 2021. The Credit Agreement requires the Company’s rato of consolidated net debt-to-consolidated earnings before interest, taxes, depreciaton, depleton and amortzaton (EBITDA), as defned, by the Revolving Facility, for the trailing-twelve months (the Rato) to not exceed 3.50x as of the end of any fscal quarter, provided that the Company may exclude from the Rato debt incurred in connecton with certain acquisitons during such quarter or the three preceding quarters so long as the Rato calculated without such exclusion does not exceed 4.00x. Additonally, if there are no amounts outstanding under both the Revolving Facility and the Trade Receivable Facility, consolidated debt, including debt for which the Company is a co-borrower (see Note 10), may be reduced in an amount equal to the lesser of $500 million or the sum of the Company’s unrestricted cash and temporary investments, for purposes of the covenant calculaton. The Company was in compliance with this covenant at March 31, 2022.</w:t>
      </w:r>
    </w:p>
    <w:p>
      <w:pPr>
        <w:spacing w:after="0" w:line="120"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The Revolving Facility expires on December 21, 2026, with any outstanding principal amounts, together with interest accrued thereon, due in full on that date. Available borrowings under the Revolving Facility are reduced by any outstanding leters of credit issued by the Company under the Revolving Facility. The Company had $2.6 million of outstanding leters of credit issued under the Revolving Facility at March 31, 2022 and December 31, 2021.</w:t>
      </w:r>
    </w:p>
    <w:p>
      <w:pPr>
        <w:spacing w:after="0" w:line="326" w:lineRule="exact"/>
        <w:rPr>
          <w:sz w:val="20"/>
          <w:szCs w:val="20"/>
          <w:color w:val="auto"/>
        </w:rPr>
      </w:pPr>
    </w:p>
    <w:p>
      <w:pPr>
        <w:ind w:left="280" w:hanging="272"/>
        <w:spacing w:after="0"/>
        <w:tabs>
          <w:tab w:leader="none" w:pos="2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Instruments</w:t>
      </w:r>
    </w:p>
    <w:p>
      <w:pPr>
        <w:spacing w:after="0" w:line="116" w:lineRule="exact"/>
        <w:rPr>
          <w:rFonts w:ascii="Calibri" w:cs="Calibri" w:eastAsia="Calibri" w:hAnsi="Calibri"/>
          <w:sz w:val="20"/>
          <w:szCs w:val="20"/>
          <w:b w:val="1"/>
          <w:bCs w:val="1"/>
          <w:color w:val="auto"/>
        </w:rPr>
      </w:pPr>
    </w:p>
    <w:p>
      <w:pPr>
        <w:ind w:left="2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Company’s fnancial instruments include temporary cash investments, restricted cash, accounts receivable, notes receivable, accounts payable, publicly-registered long-term notes, debentures and other long-term debt.</w:t>
      </w:r>
    </w:p>
    <w:p>
      <w:pPr>
        <w:spacing w:after="0" w:line="117" w:lineRule="exact"/>
        <w:rPr>
          <w:rFonts w:ascii="Calibri" w:cs="Calibri" w:eastAsia="Calibri" w:hAnsi="Calibri"/>
          <w:sz w:val="20"/>
          <w:szCs w:val="20"/>
          <w:b w:val="1"/>
          <w:bCs w:val="1"/>
          <w:color w:val="auto"/>
        </w:rPr>
      </w:pPr>
    </w:p>
    <w:p>
      <w:pPr>
        <w:jc w:val="both"/>
        <w:ind w:left="2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Temporary cash investments are placed primarily in money market funds, money market demand deposit accounts and Eurodollar tme deposits. The Company’s cash equivalents have original maturites of less than three months. Due to the short maturity of these investments, they are carried on the consolidated balance sheets at cost, which approximates fair value.</w:t>
      </w:r>
    </w:p>
    <w:p>
      <w:pPr>
        <w:spacing w:after="0" w:line="116" w:lineRule="exact"/>
        <w:rPr>
          <w:rFonts w:ascii="Calibri" w:cs="Calibri" w:eastAsia="Calibri" w:hAnsi="Calibri"/>
          <w:sz w:val="20"/>
          <w:szCs w:val="20"/>
          <w:b w:val="1"/>
          <w:bCs w:val="1"/>
          <w:color w:val="auto"/>
        </w:rPr>
      </w:pPr>
    </w:p>
    <w:p>
      <w:pPr>
        <w:ind w:left="2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Restricted cash is held in a trust account with a third-party intermediary. Due to the short-term nature of this account, the fair value of restricted cash approximates its carrying value.</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Accounts receivable are due from a large number of customers, primarily in the constructon industry, and are dispersed across wide geographic and economic regions. No single customer accounted for 10% or more of consolidated accounts receivable in the three-month period ended March 31, 2022 and 2021. The estmated fair values of accounts receivable approximate their carrying amounts due to the short-term nature of the accounts.</w:t>
      </w:r>
    </w:p>
    <w:p>
      <w:pPr>
        <w:spacing w:after="0" w:line="120" w:lineRule="exact"/>
        <w:rPr>
          <w:sz w:val="20"/>
          <w:szCs w:val="20"/>
          <w:color w:val="auto"/>
        </w:rPr>
      </w:pPr>
    </w:p>
    <w:p>
      <w:pPr>
        <w:jc w:val="both"/>
        <w:ind w:left="280"/>
        <w:spacing w:after="0" w:line="234" w:lineRule="auto"/>
        <w:rPr>
          <w:sz w:val="20"/>
          <w:szCs w:val="20"/>
          <w:color w:val="auto"/>
        </w:rPr>
      </w:pPr>
      <w:r>
        <w:rPr>
          <w:rFonts w:ascii="Calibri" w:cs="Calibri" w:eastAsia="Calibri" w:hAnsi="Calibri"/>
          <w:sz w:val="20"/>
          <w:szCs w:val="20"/>
          <w:color w:val="auto"/>
        </w:rPr>
        <w:t>Notes receivable are primarily promissory notes with customers and are not publicly traded. Management estmates that the fair value of notes receivable approximates its carrying amount.</w:t>
      </w:r>
    </w:p>
    <w:p>
      <w:pPr>
        <w:spacing w:after="0" w:line="118" w:lineRule="exact"/>
        <w:rPr>
          <w:sz w:val="20"/>
          <w:szCs w:val="20"/>
          <w:color w:val="auto"/>
        </w:rPr>
      </w:pPr>
    </w:p>
    <w:p>
      <w:pPr>
        <w:jc w:val="both"/>
        <w:ind w:left="280"/>
        <w:spacing w:after="0" w:line="234" w:lineRule="auto"/>
        <w:rPr>
          <w:sz w:val="20"/>
          <w:szCs w:val="20"/>
          <w:color w:val="auto"/>
        </w:rPr>
      </w:pPr>
      <w:r>
        <w:rPr>
          <w:rFonts w:ascii="Calibri" w:cs="Calibri" w:eastAsia="Calibri" w:hAnsi="Calibri"/>
          <w:sz w:val="20"/>
          <w:szCs w:val="20"/>
          <w:color w:val="auto"/>
        </w:rPr>
        <w:t>Accounts payable represent amounts owed to suppliers and vendors. The estmated fair value of accounts payable approximates the carrying amount due to the short-term nature of the payables.</w:t>
      </w:r>
    </w:p>
    <w:p>
      <w:pPr>
        <w:spacing w:after="0" w:line="118"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The carrying values and fair values of the Company’s long-term debt were $5.10 billion and $4.93 billion, respectvely, at March 31, 2022 and $5.10 billion and $5.45 billion, respectvely, at December 31, 2021. The estmated fair value of the publicly-registered long-term notes was estmated using quoted market prices. The estmated fair values of other borrowings approximate their carrying amounts as the interest rates reset periodically.</w:t>
      </w:r>
    </w:p>
    <w:p>
      <w:pPr>
        <w:spacing w:after="0" w:line="326" w:lineRule="exact"/>
        <w:rPr>
          <w:sz w:val="20"/>
          <w:szCs w:val="20"/>
          <w:color w:val="auto"/>
        </w:rPr>
      </w:pPr>
    </w:p>
    <w:p>
      <w:pPr>
        <w:ind w:left="280" w:hanging="272"/>
        <w:spacing w:after="0"/>
        <w:tabs>
          <w:tab w:leader="none" w:pos="2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116" w:lineRule="exact"/>
        <w:rPr>
          <w:rFonts w:ascii="Calibri" w:cs="Calibri" w:eastAsia="Calibri" w:hAnsi="Calibri"/>
          <w:sz w:val="20"/>
          <w:szCs w:val="20"/>
          <w:b w:val="1"/>
          <w:bCs w:val="1"/>
          <w:color w:val="auto"/>
        </w:rPr>
      </w:pPr>
    </w:p>
    <w:p>
      <w:pPr>
        <w:jc w:val="both"/>
        <w:ind w:left="2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The efectve income tax rate refects the efect of federal and state income taxes on earnings and the impact of diferences in book and tax accountng arising primarily from the permanent tax benefts associated with the statutory depleton deducton for mineral reserves. The efectve income tax rates for contnuing operatons were 19.3% and 19.5% for the three months ended March 31, 2022 and March 31, 2021, respectvely.</w:t>
      </w:r>
    </w:p>
    <w:p>
      <w:pPr>
        <w:spacing w:after="0" w:line="119" w:lineRule="exact"/>
        <w:rPr>
          <w:rFonts w:ascii="Calibri" w:cs="Calibri" w:eastAsia="Calibri" w:hAnsi="Calibri"/>
          <w:sz w:val="20"/>
          <w:szCs w:val="20"/>
          <w:b w:val="1"/>
          <w:bCs w:val="1"/>
          <w:color w:val="auto"/>
        </w:rPr>
      </w:pPr>
    </w:p>
    <w:p>
      <w:pPr>
        <w:ind w:left="280"/>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records interest accrued in relaton to unrecognized tax benefts as income tax expense. Penaltes, if incurred, are recorded as operatng expenses in the consolidated statements of earnings and comprehensive earnings.</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18" w:lineRule="exact"/>
        <w:rPr>
          <w:sz w:val="20"/>
          <w:szCs w:val="20"/>
          <w:color w:val="auto"/>
        </w:rPr>
      </w:pPr>
    </w:p>
    <w:p>
      <w:pPr>
        <w:ind w:left="280" w:hanging="272"/>
        <w:spacing w:after="0"/>
        <w:tabs>
          <w:tab w:leader="none" w:pos="28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Pension and Postretrement Benefts</w:t>
      </w:r>
    </w:p>
    <w:p>
      <w:pPr>
        <w:spacing w:after="0" w:line="116" w:lineRule="exact"/>
        <w:rPr>
          <w:rFonts w:ascii="Calibri" w:cs="Calibri" w:eastAsia="Calibri" w:hAnsi="Calibri"/>
          <w:sz w:val="20"/>
          <w:szCs w:val="20"/>
          <w:b w:val="1"/>
          <w:bCs w:val="1"/>
          <w:color w:val="auto"/>
        </w:rPr>
      </w:pPr>
    </w:p>
    <w:p>
      <w:pPr>
        <w:jc w:val="both"/>
        <w:ind w:left="2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During the quarter ended March 31, 2022, the Company amended its qualifed pension plan and provided an enhanced beneft for eligible hourly actve partcipants who retre subsequent to April 30, 2022. The amendment required a pension remeasurement. The Company elected the use of a practcal expedient to perform the pension remeasurement as of February 28, 2022, the month end closest to the approval of the plan amendment. The discount rate for the remeasurement was 3.75% compared with 3.23% prior to the remeasurement. The enhanced beneft and remeasurement resulted in higher projected pension expense for the year compared with the inital annual pension expense for the qualifed plan.</w:t>
      </w:r>
    </w:p>
    <w:p>
      <w:pPr>
        <w:spacing w:after="0" w:line="109" w:lineRule="exact"/>
        <w:rPr>
          <w:rFonts w:ascii="Calibri" w:cs="Calibri" w:eastAsia="Calibri" w:hAnsi="Calibri"/>
          <w:sz w:val="20"/>
          <w:szCs w:val="20"/>
          <w:b w:val="1"/>
          <w:bCs w:val="1"/>
          <w:color w:val="auto"/>
        </w:rPr>
      </w:pPr>
    </w:p>
    <w:p>
      <w:pPr>
        <w:ind w:left="2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estmated components of the recorded net periodic beneft cost (credit) for pension and postretrement benefts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4"/>
          </w:tcPr>
          <w:p>
            <w:pPr>
              <w:jc w:val="right"/>
              <w:ind w:right="21"/>
              <w:spacing w:after="0"/>
              <w:rPr>
                <w:sz w:val="20"/>
                <w:szCs w:val="20"/>
                <w:color w:val="auto"/>
              </w:rPr>
            </w:pPr>
            <w:r>
              <w:rPr>
                <w:rFonts w:ascii="Calibri" w:cs="Calibri" w:eastAsia="Calibri" w:hAnsi="Calibri"/>
                <w:sz w:val="20"/>
                <w:szCs w:val="20"/>
                <w:color w:val="auto"/>
              </w:rPr>
              <w:t>Pension</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6"/>
          </w:tcPr>
          <w:p>
            <w:pPr>
              <w:jc w:val="right"/>
              <w:ind w:right="880"/>
              <w:spacing w:after="0"/>
              <w:rPr>
                <w:sz w:val="20"/>
                <w:szCs w:val="20"/>
                <w:color w:val="auto"/>
              </w:rPr>
            </w:pPr>
            <w:r>
              <w:rPr>
                <w:rFonts w:ascii="Calibri" w:cs="Calibri" w:eastAsia="Calibri" w:hAnsi="Calibri"/>
                <w:sz w:val="20"/>
                <w:szCs w:val="20"/>
                <w:color w:val="auto"/>
              </w:rPr>
              <w:t>Postretrement Benefts</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6"/>
          </w:tcPr>
          <w:p>
            <w:pPr>
              <w:jc w:val="right"/>
              <w:ind w:right="700"/>
              <w:spacing w:after="0" w:line="228" w:lineRule="exact"/>
              <w:rPr>
                <w:sz w:val="20"/>
                <w:szCs w:val="20"/>
                <w:color w:val="auto"/>
              </w:rPr>
            </w:pPr>
            <w:r>
              <w:rPr>
                <w:rFonts w:ascii="Calibri" w:cs="Calibri" w:eastAsia="Calibri" w:hAnsi="Calibri"/>
                <w:sz w:val="20"/>
                <w:szCs w:val="20"/>
                <w:color w:val="auto"/>
              </w:rPr>
              <w:t>Three Months Ended March 31,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81"/>
              <w:spacing w:after="0" w:line="228" w:lineRule="exact"/>
              <w:rPr>
                <w:sz w:val="20"/>
                <w:szCs w:val="20"/>
                <w:color w:val="auto"/>
              </w:rPr>
            </w:pPr>
            <w:r>
              <w:rPr>
                <w:rFonts w:ascii="Calibri" w:cs="Calibri" w:eastAsia="Calibri" w:hAnsi="Calibri"/>
                <w:sz w:val="20"/>
                <w:szCs w:val="20"/>
                <w:color w:val="auto"/>
              </w:rPr>
              <w:t>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01"/>
              <w:spacing w:after="0" w:line="228" w:lineRule="exact"/>
              <w:rPr>
                <w:sz w:val="20"/>
                <w:szCs w:val="20"/>
                <w:color w:val="auto"/>
              </w:rPr>
            </w:pPr>
            <w:r>
              <w:rPr>
                <w:rFonts w:ascii="Calibri" w:cs="Calibri" w:eastAsia="Calibri" w:hAnsi="Calibri"/>
                <w:sz w:val="20"/>
                <w:szCs w:val="20"/>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6"/>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6"/>
          </w:tcPr>
          <w:p>
            <w:pPr>
              <w:jc w:val="right"/>
              <w:ind w:right="120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940" w:type="dxa"/>
            <w:vAlign w:val="bottom"/>
          </w:tcPr>
          <w:p>
            <w:pPr>
              <w:spacing w:after="0"/>
              <w:rPr>
                <w:sz w:val="20"/>
                <w:szCs w:val="20"/>
                <w:color w:val="auto"/>
              </w:rPr>
            </w:pPr>
            <w:r>
              <w:rPr>
                <w:rFonts w:ascii="Calibri" w:cs="Calibri" w:eastAsia="Calibri" w:hAnsi="Calibri"/>
                <w:sz w:val="20"/>
                <w:szCs w:val="20"/>
                <w:color w:val="auto"/>
              </w:rPr>
              <w:t>Service cost</w:t>
            </w:r>
          </w:p>
        </w:tc>
        <w:tc>
          <w:tcPr>
            <w:tcW w:w="340" w:type="dxa"/>
            <w:vAlign w:val="bottom"/>
          </w:tcPr>
          <w:p>
            <w:pPr>
              <w:jc w:val="right"/>
              <w:ind w:right="121"/>
              <w:spacing w:after="0"/>
              <w:rPr>
                <w:sz w:val="20"/>
                <w:szCs w:val="20"/>
                <w:color w:val="auto"/>
              </w:rPr>
            </w:pPr>
            <w:r>
              <w:rPr>
                <w:rFonts w:ascii="Calibri" w:cs="Calibri" w:eastAsia="Calibri" w:hAnsi="Calibri"/>
                <w:sz w:val="20"/>
                <w:szCs w:val="20"/>
                <w:color w:val="auto"/>
                <w:w w:val="98"/>
              </w:rPr>
              <w:t>$</w:t>
            </w:r>
          </w:p>
        </w:tc>
        <w:tc>
          <w:tcPr>
            <w:tcW w:w="1240" w:type="dxa"/>
            <w:vAlign w:val="bottom"/>
          </w:tcPr>
          <w:p>
            <w:pPr>
              <w:jc w:val="right"/>
              <w:spacing w:after="0"/>
              <w:rPr>
                <w:sz w:val="20"/>
                <w:szCs w:val="20"/>
                <w:color w:val="auto"/>
              </w:rPr>
            </w:pPr>
            <w:r>
              <w:rPr>
                <w:rFonts w:ascii="Calibri" w:cs="Calibri" w:eastAsia="Calibri" w:hAnsi="Calibri"/>
                <w:sz w:val="20"/>
                <w:szCs w:val="20"/>
                <w:color w:val="auto"/>
              </w:rPr>
              <w:t>11.5</w:t>
            </w:r>
          </w:p>
        </w:tc>
        <w:tc>
          <w:tcPr>
            <w:tcW w:w="180" w:type="dxa"/>
            <w:vAlign w:val="bottom"/>
          </w:tcPr>
          <w:p>
            <w:pPr>
              <w:spacing w:after="0"/>
              <w:rPr>
                <w:sz w:val="21"/>
                <w:szCs w:val="21"/>
                <w:color w:val="auto"/>
              </w:rPr>
            </w:pPr>
          </w:p>
        </w:tc>
        <w:tc>
          <w:tcPr>
            <w:tcW w:w="400" w:type="dxa"/>
            <w:vAlign w:val="bottom"/>
            <w:gridSpan w:val="2"/>
          </w:tcPr>
          <w:p>
            <w:pPr>
              <w:jc w:val="right"/>
              <w:ind w:right="101"/>
              <w:spacing w:after="0"/>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11.6</w:t>
            </w:r>
          </w:p>
        </w:tc>
        <w:tc>
          <w:tcPr>
            <w:tcW w:w="160" w:type="dxa"/>
            <w:vAlign w:val="bottom"/>
          </w:tcPr>
          <w:p>
            <w:pPr>
              <w:spacing w:after="0"/>
              <w:rPr>
                <w:sz w:val="21"/>
                <w:szCs w:val="21"/>
                <w:color w:val="auto"/>
              </w:rPr>
            </w:pPr>
          </w:p>
        </w:tc>
        <w:tc>
          <w:tcPr>
            <w:tcW w:w="440" w:type="dxa"/>
            <w:vAlign w:val="bottom"/>
            <w:gridSpan w:val="2"/>
          </w:tcPr>
          <w:p>
            <w:pPr>
              <w:jc w:val="right"/>
              <w:ind w:right="141"/>
              <w:spacing w:after="0"/>
              <w:rPr>
                <w:sz w:val="20"/>
                <w:szCs w:val="20"/>
                <w:color w:val="auto"/>
              </w:rPr>
            </w:pPr>
            <w:r>
              <w:rPr>
                <w:rFonts w:ascii="Calibri" w:cs="Calibri" w:eastAsia="Calibri" w:hAnsi="Calibri"/>
                <w:sz w:val="20"/>
                <w:szCs w:val="20"/>
                <w:color w:val="auto"/>
              </w:rPr>
              <w:t>$</w:t>
            </w:r>
          </w:p>
        </w:tc>
        <w:tc>
          <w:tcPr>
            <w:tcW w:w="1520" w:type="dxa"/>
            <w:vAlign w:val="bottom"/>
            <w:gridSpan w:val="2"/>
          </w:tcPr>
          <w:p>
            <w:pPr>
              <w:jc w:val="right"/>
              <w:ind w:right="280"/>
              <w:spacing w:after="0"/>
              <w:rPr>
                <w:sz w:val="20"/>
                <w:szCs w:val="20"/>
                <w:color w:val="auto"/>
              </w:rPr>
            </w:pPr>
            <w:r>
              <w:rPr>
                <w:rFonts w:ascii="Calibri" w:cs="Calibri" w:eastAsia="Calibri" w:hAnsi="Calibri"/>
                <w:sz w:val="20"/>
                <w:szCs w:val="20"/>
                <w:color w:val="auto"/>
              </w:rPr>
              <w:t>—</w:t>
            </w:r>
          </w:p>
        </w:tc>
        <w:tc>
          <w:tcPr>
            <w:tcW w:w="340" w:type="dxa"/>
            <w:vAlign w:val="bottom"/>
            <w:gridSpan w:val="2"/>
          </w:tcPr>
          <w:p>
            <w:pPr>
              <w:jc w:val="right"/>
              <w:ind w:right="158"/>
              <w:spacing w:after="0"/>
              <w:rPr>
                <w:sz w:val="20"/>
                <w:szCs w:val="20"/>
                <w:color w:val="auto"/>
              </w:rPr>
            </w:pPr>
            <w:r>
              <w:rPr>
                <w:rFonts w:ascii="Calibri" w:cs="Calibri" w:eastAsia="Calibri" w:hAnsi="Calibri"/>
                <w:sz w:val="20"/>
                <w:szCs w:val="20"/>
                <w:color w:val="auto"/>
                <w:w w:val="78"/>
              </w:rPr>
              <w:t>$</w:t>
            </w:r>
          </w:p>
        </w:tc>
        <w:tc>
          <w:tcPr>
            <w:tcW w:w="1380" w:type="dxa"/>
            <w:vAlign w:val="bottom"/>
            <w:gridSpan w:val="2"/>
          </w:tcPr>
          <w:p>
            <w:pPr>
              <w:jc w:val="right"/>
              <w:ind w:right="140"/>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Interest cost</w:t>
            </w:r>
          </w:p>
        </w:tc>
        <w:tc>
          <w:tcPr>
            <w:tcW w:w="3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10.2</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9.0</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0.1</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line="234" w:lineRule="exact"/>
              <w:rPr>
                <w:sz w:val="20"/>
                <w:szCs w:val="20"/>
                <w:color w:val="auto"/>
              </w:rPr>
            </w:pPr>
            <w:r>
              <w:rPr>
                <w:rFonts w:ascii="Calibri" w:cs="Calibri" w:eastAsia="Calibri" w:hAnsi="Calibri"/>
                <w:sz w:val="20"/>
                <w:szCs w:val="20"/>
                <w:color w:val="auto"/>
              </w:rPr>
              <w:t>Expected return on assets</w:t>
            </w:r>
          </w:p>
        </w:tc>
        <w:tc>
          <w:tcPr>
            <w:tcW w:w="340" w:type="dxa"/>
            <w:vAlign w:val="bottom"/>
          </w:tcPr>
          <w:p>
            <w:pPr>
              <w:spacing w:after="0"/>
              <w:rPr>
                <w:sz w:val="20"/>
                <w:szCs w:val="20"/>
                <w:color w:val="auto"/>
              </w:rPr>
            </w:pPr>
          </w:p>
        </w:tc>
        <w:tc>
          <w:tcPr>
            <w:tcW w:w="142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100"/>
              <w:spacing w:after="0" w:line="234" w:lineRule="exact"/>
              <w:rPr>
                <w:sz w:val="20"/>
                <w:szCs w:val="20"/>
                <w:color w:val="auto"/>
              </w:rPr>
            </w:pPr>
            <w:r>
              <w:rPr>
                <w:rFonts w:ascii="Calibri" w:cs="Calibri" w:eastAsia="Calibri" w:hAnsi="Calibri"/>
                <w:sz w:val="20"/>
                <w:szCs w:val="20"/>
                <w:color w:val="auto"/>
              </w:rPr>
              <w:t>(17.6)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2"/>
          </w:tcPr>
          <w:p>
            <w:pPr>
              <w:jc w:val="right"/>
              <w:ind w:right="280"/>
              <w:spacing w:after="0" w:line="234" w:lineRule="exact"/>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40"/>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Amortzaton of:</w:t>
            </w:r>
          </w:p>
        </w:tc>
        <w:tc>
          <w:tcPr>
            <w:tcW w:w="3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60"/>
              <w:spacing w:after="0" w:line="234" w:lineRule="exact"/>
              <w:rPr>
                <w:sz w:val="20"/>
                <w:szCs w:val="20"/>
                <w:color w:val="auto"/>
              </w:rPr>
            </w:pPr>
            <w:r>
              <w:rPr>
                <w:rFonts w:ascii="Calibri" w:cs="Calibri" w:eastAsia="Calibri" w:hAnsi="Calibri"/>
                <w:sz w:val="20"/>
                <w:szCs w:val="20"/>
                <w:color w:val="auto"/>
              </w:rPr>
              <w:t>Prior service cost (credit)</w:t>
            </w:r>
          </w:p>
        </w:tc>
        <w:tc>
          <w:tcPr>
            <w:tcW w:w="340" w:type="dxa"/>
            <w:vAlign w:val="bottom"/>
          </w:tcPr>
          <w:p>
            <w:pPr>
              <w:spacing w:after="0"/>
              <w:rPr>
                <w:sz w:val="20"/>
                <w:szCs w:val="20"/>
                <w:color w:val="auto"/>
              </w:rPr>
            </w:pPr>
          </w:p>
        </w:tc>
        <w:tc>
          <w:tcPr>
            <w:tcW w:w="1240" w:type="dxa"/>
            <w:vAlign w:val="bottom"/>
          </w:tcPr>
          <w:p>
            <w:pPr>
              <w:jc w:val="right"/>
              <w:spacing w:after="0" w:line="234" w:lineRule="exact"/>
              <w:rPr>
                <w:sz w:val="20"/>
                <w:szCs w:val="20"/>
                <w:color w:val="auto"/>
              </w:rPr>
            </w:pPr>
            <w:r>
              <w:rPr>
                <w:rFonts w:ascii="Calibri" w:cs="Calibri" w:eastAsia="Calibri" w:hAnsi="Calibri"/>
                <w:sz w:val="20"/>
                <w:szCs w:val="20"/>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(0.2)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60"/>
              <w:spacing w:after="0" w:line="234" w:lineRule="exact"/>
              <w:rPr>
                <w:sz w:val="20"/>
                <w:szCs w:val="20"/>
                <w:color w:val="auto"/>
              </w:rPr>
            </w:pPr>
            <w:r>
              <w:rPr>
                <w:rFonts w:ascii="Calibri" w:cs="Calibri" w:eastAsia="Calibri" w:hAnsi="Calibri"/>
                <w:sz w:val="20"/>
                <w:szCs w:val="20"/>
                <w:color w:val="auto"/>
              </w:rPr>
              <w:t>(0.2)</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Actuarial loss (gain)</w:t>
            </w:r>
          </w:p>
        </w:tc>
        <w:tc>
          <w:tcPr>
            <w:tcW w:w="3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0.9</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gridSpan w:val="2"/>
            <w:shd w:val="clear" w:color="auto" w:fill="CFF0FC"/>
          </w:tcPr>
          <w:p>
            <w:pPr>
              <w:jc w:val="right"/>
              <w:ind w:right="200"/>
              <w:spacing w:after="0" w:line="234" w:lineRule="exact"/>
              <w:rPr>
                <w:sz w:val="20"/>
                <w:szCs w:val="20"/>
                <w:color w:val="auto"/>
              </w:rPr>
            </w:pPr>
            <w:r>
              <w:rPr>
                <w:rFonts w:ascii="Calibri" w:cs="Calibri" w:eastAsia="Calibri" w:hAnsi="Calibri"/>
                <w:sz w:val="20"/>
                <w:szCs w:val="20"/>
                <w:color w:val="auto"/>
              </w:rPr>
              <w:t>(0.1)</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gridSpan w:val="2"/>
            <w:shd w:val="clear" w:color="auto" w:fill="CFF0FC"/>
          </w:tcPr>
          <w:p>
            <w:pPr>
              <w:jc w:val="right"/>
              <w:ind w:right="60"/>
              <w:spacing w:after="0" w:line="234" w:lineRule="exact"/>
              <w:rPr>
                <w:sz w:val="20"/>
                <w:szCs w:val="20"/>
                <w:color w:val="auto"/>
              </w:rPr>
            </w:pPr>
            <w:r>
              <w:rPr>
                <w:rFonts w:ascii="Calibri" w:cs="Calibri" w:eastAsia="Calibri" w:hAnsi="Calibri"/>
                <w:sz w:val="20"/>
                <w:szCs w:val="20"/>
                <w:color w:val="auto"/>
              </w:rPr>
              <w:t>(0.1)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236" w:lineRule="exact"/>
              <w:rPr>
                <w:sz w:val="20"/>
                <w:szCs w:val="20"/>
                <w:color w:val="auto"/>
              </w:rPr>
            </w:pPr>
            <w:r>
              <w:rPr>
                <w:rFonts w:ascii="Calibri" w:cs="Calibri" w:eastAsia="Calibri" w:hAnsi="Calibri"/>
                <w:sz w:val="20"/>
                <w:szCs w:val="20"/>
                <w:color w:val="auto"/>
              </w:rPr>
              <w:t>Net periodic beneft cost (credit)</w:t>
            </w: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40" w:type="dxa"/>
            <w:vAlign w:val="bottom"/>
            <w:vMerge w:val="continue"/>
          </w:tcPr>
          <w:p>
            <w:pPr>
              <w:spacing w:after="0"/>
              <w:rPr>
                <w:sz w:val="19"/>
                <w:szCs w:val="19"/>
                <w:color w:val="auto"/>
              </w:rPr>
            </w:pPr>
          </w:p>
        </w:tc>
        <w:tc>
          <w:tcPr>
            <w:tcW w:w="340" w:type="dxa"/>
            <w:vAlign w:val="bottom"/>
          </w:tcPr>
          <w:p>
            <w:pPr>
              <w:jc w:val="right"/>
              <w:ind w:right="121"/>
              <w:spacing w:after="0" w:line="228" w:lineRule="exact"/>
              <w:rPr>
                <w:sz w:val="20"/>
                <w:szCs w:val="20"/>
                <w:color w:val="auto"/>
              </w:rPr>
            </w:pPr>
            <w:r>
              <w:rPr>
                <w:rFonts w:ascii="Calibri" w:cs="Calibri" w:eastAsia="Calibri" w:hAnsi="Calibri"/>
                <w:sz w:val="20"/>
                <w:szCs w:val="20"/>
                <w:color w:val="auto"/>
                <w:w w:val="98"/>
              </w:rPr>
              <w:t>$</w:t>
            </w:r>
          </w:p>
        </w:tc>
        <w:tc>
          <w:tcPr>
            <w:tcW w:w="1240" w:type="dxa"/>
            <w:vAlign w:val="bottom"/>
          </w:tcPr>
          <w:p>
            <w:pPr>
              <w:jc w:val="right"/>
              <w:spacing w:after="0" w:line="228" w:lineRule="exact"/>
              <w:rPr>
                <w:sz w:val="20"/>
                <w:szCs w:val="20"/>
                <w:color w:val="auto"/>
              </w:rPr>
            </w:pPr>
            <w:r>
              <w:rPr>
                <w:rFonts w:ascii="Calibri" w:cs="Calibri" w:eastAsia="Calibri" w:hAnsi="Calibri"/>
                <w:sz w:val="20"/>
                <w:szCs w:val="20"/>
                <w:color w:val="auto"/>
              </w:rPr>
              <w:t>4.4</w:t>
            </w: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jc w:val="right"/>
              <w:ind w:right="101"/>
              <w:spacing w:after="0" w:line="228" w:lineRule="exact"/>
              <w:rPr>
                <w:sz w:val="20"/>
                <w:szCs w:val="20"/>
                <w:color w:val="auto"/>
              </w:rPr>
            </w:pPr>
            <w:r>
              <w:rPr>
                <w:rFonts w:ascii="Calibri" w:cs="Calibri" w:eastAsia="Calibri" w:hAnsi="Calibri"/>
                <w:sz w:val="20"/>
                <w:szCs w:val="20"/>
                <w:color w:val="auto"/>
                <w:w w:val="78"/>
              </w:rPr>
              <w:t>$</w:t>
            </w:r>
          </w:p>
        </w:tc>
        <w:tc>
          <w:tcPr>
            <w:tcW w:w="1300" w:type="dxa"/>
            <w:vAlign w:val="bottom"/>
          </w:tcPr>
          <w:p>
            <w:pPr>
              <w:jc w:val="right"/>
              <w:spacing w:after="0" w:line="228" w:lineRule="exact"/>
              <w:rPr>
                <w:sz w:val="20"/>
                <w:szCs w:val="20"/>
                <w:color w:val="auto"/>
              </w:rPr>
            </w:pPr>
            <w:r>
              <w:rPr>
                <w:rFonts w:ascii="Calibri" w:cs="Calibri" w:eastAsia="Calibri" w:hAnsi="Calibri"/>
                <w:sz w:val="20"/>
                <w:szCs w:val="20"/>
                <w:color w:val="auto"/>
              </w:rPr>
              <w:t>6.5</w:t>
            </w: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40" w:type="dxa"/>
            <w:vAlign w:val="bottom"/>
          </w:tcPr>
          <w:p>
            <w:pPr>
              <w:jc w:val="right"/>
              <w:ind w:right="141"/>
              <w:spacing w:after="0" w:line="228" w:lineRule="exact"/>
              <w:rPr>
                <w:sz w:val="20"/>
                <w:szCs w:val="20"/>
                <w:color w:val="auto"/>
              </w:rPr>
            </w:pPr>
            <w:r>
              <w:rPr>
                <w:rFonts w:ascii="Calibri" w:cs="Calibri" w:eastAsia="Calibri" w:hAnsi="Calibri"/>
                <w:sz w:val="20"/>
                <w:szCs w:val="20"/>
                <w:color w:val="auto"/>
                <w:w w:val="78"/>
              </w:rPr>
              <w:t>$</w:t>
            </w:r>
          </w:p>
        </w:tc>
        <w:tc>
          <w:tcPr>
            <w:tcW w:w="1520" w:type="dxa"/>
            <w:vAlign w:val="bottom"/>
            <w:gridSpan w:val="2"/>
          </w:tcPr>
          <w:p>
            <w:pPr>
              <w:jc w:val="right"/>
              <w:ind w:right="200"/>
              <w:spacing w:after="0" w:line="228" w:lineRule="exact"/>
              <w:rPr>
                <w:sz w:val="20"/>
                <w:szCs w:val="20"/>
                <w:color w:val="auto"/>
              </w:rPr>
            </w:pPr>
            <w:r>
              <w:rPr>
                <w:rFonts w:ascii="Calibri" w:cs="Calibri" w:eastAsia="Calibri" w:hAnsi="Calibri"/>
                <w:sz w:val="20"/>
                <w:szCs w:val="20"/>
                <w:color w:val="auto"/>
              </w:rPr>
              <w:t>(0.2)</w:t>
            </w:r>
          </w:p>
        </w:tc>
        <w:tc>
          <w:tcPr>
            <w:tcW w:w="20" w:type="dxa"/>
            <w:vAlign w:val="bottom"/>
            <w:vMerge w:val="continue"/>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Calibri" w:cs="Calibri" w:eastAsia="Calibri" w:hAnsi="Calibri"/>
                <w:sz w:val="16"/>
                <w:szCs w:val="16"/>
                <w:color w:val="auto"/>
                <w:w w:val="73"/>
              </w:rPr>
              <w:t>$</w:t>
            </w:r>
          </w:p>
        </w:tc>
        <w:tc>
          <w:tcPr>
            <w:tcW w:w="1380" w:type="dxa"/>
            <w:vAlign w:val="bottom"/>
            <w:gridSpan w:val="2"/>
          </w:tcPr>
          <w:p>
            <w:pPr>
              <w:jc w:val="right"/>
              <w:ind w:right="60"/>
              <w:spacing w:after="0" w:line="228" w:lineRule="exact"/>
              <w:rPr>
                <w:sz w:val="20"/>
                <w:szCs w:val="20"/>
                <w:color w:val="auto"/>
              </w:rPr>
            </w:pPr>
            <w:r>
              <w:rPr>
                <w:rFonts w:ascii="Calibri" w:cs="Calibri" w:eastAsia="Calibri" w:hAnsi="Calibri"/>
                <w:sz w:val="20"/>
                <w:szCs w:val="20"/>
                <w:color w:val="auto"/>
              </w:rPr>
              <w:t>(0.2)</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 xml:space="preserve">The service cost component of net periodic beneft (credit) cost is included in </w:t>
      </w:r>
      <w:r>
        <w:rPr>
          <w:rFonts w:ascii="Calibri" w:cs="Calibri" w:eastAsia="Calibri" w:hAnsi="Calibri"/>
          <w:sz w:val="20"/>
          <w:szCs w:val="20"/>
          <w:i w:val="1"/>
          <w:iCs w:val="1"/>
          <w:color w:val="auto"/>
        </w:rPr>
        <w:t>Cost of revenues – products and services</w:t>
      </w:r>
      <w:r>
        <w:rPr>
          <w:rFonts w:ascii="Calibri" w:cs="Calibri" w:eastAsia="Calibri" w:hAnsi="Calibri"/>
          <w:sz w:val="20"/>
          <w:szCs w:val="20"/>
          <w:color w:val="auto"/>
        </w:rPr>
        <w:t xml:space="preserve"> and </w:t>
      </w:r>
      <w:r>
        <w:rPr>
          <w:rFonts w:ascii="Calibri" w:cs="Calibri" w:eastAsia="Calibri" w:hAnsi="Calibri"/>
          <w:sz w:val="20"/>
          <w:szCs w:val="20"/>
          <w:i w:val="1"/>
          <w:iCs w:val="1"/>
          <w:color w:val="auto"/>
        </w:rPr>
        <w:t>Selling,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general and administratve expenses</w:t>
      </w:r>
      <w:r>
        <w:rPr>
          <w:rFonts w:ascii="Calibri" w:cs="Calibri" w:eastAsia="Calibri" w:hAnsi="Calibri"/>
          <w:sz w:val="20"/>
          <w:szCs w:val="20"/>
          <w:color w:val="auto"/>
        </w:rPr>
        <w:t>. All other components are included in</w:t>
      </w:r>
      <w:r>
        <w:rPr>
          <w:rFonts w:ascii="Calibri" w:cs="Calibri" w:eastAsia="Calibri" w:hAnsi="Calibri"/>
          <w:sz w:val="20"/>
          <w:szCs w:val="20"/>
          <w:i w:val="1"/>
          <w:iCs w:val="1"/>
          <w:color w:val="auto"/>
        </w:rPr>
        <w:t xml:space="preserve"> Other nonoperatng income, net</w:t>
      </w:r>
      <w:r>
        <w:rPr>
          <w:rFonts w:ascii="Calibri" w:cs="Calibri" w:eastAsia="Calibri" w:hAnsi="Calibri"/>
          <w:sz w:val="20"/>
          <w:szCs w:val="20"/>
          <w:color w:val="auto"/>
        </w:rPr>
        <w:t>, in the consolidated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statements of earnings and comprehensive earnings.</w:t>
      </w:r>
    </w:p>
    <w:p>
      <w:pPr>
        <w:spacing w:after="0" w:line="279" w:lineRule="exact"/>
        <w:rPr>
          <w:sz w:val="20"/>
          <w:szCs w:val="20"/>
          <w:color w:val="auto"/>
        </w:rPr>
      </w:pPr>
    </w:p>
    <w:p>
      <w:pPr>
        <w:ind w:left="280" w:right="7900" w:hanging="272"/>
        <w:spacing w:after="0" w:line="335" w:lineRule="auto"/>
        <w:tabs>
          <w:tab w:leader="none" w:pos="269"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Commitments and Contngencies </w:t>
      </w:r>
      <w:r>
        <w:rPr>
          <w:rFonts w:ascii="Calibri" w:cs="Calibri" w:eastAsia="Calibri" w:hAnsi="Calibri"/>
          <w:sz w:val="20"/>
          <w:szCs w:val="20"/>
          <w:u w:val="single" w:color="auto"/>
          <w:color w:val="auto"/>
        </w:rPr>
        <w:t>Legal and Administratve Proceedings</w:t>
      </w:r>
    </w:p>
    <w:p>
      <w:pPr>
        <w:spacing w:after="0" w:line="20" w:lineRule="exact"/>
        <w:rPr>
          <w:rFonts w:ascii="Calibri" w:cs="Calibri" w:eastAsia="Calibri" w:hAnsi="Calibri"/>
          <w:sz w:val="20"/>
          <w:szCs w:val="20"/>
          <w:b w:val="1"/>
          <w:bCs w:val="1"/>
          <w:color w:val="auto"/>
        </w:rPr>
      </w:pPr>
    </w:p>
    <w:p>
      <w:pPr>
        <w:jc w:val="both"/>
        <w:ind w:left="2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is engaged in certain legal and administratve proceedings incidental to its normal business actvites, including maters relatng to environmental protecton. The Company considers various factors in assessing the probable outcome of each mater, including but not limited to the nature of existng legal proceedings and claims, the asserted or possible damages, the jurisdicton and venue of the case and whether it is a jury trial, the progress of the case, existng law and precedent, the opinions or views of legal counsel and other advisers, the Company’s experience in similar cases and the experience of other companies, the facts available to the Company at the tme of assessment, and how the Company intends to respond to the proceeding or claim. The Company’s assessment of these factors may change over tme as proceedings or claims progress. The Company believes the probability is remote that the outcome of any currently pending legal or administratve proceeding will result in a material loss to the Company as a whole, based on currently available facts.</w:t>
      </w:r>
    </w:p>
    <w:p>
      <w:pPr>
        <w:spacing w:after="0" w:line="115" w:lineRule="exact"/>
        <w:rPr>
          <w:rFonts w:ascii="Calibri" w:cs="Calibri" w:eastAsia="Calibri" w:hAnsi="Calibri"/>
          <w:sz w:val="20"/>
          <w:szCs w:val="20"/>
          <w:b w:val="1"/>
          <w:bCs w:val="1"/>
          <w:color w:val="auto"/>
        </w:rPr>
      </w:pPr>
    </w:p>
    <w:p>
      <w:pPr>
        <w:ind w:left="280"/>
        <w:spacing w:after="0"/>
        <w:rPr>
          <w:rFonts w:ascii="Calibri" w:cs="Calibri" w:eastAsia="Calibri" w:hAnsi="Calibri"/>
          <w:sz w:val="20"/>
          <w:szCs w:val="20"/>
          <w:b w:val="1"/>
          <w:bCs w:val="1"/>
          <w:color w:val="auto"/>
        </w:rPr>
      </w:pPr>
      <w:r>
        <w:rPr>
          <w:rFonts w:ascii="Calibri" w:cs="Calibri" w:eastAsia="Calibri" w:hAnsi="Calibri"/>
          <w:sz w:val="20"/>
          <w:szCs w:val="20"/>
          <w:u w:val="single" w:color="auto"/>
          <w:color w:val="auto"/>
        </w:rPr>
        <w:t>Borrowing Arrangements with Afliate</w:t>
      </w:r>
    </w:p>
    <w:p>
      <w:pPr>
        <w:spacing w:after="0" w:line="116" w:lineRule="exact"/>
        <w:rPr>
          <w:rFonts w:ascii="Calibri" w:cs="Calibri" w:eastAsia="Calibri" w:hAnsi="Calibri"/>
          <w:sz w:val="20"/>
          <w:szCs w:val="20"/>
          <w:b w:val="1"/>
          <w:bCs w:val="1"/>
          <w:color w:val="auto"/>
        </w:rPr>
      </w:pPr>
    </w:p>
    <w:p>
      <w:pPr>
        <w:jc w:val="both"/>
        <w:ind w:left="2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is a co-borrower with an unconsolidated afliate for a $12.5 million revolving line of credit agreement with Truist Bank, of which $4.5 million was outstanding as of March 31, 2022. The afliate has agreed to reimburse and indemnify the Company for any payments and expenses the Company may incur from this agreement. The</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jc w:val="both"/>
        <w:ind w:left="280" w:right="20"/>
        <w:spacing w:after="0" w:line="234" w:lineRule="auto"/>
        <w:rPr>
          <w:sz w:val="20"/>
          <w:szCs w:val="20"/>
          <w:color w:val="auto"/>
        </w:rPr>
      </w:pPr>
      <w:r>
        <w:rPr>
          <w:rFonts w:ascii="Calibri" w:cs="Calibri" w:eastAsia="Calibri" w:hAnsi="Calibri"/>
          <w:sz w:val="20"/>
          <w:szCs w:val="20"/>
          <w:color w:val="auto"/>
        </w:rPr>
        <w:t>Company holds a lien on the afliate’s membership interest in a joint venture as collateral for payment under the revolving line of credit.</w:t>
      </w:r>
    </w:p>
    <w:p>
      <w:pPr>
        <w:spacing w:after="0" w:line="118"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In additon, the Company has a $6.0 million interest-only loan receivable, due December 31, 2022, outstanding from this unconsolidated afliate as of March 31, 2022 and December 31, 2021. The interest rate is one-month LIBOR plus a current spread of 1.63%.</w:t>
      </w:r>
    </w:p>
    <w:p>
      <w:pPr>
        <w:spacing w:after="0" w:line="107" w:lineRule="exact"/>
        <w:rPr>
          <w:sz w:val="20"/>
          <w:szCs w:val="20"/>
          <w:color w:val="auto"/>
        </w:rPr>
      </w:pPr>
    </w:p>
    <w:p>
      <w:pPr>
        <w:ind w:left="280"/>
        <w:spacing w:after="0"/>
        <w:rPr>
          <w:sz w:val="20"/>
          <w:szCs w:val="20"/>
          <w:color w:val="auto"/>
        </w:rPr>
      </w:pPr>
      <w:r>
        <w:rPr>
          <w:rFonts w:ascii="Calibri" w:cs="Calibri" w:eastAsia="Calibri" w:hAnsi="Calibri"/>
          <w:sz w:val="20"/>
          <w:szCs w:val="20"/>
          <w:u w:val="single" w:color="auto"/>
          <w:color w:val="auto"/>
        </w:rPr>
        <w:t>Leters of Credit</w:t>
      </w:r>
    </w:p>
    <w:p>
      <w:pPr>
        <w:spacing w:after="0" w:line="117"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In the normal course of business, the Company provides certain third partes with standby leter of credit agreements guaranteeing its payment for certain insurance claims, contract performance and permit requirements. At March 31, 2022, the Company was contngently liable for $17.2 million in leters of credit, of which $2.6 million were issued under the Company’s Revolving Facility.</w:t>
      </w:r>
    </w:p>
    <w:p>
      <w:pPr>
        <w:spacing w:after="0" w:line="323" w:lineRule="exact"/>
        <w:rPr>
          <w:sz w:val="20"/>
          <w:szCs w:val="20"/>
          <w:color w:val="auto"/>
        </w:rPr>
      </w:pPr>
    </w:p>
    <w:p>
      <w:pPr>
        <w:ind w:left="280" w:hanging="272"/>
        <w:spacing w:after="0"/>
        <w:tabs>
          <w:tab w:leader="none" w:pos="28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Segments</w:t>
      </w:r>
    </w:p>
    <w:p>
      <w:pPr>
        <w:spacing w:after="0" w:line="116" w:lineRule="exact"/>
        <w:rPr>
          <w:rFonts w:ascii="Calibri" w:cs="Calibri" w:eastAsia="Calibri" w:hAnsi="Calibri"/>
          <w:sz w:val="20"/>
          <w:szCs w:val="20"/>
          <w:b w:val="1"/>
          <w:bCs w:val="1"/>
          <w:color w:val="auto"/>
        </w:rPr>
      </w:pPr>
    </w:p>
    <w:p>
      <w:pPr>
        <w:jc w:val="both"/>
        <w:ind w:left="28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The Building Materials business contains two reportable segments: the East Group and the West Group. The Company also has a Magnesia Specialtes segment. The Company’s evaluaton of performance and allocaton of resources are based primarily on earnings from operatons. Consolidated earnings from operatons include total revenues less cost of revenues; selling, general and administratve expenses; acquisiton and integraton expenses; other operatng income and expenses, net; and exclude interest expense; other nonoperatng income and expenses, net; and income taxes. Corporate loss from operatons primarily includes depreciaton; expenses for corporate administratve functons; acquisiton and integraton expenses; and other nonrecurring income and expenses excluded from the Company’s evaluaton of business segment performance and resource allocaton. All long-term debt and related interest expense are held at Corporate.</w:t>
      </w: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0" w:name="page21"/>
    <w:bookmarkEnd w:id="20"/>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The following table displays selected fnancial data for the Company’s reportable segments. Total revenues, as well as the consolidated statements of earnings and comprehensive earnings, exclude intersegment revenues, which represent sales from one segment to another segment and are eliminated in consolidaton. Total revenues, product and services revenues, and earnings (loss) from operatons refect contnuing operatons only.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80" w:type="dxa"/>
            <w:vAlign w:val="bottom"/>
            <w:gridSpan w:val="3"/>
          </w:tcPr>
          <w:p>
            <w:pPr>
              <w:jc w:val="center"/>
              <w:spacing w:after="0"/>
              <w:rPr>
                <w:sz w:val="20"/>
                <w:szCs w:val="20"/>
                <w:color w:val="auto"/>
              </w:rPr>
            </w:pPr>
            <w:r>
              <w:rPr>
                <w:rFonts w:ascii="Calibri" w:cs="Calibri" w:eastAsia="Calibri" w:hAnsi="Calibri"/>
                <w:sz w:val="20"/>
                <w:szCs w:val="20"/>
                <w:color w:val="auto"/>
              </w:rPr>
              <w:t>Three Months Ended</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1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980" w:type="dxa"/>
            <w:vAlign w:val="bottom"/>
            <w:gridSpan w:val="3"/>
          </w:tcPr>
          <w:p>
            <w:pPr>
              <w:jc w:val="center"/>
              <w:spacing w:after="0"/>
              <w:rPr>
                <w:sz w:val="20"/>
                <w:szCs w:val="20"/>
                <w:color w:val="auto"/>
              </w:rPr>
            </w:pPr>
            <w:r>
              <w:rPr>
                <w:rFonts w:ascii="Calibri" w:cs="Calibri" w:eastAsia="Calibri" w:hAnsi="Calibri"/>
                <w:sz w:val="20"/>
                <w:szCs w:val="20"/>
                <w:color w:val="auto"/>
              </w:rPr>
              <w:t>March 31,</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
        </w:trPr>
        <w:tc>
          <w:tcPr>
            <w:tcW w:w="1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80" w:type="dxa"/>
            <w:vAlign w:val="bottom"/>
          </w:tcPr>
          <w:p>
            <w:pPr>
              <w:jc w:val="right"/>
              <w:ind w:right="21"/>
              <w:spacing w:after="0" w:line="228" w:lineRule="exact"/>
              <w:rPr>
                <w:sz w:val="20"/>
                <w:szCs w:val="20"/>
                <w:color w:val="auto"/>
              </w:rPr>
            </w:pPr>
            <w:r>
              <w:rPr>
                <w:rFonts w:ascii="Calibri" w:cs="Calibri" w:eastAsia="Calibri" w:hAnsi="Calibri"/>
                <w:sz w:val="20"/>
                <w:szCs w:val="20"/>
                <w:color w:val="auto"/>
              </w:rPr>
              <w:t>2022</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tcPr>
          <w:p>
            <w:pPr>
              <w:jc w:val="right"/>
              <w:ind w:right="881"/>
              <w:spacing w:after="0" w:line="228"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80" w:type="dxa"/>
            <w:vAlign w:val="bottom"/>
            <w:gridSpan w:val="3"/>
          </w:tcPr>
          <w:p>
            <w:pPr>
              <w:jc w:val="center"/>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60" w:type="dxa"/>
            <w:vAlign w:val="bottom"/>
            <w:gridSpan w:val="4"/>
            <w:shd w:val="clear" w:color="auto" w:fill="CFF0FC"/>
          </w:tcPr>
          <w:p>
            <w:pPr>
              <w:spacing w:after="0" w:line="189" w:lineRule="exact"/>
              <w:rPr>
                <w:sz w:val="20"/>
                <w:szCs w:val="20"/>
                <w:color w:val="auto"/>
              </w:rPr>
            </w:pPr>
            <w:r>
              <w:rPr>
                <w:rFonts w:ascii="Calibri" w:cs="Calibri" w:eastAsia="Calibri" w:hAnsi="Calibri"/>
                <w:sz w:val="20"/>
                <w:szCs w:val="20"/>
                <w:color w:val="auto"/>
              </w:rPr>
              <w:t>Total revenues:</w:t>
            </w:r>
          </w:p>
        </w:tc>
        <w:tc>
          <w:tcPr>
            <w:tcW w:w="1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1200" w:type="dxa"/>
            <w:vAlign w:val="bottom"/>
            <w:tcBorders>
              <w:top w:val="single" w:sz="8" w:color="auto"/>
            </w:tcBorders>
          </w:tcPr>
          <w:p>
            <w:pPr>
              <w:spacing w:after="0" w:line="234" w:lineRule="exact"/>
              <w:rPr>
                <w:sz w:val="20"/>
                <w:szCs w:val="20"/>
                <w:color w:val="auto"/>
              </w:rPr>
            </w:pPr>
            <w:r>
              <w:rPr>
                <w:rFonts w:ascii="Calibri" w:cs="Calibri" w:eastAsia="Calibri" w:hAnsi="Calibri"/>
                <w:sz w:val="20"/>
                <w:szCs w:val="20"/>
                <w:color w:val="auto"/>
              </w:rPr>
              <w:t>East Group</w:t>
            </w:r>
          </w:p>
        </w:tc>
        <w:tc>
          <w:tcPr>
            <w:tcW w:w="4960" w:type="dxa"/>
            <w:vAlign w:val="bottom"/>
            <w:tcBorders>
              <w:top w:val="single" w:sz="8" w:color="CFF0FC"/>
            </w:tcBorders>
            <w:gridSpan w:val="3"/>
          </w:tcPr>
          <w:p>
            <w:pPr>
              <w:spacing w:after="0"/>
              <w:rPr>
                <w:sz w:val="20"/>
                <w:szCs w:val="20"/>
                <w:color w:val="auto"/>
              </w:rPr>
            </w:pPr>
          </w:p>
        </w:tc>
        <w:tc>
          <w:tcPr>
            <w:tcW w:w="1480" w:type="dxa"/>
            <w:vAlign w:val="bottom"/>
            <w:tcBorders>
              <w:top w:val="single" w:sz="8" w:color="CFF0FC"/>
            </w:tcBorders>
          </w:tcPr>
          <w:p>
            <w:pPr>
              <w:jc w:val="right"/>
              <w:ind w:right="1281"/>
              <w:spacing w:after="0" w:line="234" w:lineRule="exact"/>
              <w:rPr>
                <w:sz w:val="20"/>
                <w:szCs w:val="20"/>
                <w:color w:val="auto"/>
              </w:rPr>
            </w:pPr>
            <w:r>
              <w:rPr>
                <w:rFonts w:ascii="Calibri" w:cs="Calibri" w:eastAsia="Calibri" w:hAnsi="Calibri"/>
                <w:sz w:val="20"/>
                <w:szCs w:val="20"/>
                <w:color w:val="auto"/>
                <w:w w:val="78"/>
              </w:rPr>
              <w:t>$</w:t>
            </w:r>
          </w:p>
        </w:tc>
        <w:tc>
          <w:tcPr>
            <w:tcW w:w="840" w:type="dxa"/>
            <w:vAlign w:val="bottom"/>
            <w:tcBorders>
              <w:top w:val="single" w:sz="8" w:color="CFF0FC"/>
            </w:tcBorders>
          </w:tcPr>
          <w:p>
            <w:pPr>
              <w:jc w:val="right"/>
              <w:spacing w:after="0" w:line="234" w:lineRule="exact"/>
              <w:rPr>
                <w:sz w:val="20"/>
                <w:szCs w:val="20"/>
                <w:color w:val="auto"/>
              </w:rPr>
            </w:pPr>
            <w:r>
              <w:rPr>
                <w:rFonts w:ascii="Calibri" w:cs="Calibri" w:eastAsia="Calibri" w:hAnsi="Calibri"/>
                <w:sz w:val="20"/>
                <w:szCs w:val="20"/>
                <w:color w:val="auto"/>
              </w:rPr>
              <w:t>418.8</w:t>
            </w:r>
          </w:p>
        </w:tc>
        <w:tc>
          <w:tcPr>
            <w:tcW w:w="320" w:type="dxa"/>
            <w:vAlign w:val="bottom"/>
            <w:tcBorders>
              <w:top w:val="single" w:sz="8" w:color="CFF0FC"/>
            </w:tcBorders>
          </w:tcPr>
          <w:p>
            <w:pPr>
              <w:spacing w:after="0"/>
              <w:rPr>
                <w:sz w:val="20"/>
                <w:szCs w:val="20"/>
                <w:color w:val="auto"/>
              </w:rPr>
            </w:pPr>
          </w:p>
        </w:tc>
        <w:tc>
          <w:tcPr>
            <w:tcW w:w="820" w:type="dxa"/>
            <w:vAlign w:val="bottom"/>
            <w:tcBorders>
              <w:top w:val="single" w:sz="8" w:color="CFF0FC"/>
            </w:tcBorders>
          </w:tcPr>
          <w:p>
            <w:pPr>
              <w:jc w:val="right"/>
              <w:ind w:right="601"/>
              <w:spacing w:after="0" w:line="234" w:lineRule="exact"/>
              <w:rPr>
                <w:sz w:val="20"/>
                <w:szCs w:val="20"/>
                <w:color w:val="auto"/>
              </w:rPr>
            </w:pPr>
            <w:r>
              <w:rPr>
                <w:rFonts w:ascii="Calibri" w:cs="Calibri" w:eastAsia="Calibri" w:hAnsi="Calibri"/>
                <w:sz w:val="20"/>
                <w:szCs w:val="20"/>
                <w:color w:val="auto"/>
                <w:w w:val="98"/>
              </w:rPr>
              <w:t>$</w:t>
            </w:r>
          </w:p>
        </w:tc>
        <w:tc>
          <w:tcPr>
            <w:tcW w:w="1520" w:type="dxa"/>
            <w:vAlign w:val="bottom"/>
            <w:tcBorders>
              <w:top w:val="single" w:sz="8" w:color="CFF0FC"/>
            </w:tcBorders>
          </w:tcPr>
          <w:p>
            <w:pPr>
              <w:jc w:val="right"/>
              <w:spacing w:after="0" w:line="234" w:lineRule="exact"/>
              <w:rPr>
                <w:sz w:val="20"/>
                <w:szCs w:val="20"/>
                <w:color w:val="auto"/>
              </w:rPr>
            </w:pPr>
            <w:r>
              <w:rPr>
                <w:rFonts w:ascii="Calibri" w:cs="Calibri" w:eastAsia="Calibri" w:hAnsi="Calibri"/>
                <w:sz w:val="20"/>
                <w:szCs w:val="20"/>
                <w:color w:val="auto"/>
              </w:rPr>
              <w:t>394.9</w:t>
            </w:r>
          </w:p>
        </w:tc>
        <w:tc>
          <w:tcPr>
            <w:tcW w:w="100" w:type="dxa"/>
            <w:vAlign w:val="bottom"/>
            <w:tcBorders>
              <w:top w:val="single" w:sz="8" w:color="CFF0FC"/>
            </w:tcBorders>
          </w:tcPr>
          <w:p>
            <w:pPr>
              <w:spacing w:after="0"/>
              <w:rPr>
                <w:sz w:val="20"/>
                <w:szCs w:val="20"/>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160" w:type="dxa"/>
            <w:vAlign w:val="bottom"/>
            <w:tcBorders>
              <w:bottom w:val="single" w:sz="8" w:color="CFF0FC"/>
            </w:tcBorders>
            <w:gridSpan w:val="4"/>
            <w:shd w:val="clear" w:color="auto" w:fill="CFF0FC"/>
          </w:tcPr>
          <w:p>
            <w:pPr>
              <w:spacing w:after="0" w:line="234" w:lineRule="exact"/>
              <w:rPr>
                <w:sz w:val="20"/>
                <w:szCs w:val="20"/>
                <w:color w:val="auto"/>
              </w:rPr>
            </w:pPr>
            <w:r>
              <w:rPr>
                <w:rFonts w:ascii="Calibri" w:cs="Calibri" w:eastAsia="Calibri" w:hAnsi="Calibri"/>
                <w:sz w:val="20"/>
                <w:szCs w:val="20"/>
                <w:color w:val="auto"/>
              </w:rPr>
              <w:t>West Group</w:t>
            </w:r>
          </w:p>
        </w:tc>
        <w:tc>
          <w:tcPr>
            <w:tcW w:w="14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735.0</w:t>
            </w:r>
          </w:p>
        </w:tc>
        <w:tc>
          <w:tcPr>
            <w:tcW w:w="3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516.6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6160" w:type="dxa"/>
            <w:vAlign w:val="bottom"/>
            <w:gridSpan w:val="4"/>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1,153.8</w:t>
            </w: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911.5</w:t>
            </w:r>
          </w:p>
        </w:tc>
        <w:tc>
          <w:tcPr>
            <w:tcW w:w="100" w:type="dxa"/>
            <w:vAlign w:val="bottom"/>
          </w:tcPr>
          <w:p>
            <w:pPr>
              <w:spacing w:after="0"/>
              <w:rPr>
                <w:sz w:val="19"/>
                <w:szCs w:val="19"/>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160" w:type="dxa"/>
            <w:vAlign w:val="bottom"/>
            <w:tcBorders>
              <w:bottom w:val="single" w:sz="8" w:color="CFF0FC"/>
            </w:tcBorders>
            <w:gridSpan w:val="4"/>
            <w:shd w:val="clear" w:color="auto" w:fill="CFF0FC"/>
          </w:tcPr>
          <w:p>
            <w:pPr>
              <w:spacing w:after="0" w:line="234" w:lineRule="exact"/>
              <w:rPr>
                <w:sz w:val="20"/>
                <w:szCs w:val="20"/>
                <w:color w:val="auto"/>
              </w:rPr>
            </w:pPr>
            <w:r>
              <w:rPr>
                <w:rFonts w:ascii="Calibri" w:cs="Calibri" w:eastAsia="Calibri" w:hAnsi="Calibri"/>
                <w:sz w:val="20"/>
                <w:szCs w:val="20"/>
                <w:color w:val="auto"/>
              </w:rPr>
              <w:t>Magnesia Specialtes</w:t>
            </w:r>
          </w:p>
        </w:tc>
        <w:tc>
          <w:tcPr>
            <w:tcW w:w="14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77.0</w:t>
            </w:r>
          </w:p>
        </w:tc>
        <w:tc>
          <w:tcPr>
            <w:tcW w:w="3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70.9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6160" w:type="dxa"/>
            <w:vAlign w:val="bottom"/>
            <w:gridSpan w:val="4"/>
          </w:tcPr>
          <w:p>
            <w:pPr>
              <w:spacing w:after="0" w:line="217" w:lineRule="exact"/>
              <w:rPr>
                <w:sz w:val="20"/>
                <w:szCs w:val="20"/>
                <w:color w:val="auto"/>
              </w:rPr>
            </w:pPr>
            <w:r>
              <w:rPr>
                <w:rFonts w:ascii="Calibri" w:cs="Calibri" w:eastAsia="Calibri" w:hAnsi="Calibri"/>
                <w:sz w:val="20"/>
                <w:szCs w:val="20"/>
                <w:color w:val="auto"/>
              </w:rPr>
              <w:t>Total</w:t>
            </w:r>
          </w:p>
        </w:tc>
        <w:tc>
          <w:tcPr>
            <w:tcW w:w="1480" w:type="dxa"/>
            <w:vAlign w:val="bottom"/>
            <w:tcBorders>
              <w:top w:val="single" w:sz="8" w:color="auto"/>
            </w:tcBorders>
          </w:tcPr>
          <w:p>
            <w:pPr>
              <w:jc w:val="right"/>
              <w:ind w:right="1281"/>
              <w:spacing w:after="0" w:line="228" w:lineRule="exact"/>
              <w:rPr>
                <w:sz w:val="20"/>
                <w:szCs w:val="20"/>
                <w:color w:val="auto"/>
              </w:rPr>
            </w:pPr>
            <w:r>
              <w:rPr>
                <w:rFonts w:ascii="Calibri" w:cs="Calibri" w:eastAsia="Calibri" w:hAnsi="Calibri"/>
                <w:sz w:val="20"/>
                <w:szCs w:val="20"/>
                <w:color w:val="auto"/>
                <w:w w:val="78"/>
              </w:rPr>
              <w:t>$</w:t>
            </w:r>
          </w:p>
        </w:tc>
        <w:tc>
          <w:tcPr>
            <w:tcW w:w="8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1,230.8</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ind w:right="601"/>
              <w:spacing w:after="0" w:line="228" w:lineRule="exact"/>
              <w:rPr>
                <w:sz w:val="20"/>
                <w:szCs w:val="20"/>
                <w:color w:val="auto"/>
              </w:rPr>
            </w:pPr>
            <w:r>
              <w:rPr>
                <w:rFonts w:ascii="Calibri" w:cs="Calibri" w:eastAsia="Calibri" w:hAnsi="Calibri"/>
                <w:sz w:val="20"/>
                <w:szCs w:val="20"/>
                <w:color w:val="auto"/>
                <w:w w:val="98"/>
              </w:rPr>
              <w:t>$</w:t>
            </w:r>
          </w:p>
        </w:tc>
        <w:tc>
          <w:tcPr>
            <w:tcW w:w="1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982.4</w:t>
            </w:r>
          </w:p>
        </w:tc>
        <w:tc>
          <w:tcPr>
            <w:tcW w:w="100" w:type="dxa"/>
            <w:vAlign w:val="bottom"/>
          </w:tcPr>
          <w:p>
            <w:pPr>
              <w:spacing w:after="0"/>
              <w:rPr>
                <w:sz w:val="19"/>
                <w:szCs w:val="19"/>
                <w:color w:val="auto"/>
              </w:rPr>
            </w:pPr>
          </w:p>
        </w:tc>
      </w:tr>
      <w:tr>
        <w:trPr>
          <w:trHeight w:val="62"/>
        </w:trPr>
        <w:tc>
          <w:tcPr>
            <w:tcW w:w="1200" w:type="dxa"/>
            <w:vAlign w:val="bottom"/>
            <w:tcBorders>
              <w:bottom w:val="single" w:sz="8" w:color="CFF0FC"/>
            </w:tcBorders>
          </w:tcPr>
          <w:p>
            <w:pPr>
              <w:spacing w:after="0"/>
              <w:rPr>
                <w:sz w:val="5"/>
                <w:szCs w:val="5"/>
                <w:color w:val="auto"/>
              </w:rPr>
            </w:pPr>
          </w:p>
        </w:tc>
        <w:tc>
          <w:tcPr>
            <w:tcW w:w="1400" w:type="dxa"/>
            <w:vAlign w:val="bottom"/>
            <w:tcBorders>
              <w:bottom w:val="single" w:sz="8" w:color="CFF0FC"/>
            </w:tcBorders>
          </w:tcPr>
          <w:p>
            <w:pPr>
              <w:spacing w:after="0"/>
              <w:rPr>
                <w:sz w:val="5"/>
                <w:szCs w:val="5"/>
                <w:color w:val="auto"/>
              </w:rPr>
            </w:pPr>
          </w:p>
        </w:tc>
        <w:tc>
          <w:tcPr>
            <w:tcW w:w="40" w:type="dxa"/>
            <w:vAlign w:val="bottom"/>
            <w:tcBorders>
              <w:bottom w:val="single" w:sz="8" w:color="CFF0FC"/>
            </w:tcBorders>
          </w:tcPr>
          <w:p>
            <w:pPr>
              <w:spacing w:after="0"/>
              <w:rPr>
                <w:sz w:val="5"/>
                <w:szCs w:val="5"/>
                <w:color w:val="auto"/>
              </w:rPr>
            </w:pPr>
          </w:p>
        </w:tc>
        <w:tc>
          <w:tcPr>
            <w:tcW w:w="3520" w:type="dxa"/>
            <w:vAlign w:val="bottom"/>
            <w:tcBorders>
              <w:bottom w:val="single" w:sz="8" w:color="CFF0FC"/>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CFF0FC"/>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r>
      <w:tr>
        <w:trPr>
          <w:trHeight w:val="237"/>
        </w:trPr>
        <w:tc>
          <w:tcPr>
            <w:tcW w:w="12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5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89"/>
        </w:trPr>
        <w:tc>
          <w:tcPr>
            <w:tcW w:w="6160" w:type="dxa"/>
            <w:vAlign w:val="bottom"/>
            <w:gridSpan w:val="4"/>
          </w:tcPr>
          <w:p>
            <w:pPr>
              <w:spacing w:after="0" w:line="189" w:lineRule="exact"/>
              <w:rPr>
                <w:sz w:val="20"/>
                <w:szCs w:val="20"/>
                <w:color w:val="auto"/>
              </w:rPr>
            </w:pPr>
            <w:r>
              <w:rPr>
                <w:rFonts w:ascii="Calibri" w:cs="Calibri" w:eastAsia="Calibri" w:hAnsi="Calibri"/>
                <w:sz w:val="20"/>
                <w:szCs w:val="20"/>
                <w:color w:val="auto"/>
              </w:rPr>
              <w:t>Products and services revenues:</w:t>
            </w: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
        </w:trPr>
        <w:tc>
          <w:tcPr>
            <w:tcW w:w="1200" w:type="dxa"/>
            <w:vAlign w:val="bottom"/>
            <w:tcBorders>
              <w:top w:val="single" w:sz="8" w:color="auto"/>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5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7"/>
        </w:trPr>
        <w:tc>
          <w:tcPr>
            <w:tcW w:w="6160" w:type="dxa"/>
            <w:vAlign w:val="bottom"/>
            <w:tcBorders>
              <w:bottom w:val="single" w:sz="8" w:color="CFF0FC"/>
            </w:tcBorders>
            <w:gridSpan w:val="4"/>
            <w:shd w:val="clear" w:color="auto" w:fill="CFF0FC"/>
          </w:tcPr>
          <w:p>
            <w:pPr>
              <w:spacing w:after="0" w:line="234" w:lineRule="exact"/>
              <w:rPr>
                <w:sz w:val="20"/>
                <w:szCs w:val="20"/>
                <w:color w:val="auto"/>
              </w:rPr>
            </w:pPr>
            <w:r>
              <w:rPr>
                <w:rFonts w:ascii="Calibri" w:cs="Calibri" w:eastAsia="Calibri" w:hAnsi="Calibri"/>
                <w:sz w:val="20"/>
                <w:szCs w:val="20"/>
                <w:color w:val="auto"/>
              </w:rPr>
              <w:t>East Group</w:t>
            </w:r>
          </w:p>
        </w:tc>
        <w:tc>
          <w:tcPr>
            <w:tcW w:w="1480" w:type="dxa"/>
            <w:vAlign w:val="bottom"/>
            <w:tcBorders>
              <w:bottom w:val="single" w:sz="8" w:color="CFF0FC"/>
            </w:tcBorders>
            <w:shd w:val="clear" w:color="auto" w:fill="CFF0FC"/>
          </w:tcPr>
          <w:p>
            <w:pPr>
              <w:jc w:val="right"/>
              <w:ind w:right="1281"/>
              <w:spacing w:after="0" w:line="234" w:lineRule="exact"/>
              <w:rPr>
                <w:sz w:val="20"/>
                <w:szCs w:val="20"/>
                <w:color w:val="auto"/>
              </w:rPr>
            </w:pPr>
            <w:r>
              <w:rPr>
                <w:rFonts w:ascii="Calibri" w:cs="Calibri" w:eastAsia="Calibri" w:hAnsi="Calibri"/>
                <w:sz w:val="20"/>
                <w:szCs w:val="20"/>
                <w:color w:val="auto"/>
                <w:w w:val="78"/>
              </w:rPr>
              <w:t>$</w:t>
            </w: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394.6</w:t>
            </w: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ind w:right="601"/>
              <w:spacing w:after="0" w:line="234" w:lineRule="exact"/>
              <w:rPr>
                <w:sz w:val="20"/>
                <w:szCs w:val="20"/>
                <w:color w:val="auto"/>
              </w:rPr>
            </w:pPr>
            <w:r>
              <w:rPr>
                <w:rFonts w:ascii="Calibri" w:cs="Calibri" w:eastAsia="Calibri" w:hAnsi="Calibri"/>
                <w:sz w:val="20"/>
                <w:szCs w:val="20"/>
                <w:color w:val="auto"/>
                <w:w w:val="98"/>
              </w:rPr>
              <w:t>$</w:t>
            </w: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160" w:type="dxa"/>
            <w:vAlign w:val="bottom"/>
            <w:gridSpan w:val="4"/>
          </w:tcPr>
          <w:p>
            <w:pPr>
              <w:spacing w:after="0" w:line="234" w:lineRule="exact"/>
              <w:rPr>
                <w:sz w:val="20"/>
                <w:szCs w:val="20"/>
                <w:color w:val="auto"/>
              </w:rPr>
            </w:pPr>
            <w:r>
              <w:rPr>
                <w:rFonts w:ascii="Calibri" w:cs="Calibri" w:eastAsia="Calibri" w:hAnsi="Calibri"/>
                <w:sz w:val="20"/>
                <w:szCs w:val="20"/>
                <w:color w:val="auto"/>
              </w:rPr>
              <w:t>West Group</w:t>
            </w:r>
          </w:p>
        </w:tc>
        <w:tc>
          <w:tcPr>
            <w:tcW w:w="148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682.4</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jc w:val="right"/>
              <w:spacing w:after="0" w:line="234" w:lineRule="exact"/>
              <w:rPr>
                <w:sz w:val="20"/>
                <w:szCs w:val="20"/>
                <w:color w:val="auto"/>
              </w:rPr>
            </w:pPr>
            <w:r>
              <w:rPr>
                <w:rFonts w:ascii="Calibri" w:cs="Calibri" w:eastAsia="Calibri" w:hAnsi="Calibri"/>
                <w:sz w:val="20"/>
                <w:szCs w:val="20"/>
                <w:color w:val="auto"/>
              </w:rPr>
              <w:t>484.1</w:t>
            </w:r>
          </w:p>
        </w:tc>
        <w:tc>
          <w:tcPr>
            <w:tcW w:w="100" w:type="dxa"/>
            <w:vAlign w:val="bottom"/>
          </w:tcPr>
          <w:p>
            <w:pPr>
              <w:spacing w:after="0"/>
              <w:rPr>
                <w:sz w:val="20"/>
                <w:szCs w:val="20"/>
                <w:color w:val="auto"/>
              </w:rPr>
            </w:pPr>
          </w:p>
        </w:tc>
      </w:tr>
      <w:tr>
        <w:trPr>
          <w:trHeight w:val="22"/>
        </w:trPr>
        <w:tc>
          <w:tcPr>
            <w:tcW w:w="120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352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30"/>
        </w:trPr>
        <w:tc>
          <w:tcPr>
            <w:tcW w:w="6160" w:type="dxa"/>
            <w:vAlign w:val="bottom"/>
            <w:tcBorders>
              <w:bottom w:val="single" w:sz="8" w:color="CFF0FC"/>
            </w:tcBorders>
            <w:gridSpan w:val="4"/>
            <w:shd w:val="clear" w:color="auto" w:fill="CFF0FC"/>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4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1,077.0</w:t>
            </w: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856.6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160" w:type="dxa"/>
            <w:vAlign w:val="bottom"/>
            <w:gridSpan w:val="4"/>
          </w:tcPr>
          <w:p>
            <w:pPr>
              <w:spacing w:after="0" w:line="234" w:lineRule="exact"/>
              <w:rPr>
                <w:sz w:val="20"/>
                <w:szCs w:val="20"/>
                <w:color w:val="auto"/>
              </w:rPr>
            </w:pPr>
            <w:r>
              <w:rPr>
                <w:rFonts w:ascii="Calibri" w:cs="Calibri" w:eastAsia="Calibri" w:hAnsi="Calibri"/>
                <w:sz w:val="20"/>
                <w:szCs w:val="20"/>
                <w:color w:val="auto"/>
              </w:rPr>
              <w:t>Magnesia Specialtes</w:t>
            </w:r>
          </w:p>
        </w:tc>
        <w:tc>
          <w:tcPr>
            <w:tcW w:w="148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70.8</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jc w:val="right"/>
              <w:spacing w:after="0" w:line="234" w:lineRule="exact"/>
              <w:rPr>
                <w:sz w:val="20"/>
                <w:szCs w:val="20"/>
                <w:color w:val="auto"/>
              </w:rPr>
            </w:pPr>
            <w:r>
              <w:rPr>
                <w:rFonts w:ascii="Calibri" w:cs="Calibri" w:eastAsia="Calibri" w:hAnsi="Calibri"/>
                <w:sz w:val="20"/>
                <w:szCs w:val="20"/>
                <w:color w:val="auto"/>
              </w:rPr>
              <w:t>65.3</w:t>
            </w:r>
          </w:p>
        </w:tc>
        <w:tc>
          <w:tcPr>
            <w:tcW w:w="100" w:type="dxa"/>
            <w:vAlign w:val="bottom"/>
          </w:tcPr>
          <w:p>
            <w:pPr>
              <w:spacing w:after="0"/>
              <w:rPr>
                <w:sz w:val="20"/>
                <w:szCs w:val="20"/>
                <w:color w:val="auto"/>
              </w:rPr>
            </w:pPr>
          </w:p>
        </w:tc>
      </w:tr>
      <w:tr>
        <w:trPr>
          <w:trHeight w:val="22"/>
        </w:trPr>
        <w:tc>
          <w:tcPr>
            <w:tcW w:w="120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352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5"/>
        </w:trPr>
        <w:tc>
          <w:tcPr>
            <w:tcW w:w="6160" w:type="dxa"/>
            <w:vAlign w:val="bottom"/>
            <w:tcBorders>
              <w:bottom w:val="single" w:sz="8" w:color="CFF0FC"/>
            </w:tcBorders>
            <w:gridSpan w:val="4"/>
            <w:shd w:val="clear" w:color="auto" w:fill="CFF0FC"/>
          </w:tcPr>
          <w:p>
            <w:pPr>
              <w:spacing w:after="0" w:line="217" w:lineRule="exact"/>
              <w:rPr>
                <w:sz w:val="20"/>
                <w:szCs w:val="20"/>
                <w:color w:val="auto"/>
              </w:rPr>
            </w:pPr>
            <w:r>
              <w:rPr>
                <w:rFonts w:ascii="Calibri" w:cs="Calibri" w:eastAsia="Calibri" w:hAnsi="Calibri"/>
                <w:sz w:val="20"/>
                <w:szCs w:val="20"/>
                <w:color w:val="auto"/>
              </w:rPr>
              <w:t>Total</w:t>
            </w:r>
          </w:p>
        </w:tc>
        <w:tc>
          <w:tcPr>
            <w:tcW w:w="1480" w:type="dxa"/>
            <w:vAlign w:val="bottom"/>
            <w:tcBorders>
              <w:bottom w:val="single" w:sz="8" w:color="CFF0FC"/>
            </w:tcBorders>
            <w:shd w:val="clear" w:color="auto" w:fill="CFF0FC"/>
          </w:tcPr>
          <w:p>
            <w:pPr>
              <w:jc w:val="right"/>
              <w:ind w:right="1281"/>
              <w:spacing w:after="0" w:line="228" w:lineRule="exact"/>
              <w:rPr>
                <w:sz w:val="20"/>
                <w:szCs w:val="20"/>
                <w:color w:val="auto"/>
              </w:rPr>
            </w:pPr>
            <w:r>
              <w:rPr>
                <w:rFonts w:ascii="Calibri" w:cs="Calibri" w:eastAsia="Calibri" w:hAnsi="Calibri"/>
                <w:sz w:val="20"/>
                <w:szCs w:val="20"/>
                <w:color w:val="auto"/>
                <w:w w:val="78"/>
              </w:rPr>
              <w:t>$</w:t>
            </w: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1,147.8</w:t>
            </w: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01"/>
              <w:spacing w:after="0" w:line="228" w:lineRule="exact"/>
              <w:rPr>
                <w:sz w:val="20"/>
                <w:szCs w:val="20"/>
                <w:color w:val="auto"/>
              </w:rPr>
            </w:pPr>
            <w:r>
              <w:rPr>
                <w:rFonts w:ascii="Calibri" w:cs="Calibri" w:eastAsia="Calibri" w:hAnsi="Calibri"/>
                <w:sz w:val="20"/>
                <w:szCs w:val="20"/>
                <w:color w:val="auto"/>
                <w:w w:val="98"/>
              </w:rPr>
              <w:t>$</w:t>
            </w:r>
          </w:p>
        </w:tc>
        <w:tc>
          <w:tcPr>
            <w:tcW w:w="1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921.9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12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160" w:type="dxa"/>
            <w:vAlign w:val="bottom"/>
            <w:gridSpan w:val="4"/>
            <w:shd w:val="clear" w:color="auto" w:fill="CFF0FC"/>
          </w:tcPr>
          <w:p>
            <w:pPr>
              <w:spacing w:after="0" w:line="189" w:lineRule="exact"/>
              <w:rPr>
                <w:sz w:val="20"/>
                <w:szCs w:val="20"/>
                <w:color w:val="auto"/>
              </w:rPr>
            </w:pPr>
            <w:r>
              <w:rPr>
                <w:rFonts w:ascii="Calibri" w:cs="Calibri" w:eastAsia="Calibri" w:hAnsi="Calibri"/>
                <w:sz w:val="20"/>
                <w:szCs w:val="20"/>
                <w:color w:val="auto"/>
              </w:rPr>
              <w:t>Earnings (Loss) from operatons:</w:t>
            </w:r>
          </w:p>
        </w:tc>
        <w:tc>
          <w:tcPr>
            <w:tcW w:w="1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2600" w:type="dxa"/>
            <w:vAlign w:val="bottom"/>
            <w:tcBorders>
              <w:top w:val="single" w:sz="8" w:color="auto"/>
            </w:tcBorders>
            <w:gridSpan w:val="2"/>
          </w:tcPr>
          <w:p>
            <w:pPr>
              <w:spacing w:after="0" w:line="234" w:lineRule="exact"/>
              <w:rPr>
                <w:sz w:val="20"/>
                <w:szCs w:val="20"/>
                <w:color w:val="auto"/>
              </w:rPr>
            </w:pPr>
            <w:r>
              <w:rPr>
                <w:rFonts w:ascii="Calibri" w:cs="Calibri" w:eastAsia="Calibri" w:hAnsi="Calibri"/>
                <w:sz w:val="20"/>
                <w:szCs w:val="20"/>
                <w:color w:val="auto"/>
              </w:rPr>
              <w:t>East Group</w:t>
            </w:r>
          </w:p>
        </w:tc>
        <w:tc>
          <w:tcPr>
            <w:tcW w:w="3560" w:type="dxa"/>
            <w:vAlign w:val="bottom"/>
            <w:tcBorders>
              <w:top w:val="single" w:sz="8" w:color="CFF0FC"/>
            </w:tcBorders>
            <w:gridSpan w:val="2"/>
          </w:tcPr>
          <w:p>
            <w:pPr>
              <w:spacing w:after="0"/>
              <w:rPr>
                <w:sz w:val="20"/>
                <w:szCs w:val="20"/>
                <w:color w:val="auto"/>
              </w:rPr>
            </w:pPr>
          </w:p>
        </w:tc>
        <w:tc>
          <w:tcPr>
            <w:tcW w:w="1480" w:type="dxa"/>
            <w:vAlign w:val="bottom"/>
            <w:tcBorders>
              <w:top w:val="single" w:sz="8" w:color="CFF0FC"/>
            </w:tcBorders>
          </w:tcPr>
          <w:p>
            <w:pPr>
              <w:jc w:val="right"/>
              <w:ind w:right="1281"/>
              <w:spacing w:after="0" w:line="234" w:lineRule="exact"/>
              <w:rPr>
                <w:sz w:val="20"/>
                <w:szCs w:val="20"/>
                <w:color w:val="auto"/>
              </w:rPr>
            </w:pPr>
            <w:r>
              <w:rPr>
                <w:rFonts w:ascii="Calibri" w:cs="Calibri" w:eastAsia="Calibri" w:hAnsi="Calibri"/>
                <w:sz w:val="20"/>
                <w:szCs w:val="20"/>
                <w:color w:val="auto"/>
                <w:w w:val="78"/>
              </w:rPr>
              <w:t>$</w:t>
            </w:r>
          </w:p>
        </w:tc>
        <w:tc>
          <w:tcPr>
            <w:tcW w:w="840" w:type="dxa"/>
            <w:vAlign w:val="bottom"/>
            <w:tcBorders>
              <w:top w:val="single" w:sz="8" w:color="CFF0FC"/>
            </w:tcBorders>
          </w:tcPr>
          <w:p>
            <w:pPr>
              <w:jc w:val="right"/>
              <w:spacing w:after="0" w:line="234" w:lineRule="exact"/>
              <w:rPr>
                <w:sz w:val="20"/>
                <w:szCs w:val="20"/>
                <w:color w:val="auto"/>
              </w:rPr>
            </w:pPr>
            <w:r>
              <w:rPr>
                <w:rFonts w:ascii="Calibri" w:cs="Calibri" w:eastAsia="Calibri" w:hAnsi="Calibri"/>
                <w:sz w:val="20"/>
                <w:szCs w:val="20"/>
                <w:color w:val="auto"/>
              </w:rPr>
              <w:t>28.0</w:t>
            </w:r>
          </w:p>
        </w:tc>
        <w:tc>
          <w:tcPr>
            <w:tcW w:w="320" w:type="dxa"/>
            <w:vAlign w:val="bottom"/>
            <w:tcBorders>
              <w:top w:val="single" w:sz="8" w:color="CFF0FC"/>
            </w:tcBorders>
          </w:tcPr>
          <w:p>
            <w:pPr>
              <w:spacing w:after="0"/>
              <w:rPr>
                <w:sz w:val="20"/>
                <w:szCs w:val="20"/>
                <w:color w:val="auto"/>
              </w:rPr>
            </w:pPr>
          </w:p>
        </w:tc>
        <w:tc>
          <w:tcPr>
            <w:tcW w:w="820" w:type="dxa"/>
            <w:vAlign w:val="bottom"/>
            <w:tcBorders>
              <w:top w:val="single" w:sz="8" w:color="CFF0FC"/>
            </w:tcBorders>
          </w:tcPr>
          <w:p>
            <w:pPr>
              <w:jc w:val="right"/>
              <w:ind w:right="601"/>
              <w:spacing w:after="0" w:line="234" w:lineRule="exact"/>
              <w:rPr>
                <w:sz w:val="20"/>
                <w:szCs w:val="20"/>
                <w:color w:val="auto"/>
              </w:rPr>
            </w:pPr>
            <w:r>
              <w:rPr>
                <w:rFonts w:ascii="Calibri" w:cs="Calibri" w:eastAsia="Calibri" w:hAnsi="Calibri"/>
                <w:sz w:val="20"/>
                <w:szCs w:val="20"/>
                <w:color w:val="auto"/>
                <w:w w:val="98"/>
              </w:rPr>
              <w:t>$</w:t>
            </w:r>
          </w:p>
        </w:tc>
        <w:tc>
          <w:tcPr>
            <w:tcW w:w="1520" w:type="dxa"/>
            <w:vAlign w:val="bottom"/>
            <w:tcBorders>
              <w:top w:val="single" w:sz="8" w:color="CFF0FC"/>
            </w:tcBorders>
          </w:tcPr>
          <w:p>
            <w:pPr>
              <w:jc w:val="right"/>
              <w:spacing w:after="0" w:line="234" w:lineRule="exact"/>
              <w:rPr>
                <w:sz w:val="20"/>
                <w:szCs w:val="20"/>
                <w:color w:val="auto"/>
              </w:rPr>
            </w:pPr>
            <w:r>
              <w:rPr>
                <w:rFonts w:ascii="Calibri" w:cs="Calibri" w:eastAsia="Calibri" w:hAnsi="Calibri"/>
                <w:sz w:val="20"/>
                <w:szCs w:val="20"/>
                <w:color w:val="auto"/>
              </w:rPr>
              <w:t>61.7</w:t>
            </w:r>
          </w:p>
        </w:tc>
        <w:tc>
          <w:tcPr>
            <w:tcW w:w="100" w:type="dxa"/>
            <w:vAlign w:val="bottom"/>
            <w:tcBorders>
              <w:top w:val="single" w:sz="8" w:color="CFF0FC"/>
            </w:tcBorders>
          </w:tcPr>
          <w:p>
            <w:pPr>
              <w:spacing w:after="0"/>
              <w:rPr>
                <w:sz w:val="20"/>
                <w:szCs w:val="20"/>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160" w:type="dxa"/>
            <w:vAlign w:val="bottom"/>
            <w:tcBorders>
              <w:bottom w:val="single" w:sz="8" w:color="CFF0FC"/>
            </w:tcBorders>
            <w:gridSpan w:val="4"/>
            <w:shd w:val="clear" w:color="auto" w:fill="CFF0FC"/>
          </w:tcPr>
          <w:p>
            <w:pPr>
              <w:spacing w:after="0" w:line="234" w:lineRule="exact"/>
              <w:rPr>
                <w:sz w:val="20"/>
                <w:szCs w:val="20"/>
                <w:color w:val="auto"/>
              </w:rPr>
            </w:pPr>
            <w:r>
              <w:rPr>
                <w:rFonts w:ascii="Calibri" w:cs="Calibri" w:eastAsia="Calibri" w:hAnsi="Calibri"/>
                <w:sz w:val="20"/>
                <w:szCs w:val="20"/>
                <w:color w:val="auto"/>
              </w:rPr>
              <w:t>West Group</w:t>
            </w:r>
          </w:p>
        </w:tc>
        <w:tc>
          <w:tcPr>
            <w:tcW w:w="14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43.0</w:t>
            </w:r>
          </w:p>
        </w:tc>
        <w:tc>
          <w:tcPr>
            <w:tcW w:w="3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6160" w:type="dxa"/>
            <w:vAlign w:val="bottom"/>
            <w:gridSpan w:val="4"/>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71.0</w:t>
            </w: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93.6</w:t>
            </w:r>
          </w:p>
        </w:tc>
        <w:tc>
          <w:tcPr>
            <w:tcW w:w="100" w:type="dxa"/>
            <w:vAlign w:val="bottom"/>
          </w:tcPr>
          <w:p>
            <w:pPr>
              <w:spacing w:after="0"/>
              <w:rPr>
                <w:sz w:val="19"/>
                <w:szCs w:val="19"/>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160" w:type="dxa"/>
            <w:vAlign w:val="bottom"/>
            <w:tcBorders>
              <w:bottom w:val="single" w:sz="8" w:color="CFF0FC"/>
            </w:tcBorders>
            <w:gridSpan w:val="4"/>
            <w:shd w:val="clear" w:color="auto" w:fill="CFF0FC"/>
          </w:tcPr>
          <w:p>
            <w:pPr>
              <w:spacing w:after="0" w:line="234" w:lineRule="exact"/>
              <w:rPr>
                <w:sz w:val="20"/>
                <w:szCs w:val="20"/>
                <w:color w:val="auto"/>
              </w:rPr>
            </w:pPr>
            <w:r>
              <w:rPr>
                <w:rFonts w:ascii="Calibri" w:cs="Calibri" w:eastAsia="Calibri" w:hAnsi="Calibri"/>
                <w:sz w:val="20"/>
                <w:szCs w:val="20"/>
                <w:color w:val="auto"/>
              </w:rPr>
              <w:t>Magnesia Specialtes</w:t>
            </w:r>
          </w:p>
        </w:tc>
        <w:tc>
          <w:tcPr>
            <w:tcW w:w="14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21.5</w:t>
            </w: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160" w:type="dxa"/>
            <w:vAlign w:val="bottom"/>
            <w:gridSpan w:val="4"/>
          </w:tcPr>
          <w:p>
            <w:pPr>
              <w:spacing w:after="0" w:line="234" w:lineRule="exact"/>
              <w:rPr>
                <w:sz w:val="20"/>
                <w:szCs w:val="20"/>
                <w:color w:val="auto"/>
              </w:rPr>
            </w:pPr>
            <w:r>
              <w:rPr>
                <w:rFonts w:ascii="Calibri" w:cs="Calibri" w:eastAsia="Calibri" w:hAnsi="Calibri"/>
                <w:sz w:val="20"/>
                <w:szCs w:val="20"/>
                <w:color w:val="auto"/>
              </w:rPr>
              <w:t>Corporate</w:t>
            </w:r>
          </w:p>
        </w:tc>
        <w:tc>
          <w:tcPr>
            <w:tcW w:w="1480" w:type="dxa"/>
            <w:vAlign w:val="bottom"/>
          </w:tcPr>
          <w:p>
            <w:pPr>
              <w:spacing w:after="0"/>
              <w:rPr>
                <w:sz w:val="20"/>
                <w:szCs w:val="20"/>
                <w:color w:val="auto"/>
              </w:rPr>
            </w:pPr>
          </w:p>
        </w:tc>
        <w:tc>
          <w:tcPr>
            <w:tcW w:w="1160" w:type="dxa"/>
            <w:vAlign w:val="bottom"/>
            <w:gridSpan w:val="2"/>
          </w:tcPr>
          <w:p>
            <w:pPr>
              <w:jc w:val="right"/>
              <w:ind w:right="260"/>
              <w:spacing w:after="0" w:line="234" w:lineRule="exact"/>
              <w:rPr>
                <w:sz w:val="20"/>
                <w:szCs w:val="20"/>
                <w:color w:val="auto"/>
              </w:rPr>
            </w:pPr>
            <w:r>
              <w:rPr>
                <w:rFonts w:ascii="Calibri" w:cs="Calibri" w:eastAsia="Calibri" w:hAnsi="Calibri"/>
                <w:sz w:val="20"/>
                <w:szCs w:val="20"/>
                <w:color w:val="auto"/>
              </w:rPr>
              <w:t>(32.6)</w:t>
            </w:r>
          </w:p>
        </w:tc>
        <w:tc>
          <w:tcPr>
            <w:tcW w:w="820" w:type="dxa"/>
            <w:vAlign w:val="bottom"/>
          </w:tcPr>
          <w:p>
            <w:pPr>
              <w:spacing w:after="0"/>
              <w:rPr>
                <w:sz w:val="20"/>
                <w:szCs w:val="20"/>
                <w:color w:val="auto"/>
              </w:rPr>
            </w:pPr>
          </w:p>
        </w:tc>
        <w:tc>
          <w:tcPr>
            <w:tcW w:w="162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rPr>
              <w:t>(17.8)</w:t>
            </w:r>
          </w:p>
        </w:tc>
      </w:tr>
      <w:tr>
        <w:trPr>
          <w:trHeight w:val="22"/>
        </w:trPr>
        <w:tc>
          <w:tcPr>
            <w:tcW w:w="120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352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5"/>
        </w:trPr>
        <w:tc>
          <w:tcPr>
            <w:tcW w:w="6160" w:type="dxa"/>
            <w:vAlign w:val="bottom"/>
            <w:tcBorders>
              <w:bottom w:val="single" w:sz="8" w:color="CFF0FC"/>
            </w:tcBorders>
            <w:gridSpan w:val="4"/>
            <w:shd w:val="clear" w:color="auto" w:fill="CFF0FC"/>
          </w:tcPr>
          <w:p>
            <w:pPr>
              <w:spacing w:after="0" w:line="217" w:lineRule="exact"/>
              <w:rPr>
                <w:sz w:val="20"/>
                <w:szCs w:val="20"/>
                <w:color w:val="auto"/>
              </w:rPr>
            </w:pPr>
            <w:r>
              <w:rPr>
                <w:rFonts w:ascii="Calibri" w:cs="Calibri" w:eastAsia="Calibri" w:hAnsi="Calibri"/>
                <w:sz w:val="20"/>
                <w:szCs w:val="20"/>
                <w:color w:val="auto"/>
              </w:rPr>
              <w:t>Total</w:t>
            </w:r>
          </w:p>
        </w:tc>
        <w:tc>
          <w:tcPr>
            <w:tcW w:w="1480" w:type="dxa"/>
            <w:vAlign w:val="bottom"/>
            <w:tcBorders>
              <w:bottom w:val="single" w:sz="8" w:color="CFF0FC"/>
            </w:tcBorders>
            <w:shd w:val="clear" w:color="auto" w:fill="CFF0FC"/>
          </w:tcPr>
          <w:p>
            <w:pPr>
              <w:jc w:val="right"/>
              <w:ind w:right="1281"/>
              <w:spacing w:after="0" w:line="228" w:lineRule="exact"/>
              <w:rPr>
                <w:sz w:val="20"/>
                <w:szCs w:val="20"/>
                <w:color w:val="auto"/>
              </w:rPr>
            </w:pPr>
            <w:r>
              <w:rPr>
                <w:rFonts w:ascii="Calibri" w:cs="Calibri" w:eastAsia="Calibri" w:hAnsi="Calibri"/>
                <w:sz w:val="20"/>
                <w:szCs w:val="20"/>
                <w:color w:val="auto"/>
                <w:w w:val="78"/>
              </w:rPr>
              <w:t>$</w:t>
            </w: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59.9</w:t>
            </w: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01"/>
              <w:spacing w:after="0" w:line="228" w:lineRule="exact"/>
              <w:rPr>
                <w:sz w:val="20"/>
                <w:szCs w:val="20"/>
                <w:color w:val="auto"/>
              </w:rPr>
            </w:pPr>
            <w:r>
              <w:rPr>
                <w:rFonts w:ascii="Calibri" w:cs="Calibri" w:eastAsia="Calibri" w:hAnsi="Calibri"/>
                <w:sz w:val="20"/>
                <w:szCs w:val="20"/>
                <w:color w:val="auto"/>
                <w:w w:val="98"/>
              </w:rPr>
              <w:t>$</w:t>
            </w:r>
          </w:p>
        </w:tc>
        <w:tc>
          <w:tcPr>
            <w:tcW w:w="15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12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364" w:lineRule="exact"/>
        <w:rPr>
          <w:sz w:val="20"/>
          <w:szCs w:val="20"/>
          <w:color w:val="auto"/>
        </w:rPr>
      </w:pPr>
    </w:p>
    <w:p>
      <w:pPr>
        <w:ind w:left="280" w:hanging="272"/>
        <w:spacing w:after="0"/>
        <w:tabs>
          <w:tab w:leader="none" w:pos="280" w:val="left"/>
        </w:tabs>
        <w:numPr>
          <w:ilvl w:val="0"/>
          <w:numId w:val="1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Revenues and Gross Proft</w:t>
      </w:r>
    </w:p>
    <w:p>
      <w:pPr>
        <w:spacing w:after="0" w:line="116" w:lineRule="exact"/>
        <w:rPr>
          <w:rFonts w:ascii="Calibri" w:cs="Calibri" w:eastAsia="Calibri" w:hAnsi="Calibri"/>
          <w:sz w:val="20"/>
          <w:szCs w:val="20"/>
          <w:b w:val="1"/>
          <w:bCs w:val="1"/>
          <w:color w:val="auto"/>
        </w:rPr>
      </w:pPr>
    </w:p>
    <w:p>
      <w:pPr>
        <w:jc w:val="both"/>
        <w:ind w:left="2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The Building Materials business includes the aggregates, cement, ready mixed concrete and asphalt and paving product lines. Cement and ready mixed concrete product lines and paving services reside only in the West Group. The following table, which is reconciled to consolidated amounts, provides total revenues and gross proft (loss) by product line and refects contnuing operatons only.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120" w:type="dxa"/>
            <w:vAlign w:val="bottom"/>
            <w:gridSpan w:val="3"/>
          </w:tcPr>
          <w:p>
            <w:pPr>
              <w:jc w:val="center"/>
              <w:ind w:right="21"/>
              <w:spacing w:after="0"/>
              <w:rPr>
                <w:sz w:val="20"/>
                <w:szCs w:val="20"/>
                <w:color w:val="auto"/>
              </w:rPr>
            </w:pPr>
            <w:r>
              <w:rPr>
                <w:rFonts w:ascii="Calibri" w:cs="Calibri" w:eastAsia="Calibri" w:hAnsi="Calibri"/>
                <w:sz w:val="20"/>
                <w:szCs w:val="20"/>
                <w:color w:val="auto"/>
              </w:rPr>
              <w:t>Three Months Ended</w:t>
            </w: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20" w:type="dxa"/>
            <w:vAlign w:val="bottom"/>
            <w:gridSpan w:val="3"/>
          </w:tcPr>
          <w:p>
            <w:pPr>
              <w:jc w:val="center"/>
              <w:ind w:right="1"/>
              <w:spacing w:after="0"/>
              <w:rPr>
                <w:sz w:val="20"/>
                <w:szCs w:val="20"/>
                <w:color w:val="auto"/>
              </w:rPr>
            </w:pPr>
            <w:r>
              <w:rPr>
                <w:rFonts w:ascii="Calibri" w:cs="Calibri" w:eastAsia="Calibri" w:hAnsi="Calibri"/>
                <w:sz w:val="20"/>
                <w:szCs w:val="20"/>
                <w:color w:val="auto"/>
                <w:w w:val="99"/>
              </w:rPr>
              <w:t>March 31,</w:t>
            </w:r>
          </w:p>
        </w:tc>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Borders>
              <w:top w:val="single" w:sz="8" w:color="auto"/>
            </w:tcBorders>
          </w:tcPr>
          <w:p>
            <w:pPr>
              <w:jc w:val="right"/>
              <w:ind w:right="61"/>
              <w:spacing w:after="0" w:line="228" w:lineRule="exact"/>
              <w:rPr>
                <w:sz w:val="20"/>
                <w:szCs w:val="20"/>
                <w:color w:val="auto"/>
              </w:rPr>
            </w:pPr>
            <w:r>
              <w:rPr>
                <w:rFonts w:ascii="Calibri" w:cs="Calibri" w:eastAsia="Calibri" w:hAnsi="Calibri"/>
                <w:sz w:val="20"/>
                <w:szCs w:val="20"/>
                <w:color w:val="auto"/>
              </w:rPr>
              <w:t>2022</w:t>
            </w:r>
          </w:p>
        </w:tc>
        <w:tc>
          <w:tcPr>
            <w:tcW w:w="8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901"/>
              <w:spacing w:after="0" w:line="228" w:lineRule="exact"/>
              <w:rPr>
                <w:sz w:val="20"/>
                <w:szCs w:val="20"/>
                <w:color w:val="auto"/>
              </w:rPr>
            </w:pPr>
            <w:r>
              <w:rPr>
                <w:rFonts w:ascii="Calibri" w:cs="Calibri" w:eastAsia="Calibri" w:hAnsi="Calibri"/>
                <w:sz w:val="20"/>
                <w:szCs w:val="20"/>
                <w:color w:val="auto"/>
              </w:rPr>
              <w:t>2021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20" w:type="dxa"/>
            <w:vAlign w:val="bottom"/>
            <w:gridSpan w:val="3"/>
          </w:tcPr>
          <w:p>
            <w:pPr>
              <w:jc w:val="center"/>
              <w:ind w:left="28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Borders>
              <w:bottom w:val="single" w:sz="8" w:color="auto"/>
            </w:tcBorders>
            <w:shd w:val="clear" w:color="auto" w:fill="CFF0FC"/>
          </w:tcPr>
          <w:p>
            <w:pPr>
              <w:spacing w:after="0" w:line="189" w:lineRule="exact"/>
              <w:rPr>
                <w:sz w:val="20"/>
                <w:szCs w:val="20"/>
                <w:color w:val="auto"/>
              </w:rPr>
            </w:pPr>
            <w:r>
              <w:rPr>
                <w:rFonts w:ascii="Calibri" w:cs="Calibri" w:eastAsia="Calibri" w:hAnsi="Calibri"/>
                <w:sz w:val="20"/>
                <w:szCs w:val="20"/>
                <w:color w:val="auto"/>
                <w:w w:val="98"/>
              </w:rPr>
              <w:t>Total revenues:</w:t>
            </w:r>
          </w:p>
        </w:tc>
        <w:tc>
          <w:tcPr>
            <w:tcW w:w="2880" w:type="dxa"/>
            <w:vAlign w:val="bottom"/>
            <w:tcBorders>
              <w:bottom w:val="single" w:sz="8" w:color="CFF0FC"/>
            </w:tcBorders>
            <w:gridSpan w:val="2"/>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line="234" w:lineRule="exact"/>
              <w:rPr>
                <w:sz w:val="20"/>
                <w:szCs w:val="20"/>
                <w:color w:val="auto"/>
              </w:rPr>
            </w:pPr>
            <w:r>
              <w:rPr>
                <w:rFonts w:ascii="Calibri" w:cs="Calibri" w:eastAsia="Calibri" w:hAnsi="Calibri"/>
                <w:sz w:val="20"/>
                <w:szCs w:val="20"/>
                <w:color w:val="auto"/>
              </w:rPr>
              <w:t>Building Materials business:</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FF0FC"/>
            </w:tcBorders>
            <w:gridSpan w:val="3"/>
            <w:shd w:val="clear" w:color="auto" w:fill="CFF0FC"/>
          </w:tcPr>
          <w:p>
            <w:pPr>
              <w:spacing w:after="0" w:line="234" w:lineRule="exact"/>
              <w:rPr>
                <w:sz w:val="20"/>
                <w:szCs w:val="20"/>
                <w:color w:val="auto"/>
              </w:rPr>
            </w:pPr>
            <w:r>
              <w:rPr>
                <w:rFonts w:ascii="Calibri" w:cs="Calibri" w:eastAsia="Calibri" w:hAnsi="Calibri"/>
                <w:sz w:val="20"/>
                <w:szCs w:val="20"/>
                <w:color w:val="auto"/>
              </w:rPr>
              <w:t>Products and services: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260"/>
              <w:spacing w:after="0" w:line="234" w:lineRule="exact"/>
              <w:rPr>
                <w:sz w:val="20"/>
                <w:szCs w:val="20"/>
                <w:color w:val="auto"/>
              </w:rPr>
            </w:pPr>
            <w:r>
              <w:rPr>
                <w:rFonts w:ascii="Calibri" w:cs="Calibri" w:eastAsia="Calibri" w:hAnsi="Calibri"/>
                <w:sz w:val="20"/>
                <w:szCs w:val="20"/>
                <w:color w:val="auto"/>
              </w:rPr>
              <w:t>Aggregates</w:t>
            </w:r>
          </w:p>
        </w:tc>
        <w:tc>
          <w:tcPr>
            <w:tcW w:w="3020" w:type="dxa"/>
            <w:vAlign w:val="bottom"/>
            <w:gridSpan w:val="2"/>
          </w:tcPr>
          <w:p>
            <w:pPr>
              <w:jc w:val="right"/>
              <w:ind w:right="1341"/>
              <w:spacing w:after="0" w:line="234" w:lineRule="exact"/>
              <w:rPr>
                <w:sz w:val="20"/>
                <w:szCs w:val="20"/>
                <w:color w:val="auto"/>
              </w:rPr>
            </w:pPr>
            <w:r>
              <w:rPr>
                <w:rFonts w:ascii="Calibri" w:cs="Calibri" w:eastAsia="Calibri" w:hAnsi="Calibri"/>
                <w:sz w:val="20"/>
                <w:szCs w:val="20"/>
                <w:color w:val="auto"/>
              </w:rPr>
              <w:t>$</w:t>
            </w: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685.9</w:t>
            </w:r>
          </w:p>
        </w:tc>
        <w:tc>
          <w:tcPr>
            <w:tcW w:w="360" w:type="dxa"/>
            <w:vAlign w:val="bottom"/>
          </w:tcPr>
          <w:p>
            <w:pPr>
              <w:spacing w:after="0"/>
              <w:rPr>
                <w:sz w:val="20"/>
                <w:szCs w:val="20"/>
                <w:color w:val="auto"/>
              </w:rPr>
            </w:pPr>
          </w:p>
        </w:tc>
        <w:tc>
          <w:tcPr>
            <w:tcW w:w="920" w:type="dxa"/>
            <w:vAlign w:val="bottom"/>
          </w:tcPr>
          <w:p>
            <w:pPr>
              <w:jc w:val="center"/>
              <w:ind w:right="721"/>
              <w:spacing w:after="0" w:line="234" w:lineRule="exact"/>
              <w:rPr>
                <w:sz w:val="20"/>
                <w:szCs w:val="20"/>
                <w:color w:val="auto"/>
              </w:rPr>
            </w:pPr>
            <w:r>
              <w:rPr>
                <w:rFonts w:ascii="Calibri" w:cs="Calibri" w:eastAsia="Calibri" w:hAnsi="Calibri"/>
                <w:sz w:val="20"/>
                <w:szCs w:val="20"/>
                <w:color w:val="auto"/>
                <w:w w:val="98"/>
              </w:rPr>
              <w:t>$</w:t>
            </w: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572.6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Borders>
              <w:bottom w:val="single" w:sz="8" w:color="CFF0FC"/>
            </w:tcBorders>
            <w:gridSpan w:val="3"/>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Cement</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134.3</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109.6</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260"/>
              <w:spacing w:after="0" w:line="234" w:lineRule="exact"/>
              <w:rPr>
                <w:sz w:val="20"/>
                <w:szCs w:val="20"/>
                <w:color w:val="auto"/>
              </w:rPr>
            </w:pPr>
            <w:r>
              <w:rPr>
                <w:rFonts w:ascii="Calibri" w:cs="Calibri" w:eastAsia="Calibri" w:hAnsi="Calibri"/>
                <w:sz w:val="20"/>
                <w:szCs w:val="20"/>
                <w:color w:val="auto"/>
              </w:rPr>
              <w:t>Ready mixed concrete</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290.1</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235.3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FF0FC"/>
            </w:tcBorders>
            <w:gridSpan w:val="3"/>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Asphalt and paving services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54.8</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12.2</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260"/>
              <w:spacing w:after="0" w:line="234" w:lineRule="exact"/>
              <w:rPr>
                <w:sz w:val="20"/>
                <w:szCs w:val="20"/>
                <w:color w:val="auto"/>
              </w:rPr>
            </w:pPr>
            <w:r>
              <w:rPr>
                <w:rFonts w:ascii="Calibri" w:cs="Calibri" w:eastAsia="Calibri" w:hAnsi="Calibri"/>
                <w:sz w:val="20"/>
                <w:szCs w:val="20"/>
                <w:color w:val="auto"/>
              </w:rPr>
              <w:t>Less: interproduct revenues</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gridSpan w:val="2"/>
          </w:tcPr>
          <w:p>
            <w:pPr>
              <w:jc w:val="right"/>
              <w:ind w:right="300"/>
              <w:spacing w:after="0" w:line="234" w:lineRule="exact"/>
              <w:rPr>
                <w:sz w:val="20"/>
                <w:szCs w:val="20"/>
                <w:color w:val="auto"/>
              </w:rPr>
            </w:pPr>
            <w:r>
              <w:rPr>
                <w:rFonts w:ascii="Calibri" w:cs="Calibri" w:eastAsia="Calibri" w:hAnsi="Calibri"/>
                <w:sz w:val="20"/>
                <w:szCs w:val="20"/>
                <w:color w:val="auto"/>
              </w:rPr>
              <w:t>(88.1)</w:t>
            </w:r>
          </w:p>
        </w:tc>
        <w:tc>
          <w:tcPr>
            <w:tcW w:w="920" w:type="dxa"/>
            <w:vAlign w:val="bottom"/>
          </w:tcPr>
          <w:p>
            <w:pPr>
              <w:spacing w:after="0"/>
              <w:rPr>
                <w:sz w:val="20"/>
                <w:szCs w:val="20"/>
                <w:color w:val="auto"/>
              </w:rPr>
            </w:pPr>
          </w:p>
        </w:tc>
        <w:tc>
          <w:tcPr>
            <w:tcW w:w="1960" w:type="dxa"/>
            <w:vAlign w:val="bottom"/>
            <w:gridSpan w:val="2"/>
          </w:tcPr>
          <w:p>
            <w:pPr>
              <w:jc w:val="right"/>
              <w:ind w:right="440"/>
              <w:spacing w:after="0" w:line="234" w:lineRule="exact"/>
              <w:rPr>
                <w:sz w:val="20"/>
                <w:szCs w:val="20"/>
                <w:color w:val="auto"/>
              </w:rPr>
            </w:pPr>
            <w:r>
              <w:rPr>
                <w:rFonts w:ascii="Calibri" w:cs="Calibri" w:eastAsia="Calibri" w:hAnsi="Calibri"/>
                <w:sz w:val="20"/>
                <w:szCs w:val="20"/>
                <w:color w:val="auto"/>
              </w:rPr>
              <w:t>(73.1)</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gridSpan w:val="3"/>
            <w:shd w:val="clear" w:color="auto" w:fill="CFF0FC"/>
          </w:tcPr>
          <w:p>
            <w:pPr>
              <w:ind w:left="140"/>
              <w:spacing w:after="0" w:line="217" w:lineRule="exact"/>
              <w:rPr>
                <w:sz w:val="20"/>
                <w:szCs w:val="20"/>
                <w:color w:val="auto"/>
              </w:rPr>
            </w:pPr>
            <w:r>
              <w:rPr>
                <w:rFonts w:ascii="Calibri" w:cs="Calibri" w:eastAsia="Calibri" w:hAnsi="Calibri"/>
                <w:sz w:val="20"/>
                <w:szCs w:val="20"/>
                <w:color w:val="auto"/>
              </w:rPr>
              <w:t>Products and services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1,077.0</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856.6</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76.8</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54.9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gridSpan w:val="3"/>
            <w:shd w:val="clear" w:color="auto" w:fill="CFF0FC"/>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1,153.8</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911.5</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line="234" w:lineRule="exact"/>
              <w:rPr>
                <w:sz w:val="20"/>
                <w:szCs w:val="20"/>
                <w:color w:val="auto"/>
              </w:rPr>
            </w:pPr>
            <w:r>
              <w:rPr>
                <w:rFonts w:ascii="Calibri" w:cs="Calibri" w:eastAsia="Calibri" w:hAnsi="Calibri"/>
                <w:sz w:val="20"/>
                <w:szCs w:val="20"/>
                <w:color w:val="auto"/>
              </w:rPr>
              <w:t>Magnesia Specialtes:</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Borders>
              <w:bottom w:val="single" w:sz="8" w:color="CFF0FC"/>
            </w:tcBorders>
            <w:gridSpan w:val="3"/>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Products and services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70.8</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65.3</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6.2</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5.6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FF0FC"/>
            </w:tcBorders>
            <w:gridSpan w:val="3"/>
            <w:shd w:val="clear" w:color="auto" w:fill="CFF0FC"/>
          </w:tcPr>
          <w:p>
            <w:pPr>
              <w:spacing w:after="0" w:line="217" w:lineRule="exact"/>
              <w:rPr>
                <w:sz w:val="20"/>
                <w:szCs w:val="20"/>
                <w:color w:val="auto"/>
              </w:rPr>
            </w:pPr>
            <w:r>
              <w:rPr>
                <w:rFonts w:ascii="Calibri" w:cs="Calibri" w:eastAsia="Calibri" w:hAnsi="Calibri"/>
                <w:sz w:val="20"/>
                <w:szCs w:val="20"/>
                <w:color w:val="auto"/>
              </w:rPr>
              <w:t>Total Magnesia Specialtes</w:t>
            </w:r>
          </w:p>
        </w:tc>
        <w:tc>
          <w:tcPr>
            <w:tcW w:w="14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77.0</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70.9</w:t>
            </w:r>
          </w:p>
        </w:tc>
        <w:tc>
          <w:tcPr>
            <w:tcW w:w="5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140" w:type="dxa"/>
            <w:vAlign w:val="bottom"/>
            <w:gridSpan w:val="3"/>
          </w:tcPr>
          <w:p>
            <w:pPr>
              <w:spacing w:after="0" w:line="217" w:lineRule="exact"/>
              <w:rPr>
                <w:sz w:val="20"/>
                <w:szCs w:val="20"/>
                <w:color w:val="auto"/>
              </w:rPr>
            </w:pPr>
            <w:r>
              <w:rPr>
                <w:rFonts w:ascii="Calibri" w:cs="Calibri" w:eastAsia="Calibri" w:hAnsi="Calibri"/>
                <w:sz w:val="20"/>
                <w:szCs w:val="20"/>
                <w:color w:val="auto"/>
              </w:rPr>
              <w:t>Total</w:t>
            </w:r>
          </w:p>
        </w:tc>
        <w:tc>
          <w:tcPr>
            <w:tcW w:w="1480" w:type="dxa"/>
            <w:vAlign w:val="bottom"/>
          </w:tcPr>
          <w:p>
            <w:pPr>
              <w:spacing w:after="0"/>
              <w:rPr>
                <w:sz w:val="19"/>
                <w:szCs w:val="19"/>
                <w:color w:val="auto"/>
              </w:rPr>
            </w:pPr>
          </w:p>
        </w:tc>
        <w:tc>
          <w:tcPr>
            <w:tcW w:w="1540" w:type="dxa"/>
            <w:vAlign w:val="bottom"/>
            <w:tcBorders>
              <w:top w:val="single" w:sz="8" w:color="auto"/>
            </w:tcBorders>
          </w:tcPr>
          <w:p>
            <w:pPr>
              <w:jc w:val="right"/>
              <w:ind w:right="1341"/>
              <w:spacing w:after="0" w:line="228" w:lineRule="exact"/>
              <w:rPr>
                <w:sz w:val="20"/>
                <w:szCs w:val="20"/>
                <w:color w:val="auto"/>
              </w:rPr>
            </w:pPr>
            <w:r>
              <w:rPr>
                <w:rFonts w:ascii="Calibri" w:cs="Calibri" w:eastAsia="Calibri" w:hAnsi="Calibri"/>
                <w:sz w:val="20"/>
                <w:szCs w:val="20"/>
                <w:color w:val="auto"/>
                <w:w w:val="78"/>
              </w:rPr>
              <w:t>$</w:t>
            </w:r>
          </w:p>
        </w:tc>
        <w:tc>
          <w:tcPr>
            <w:tcW w:w="8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1,230.8</w:t>
            </w:r>
          </w:p>
        </w:tc>
        <w:tc>
          <w:tcPr>
            <w:tcW w:w="360" w:type="dxa"/>
            <w:vAlign w:val="bottom"/>
          </w:tcPr>
          <w:p>
            <w:pPr>
              <w:spacing w:after="0"/>
              <w:rPr>
                <w:sz w:val="19"/>
                <w:szCs w:val="19"/>
                <w:color w:val="auto"/>
              </w:rPr>
            </w:pPr>
          </w:p>
        </w:tc>
        <w:tc>
          <w:tcPr>
            <w:tcW w:w="920" w:type="dxa"/>
            <w:vAlign w:val="bottom"/>
            <w:tcBorders>
              <w:top w:val="single" w:sz="8" w:color="auto"/>
            </w:tcBorders>
          </w:tcPr>
          <w:p>
            <w:pPr>
              <w:jc w:val="center"/>
              <w:ind w:right="721"/>
              <w:spacing w:after="0" w:line="228" w:lineRule="exact"/>
              <w:rPr>
                <w:sz w:val="20"/>
                <w:szCs w:val="20"/>
                <w:color w:val="auto"/>
              </w:rPr>
            </w:pPr>
            <w:r>
              <w:rPr>
                <w:rFonts w:ascii="Calibri" w:cs="Calibri" w:eastAsia="Calibri" w:hAnsi="Calibri"/>
                <w:sz w:val="20"/>
                <w:szCs w:val="20"/>
                <w:color w:val="auto"/>
                <w:w w:val="98"/>
              </w:rPr>
              <w:t>$</w:t>
            </w:r>
          </w:p>
        </w:tc>
        <w:tc>
          <w:tcPr>
            <w:tcW w:w="14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982.4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140" w:type="dxa"/>
            <w:vAlign w:val="bottom"/>
            <w:gridSpan w:val="3"/>
            <w:vMerge w:val="restart"/>
          </w:tcPr>
          <w:p>
            <w:pPr>
              <w:spacing w:after="0"/>
              <w:rPr>
                <w:sz w:val="20"/>
                <w:szCs w:val="20"/>
                <w:color w:val="auto"/>
              </w:rPr>
            </w:pPr>
            <w:r>
              <w:rPr>
                <w:rFonts w:ascii="Calibri" w:cs="Calibri" w:eastAsia="Calibri" w:hAnsi="Calibri"/>
                <w:sz w:val="20"/>
                <w:szCs w:val="20"/>
                <w:color w:val="auto"/>
              </w:rPr>
              <w:t>Gross proft (loss):</w:t>
            </w:r>
          </w:p>
        </w:tc>
        <w:tc>
          <w:tcPr>
            <w:tcW w:w="14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4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FF0FC"/>
            </w:tcBorders>
            <w:gridSpan w:val="3"/>
            <w:shd w:val="clear" w:color="auto" w:fill="CFF0FC"/>
          </w:tcPr>
          <w:p>
            <w:pPr>
              <w:spacing w:after="0" w:line="234" w:lineRule="exact"/>
              <w:rPr>
                <w:sz w:val="20"/>
                <w:szCs w:val="20"/>
                <w:color w:val="auto"/>
              </w:rPr>
            </w:pPr>
            <w:r>
              <w:rPr>
                <w:rFonts w:ascii="Calibri" w:cs="Calibri" w:eastAsia="Calibri" w:hAnsi="Calibri"/>
                <w:sz w:val="20"/>
                <w:szCs w:val="20"/>
                <w:color w:val="auto"/>
              </w:rPr>
              <w:t>Building Materials business: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line="234" w:lineRule="exact"/>
              <w:rPr>
                <w:sz w:val="20"/>
                <w:szCs w:val="20"/>
                <w:color w:val="auto"/>
              </w:rPr>
            </w:pPr>
            <w:r>
              <w:rPr>
                <w:rFonts w:ascii="Calibri" w:cs="Calibri" w:eastAsia="Calibri" w:hAnsi="Calibri"/>
                <w:sz w:val="20"/>
                <w:szCs w:val="20"/>
                <w:color w:val="auto"/>
              </w:rPr>
              <w:t>Products and services:</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FF0FC"/>
            </w:tcBorders>
            <w:gridSpan w:val="3"/>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Aggregates</w:t>
            </w:r>
          </w:p>
        </w:tc>
        <w:tc>
          <w:tcPr>
            <w:tcW w:w="3020" w:type="dxa"/>
            <w:vAlign w:val="bottom"/>
            <w:tcBorders>
              <w:bottom w:val="single" w:sz="8" w:color="CFF0FC"/>
            </w:tcBorders>
            <w:gridSpan w:val="2"/>
            <w:shd w:val="clear" w:color="auto" w:fill="CFF0FC"/>
          </w:tcPr>
          <w:p>
            <w:pPr>
              <w:jc w:val="right"/>
              <w:ind w:right="1341"/>
              <w:spacing w:after="0" w:line="234" w:lineRule="exact"/>
              <w:rPr>
                <w:sz w:val="20"/>
                <w:szCs w:val="20"/>
                <w:color w:val="auto"/>
              </w:rPr>
            </w:pPr>
            <w:r>
              <w:rPr>
                <w:rFonts w:ascii="Calibri" w:cs="Calibri" w:eastAsia="Calibri" w:hAnsi="Calibri"/>
                <w:sz w:val="20"/>
                <w:szCs w:val="20"/>
                <w:color w:val="auto"/>
              </w:rPr>
              <w:t>$</w:t>
            </w: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101.9</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center"/>
              <w:ind w:right="721"/>
              <w:spacing w:after="0" w:line="234" w:lineRule="exact"/>
              <w:rPr>
                <w:sz w:val="20"/>
                <w:szCs w:val="20"/>
                <w:color w:val="auto"/>
              </w:rPr>
            </w:pPr>
            <w:r>
              <w:rPr>
                <w:rFonts w:ascii="Calibri" w:cs="Calibri" w:eastAsia="Calibri" w:hAnsi="Calibri"/>
                <w:sz w:val="20"/>
                <w:szCs w:val="20"/>
                <w:color w:val="auto"/>
                <w:w w:val="98"/>
              </w:rPr>
              <w:t>$</w:t>
            </w: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121.8</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260"/>
              <w:spacing w:after="0" w:line="234" w:lineRule="exact"/>
              <w:rPr>
                <w:sz w:val="20"/>
                <w:szCs w:val="20"/>
                <w:color w:val="auto"/>
              </w:rPr>
            </w:pPr>
            <w:r>
              <w:rPr>
                <w:rFonts w:ascii="Calibri" w:cs="Calibri" w:eastAsia="Calibri" w:hAnsi="Calibri"/>
                <w:sz w:val="20"/>
                <w:szCs w:val="20"/>
                <w:color w:val="auto"/>
              </w:rPr>
              <w:t>Cement</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27.3</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jc w:val="right"/>
              <w:spacing w:after="0" w:line="234" w:lineRule="exact"/>
              <w:rPr>
                <w:sz w:val="20"/>
                <w:szCs w:val="20"/>
                <w:color w:val="auto"/>
              </w:rPr>
            </w:pPr>
            <w:r>
              <w:rPr>
                <w:rFonts w:ascii="Calibri" w:cs="Calibri" w:eastAsia="Calibri" w:hAnsi="Calibri"/>
                <w:sz w:val="20"/>
                <w:szCs w:val="20"/>
                <w:color w:val="auto"/>
              </w:rPr>
              <w:t>15.3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Borders>
              <w:bottom w:val="single" w:sz="8" w:color="CFF0FC"/>
            </w:tcBorders>
            <w:gridSpan w:val="3"/>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Ready mixed concrete</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21.1</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19.4</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260"/>
              <w:spacing w:after="0" w:line="234" w:lineRule="exact"/>
              <w:rPr>
                <w:sz w:val="20"/>
                <w:szCs w:val="20"/>
                <w:color w:val="auto"/>
              </w:rPr>
            </w:pPr>
            <w:r>
              <w:rPr>
                <w:rFonts w:ascii="Calibri" w:cs="Calibri" w:eastAsia="Calibri" w:hAnsi="Calibri"/>
                <w:sz w:val="20"/>
                <w:szCs w:val="20"/>
                <w:color w:val="auto"/>
              </w:rPr>
              <w:t>Asphalt and paving services</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gridSpan w:val="2"/>
          </w:tcPr>
          <w:p>
            <w:pPr>
              <w:jc w:val="right"/>
              <w:ind w:right="300"/>
              <w:spacing w:after="0" w:line="234" w:lineRule="exact"/>
              <w:rPr>
                <w:sz w:val="20"/>
                <w:szCs w:val="20"/>
                <w:color w:val="auto"/>
              </w:rPr>
            </w:pPr>
            <w:r>
              <w:rPr>
                <w:rFonts w:ascii="Calibri" w:cs="Calibri" w:eastAsia="Calibri" w:hAnsi="Calibri"/>
                <w:sz w:val="20"/>
                <w:szCs w:val="20"/>
                <w:color w:val="auto"/>
              </w:rPr>
              <w:t>(13.3)</w:t>
            </w:r>
          </w:p>
        </w:tc>
        <w:tc>
          <w:tcPr>
            <w:tcW w:w="920" w:type="dxa"/>
            <w:vAlign w:val="bottom"/>
          </w:tcPr>
          <w:p>
            <w:pPr>
              <w:spacing w:after="0"/>
              <w:rPr>
                <w:sz w:val="20"/>
                <w:szCs w:val="20"/>
                <w:color w:val="auto"/>
              </w:rPr>
            </w:pPr>
          </w:p>
        </w:tc>
        <w:tc>
          <w:tcPr>
            <w:tcW w:w="1960" w:type="dxa"/>
            <w:vAlign w:val="bottom"/>
            <w:gridSpan w:val="2"/>
          </w:tcPr>
          <w:p>
            <w:pPr>
              <w:jc w:val="right"/>
              <w:ind w:right="440"/>
              <w:spacing w:after="0" w:line="234" w:lineRule="exact"/>
              <w:rPr>
                <w:sz w:val="20"/>
                <w:szCs w:val="20"/>
                <w:color w:val="auto"/>
              </w:rPr>
            </w:pPr>
            <w:r>
              <w:rPr>
                <w:rFonts w:ascii="Calibri" w:cs="Calibri" w:eastAsia="Calibri" w:hAnsi="Calibri"/>
                <w:sz w:val="20"/>
                <w:szCs w:val="20"/>
                <w:color w:val="auto"/>
              </w:rPr>
              <w:t>(8.2)</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gridSpan w:val="3"/>
            <w:shd w:val="clear" w:color="auto" w:fill="CFF0FC"/>
          </w:tcPr>
          <w:p>
            <w:pPr>
              <w:ind w:left="140"/>
              <w:spacing w:after="0" w:line="217" w:lineRule="exact"/>
              <w:rPr>
                <w:sz w:val="20"/>
                <w:szCs w:val="20"/>
                <w:color w:val="auto"/>
              </w:rPr>
            </w:pPr>
            <w:r>
              <w:rPr>
                <w:rFonts w:ascii="Calibri" w:cs="Calibri" w:eastAsia="Calibri" w:hAnsi="Calibri"/>
                <w:sz w:val="20"/>
                <w:szCs w:val="20"/>
                <w:color w:val="auto"/>
              </w:rPr>
              <w:t>Products and services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137.0</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148.3</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jc w:val="right"/>
              <w:spacing w:after="0" w:line="234" w:lineRule="exact"/>
              <w:rPr>
                <w:sz w:val="20"/>
                <w:szCs w:val="20"/>
                <w:color w:val="auto"/>
              </w:rPr>
            </w:pPr>
            <w:r>
              <w:rPr>
                <w:rFonts w:ascii="Calibri" w:cs="Calibri" w:eastAsia="Calibri" w:hAnsi="Calibri"/>
                <w:sz w:val="20"/>
                <w:szCs w:val="20"/>
                <w:color w:val="auto"/>
              </w:rPr>
              <w:t>1.4</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gridSpan w:val="2"/>
          </w:tcPr>
          <w:p>
            <w:pPr>
              <w:jc w:val="right"/>
              <w:ind w:right="440"/>
              <w:spacing w:after="0" w:line="234" w:lineRule="exact"/>
              <w:rPr>
                <w:sz w:val="20"/>
                <w:szCs w:val="20"/>
                <w:color w:val="auto"/>
              </w:rPr>
            </w:pPr>
            <w:r>
              <w:rPr>
                <w:rFonts w:ascii="Calibri" w:cs="Calibri" w:eastAsia="Calibri" w:hAnsi="Calibri"/>
                <w:sz w:val="20"/>
                <w:szCs w:val="20"/>
                <w:color w:val="auto"/>
              </w:rPr>
              <w:t>(0.3)</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gridSpan w:val="3"/>
            <w:shd w:val="clear" w:color="auto" w:fill="CFF0FC"/>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138.4</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148.0</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line="234" w:lineRule="exact"/>
              <w:rPr>
                <w:sz w:val="20"/>
                <w:szCs w:val="20"/>
                <w:color w:val="auto"/>
              </w:rPr>
            </w:pPr>
            <w:r>
              <w:rPr>
                <w:rFonts w:ascii="Calibri" w:cs="Calibri" w:eastAsia="Calibri" w:hAnsi="Calibri"/>
                <w:sz w:val="20"/>
                <w:szCs w:val="20"/>
                <w:color w:val="auto"/>
              </w:rPr>
              <w:t>Magnesia Specialtes:</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Borders>
              <w:bottom w:val="single" w:sz="8" w:color="CFF0FC"/>
            </w:tcBorders>
            <w:gridSpan w:val="3"/>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Products and services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26.8</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28.4</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gridSpan w:val="2"/>
          </w:tcPr>
          <w:p>
            <w:pPr>
              <w:jc w:val="right"/>
              <w:ind w:right="300"/>
              <w:spacing w:after="0" w:line="234" w:lineRule="exact"/>
              <w:rPr>
                <w:sz w:val="20"/>
                <w:szCs w:val="20"/>
                <w:color w:val="auto"/>
              </w:rPr>
            </w:pPr>
            <w:r>
              <w:rPr>
                <w:rFonts w:ascii="Calibri" w:cs="Calibri" w:eastAsia="Calibri" w:hAnsi="Calibri"/>
                <w:sz w:val="20"/>
                <w:szCs w:val="20"/>
                <w:color w:val="auto"/>
              </w:rPr>
              <w:t>(1.2)</w:t>
            </w:r>
          </w:p>
        </w:tc>
        <w:tc>
          <w:tcPr>
            <w:tcW w:w="920" w:type="dxa"/>
            <w:vAlign w:val="bottom"/>
          </w:tcPr>
          <w:p>
            <w:pPr>
              <w:spacing w:after="0"/>
              <w:rPr>
                <w:sz w:val="20"/>
                <w:szCs w:val="20"/>
                <w:color w:val="auto"/>
              </w:rPr>
            </w:pPr>
          </w:p>
        </w:tc>
        <w:tc>
          <w:tcPr>
            <w:tcW w:w="1960" w:type="dxa"/>
            <w:vAlign w:val="bottom"/>
            <w:gridSpan w:val="2"/>
          </w:tcPr>
          <w:p>
            <w:pPr>
              <w:jc w:val="right"/>
              <w:ind w:right="440"/>
              <w:spacing w:after="0" w:line="234" w:lineRule="exact"/>
              <w:rPr>
                <w:sz w:val="20"/>
                <w:szCs w:val="20"/>
                <w:color w:val="auto"/>
              </w:rPr>
            </w:pPr>
            <w:r>
              <w:rPr>
                <w:rFonts w:ascii="Calibri" w:cs="Calibri" w:eastAsia="Calibri" w:hAnsi="Calibri"/>
                <w:sz w:val="20"/>
                <w:szCs w:val="20"/>
                <w:color w:val="auto"/>
              </w:rPr>
              <w:t>(0.9)</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gridSpan w:val="3"/>
            <w:shd w:val="clear" w:color="auto" w:fill="CFF0FC"/>
          </w:tcPr>
          <w:p>
            <w:pPr>
              <w:spacing w:after="0" w:line="217" w:lineRule="exact"/>
              <w:rPr>
                <w:sz w:val="20"/>
                <w:szCs w:val="20"/>
                <w:color w:val="auto"/>
              </w:rPr>
            </w:pPr>
            <w:r>
              <w:rPr>
                <w:rFonts w:ascii="Calibri" w:cs="Calibri" w:eastAsia="Calibri" w:hAnsi="Calibri"/>
                <w:sz w:val="20"/>
                <w:szCs w:val="20"/>
                <w:color w:val="auto"/>
              </w:rPr>
              <w:t>Total Magnesia Specialtes</w:t>
            </w:r>
          </w:p>
        </w:tc>
        <w:tc>
          <w:tcPr>
            <w:tcW w:w="148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25.6</w:t>
            </w:r>
          </w:p>
        </w:tc>
        <w:tc>
          <w:tcPr>
            <w:tcW w:w="3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27.5</w:t>
            </w:r>
          </w:p>
        </w:tc>
        <w:tc>
          <w:tcPr>
            <w:tcW w:w="5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line="234" w:lineRule="exact"/>
              <w:rPr>
                <w:sz w:val="20"/>
                <w:szCs w:val="20"/>
                <w:color w:val="auto"/>
              </w:rPr>
            </w:pPr>
            <w:r>
              <w:rPr>
                <w:rFonts w:ascii="Calibri" w:cs="Calibri" w:eastAsia="Calibri" w:hAnsi="Calibri"/>
                <w:sz w:val="20"/>
                <w:szCs w:val="20"/>
                <w:color w:val="auto"/>
              </w:rPr>
              <w:t>Corporate</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gridSpan w:val="2"/>
          </w:tcPr>
          <w:p>
            <w:pPr>
              <w:jc w:val="right"/>
              <w:ind w:right="300"/>
              <w:spacing w:after="0" w:line="234" w:lineRule="exact"/>
              <w:rPr>
                <w:sz w:val="20"/>
                <w:szCs w:val="20"/>
                <w:color w:val="auto"/>
              </w:rPr>
            </w:pPr>
            <w:r>
              <w:rPr>
                <w:rFonts w:ascii="Calibri" w:cs="Calibri" w:eastAsia="Calibri" w:hAnsi="Calibri"/>
                <w:sz w:val="20"/>
                <w:szCs w:val="20"/>
                <w:color w:val="auto"/>
              </w:rPr>
              <w:t>(7.9)</w:t>
            </w:r>
          </w:p>
        </w:tc>
        <w:tc>
          <w:tcPr>
            <w:tcW w:w="920" w:type="dxa"/>
            <w:vAlign w:val="bottom"/>
          </w:tcPr>
          <w:p>
            <w:pPr>
              <w:spacing w:after="0"/>
              <w:rPr>
                <w:sz w:val="20"/>
                <w:szCs w:val="20"/>
                <w:color w:val="auto"/>
              </w:rPr>
            </w:pPr>
          </w:p>
        </w:tc>
        <w:tc>
          <w:tcPr>
            <w:tcW w:w="1960" w:type="dxa"/>
            <w:vAlign w:val="bottom"/>
            <w:gridSpan w:val="2"/>
          </w:tcPr>
          <w:p>
            <w:pPr>
              <w:jc w:val="right"/>
              <w:ind w:right="440"/>
              <w:spacing w:after="0" w:line="234" w:lineRule="exact"/>
              <w:rPr>
                <w:sz w:val="20"/>
                <w:szCs w:val="20"/>
                <w:color w:val="auto"/>
              </w:rPr>
            </w:pPr>
            <w:r>
              <w:rPr>
                <w:rFonts w:ascii="Calibri" w:cs="Calibri" w:eastAsia="Calibri" w:hAnsi="Calibri"/>
                <w:sz w:val="20"/>
                <w:szCs w:val="20"/>
                <w:color w:val="auto"/>
              </w:rPr>
              <w:t>(0.8)</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7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140" w:type="dxa"/>
            <w:vAlign w:val="bottom"/>
            <w:tcBorders>
              <w:bottom w:val="single" w:sz="8" w:color="CFF0FC"/>
            </w:tcBorders>
            <w:gridSpan w:val="3"/>
            <w:shd w:val="clear" w:color="auto" w:fill="CFF0FC"/>
          </w:tcPr>
          <w:p>
            <w:pPr>
              <w:spacing w:after="0" w:line="217" w:lineRule="exact"/>
              <w:rPr>
                <w:sz w:val="20"/>
                <w:szCs w:val="20"/>
                <w:color w:val="auto"/>
              </w:rPr>
            </w:pPr>
            <w:r>
              <w:rPr>
                <w:rFonts w:ascii="Calibri" w:cs="Calibri" w:eastAsia="Calibri" w:hAnsi="Calibri"/>
                <w:sz w:val="20"/>
                <w:szCs w:val="20"/>
                <w:color w:val="auto"/>
              </w:rPr>
              <w:t>Total</w:t>
            </w:r>
          </w:p>
        </w:tc>
        <w:tc>
          <w:tcPr>
            <w:tcW w:w="14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ind w:right="1341"/>
              <w:spacing w:after="0" w:line="228" w:lineRule="exact"/>
              <w:rPr>
                <w:sz w:val="20"/>
                <w:szCs w:val="20"/>
                <w:color w:val="auto"/>
              </w:rPr>
            </w:pPr>
            <w:r>
              <w:rPr>
                <w:rFonts w:ascii="Calibri" w:cs="Calibri" w:eastAsia="Calibri" w:hAnsi="Calibri"/>
                <w:sz w:val="20"/>
                <w:szCs w:val="20"/>
                <w:color w:val="auto"/>
                <w:w w:val="78"/>
              </w:rPr>
              <w:t>$</w:t>
            </w:r>
          </w:p>
        </w:tc>
        <w:tc>
          <w:tcPr>
            <w:tcW w:w="8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156.1</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center"/>
              <w:ind w:right="721"/>
              <w:spacing w:after="0" w:line="228" w:lineRule="exact"/>
              <w:rPr>
                <w:sz w:val="20"/>
                <w:szCs w:val="20"/>
                <w:color w:val="auto"/>
              </w:rPr>
            </w:pPr>
            <w:r>
              <w:rPr>
                <w:rFonts w:ascii="Calibri" w:cs="Calibri" w:eastAsia="Calibri" w:hAnsi="Calibri"/>
                <w:sz w:val="20"/>
                <w:szCs w:val="20"/>
                <w:color w:val="auto"/>
                <w:w w:val="98"/>
              </w:rPr>
              <w:t>$</w:t>
            </w:r>
          </w:p>
        </w:tc>
        <w:tc>
          <w:tcPr>
            <w:tcW w:w="146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174.7</w:t>
            </w:r>
          </w:p>
        </w:tc>
        <w:tc>
          <w:tcPr>
            <w:tcW w:w="5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7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2" w:name="page23"/>
    <w:bookmarkEnd w:id="22"/>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500" w:type="dxa"/>
            <w:vAlign w:val="bottom"/>
          </w:tcPr>
          <w:p>
            <w:pPr>
              <w:spacing w:after="0"/>
              <w:rPr>
                <w:sz w:val="20"/>
                <w:szCs w:val="20"/>
                <w:color w:val="auto"/>
              </w:rPr>
            </w:pPr>
            <w:r>
              <w:rPr>
                <w:rFonts w:ascii="Calibri" w:cs="Calibri" w:eastAsia="Calibri" w:hAnsi="Calibri"/>
                <w:sz w:val="20"/>
                <w:szCs w:val="20"/>
                <w:b w:val="1"/>
                <w:bCs w:val="1"/>
                <w:color w:val="auto"/>
              </w:rPr>
              <w:t>13.Supplemental Cash Flow Informaton</w:t>
            </w: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1"/>
        </w:trPr>
        <w:tc>
          <w:tcPr>
            <w:tcW w:w="6500" w:type="dxa"/>
            <w:vAlign w:val="bottom"/>
          </w:tcPr>
          <w:p>
            <w:pPr>
              <w:ind w:left="280"/>
              <w:spacing w:after="0"/>
              <w:rPr>
                <w:sz w:val="20"/>
                <w:szCs w:val="20"/>
                <w:color w:val="auto"/>
              </w:rPr>
            </w:pPr>
            <w:r>
              <w:rPr>
                <w:rFonts w:ascii="Calibri" w:cs="Calibri" w:eastAsia="Calibri" w:hAnsi="Calibri"/>
                <w:sz w:val="20"/>
                <w:szCs w:val="20"/>
                <w:color w:val="auto"/>
              </w:rPr>
              <w:t>Noncash investng and fnancing actvites are as follows:</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gridSpan w:val="3"/>
          </w:tcPr>
          <w:p>
            <w:pPr>
              <w:jc w:val="center"/>
              <w:ind w:left="481"/>
              <w:spacing w:after="0"/>
              <w:rPr>
                <w:sz w:val="20"/>
                <w:szCs w:val="20"/>
                <w:color w:val="auto"/>
              </w:rPr>
            </w:pPr>
            <w:r>
              <w:rPr>
                <w:rFonts w:ascii="Calibri" w:cs="Calibri" w:eastAsia="Calibri" w:hAnsi="Calibri"/>
                <w:sz w:val="20"/>
                <w:szCs w:val="20"/>
                <w:color w:val="auto"/>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6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100" w:type="dxa"/>
            <w:vAlign w:val="bottom"/>
            <w:gridSpan w:val="2"/>
          </w:tcPr>
          <w:p>
            <w:pPr>
              <w:jc w:val="center"/>
              <w:ind w:right="401"/>
              <w:spacing w:after="0"/>
              <w:rPr>
                <w:sz w:val="20"/>
                <w:szCs w:val="20"/>
                <w:color w:val="auto"/>
              </w:rPr>
            </w:pPr>
            <w:r>
              <w:rPr>
                <w:rFonts w:ascii="Calibri" w:cs="Calibri" w:eastAsia="Calibri" w:hAnsi="Calibri"/>
                <w:sz w:val="20"/>
                <w:szCs w:val="20"/>
                <w:color w:val="auto"/>
              </w:rPr>
              <w:t>March 31,</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
        </w:trPr>
        <w:tc>
          <w:tcPr>
            <w:tcW w:w="65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6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2022</w:t>
            </w:r>
          </w:p>
        </w:tc>
        <w:tc>
          <w:tcPr>
            <w:tcW w:w="7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
              <w:spacing w:after="0" w:line="228" w:lineRule="exact"/>
              <w:rPr>
                <w:sz w:val="20"/>
                <w:szCs w:val="20"/>
                <w:color w:val="auto"/>
              </w:rPr>
            </w:pPr>
            <w:r>
              <w:rPr>
                <w:rFonts w:ascii="Calibri" w:cs="Calibri" w:eastAsia="Calibri" w:hAnsi="Calibri"/>
                <w:sz w:val="20"/>
                <w:szCs w:val="20"/>
                <w:color w:val="auto"/>
              </w:rPr>
              <w:t>2021</w:t>
            </w: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00" w:type="dxa"/>
            <w:vAlign w:val="bottom"/>
            <w:gridSpan w:val="2"/>
          </w:tcPr>
          <w:p>
            <w:pPr>
              <w:jc w:val="center"/>
              <w:ind w:right="40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Noncash investng and fnancing actvites:</w:t>
            </w:r>
          </w:p>
        </w:tc>
        <w:tc>
          <w:tcPr>
            <w:tcW w:w="8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500" w:type="dxa"/>
            <w:vAlign w:val="bottom"/>
          </w:tcPr>
          <w:p>
            <w:pPr>
              <w:ind w:left="260"/>
              <w:spacing w:after="0" w:line="232" w:lineRule="exact"/>
              <w:rPr>
                <w:sz w:val="20"/>
                <w:szCs w:val="20"/>
                <w:color w:val="auto"/>
              </w:rPr>
            </w:pPr>
            <w:r>
              <w:rPr>
                <w:rFonts w:ascii="Calibri" w:cs="Calibri" w:eastAsia="Calibri" w:hAnsi="Calibri"/>
                <w:sz w:val="20"/>
                <w:szCs w:val="20"/>
                <w:color w:val="auto"/>
              </w:rPr>
              <w:t>Right-of-use assets obtained in exchange for</w:t>
            </w: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6500" w:type="dxa"/>
            <w:vAlign w:val="bottom"/>
          </w:tcPr>
          <w:p>
            <w:pPr>
              <w:ind w:left="400"/>
              <w:spacing w:after="0" w:line="234" w:lineRule="exact"/>
              <w:rPr>
                <w:sz w:val="20"/>
                <w:szCs w:val="20"/>
                <w:color w:val="auto"/>
              </w:rPr>
            </w:pPr>
            <w:r>
              <w:rPr>
                <w:rFonts w:ascii="Calibri" w:cs="Calibri" w:eastAsia="Calibri" w:hAnsi="Calibri"/>
                <w:sz w:val="20"/>
                <w:szCs w:val="20"/>
                <w:color w:val="auto"/>
              </w:rPr>
              <w:t>new fnance lease liabilites</w:t>
            </w:r>
          </w:p>
        </w:tc>
        <w:tc>
          <w:tcPr>
            <w:tcW w:w="1940" w:type="dxa"/>
            <w:vAlign w:val="bottom"/>
            <w:gridSpan w:val="2"/>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41"/>
              <w:spacing w:after="0" w:line="234" w:lineRule="exact"/>
              <w:rPr>
                <w:sz w:val="20"/>
                <w:szCs w:val="20"/>
                <w:color w:val="auto"/>
              </w:rPr>
            </w:pPr>
            <w:r>
              <w:rPr>
                <w:rFonts w:ascii="Calibri" w:cs="Calibri" w:eastAsia="Calibri" w:hAnsi="Calibri"/>
                <w:sz w:val="20"/>
                <w:szCs w:val="20"/>
                <w:color w:val="auto"/>
              </w:rPr>
              <w:t>3.6</w:t>
            </w:r>
          </w:p>
        </w:tc>
        <w:tc>
          <w:tcPr>
            <w:tcW w:w="1320" w:type="dxa"/>
            <w:vAlign w:val="bottom"/>
          </w:tcPr>
          <w:p>
            <w:pPr>
              <w:jc w:val="right"/>
              <w:ind w:right="981"/>
              <w:spacing w:after="0" w:line="234" w:lineRule="exact"/>
              <w:rPr>
                <w:sz w:val="20"/>
                <w:szCs w:val="20"/>
                <w:color w:val="auto"/>
              </w:rPr>
            </w:pPr>
            <w:r>
              <w:rPr>
                <w:rFonts w:ascii="Calibri" w:cs="Calibri" w:eastAsia="Calibri" w:hAnsi="Calibri"/>
                <w:sz w:val="20"/>
                <w:szCs w:val="20"/>
                <w:color w:val="auto"/>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color w:val="auto"/>
              </w:rPr>
              <w:t>115.1</w:t>
            </w:r>
          </w:p>
        </w:tc>
        <w:tc>
          <w:tcPr>
            <w:tcW w:w="100" w:type="dxa"/>
            <w:vAlign w:val="bottom"/>
          </w:tcPr>
          <w:p>
            <w:pPr>
              <w:spacing w:after="0"/>
              <w:rPr>
                <w:sz w:val="20"/>
                <w:szCs w:val="20"/>
                <w:color w:val="auto"/>
              </w:rPr>
            </w:pPr>
          </w:p>
        </w:tc>
      </w:tr>
      <w:tr>
        <w:trPr>
          <w:trHeight w:val="33"/>
        </w:trPr>
        <w:tc>
          <w:tcPr>
            <w:tcW w:w="6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6500" w:type="dxa"/>
            <w:vAlign w:val="bottom"/>
            <w:shd w:val="clear" w:color="auto" w:fill="CFF0FC"/>
          </w:tcPr>
          <w:p>
            <w:pPr>
              <w:ind w:left="260"/>
              <w:spacing w:after="0" w:line="232" w:lineRule="exact"/>
              <w:rPr>
                <w:sz w:val="20"/>
                <w:szCs w:val="20"/>
                <w:color w:val="auto"/>
              </w:rPr>
            </w:pPr>
            <w:r>
              <w:rPr>
                <w:rFonts w:ascii="Calibri" w:cs="Calibri" w:eastAsia="Calibri" w:hAnsi="Calibri"/>
                <w:sz w:val="20"/>
                <w:szCs w:val="20"/>
                <w:color w:val="auto"/>
              </w:rPr>
              <w:t>Right-of-use assets obtained in exchange for new</w:t>
            </w:r>
          </w:p>
        </w:tc>
        <w:tc>
          <w:tcPr>
            <w:tcW w:w="8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7"/>
        </w:trPr>
        <w:tc>
          <w:tcPr>
            <w:tcW w:w="6500" w:type="dxa"/>
            <w:vAlign w:val="bottom"/>
            <w:tcBorders>
              <w:bottom w:val="single" w:sz="8" w:color="CFF0FC"/>
            </w:tcBorders>
            <w:shd w:val="clear" w:color="auto" w:fill="CFF0FC"/>
          </w:tcPr>
          <w:p>
            <w:pPr>
              <w:ind w:left="400"/>
              <w:spacing w:after="0" w:line="234" w:lineRule="exact"/>
              <w:rPr>
                <w:sz w:val="20"/>
                <w:szCs w:val="20"/>
                <w:color w:val="auto"/>
              </w:rPr>
            </w:pPr>
            <w:r>
              <w:rPr>
                <w:rFonts w:ascii="Calibri" w:cs="Calibri" w:eastAsia="Calibri" w:hAnsi="Calibri"/>
                <w:sz w:val="20"/>
                <w:szCs w:val="20"/>
                <w:color w:val="auto"/>
              </w:rPr>
              <w:t>operatng lease liabilites</w:t>
            </w:r>
          </w:p>
        </w:tc>
        <w:tc>
          <w:tcPr>
            <w:tcW w:w="1940" w:type="dxa"/>
            <w:vAlign w:val="bottom"/>
            <w:tcBorders>
              <w:bottom w:val="single" w:sz="8" w:color="CFF0FC"/>
            </w:tcBorders>
            <w:gridSpan w:val="2"/>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780" w:type="dxa"/>
            <w:vAlign w:val="bottom"/>
            <w:tcBorders>
              <w:bottom w:val="single" w:sz="8" w:color="CFF0FC"/>
            </w:tcBorders>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rPr>
              <w:t>6.1</w:t>
            </w:r>
          </w:p>
        </w:tc>
        <w:tc>
          <w:tcPr>
            <w:tcW w:w="1320" w:type="dxa"/>
            <w:vAlign w:val="bottom"/>
            <w:tcBorders>
              <w:bottom w:val="single" w:sz="8" w:color="CFF0FC"/>
            </w:tcBorders>
            <w:shd w:val="clear" w:color="auto" w:fill="CFF0FC"/>
          </w:tcPr>
          <w:p>
            <w:pPr>
              <w:jc w:val="right"/>
              <w:ind w:right="981"/>
              <w:spacing w:after="0" w:line="234" w:lineRule="exact"/>
              <w:rPr>
                <w:sz w:val="20"/>
                <w:szCs w:val="20"/>
                <w:color w:val="auto"/>
              </w:rPr>
            </w:pPr>
            <w:r>
              <w:rPr>
                <w:rFonts w:ascii="Calibri" w:cs="Calibri" w:eastAsia="Calibri" w:hAnsi="Calibri"/>
                <w:sz w:val="20"/>
                <w:szCs w:val="20"/>
                <w:color w:val="auto"/>
              </w:rPr>
              <w:t>$</w:t>
            </w:r>
          </w:p>
        </w:tc>
        <w:tc>
          <w:tcPr>
            <w:tcW w:w="6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500" w:type="dxa"/>
            <w:vAlign w:val="bottom"/>
          </w:tcPr>
          <w:p>
            <w:pPr>
              <w:ind w:left="260"/>
              <w:spacing w:after="0" w:line="234" w:lineRule="exact"/>
              <w:rPr>
                <w:sz w:val="20"/>
                <w:szCs w:val="20"/>
                <w:color w:val="auto"/>
              </w:rPr>
            </w:pPr>
            <w:r>
              <w:rPr>
                <w:rFonts w:ascii="Calibri" w:cs="Calibri" w:eastAsia="Calibri" w:hAnsi="Calibri"/>
                <w:sz w:val="20"/>
                <w:szCs w:val="20"/>
                <w:color w:val="auto"/>
              </w:rPr>
              <w:t>Accrued liabilites for purchases of property, plant and equipment</w:t>
            </w:r>
          </w:p>
        </w:tc>
        <w:tc>
          <w:tcPr>
            <w:tcW w:w="1940" w:type="dxa"/>
            <w:vAlign w:val="bottom"/>
            <w:gridSpan w:val="2"/>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41"/>
              <w:spacing w:after="0" w:line="234" w:lineRule="exact"/>
              <w:rPr>
                <w:sz w:val="20"/>
                <w:szCs w:val="20"/>
                <w:color w:val="auto"/>
              </w:rPr>
            </w:pPr>
            <w:r>
              <w:rPr>
                <w:rFonts w:ascii="Calibri" w:cs="Calibri" w:eastAsia="Calibri" w:hAnsi="Calibri"/>
                <w:sz w:val="20"/>
                <w:szCs w:val="20"/>
                <w:color w:val="auto"/>
              </w:rPr>
              <w:t>24.5</w:t>
            </w:r>
          </w:p>
        </w:tc>
        <w:tc>
          <w:tcPr>
            <w:tcW w:w="1320" w:type="dxa"/>
            <w:vAlign w:val="bottom"/>
          </w:tcPr>
          <w:p>
            <w:pPr>
              <w:jc w:val="right"/>
              <w:ind w:right="981"/>
              <w:spacing w:after="0" w:line="234" w:lineRule="exact"/>
              <w:rPr>
                <w:sz w:val="20"/>
                <w:szCs w:val="20"/>
                <w:color w:val="auto"/>
              </w:rPr>
            </w:pPr>
            <w:r>
              <w:rPr>
                <w:rFonts w:ascii="Calibri" w:cs="Calibri" w:eastAsia="Calibri" w:hAnsi="Calibri"/>
                <w:sz w:val="20"/>
                <w:szCs w:val="20"/>
                <w:color w:val="auto"/>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color w:val="auto"/>
              </w:rPr>
              <w:t>28.7</w:t>
            </w:r>
          </w:p>
        </w:tc>
        <w:tc>
          <w:tcPr>
            <w:tcW w:w="100" w:type="dxa"/>
            <w:vAlign w:val="bottom"/>
          </w:tcPr>
          <w:p>
            <w:pPr>
              <w:spacing w:after="0"/>
              <w:rPr>
                <w:sz w:val="20"/>
                <w:szCs w:val="20"/>
                <w:color w:val="auto"/>
              </w:rPr>
            </w:pPr>
          </w:p>
        </w:tc>
      </w:tr>
      <w:tr>
        <w:trPr>
          <w:trHeight w:val="22"/>
        </w:trPr>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0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Remeasurement of operatng lease right-of-use assets</w:t>
            </w:r>
          </w:p>
        </w:tc>
        <w:tc>
          <w:tcPr>
            <w:tcW w:w="1940" w:type="dxa"/>
            <w:vAlign w:val="bottom"/>
            <w:tcBorders>
              <w:bottom w:val="single" w:sz="8" w:color="CFF0FC"/>
            </w:tcBorders>
            <w:gridSpan w:val="2"/>
            <w:shd w:val="clear" w:color="auto" w:fill="CFF0FC"/>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780" w:type="dxa"/>
            <w:vAlign w:val="bottom"/>
            <w:tcBorders>
              <w:bottom w:val="single" w:sz="8" w:color="CFF0FC"/>
            </w:tcBorders>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rPr>
              <w:t>0.3</w:t>
            </w:r>
          </w:p>
        </w:tc>
        <w:tc>
          <w:tcPr>
            <w:tcW w:w="1320" w:type="dxa"/>
            <w:vAlign w:val="bottom"/>
            <w:tcBorders>
              <w:bottom w:val="single" w:sz="8" w:color="CFF0FC"/>
            </w:tcBorders>
            <w:shd w:val="clear" w:color="auto" w:fill="CFF0FC"/>
          </w:tcPr>
          <w:p>
            <w:pPr>
              <w:jc w:val="right"/>
              <w:ind w:right="981"/>
              <w:spacing w:after="0" w:line="234" w:lineRule="exact"/>
              <w:rPr>
                <w:sz w:val="20"/>
                <w:szCs w:val="20"/>
                <w:color w:val="auto"/>
              </w:rPr>
            </w:pPr>
            <w:r>
              <w:rPr>
                <w:rFonts w:ascii="Calibri" w:cs="Calibri" w:eastAsia="Calibri" w:hAnsi="Calibri"/>
                <w:sz w:val="20"/>
                <w:szCs w:val="20"/>
                <w:color w:val="auto"/>
              </w:rPr>
              <w:t>$</w:t>
            </w:r>
          </w:p>
        </w:tc>
        <w:tc>
          <w:tcPr>
            <w:tcW w:w="70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(6.2)</w:t>
            </w:r>
          </w:p>
        </w:tc>
      </w:tr>
      <w:tr>
        <w:trPr>
          <w:trHeight w:val="234"/>
        </w:trPr>
        <w:tc>
          <w:tcPr>
            <w:tcW w:w="6500" w:type="dxa"/>
            <w:vAlign w:val="bottom"/>
          </w:tcPr>
          <w:p>
            <w:pPr>
              <w:ind w:left="260"/>
              <w:spacing w:after="0" w:line="234" w:lineRule="exact"/>
              <w:rPr>
                <w:sz w:val="20"/>
                <w:szCs w:val="20"/>
                <w:color w:val="auto"/>
              </w:rPr>
            </w:pPr>
            <w:r>
              <w:rPr>
                <w:rFonts w:ascii="Calibri" w:cs="Calibri" w:eastAsia="Calibri" w:hAnsi="Calibri"/>
                <w:sz w:val="20"/>
                <w:szCs w:val="20"/>
                <w:color w:val="auto"/>
              </w:rPr>
              <w:t>Remeasurement of fnance lease right-of-use assets</w:t>
            </w:r>
          </w:p>
        </w:tc>
        <w:tc>
          <w:tcPr>
            <w:tcW w:w="1940" w:type="dxa"/>
            <w:vAlign w:val="bottom"/>
            <w:gridSpan w:val="2"/>
          </w:tcPr>
          <w:p>
            <w:pPr>
              <w:jc w:val="right"/>
              <w:ind w:right="881"/>
              <w:spacing w:after="0" w:line="234"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41"/>
              <w:spacing w:after="0" w:line="234" w:lineRule="exact"/>
              <w:rPr>
                <w:sz w:val="20"/>
                <w:szCs w:val="20"/>
                <w:color w:val="auto"/>
              </w:rPr>
            </w:pPr>
            <w:r>
              <w:rPr>
                <w:rFonts w:ascii="Calibri" w:cs="Calibri" w:eastAsia="Calibri" w:hAnsi="Calibri"/>
                <w:sz w:val="20"/>
                <w:szCs w:val="20"/>
                <w:color w:val="auto"/>
              </w:rPr>
              <w:t>0.4</w:t>
            </w:r>
          </w:p>
        </w:tc>
        <w:tc>
          <w:tcPr>
            <w:tcW w:w="1320" w:type="dxa"/>
            <w:vAlign w:val="bottom"/>
          </w:tcPr>
          <w:p>
            <w:pPr>
              <w:jc w:val="right"/>
              <w:ind w:right="981"/>
              <w:spacing w:after="0" w:line="234" w:lineRule="exact"/>
              <w:rPr>
                <w:sz w:val="20"/>
                <w:szCs w:val="20"/>
                <w:color w:val="auto"/>
              </w:rPr>
            </w:pPr>
            <w:r>
              <w:rPr>
                <w:rFonts w:ascii="Calibri" w:cs="Calibri" w:eastAsia="Calibri" w:hAnsi="Calibri"/>
                <w:sz w:val="20"/>
                <w:szCs w:val="20"/>
                <w:color w:val="auto"/>
              </w:rPr>
              <w:t>$</w:t>
            </w:r>
          </w:p>
        </w:tc>
        <w:tc>
          <w:tcPr>
            <w:tcW w:w="700" w:type="dxa"/>
            <w:vAlign w:val="bottom"/>
            <w:gridSpan w:val="2"/>
          </w:tcPr>
          <w:p>
            <w:pPr>
              <w:jc w:val="right"/>
              <w:ind w:right="120"/>
              <w:spacing w:after="0" w:line="234" w:lineRule="exact"/>
              <w:rPr>
                <w:sz w:val="20"/>
                <w:szCs w:val="20"/>
                <w:color w:val="auto"/>
              </w:rPr>
            </w:pPr>
            <w:r>
              <w:rPr>
                <w:rFonts w:ascii="Calibri" w:cs="Calibri" w:eastAsia="Calibri" w:hAnsi="Calibri"/>
                <w:sz w:val="20"/>
                <w:szCs w:val="20"/>
                <w:color w:val="auto"/>
              </w:rPr>
              <w:t>—</w:t>
            </w:r>
          </w:p>
        </w:tc>
      </w:tr>
    </w:tbl>
    <w:p>
      <w:pPr>
        <w:spacing w:after="0" w:line="187" w:lineRule="exact"/>
        <w:rPr>
          <w:sz w:val="20"/>
          <w:szCs w:val="20"/>
          <w:color w:val="auto"/>
        </w:rPr>
      </w:pPr>
    </w:p>
    <w:p>
      <w:pPr>
        <w:jc w:val="both"/>
        <w:ind w:left="280"/>
        <w:spacing w:after="0" w:line="234" w:lineRule="auto"/>
        <w:rPr>
          <w:sz w:val="20"/>
          <w:szCs w:val="20"/>
          <w:color w:val="auto"/>
        </w:rPr>
      </w:pPr>
      <w:r>
        <w:rPr>
          <w:rFonts w:ascii="Calibri" w:cs="Calibri" w:eastAsia="Calibri" w:hAnsi="Calibri"/>
          <w:sz w:val="20"/>
          <w:szCs w:val="20"/>
          <w:color w:val="auto"/>
        </w:rPr>
        <w:t>For the three months ended March 31, 2021, the right-of-use assets obtained in exchange for new fnance lease liabilites balance were primarily atributable to the lease of the new corporate headquarters.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40" w:type="dxa"/>
            <w:vAlign w:val="bottom"/>
          </w:tcPr>
          <w:p>
            <w:pPr>
              <w:ind w:left="280"/>
              <w:spacing w:after="0"/>
              <w:rPr>
                <w:sz w:val="20"/>
                <w:szCs w:val="20"/>
                <w:color w:val="auto"/>
              </w:rPr>
            </w:pPr>
            <w:r>
              <w:rPr>
                <w:rFonts w:ascii="Calibri" w:cs="Calibri" w:eastAsia="Calibri" w:hAnsi="Calibri"/>
                <w:sz w:val="20"/>
                <w:szCs w:val="20"/>
                <w:color w:val="auto"/>
              </w:rPr>
              <w:t>Supplemental disclosures of cash fow informaton are as follows:</w:t>
            </w: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24"/>
        </w:trPr>
        <w:tc>
          <w:tcPr>
            <w:tcW w:w="6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gridSpan w:val="2"/>
          </w:tcPr>
          <w:p>
            <w:pPr>
              <w:jc w:val="center"/>
              <w:ind w:right="441"/>
              <w:spacing w:after="0"/>
              <w:rPr>
                <w:sz w:val="20"/>
                <w:szCs w:val="20"/>
                <w:color w:val="auto"/>
              </w:rPr>
            </w:pPr>
            <w:r>
              <w:rPr>
                <w:rFonts w:ascii="Calibri" w:cs="Calibri" w:eastAsia="Calibri" w:hAnsi="Calibri"/>
                <w:sz w:val="20"/>
                <w:szCs w:val="20"/>
                <w:color w:val="auto"/>
              </w:rPr>
              <w:t>Three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7"/>
        </w:trPr>
        <w:tc>
          <w:tcPr>
            <w:tcW w:w="6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300" w:type="dxa"/>
            <w:vAlign w:val="bottom"/>
            <w:gridSpan w:val="2"/>
          </w:tcPr>
          <w:p>
            <w:pPr>
              <w:jc w:val="center"/>
              <w:ind w:right="421"/>
              <w:spacing w:after="0"/>
              <w:rPr>
                <w:sz w:val="20"/>
                <w:szCs w:val="20"/>
                <w:color w:val="auto"/>
              </w:rPr>
            </w:pPr>
            <w:r>
              <w:rPr>
                <w:rFonts w:ascii="Calibri" w:cs="Calibri" w:eastAsia="Calibri" w:hAnsi="Calibri"/>
                <w:sz w:val="20"/>
                <w:szCs w:val="20"/>
                <w:color w:val="auto"/>
                <w:w w:val="99"/>
              </w:rPr>
              <w:t>March 31,</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3"/>
        </w:trPr>
        <w:tc>
          <w:tcPr>
            <w:tcW w:w="64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6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2022</w:t>
            </w:r>
          </w:p>
        </w:tc>
        <w:tc>
          <w:tcPr>
            <w:tcW w:w="8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81"/>
              <w:spacing w:after="0" w:line="228" w:lineRule="exact"/>
              <w:rPr>
                <w:sz w:val="20"/>
                <w:szCs w:val="20"/>
                <w:color w:val="auto"/>
              </w:rPr>
            </w:pPr>
            <w:r>
              <w:rPr>
                <w:rFonts w:ascii="Calibri" w:cs="Calibri" w:eastAsia="Calibri" w:hAnsi="Calibri"/>
                <w:sz w:val="20"/>
                <w:szCs w:val="20"/>
                <w:color w:val="auto"/>
              </w:rPr>
              <w:t>2021</w:t>
            </w: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6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6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00" w:type="dxa"/>
            <w:vAlign w:val="bottom"/>
            <w:gridSpan w:val="2"/>
          </w:tcPr>
          <w:p>
            <w:pPr>
              <w:jc w:val="center"/>
              <w:ind w:right="42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6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64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Cash paid for interest, net of capitalized amount</w:t>
            </w:r>
          </w:p>
        </w:tc>
        <w:tc>
          <w:tcPr>
            <w:tcW w:w="1840" w:type="dxa"/>
            <w:vAlign w:val="bottom"/>
            <w:tcBorders>
              <w:bottom w:val="single" w:sz="8" w:color="CFF0FC"/>
            </w:tcBorders>
            <w:gridSpan w:val="2"/>
            <w:shd w:val="clear" w:color="auto" w:fill="CFF0FC"/>
          </w:tcPr>
          <w:p>
            <w:pPr>
              <w:jc w:val="right"/>
              <w:ind w:right="841"/>
              <w:spacing w:after="0" w:line="234" w:lineRule="exact"/>
              <w:rPr>
                <w:sz w:val="20"/>
                <w:szCs w:val="20"/>
                <w:color w:val="auto"/>
              </w:rPr>
            </w:pPr>
            <w:r>
              <w:rPr>
                <w:rFonts w:ascii="Calibri" w:cs="Calibri" w:eastAsia="Calibri" w:hAnsi="Calibri"/>
                <w:sz w:val="20"/>
                <w:szCs w:val="20"/>
                <w:color w:val="auto"/>
              </w:rPr>
              <w:t>$</w:t>
            </w:r>
          </w:p>
        </w:tc>
        <w:tc>
          <w:tcPr>
            <w:tcW w:w="820" w:type="dxa"/>
            <w:vAlign w:val="bottom"/>
            <w:tcBorders>
              <w:bottom w:val="single" w:sz="8" w:color="CFF0FC"/>
            </w:tcBorders>
            <w:shd w:val="clear" w:color="auto" w:fill="CFF0FC"/>
          </w:tcPr>
          <w:p>
            <w:pPr>
              <w:jc w:val="right"/>
              <w:ind w:right="101"/>
              <w:spacing w:after="0" w:line="234" w:lineRule="exact"/>
              <w:rPr>
                <w:sz w:val="20"/>
                <w:szCs w:val="20"/>
                <w:color w:val="auto"/>
              </w:rPr>
            </w:pPr>
            <w:r>
              <w:rPr>
                <w:rFonts w:ascii="Calibri" w:cs="Calibri" w:eastAsia="Calibri" w:hAnsi="Calibri"/>
                <w:sz w:val="20"/>
                <w:szCs w:val="20"/>
                <w:color w:val="auto"/>
              </w:rPr>
              <w:t>44.8</w:t>
            </w:r>
          </w:p>
        </w:tc>
        <w:tc>
          <w:tcPr>
            <w:tcW w:w="1480" w:type="dxa"/>
            <w:vAlign w:val="bottom"/>
            <w:tcBorders>
              <w:bottom w:val="single" w:sz="8" w:color="CFF0FC"/>
            </w:tcBorders>
            <w:shd w:val="clear" w:color="auto" w:fill="CFF0FC"/>
          </w:tcPr>
          <w:p>
            <w:pPr>
              <w:jc w:val="right"/>
              <w:ind w:right="1101"/>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440" w:type="dxa"/>
            <w:vAlign w:val="bottom"/>
          </w:tcPr>
          <w:p>
            <w:pPr>
              <w:spacing w:after="0" w:line="234" w:lineRule="exact"/>
              <w:rPr>
                <w:sz w:val="20"/>
                <w:szCs w:val="20"/>
                <w:color w:val="auto"/>
              </w:rPr>
            </w:pPr>
            <w:r>
              <w:rPr>
                <w:rFonts w:ascii="Calibri" w:cs="Calibri" w:eastAsia="Calibri" w:hAnsi="Calibri"/>
                <w:sz w:val="20"/>
                <w:szCs w:val="20"/>
                <w:color w:val="auto"/>
              </w:rPr>
              <w:t>Cash paid for income taxes, net of refunds</w:t>
            </w:r>
          </w:p>
        </w:tc>
        <w:tc>
          <w:tcPr>
            <w:tcW w:w="1840" w:type="dxa"/>
            <w:vAlign w:val="bottom"/>
            <w:gridSpan w:val="2"/>
          </w:tcPr>
          <w:p>
            <w:pPr>
              <w:jc w:val="right"/>
              <w:ind w:right="841"/>
              <w:spacing w:after="0" w:line="234" w:lineRule="exact"/>
              <w:rPr>
                <w:sz w:val="20"/>
                <w:szCs w:val="20"/>
                <w:color w:val="auto"/>
              </w:rPr>
            </w:pPr>
            <w:r>
              <w:rPr>
                <w:rFonts w:ascii="Calibri" w:cs="Calibri" w:eastAsia="Calibri" w:hAnsi="Calibri"/>
                <w:sz w:val="20"/>
                <w:szCs w:val="20"/>
                <w:color w:val="auto"/>
              </w:rPr>
              <w:t>$</w:t>
            </w:r>
          </w:p>
        </w:tc>
        <w:tc>
          <w:tcPr>
            <w:tcW w:w="82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0.8</w:t>
            </w:r>
          </w:p>
        </w:tc>
        <w:tc>
          <w:tcPr>
            <w:tcW w:w="1480" w:type="dxa"/>
            <w:vAlign w:val="bottom"/>
          </w:tcPr>
          <w:p>
            <w:pPr>
              <w:jc w:val="right"/>
              <w:ind w:right="1101"/>
              <w:spacing w:after="0" w:line="234" w:lineRule="exact"/>
              <w:rPr>
                <w:sz w:val="20"/>
                <w:szCs w:val="20"/>
                <w:color w:val="auto"/>
              </w:rPr>
            </w:pPr>
            <w:r>
              <w:rPr>
                <w:rFonts w:ascii="Calibri" w:cs="Calibri" w:eastAsia="Calibri" w:hAnsi="Calibri"/>
                <w:sz w:val="20"/>
                <w:szCs w:val="20"/>
                <w:color w:val="auto"/>
              </w:rPr>
              <w:t>$</w:t>
            </w:r>
          </w:p>
        </w:tc>
        <w:tc>
          <w:tcPr>
            <w:tcW w:w="660" w:type="dxa"/>
            <w:vAlign w:val="bottom"/>
            <w:gridSpan w:val="2"/>
          </w:tcPr>
          <w:p>
            <w:pPr>
              <w:jc w:val="right"/>
              <w:ind w:right="140"/>
              <w:spacing w:after="0" w:line="234" w:lineRule="exact"/>
              <w:rPr>
                <w:sz w:val="20"/>
                <w:szCs w:val="20"/>
                <w:color w:val="auto"/>
              </w:rPr>
            </w:pPr>
            <w:r>
              <w:rPr>
                <w:rFonts w:ascii="Calibri" w:cs="Calibri" w:eastAsia="Calibri" w:hAnsi="Calibri"/>
                <w:sz w:val="20"/>
                <w:szCs w:val="20"/>
                <w:color w:val="auto"/>
              </w:rPr>
              <w:t>—</w:t>
            </w:r>
          </w:p>
        </w:tc>
      </w:tr>
    </w:tbl>
    <w:p>
      <w:pPr>
        <w:spacing w:after="0" w:line="173" w:lineRule="exact"/>
        <w:rPr>
          <w:sz w:val="20"/>
          <w:szCs w:val="20"/>
          <w:color w:val="auto"/>
        </w:rPr>
      </w:pPr>
    </w:p>
    <w:p>
      <w:pPr>
        <w:jc w:val="both"/>
        <w:ind w:left="280"/>
        <w:spacing w:after="0" w:line="236" w:lineRule="auto"/>
        <w:rPr>
          <w:sz w:val="20"/>
          <w:szCs w:val="20"/>
          <w:color w:val="auto"/>
        </w:rPr>
      </w:pPr>
      <w:r>
        <w:rPr>
          <w:rFonts w:ascii="Calibri" w:cs="Calibri" w:eastAsia="Calibri" w:hAnsi="Calibri"/>
          <w:sz w:val="20"/>
          <w:szCs w:val="20"/>
          <w:color w:val="auto"/>
        </w:rPr>
        <w:t xml:space="preserve">During the three months ended March 31, 2021, the Company received proceeds of $9.8 million related to its company-owned life insurance policies. The proceeds are included in the </w:t>
      </w:r>
      <w:r>
        <w:rPr>
          <w:rFonts w:ascii="Calibri" w:cs="Calibri" w:eastAsia="Calibri" w:hAnsi="Calibri"/>
          <w:sz w:val="20"/>
          <w:szCs w:val="20"/>
          <w:i w:val="1"/>
          <w:iCs w:val="1"/>
          <w:color w:val="auto"/>
        </w:rPr>
        <w:t>Investments in life insurance contracts, net</w:t>
      </w:r>
      <w:r>
        <w:rPr>
          <w:rFonts w:ascii="Calibri" w:cs="Calibri" w:eastAsia="Calibri" w:hAnsi="Calibri"/>
          <w:sz w:val="20"/>
          <w:szCs w:val="20"/>
          <w:color w:val="auto"/>
        </w:rPr>
        <w:t>, in the investng actvites of the consolidated statements of cash fows.</w:t>
      </w:r>
    </w:p>
    <w:p>
      <w:pPr>
        <w:spacing w:after="0" w:line="323" w:lineRule="exact"/>
        <w:rPr>
          <w:sz w:val="20"/>
          <w:szCs w:val="20"/>
          <w:color w:val="auto"/>
        </w:rPr>
      </w:pPr>
    </w:p>
    <w:p>
      <w:pPr>
        <w:ind w:left="280" w:hanging="272"/>
        <w:spacing w:after="0"/>
        <w:tabs>
          <w:tab w:leader="none" w:pos="280" w:val="left"/>
        </w:tabs>
        <w:numPr>
          <w:ilvl w:val="0"/>
          <w:numId w:val="1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Subsequent Event</w:t>
      </w:r>
    </w:p>
    <w:p>
      <w:pPr>
        <w:spacing w:after="0" w:line="116" w:lineRule="exact"/>
        <w:rPr>
          <w:rFonts w:ascii="Calibri" w:cs="Calibri" w:eastAsia="Calibri" w:hAnsi="Calibri"/>
          <w:sz w:val="20"/>
          <w:szCs w:val="20"/>
          <w:b w:val="1"/>
          <w:bCs w:val="1"/>
          <w:color w:val="auto"/>
        </w:rPr>
      </w:pPr>
    </w:p>
    <w:p>
      <w:pPr>
        <w:jc w:val="both"/>
        <w:ind w:left="280"/>
        <w:spacing w:after="0"/>
        <w:rPr>
          <w:rFonts w:ascii="Calibri" w:cs="Calibri" w:eastAsia="Calibri" w:hAnsi="Calibri"/>
          <w:sz w:val="20"/>
          <w:szCs w:val="20"/>
          <w:b w:val="1"/>
          <w:bCs w:val="1"/>
          <w:color w:val="auto"/>
        </w:rPr>
      </w:pPr>
      <w:r>
        <w:rPr>
          <w:rFonts w:ascii="Calibri" w:cs="Calibri" w:eastAsia="Calibri" w:hAnsi="Calibri"/>
          <w:sz w:val="20"/>
          <w:szCs w:val="20"/>
          <w:color w:val="auto"/>
        </w:rPr>
        <w:t>On April 1, 2022, the Company divested its Colorado and Central Texas ready-mixed concrete operatons to Smyrna Ready Mix Concrete LLC. The Company expects the transacton to result in a gain. These operatons are all reported in the Company’s West Group.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38" w:lineRule="auto"/>
        <w:rPr>
          <w:sz w:val="20"/>
          <w:szCs w:val="20"/>
          <w:color w:val="auto"/>
        </w:rPr>
      </w:pPr>
      <w:r>
        <w:rPr>
          <w:rFonts w:ascii="Calibri" w:cs="Calibri" w:eastAsia="Calibri" w:hAnsi="Calibri"/>
          <w:sz w:val="20"/>
          <w:szCs w:val="20"/>
          <w:color w:val="auto"/>
        </w:rPr>
        <w:t>FORM 10-Q</w:t>
      </w:r>
    </w:p>
    <w:p>
      <w:pPr>
        <w:jc w:val="center"/>
        <w:ind w:right="40"/>
        <w:spacing w:after="0"/>
        <w:rPr>
          <w:sz w:val="20"/>
          <w:szCs w:val="20"/>
          <w:color w:val="auto"/>
        </w:rPr>
      </w:pPr>
      <w:r>
        <w:rPr>
          <w:rFonts w:ascii="Calibri" w:cs="Calibri" w:eastAsia="Calibri" w:hAnsi="Calibri"/>
          <w:sz w:val="20"/>
          <w:szCs w:val="20"/>
          <w:color w:val="auto"/>
        </w:rPr>
        <w:t>For the Quarter Ended March 31, 2022</w:t>
      </w:r>
    </w:p>
    <w:p>
      <w:pPr>
        <w:spacing w:after="0" w:line="66"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40"/>
        <w:spacing w:after="0" w:line="238" w:lineRule="auto"/>
        <w:rPr>
          <w:sz w:val="20"/>
          <w:szCs w:val="20"/>
          <w:color w:val="auto"/>
        </w:rPr>
      </w:pPr>
      <w:r>
        <w:rPr>
          <w:rFonts w:ascii="Calibri" w:cs="Calibri" w:eastAsia="Calibri" w:hAnsi="Calibri"/>
          <w:sz w:val="20"/>
          <w:szCs w:val="20"/>
          <w:color w:val="auto"/>
        </w:rPr>
        <w:t>RESULTS OF OPERATIONS</w:t>
      </w:r>
    </w:p>
    <w:p>
      <w:pPr>
        <w:spacing w:after="0" w:line="364" w:lineRule="exact"/>
        <w:rPr>
          <w:sz w:val="20"/>
          <w:szCs w:val="20"/>
          <w:color w:val="auto"/>
        </w:rPr>
      </w:pPr>
    </w:p>
    <w:p>
      <w:pPr>
        <w:spacing w:after="0"/>
        <w:rPr>
          <w:sz w:val="20"/>
          <w:szCs w:val="20"/>
          <w:color w:val="auto"/>
        </w:rPr>
      </w:pPr>
      <w:r>
        <w:rPr>
          <w:rFonts w:ascii="Calibri" w:cs="Calibri" w:eastAsia="Calibri" w:hAnsi="Calibri"/>
          <w:sz w:val="20"/>
          <w:szCs w:val="20"/>
          <w:color w:val="auto"/>
        </w:rPr>
        <w:t>Item 2. Management’s Discussion and Analysis of Financial Conditon and Results of Operatons.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OVERVIEW</w:t>
      </w:r>
    </w:p>
    <w:p>
      <w:pPr>
        <w:spacing w:after="0" w:line="117" w:lineRule="exact"/>
        <w:rPr>
          <w:sz w:val="20"/>
          <w:szCs w:val="20"/>
          <w:color w:val="auto"/>
        </w:rPr>
      </w:pPr>
    </w:p>
    <w:p>
      <w:pPr>
        <w:jc w:val="both"/>
        <w:ind w:right="40"/>
        <w:spacing w:after="0" w:line="237" w:lineRule="auto"/>
        <w:rPr>
          <w:sz w:val="20"/>
          <w:szCs w:val="20"/>
          <w:color w:val="auto"/>
        </w:rPr>
      </w:pPr>
      <w:r>
        <w:rPr>
          <w:rFonts w:ascii="Calibri" w:cs="Calibri" w:eastAsia="Calibri" w:hAnsi="Calibri"/>
          <w:sz w:val="20"/>
          <w:szCs w:val="20"/>
          <w:color w:val="auto"/>
        </w:rPr>
        <w:t>Martn Marieta Materials, Inc. (the Company or Martn Marieta) is a natural resource-based building materials company. As of March 31, 2022, the Company supplies aggregates (crushed stone, sand and gravel) through its network of approximately 350 quarries, mines and distributon yards in 28 states, Canada and The Bahamas. Martn Marieta also provides cement and downstream products and services, namely, ready mixed concrete, asphalt and paving, in vertcally-integrated structured markets where the Company has a leading aggregates positon. In additon, the Company has two cement plants, cement distributon terminals and ready mixed concrete operatons primarily in California that are classifed as assets held for sale and reported as discontnued operatons as of March 31, 2022.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116"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93" w:lineRule="exact"/>
        <w:rPr>
          <w:sz w:val="20"/>
          <w:szCs w:val="20"/>
          <w:color w:val="auto"/>
        </w:rPr>
      </w:pPr>
    </w:p>
    <w:p>
      <w:pPr>
        <w:ind w:left="4300"/>
        <w:spacing w:after="0"/>
        <w:rPr>
          <w:sz w:val="20"/>
          <w:szCs w:val="20"/>
          <w:color w:val="auto"/>
        </w:rPr>
      </w:pPr>
      <w:r>
        <w:rPr>
          <w:rFonts w:ascii="Calibri" w:cs="Calibri" w:eastAsia="Calibri" w:hAnsi="Calibri"/>
          <w:sz w:val="20"/>
          <w:szCs w:val="20"/>
          <w:b w:val="1"/>
          <w:bCs w:val="1"/>
          <w:color w:val="auto"/>
        </w:rPr>
        <w:t>BUILDING MATERIALS BUSINESS</w:t>
      </w:r>
    </w:p>
    <w:p>
      <w:pPr>
        <w:jc w:val="center"/>
        <w:spacing w:after="0" w:line="238" w:lineRule="auto"/>
        <w:rPr>
          <w:sz w:val="20"/>
          <w:szCs w:val="20"/>
          <w:color w:val="auto"/>
        </w:rPr>
      </w:pPr>
      <w:r>
        <w:rPr>
          <w:rFonts w:ascii="Calibri" w:cs="Calibri" w:eastAsia="Calibri" w:hAnsi="Calibri"/>
          <w:sz w:val="20"/>
          <w:szCs w:val="20"/>
          <w:b w:val="1"/>
          <w:bCs w:val="1"/>
          <w:color w:val="auto"/>
        </w:rPr>
        <w:t>(contnuing operatons only)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60" w:type="dxa"/>
            <w:vAlign w:val="bottom"/>
            <w:tcBorders>
              <w:top w:val="single" w:sz="8" w:color="auto"/>
            </w:tcBorders>
            <w:gridSpan w:val="2"/>
          </w:tcPr>
          <w:p>
            <w:pPr>
              <w:jc w:val="center"/>
              <w:ind w:right="100"/>
              <w:spacing w:after="0"/>
              <w:rPr>
                <w:sz w:val="20"/>
                <w:szCs w:val="20"/>
                <w:color w:val="auto"/>
              </w:rPr>
            </w:pPr>
            <w:r>
              <w:rPr>
                <w:rFonts w:ascii="Calibri" w:cs="Calibri" w:eastAsia="Calibri" w:hAnsi="Calibri"/>
                <w:sz w:val="20"/>
                <w:szCs w:val="20"/>
                <w:color w:val="auto"/>
              </w:rPr>
              <w:t>Reportable Segments</w:t>
            </w:r>
          </w:p>
        </w:tc>
        <w:tc>
          <w:tcPr>
            <w:tcW w:w="4640" w:type="dxa"/>
            <w:vAlign w:val="bottom"/>
            <w:tcBorders>
              <w:top w:val="single" w:sz="8" w:color="auto"/>
            </w:tcBorders>
            <w:gridSpan w:val="2"/>
          </w:tcPr>
          <w:p>
            <w:pPr>
              <w:jc w:val="center"/>
              <w:ind w:right="100"/>
              <w:spacing w:after="0"/>
              <w:rPr>
                <w:sz w:val="20"/>
                <w:szCs w:val="20"/>
                <w:color w:val="auto"/>
              </w:rPr>
            </w:pPr>
            <w:r>
              <w:rPr>
                <w:rFonts w:ascii="Calibri" w:cs="Calibri" w:eastAsia="Calibri" w:hAnsi="Calibri"/>
                <w:sz w:val="20"/>
                <w:szCs w:val="20"/>
                <w:color w:val="auto"/>
              </w:rPr>
              <w:t>East Group</w:t>
            </w:r>
          </w:p>
        </w:tc>
        <w:tc>
          <w:tcPr>
            <w:tcW w:w="4380" w:type="dxa"/>
            <w:vAlign w:val="bottom"/>
            <w:tcBorders>
              <w:top w:val="single" w:sz="8" w:color="auto"/>
            </w:tcBorders>
          </w:tcPr>
          <w:p>
            <w:pPr>
              <w:jc w:val="center"/>
              <w:spacing w:after="0"/>
              <w:rPr>
                <w:sz w:val="20"/>
                <w:szCs w:val="20"/>
                <w:color w:val="auto"/>
              </w:rPr>
            </w:pPr>
            <w:r>
              <w:rPr>
                <w:rFonts w:ascii="Calibri" w:cs="Calibri" w:eastAsia="Calibri" w:hAnsi="Calibri"/>
                <w:sz w:val="20"/>
                <w:szCs w:val="20"/>
                <w:color w:val="auto"/>
              </w:rPr>
              <w:t>West Group</w:t>
            </w:r>
          </w:p>
        </w:tc>
        <w:tc>
          <w:tcPr>
            <w:tcW w:w="0" w:type="dxa"/>
            <w:vAlign w:val="bottom"/>
          </w:tcPr>
          <w:p>
            <w:pPr>
              <w:spacing w:after="0"/>
              <w:rPr>
                <w:sz w:val="1"/>
                <w:szCs w:val="1"/>
                <w:color w:val="auto"/>
              </w:rPr>
            </w:pPr>
          </w:p>
        </w:tc>
      </w:tr>
      <w:tr>
        <w:trPr>
          <w:trHeight w:val="22"/>
        </w:trPr>
        <w:tc>
          <w:tcPr>
            <w:tcW w:w="2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spacing w:after="0" w:line="212" w:lineRule="exact"/>
              <w:rPr>
                <w:sz w:val="20"/>
                <w:szCs w:val="20"/>
                <w:color w:val="auto"/>
              </w:rPr>
            </w:pPr>
            <w:r>
              <w:rPr>
                <w:rFonts w:ascii="Calibri" w:cs="Calibri" w:eastAsia="Calibri" w:hAnsi="Calibri"/>
                <w:sz w:val="20"/>
                <w:szCs w:val="20"/>
                <w:color w:val="auto"/>
              </w:rPr>
              <w:t>Operatng Locatons</w:t>
            </w:r>
          </w:p>
        </w:tc>
        <w:tc>
          <w:tcPr>
            <w:tcW w:w="100" w:type="dxa"/>
            <w:vAlign w:val="bottom"/>
            <w:vMerge w:val="continue"/>
          </w:tcPr>
          <w:p>
            <w:pPr>
              <w:spacing w:after="0"/>
              <w:rPr>
                <w:sz w:val="18"/>
                <w:szCs w:val="18"/>
                <w:color w:val="auto"/>
              </w:rPr>
            </w:pPr>
          </w:p>
        </w:tc>
        <w:tc>
          <w:tcPr>
            <w:tcW w:w="4520" w:type="dxa"/>
            <w:vAlign w:val="bottom"/>
          </w:tcPr>
          <w:p>
            <w:pPr>
              <w:jc w:val="center"/>
              <w:spacing w:after="0" w:line="212" w:lineRule="exact"/>
              <w:rPr>
                <w:sz w:val="20"/>
                <w:szCs w:val="20"/>
                <w:color w:val="auto"/>
              </w:rPr>
            </w:pPr>
            <w:r>
              <w:rPr>
                <w:rFonts w:ascii="Calibri" w:cs="Calibri" w:eastAsia="Calibri" w:hAnsi="Calibri"/>
                <w:sz w:val="20"/>
                <w:szCs w:val="20"/>
                <w:color w:val="auto"/>
              </w:rPr>
              <w:t>Alabama, Florida, Georgia, Indiana, Iowa,</w:t>
            </w:r>
          </w:p>
        </w:tc>
        <w:tc>
          <w:tcPr>
            <w:tcW w:w="120" w:type="dxa"/>
            <w:vAlign w:val="bottom"/>
            <w:vMerge w:val="continue"/>
          </w:tcPr>
          <w:p>
            <w:pPr>
              <w:spacing w:after="0"/>
              <w:rPr>
                <w:sz w:val="18"/>
                <w:szCs w:val="18"/>
                <w:color w:val="auto"/>
              </w:rPr>
            </w:pPr>
          </w:p>
        </w:tc>
        <w:tc>
          <w:tcPr>
            <w:tcW w:w="4380" w:type="dxa"/>
            <w:vAlign w:val="bottom"/>
          </w:tcPr>
          <w:p>
            <w:pPr>
              <w:jc w:val="center"/>
              <w:spacing w:after="0" w:line="212" w:lineRule="exact"/>
              <w:rPr>
                <w:sz w:val="20"/>
                <w:szCs w:val="20"/>
                <w:color w:val="auto"/>
              </w:rPr>
            </w:pPr>
            <w:r>
              <w:rPr>
                <w:rFonts w:ascii="Calibri" w:cs="Calibri" w:eastAsia="Calibri" w:hAnsi="Calibri"/>
                <w:sz w:val="20"/>
                <w:szCs w:val="20"/>
                <w:color w:val="auto"/>
              </w:rPr>
              <w:t>Arizona, Arkansas, California, Colorado, Louisiana,</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2"/>
          </w:tcPr>
          <w:p>
            <w:pPr>
              <w:jc w:val="center"/>
              <w:ind w:right="120"/>
              <w:spacing w:after="0" w:line="234" w:lineRule="exact"/>
              <w:rPr>
                <w:sz w:val="20"/>
                <w:szCs w:val="20"/>
                <w:color w:val="auto"/>
              </w:rPr>
            </w:pPr>
            <w:r>
              <w:rPr>
                <w:rFonts w:ascii="Calibri" w:cs="Calibri" w:eastAsia="Calibri" w:hAnsi="Calibri"/>
                <w:sz w:val="20"/>
                <w:szCs w:val="20"/>
                <w:color w:val="auto"/>
                <w:w w:val="99"/>
              </w:rPr>
              <w:t>Kansas, Kentucky, Maryland,</w:t>
            </w:r>
          </w:p>
        </w:tc>
        <w:tc>
          <w:tcPr>
            <w:tcW w:w="4380" w:type="dxa"/>
            <w:vAlign w:val="bottom"/>
          </w:tcPr>
          <w:p>
            <w:pPr>
              <w:jc w:val="center"/>
              <w:spacing w:after="0" w:line="234" w:lineRule="exact"/>
              <w:rPr>
                <w:sz w:val="20"/>
                <w:szCs w:val="20"/>
                <w:color w:val="auto"/>
              </w:rPr>
            </w:pPr>
            <w:r>
              <w:rPr>
                <w:rFonts w:ascii="Calibri" w:cs="Calibri" w:eastAsia="Calibri" w:hAnsi="Calibri"/>
                <w:sz w:val="20"/>
                <w:szCs w:val="20"/>
                <w:color w:val="auto"/>
                <w:w w:val="99"/>
              </w:rPr>
              <w:t>Oklahoma, Texas, Utah,</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gridSpan w:val="2"/>
          </w:tcPr>
          <w:p>
            <w:pPr>
              <w:jc w:val="center"/>
              <w:ind w:right="160"/>
              <w:spacing w:after="0" w:line="243" w:lineRule="exact"/>
              <w:rPr>
                <w:sz w:val="20"/>
                <w:szCs w:val="20"/>
                <w:color w:val="auto"/>
              </w:rPr>
            </w:pPr>
            <w:r>
              <w:rPr>
                <w:rFonts w:ascii="Calibri" w:cs="Calibri" w:eastAsia="Calibri" w:hAnsi="Calibri"/>
                <w:sz w:val="20"/>
                <w:szCs w:val="20"/>
                <w:color w:val="auto"/>
              </w:rPr>
              <w:t>Minnesota, Missouri, Nebraska,</w:t>
            </w: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Washington and Wyoming</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gridSpan w:val="2"/>
          </w:tcPr>
          <w:p>
            <w:pPr>
              <w:jc w:val="center"/>
              <w:ind w:right="100"/>
              <w:spacing w:after="0" w:line="243" w:lineRule="exact"/>
              <w:rPr>
                <w:sz w:val="20"/>
                <w:szCs w:val="20"/>
                <w:color w:val="auto"/>
              </w:rPr>
            </w:pPr>
            <w:r>
              <w:rPr>
                <w:rFonts w:ascii="Calibri" w:cs="Calibri" w:eastAsia="Calibri" w:hAnsi="Calibri"/>
                <w:sz w:val="20"/>
                <w:szCs w:val="20"/>
                <w:color w:val="auto"/>
              </w:rPr>
              <w:t>North Carolina, Ohio, Pennsylvania,</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gridSpan w:val="2"/>
          </w:tcPr>
          <w:p>
            <w:pPr>
              <w:jc w:val="center"/>
              <w:ind w:right="120"/>
              <w:spacing w:after="0" w:line="243" w:lineRule="exact"/>
              <w:rPr>
                <w:sz w:val="20"/>
                <w:szCs w:val="20"/>
                <w:color w:val="auto"/>
              </w:rPr>
            </w:pPr>
            <w:r>
              <w:rPr>
                <w:rFonts w:ascii="Calibri" w:cs="Calibri" w:eastAsia="Calibri" w:hAnsi="Calibri"/>
                <w:sz w:val="20"/>
                <w:szCs w:val="20"/>
                <w:color w:val="auto"/>
              </w:rPr>
              <w:t>South Carolina, Tennessee, Virginia,</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gridSpan w:val="2"/>
          </w:tcPr>
          <w:p>
            <w:pPr>
              <w:jc w:val="center"/>
              <w:ind w:right="120"/>
              <w:spacing w:after="0" w:line="243" w:lineRule="exact"/>
              <w:rPr>
                <w:sz w:val="20"/>
                <w:szCs w:val="20"/>
                <w:color w:val="auto"/>
              </w:rPr>
            </w:pPr>
            <w:r>
              <w:rPr>
                <w:rFonts w:ascii="Calibri" w:cs="Calibri" w:eastAsia="Calibri" w:hAnsi="Calibri"/>
                <w:sz w:val="20"/>
                <w:szCs w:val="20"/>
                <w:color w:val="auto"/>
              </w:rPr>
              <w:t>West Virginia, Nova Scota and The Bahamas</w:t>
            </w: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260" w:type="dxa"/>
            <w:vAlign w:val="bottom"/>
            <w:gridSpan w:val="2"/>
          </w:tcPr>
          <w:p>
            <w:pPr>
              <w:jc w:val="center"/>
              <w:ind w:right="100"/>
              <w:spacing w:after="0"/>
              <w:rPr>
                <w:sz w:val="20"/>
                <w:szCs w:val="20"/>
                <w:color w:val="auto"/>
              </w:rPr>
            </w:pPr>
            <w:r>
              <w:rPr>
                <w:rFonts w:ascii="Calibri" w:cs="Calibri" w:eastAsia="Calibri" w:hAnsi="Calibri"/>
                <w:sz w:val="20"/>
                <w:szCs w:val="20"/>
                <w:color w:val="auto"/>
              </w:rPr>
              <w:t>Product Lines</w:t>
            </w:r>
          </w:p>
        </w:tc>
        <w:tc>
          <w:tcPr>
            <w:tcW w:w="4640" w:type="dxa"/>
            <w:vAlign w:val="bottom"/>
            <w:gridSpan w:val="2"/>
          </w:tcPr>
          <w:p>
            <w:pPr>
              <w:jc w:val="center"/>
              <w:ind w:right="120"/>
              <w:spacing w:after="0"/>
              <w:rPr>
                <w:sz w:val="20"/>
                <w:szCs w:val="20"/>
                <w:color w:val="auto"/>
              </w:rPr>
            </w:pPr>
            <w:r>
              <w:rPr>
                <w:rFonts w:ascii="Calibri" w:cs="Calibri" w:eastAsia="Calibri" w:hAnsi="Calibri"/>
                <w:sz w:val="20"/>
                <w:szCs w:val="20"/>
                <w:color w:val="auto"/>
              </w:rPr>
              <w:t>Aggregates and Asphalt</w:t>
            </w:r>
          </w:p>
        </w:tc>
        <w:tc>
          <w:tcPr>
            <w:tcW w:w="4380" w:type="dxa"/>
            <w:vAlign w:val="bottom"/>
          </w:tcPr>
          <w:p>
            <w:pPr>
              <w:jc w:val="center"/>
              <w:spacing w:after="0"/>
              <w:rPr>
                <w:sz w:val="20"/>
                <w:szCs w:val="20"/>
                <w:color w:val="auto"/>
              </w:rPr>
            </w:pPr>
            <w:r>
              <w:rPr>
                <w:rFonts w:ascii="Calibri" w:cs="Calibri" w:eastAsia="Calibri" w:hAnsi="Calibri"/>
                <w:sz w:val="20"/>
                <w:szCs w:val="20"/>
                <w:color w:val="auto"/>
              </w:rPr>
              <w:t>Aggregates, Cement, Ready</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Mixed Concrete, Asphalt and Paving Services</w:t>
            </w:r>
          </w:p>
        </w:tc>
        <w:tc>
          <w:tcPr>
            <w:tcW w:w="0" w:type="dxa"/>
            <w:vAlign w:val="bottom"/>
          </w:tcPr>
          <w:p>
            <w:pPr>
              <w:spacing w:after="0"/>
              <w:rPr>
                <w:sz w:val="1"/>
                <w:szCs w:val="1"/>
                <w:color w:val="auto"/>
              </w:rPr>
            </w:pPr>
          </w:p>
        </w:tc>
      </w:tr>
      <w:tr>
        <w:trPr>
          <w:trHeight w:val="392"/>
        </w:trPr>
        <w:tc>
          <w:tcPr>
            <w:tcW w:w="2260" w:type="dxa"/>
            <w:vAlign w:val="bottom"/>
            <w:gridSpan w:val="2"/>
          </w:tcPr>
          <w:p>
            <w:pPr>
              <w:jc w:val="center"/>
              <w:ind w:right="100"/>
              <w:spacing w:after="0"/>
              <w:rPr>
                <w:sz w:val="20"/>
                <w:szCs w:val="20"/>
                <w:color w:val="auto"/>
              </w:rPr>
            </w:pPr>
            <w:r>
              <w:rPr>
                <w:rFonts w:ascii="Calibri" w:cs="Calibri" w:eastAsia="Calibri" w:hAnsi="Calibri"/>
                <w:sz w:val="20"/>
                <w:szCs w:val="20"/>
                <w:color w:val="auto"/>
                <w:w w:val="99"/>
              </w:rPr>
              <w:t>Facility Types</w:t>
            </w:r>
          </w:p>
        </w:tc>
        <w:tc>
          <w:tcPr>
            <w:tcW w:w="4640" w:type="dxa"/>
            <w:vAlign w:val="bottom"/>
            <w:gridSpan w:val="2"/>
          </w:tcPr>
          <w:p>
            <w:pPr>
              <w:jc w:val="center"/>
              <w:ind w:right="120"/>
              <w:spacing w:after="0"/>
              <w:rPr>
                <w:sz w:val="20"/>
                <w:szCs w:val="20"/>
                <w:color w:val="auto"/>
              </w:rPr>
            </w:pPr>
            <w:r>
              <w:rPr>
                <w:rFonts w:ascii="Calibri" w:cs="Calibri" w:eastAsia="Calibri" w:hAnsi="Calibri"/>
                <w:sz w:val="20"/>
                <w:szCs w:val="20"/>
                <w:color w:val="auto"/>
              </w:rPr>
              <w:t>Quarries, Mines, Asphalt Plants and</w:t>
            </w:r>
          </w:p>
        </w:tc>
        <w:tc>
          <w:tcPr>
            <w:tcW w:w="4380" w:type="dxa"/>
            <w:vAlign w:val="bottom"/>
          </w:tcPr>
          <w:p>
            <w:pPr>
              <w:jc w:val="center"/>
              <w:spacing w:after="0"/>
              <w:rPr>
                <w:sz w:val="20"/>
                <w:szCs w:val="20"/>
                <w:color w:val="auto"/>
              </w:rPr>
            </w:pPr>
            <w:r>
              <w:rPr>
                <w:rFonts w:ascii="Calibri" w:cs="Calibri" w:eastAsia="Calibri" w:hAnsi="Calibri"/>
                <w:sz w:val="20"/>
                <w:szCs w:val="20"/>
                <w:color w:val="auto"/>
              </w:rPr>
              <w:t>Quarries, Mines, Cement Plants, Asphalt Plants,</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40" w:type="dxa"/>
            <w:vAlign w:val="bottom"/>
            <w:gridSpan w:val="2"/>
          </w:tcPr>
          <w:p>
            <w:pPr>
              <w:jc w:val="center"/>
              <w:ind w:right="120"/>
              <w:spacing w:after="0" w:line="243" w:lineRule="exact"/>
              <w:rPr>
                <w:sz w:val="20"/>
                <w:szCs w:val="20"/>
                <w:color w:val="auto"/>
              </w:rPr>
            </w:pPr>
            <w:r>
              <w:rPr>
                <w:rFonts w:ascii="Calibri" w:cs="Calibri" w:eastAsia="Calibri" w:hAnsi="Calibri"/>
                <w:sz w:val="20"/>
                <w:szCs w:val="20"/>
                <w:color w:val="auto"/>
              </w:rPr>
              <w:t>Distributon Facilites</w:t>
            </w: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Ready Mixed Concrete Plants and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80" w:type="dxa"/>
            <w:vAlign w:val="bottom"/>
          </w:tcPr>
          <w:p>
            <w:pPr>
              <w:jc w:val="center"/>
              <w:spacing w:after="0" w:line="243" w:lineRule="exact"/>
              <w:rPr>
                <w:sz w:val="20"/>
                <w:szCs w:val="20"/>
                <w:color w:val="auto"/>
              </w:rPr>
            </w:pPr>
            <w:r>
              <w:rPr>
                <w:rFonts w:ascii="Calibri" w:cs="Calibri" w:eastAsia="Calibri" w:hAnsi="Calibri"/>
                <w:sz w:val="20"/>
                <w:szCs w:val="20"/>
                <w:color w:val="auto"/>
              </w:rPr>
              <w:t>Distributon Facilites</w:t>
            </w:r>
          </w:p>
        </w:tc>
        <w:tc>
          <w:tcPr>
            <w:tcW w:w="0" w:type="dxa"/>
            <w:vAlign w:val="bottom"/>
          </w:tcPr>
          <w:p>
            <w:pPr>
              <w:spacing w:after="0"/>
              <w:rPr>
                <w:sz w:val="1"/>
                <w:szCs w:val="1"/>
                <w:color w:val="auto"/>
              </w:rPr>
            </w:pPr>
          </w:p>
        </w:tc>
      </w:tr>
      <w:tr>
        <w:trPr>
          <w:trHeight w:val="405"/>
        </w:trPr>
        <w:tc>
          <w:tcPr>
            <w:tcW w:w="2260" w:type="dxa"/>
            <w:vAlign w:val="bottom"/>
            <w:gridSpan w:val="2"/>
          </w:tcPr>
          <w:p>
            <w:pPr>
              <w:ind w:left="100"/>
              <w:spacing w:after="0"/>
              <w:rPr>
                <w:sz w:val="20"/>
                <w:szCs w:val="20"/>
                <w:color w:val="auto"/>
              </w:rPr>
            </w:pPr>
            <w:r>
              <w:rPr>
                <w:rFonts w:ascii="Calibri" w:cs="Calibri" w:eastAsia="Calibri" w:hAnsi="Calibri"/>
                <w:sz w:val="20"/>
                <w:szCs w:val="20"/>
                <w:color w:val="auto"/>
              </w:rPr>
              <w:t>Modes of Transportaton</w:t>
            </w:r>
          </w:p>
        </w:tc>
        <w:tc>
          <w:tcPr>
            <w:tcW w:w="4640" w:type="dxa"/>
            <w:vAlign w:val="bottom"/>
            <w:gridSpan w:val="2"/>
          </w:tcPr>
          <w:p>
            <w:pPr>
              <w:jc w:val="center"/>
              <w:ind w:right="120"/>
              <w:spacing w:after="0"/>
              <w:rPr>
                <w:sz w:val="20"/>
                <w:szCs w:val="20"/>
                <w:color w:val="auto"/>
              </w:rPr>
            </w:pPr>
            <w:r>
              <w:rPr>
                <w:rFonts w:ascii="Calibri" w:cs="Calibri" w:eastAsia="Calibri" w:hAnsi="Calibri"/>
                <w:sz w:val="20"/>
                <w:szCs w:val="20"/>
                <w:color w:val="auto"/>
              </w:rPr>
              <w:t>Truck, Railcar and Ship</w:t>
            </w:r>
          </w:p>
        </w:tc>
        <w:tc>
          <w:tcPr>
            <w:tcW w:w="4380" w:type="dxa"/>
            <w:vAlign w:val="bottom"/>
          </w:tcPr>
          <w:p>
            <w:pPr>
              <w:jc w:val="center"/>
              <w:spacing w:after="0"/>
              <w:rPr>
                <w:sz w:val="20"/>
                <w:szCs w:val="20"/>
                <w:color w:val="auto"/>
              </w:rPr>
            </w:pPr>
            <w:r>
              <w:rPr>
                <w:rFonts w:ascii="Calibri" w:cs="Calibri" w:eastAsia="Calibri" w:hAnsi="Calibri"/>
                <w:sz w:val="20"/>
                <w:szCs w:val="20"/>
                <w:color w:val="auto"/>
              </w:rPr>
              <w:t>Truck, Railcar and Ship</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40"/>
        <w:spacing w:after="0" w:line="237" w:lineRule="auto"/>
        <w:rPr>
          <w:sz w:val="20"/>
          <w:szCs w:val="20"/>
          <w:color w:val="auto"/>
        </w:rPr>
      </w:pPr>
      <w:r>
        <w:rPr>
          <w:rFonts w:ascii="Calibri" w:cs="Calibri" w:eastAsia="Calibri" w:hAnsi="Calibri"/>
          <w:sz w:val="20"/>
          <w:szCs w:val="20"/>
          <w:color w:val="auto"/>
        </w:rPr>
        <w:t>The Building Materials business is signifcantly afected by weather paterns and seasonal changes. Producton and shipment levels for aggregates, cement, ready mixed concrete and asphalt materials correlate with general constructon actvity levels, most of which occur in the spring, summer and fall. Thus, producton and shipment levels vary by quarter. Operatons concentrated in the northern and midwestern United States generally experience more severe winter weather conditons than operatons in the southeast, southwest and west. Excessive rainfall, and conversely excessive drought, can also jeopardize producton, shipments and proftability in all markets served by the Company. Due to the potentally signifcant impact of weather on the Company’s operatons, current-period results are not necessarily indicatve of expected performance for other interim periods or the full year.</w:t>
      </w:r>
    </w:p>
    <w:p>
      <w:pPr>
        <w:spacing w:after="0" w:line="243" w:lineRule="exact"/>
        <w:rPr>
          <w:sz w:val="20"/>
          <w:szCs w:val="20"/>
          <w:color w:val="auto"/>
        </w:rPr>
      </w:pPr>
    </w:p>
    <w:p>
      <w:pPr>
        <w:jc w:val="both"/>
        <w:ind w:right="40"/>
        <w:spacing w:after="0" w:line="236" w:lineRule="auto"/>
        <w:rPr>
          <w:sz w:val="20"/>
          <w:szCs w:val="20"/>
          <w:color w:val="auto"/>
        </w:rPr>
      </w:pPr>
      <w:r>
        <w:rPr>
          <w:rFonts w:ascii="Calibri" w:cs="Calibri" w:eastAsia="Calibri" w:hAnsi="Calibri"/>
          <w:sz w:val="20"/>
          <w:szCs w:val="20"/>
          <w:color w:val="auto"/>
        </w:rPr>
        <w:t>The Company has a Magnesia Specialtes business with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spacing w:after="0" w:line="215"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Page 24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5" w:right="29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color w:val="auto"/>
        </w:rPr>
        <w:t>CRITICAL ACCOUNTING POLICIES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 outlined its critical accounting policies in its Annual Report on Form 10-K for the year ended December 31, 2021. There were no changes to the Company’s critical accounting policies during the three months ended March 31, 2022.</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RESULTS OF OPERATIONS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Earnings from continuing operations before interest; income taxes; depreciation, depletion and amortization; the earnings/loss from nonconsolidated equity affiliates; and acquisition and integration expenses;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earnings from operations or cash provided by operating activities.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114" w:lineRule="exact"/>
        <w:rPr>
          <w:sz w:val="20"/>
          <w:szCs w:val="20"/>
          <w:color w:val="auto"/>
        </w:rPr>
      </w:pPr>
    </w:p>
    <w:p>
      <w:pPr>
        <w:spacing w:after="0"/>
        <w:rPr>
          <w:sz w:val="20"/>
          <w:szCs w:val="20"/>
          <w:color w:val="auto"/>
        </w:rPr>
      </w:pPr>
      <w:r>
        <w:rPr>
          <w:rFonts w:ascii="Calibri" w:cs="Calibri" w:eastAsia="Calibri" w:hAnsi="Calibri"/>
          <w:sz w:val="20"/>
          <w:szCs w:val="20"/>
          <w:color w:val="auto"/>
        </w:rPr>
        <w:t>A reconciliaton of net earnings from contnuing operatons atributable to Martn Marieta to Adjusted EBITDA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40" w:type="dxa"/>
            <w:vAlign w:val="bottom"/>
            <w:gridSpan w:val="4"/>
          </w:tcPr>
          <w:p>
            <w:pPr>
              <w:jc w:val="center"/>
              <w:ind w:left="441"/>
              <w:spacing w:after="0"/>
              <w:rPr>
                <w:sz w:val="20"/>
                <w:szCs w:val="20"/>
                <w:color w:val="auto"/>
              </w:rPr>
            </w:pPr>
            <w:r>
              <w:rPr>
                <w:rFonts w:ascii="Calibri" w:cs="Calibri" w:eastAsia="Calibri" w:hAnsi="Calibri"/>
                <w:sz w:val="20"/>
                <w:szCs w:val="20"/>
                <w:color w:val="auto"/>
              </w:rPr>
              <w:t>Three Months Ended</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7"/>
        </w:trPr>
        <w:tc>
          <w:tcPr>
            <w:tcW w:w="6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80" w:type="dxa"/>
            <w:vAlign w:val="bottom"/>
            <w:gridSpan w:val="3"/>
          </w:tcPr>
          <w:p>
            <w:pPr>
              <w:jc w:val="center"/>
              <w:ind w:right="401"/>
              <w:spacing w:after="0"/>
              <w:rPr>
                <w:sz w:val="20"/>
                <w:szCs w:val="20"/>
                <w:color w:val="auto"/>
              </w:rPr>
            </w:pPr>
            <w:r>
              <w:rPr>
                <w:rFonts w:ascii="Calibri" w:cs="Calibri" w:eastAsia="Calibri" w:hAnsi="Calibri"/>
                <w:sz w:val="20"/>
                <w:szCs w:val="20"/>
                <w:color w:val="auto"/>
                <w:w w:val="99"/>
              </w:rPr>
              <w:t>March 31,</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3"/>
        </w:trPr>
        <w:tc>
          <w:tcPr>
            <w:tcW w:w="66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6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2022</w:t>
            </w:r>
          </w:p>
        </w:tc>
        <w:tc>
          <w:tcPr>
            <w:tcW w:w="6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color w:val="auto"/>
              </w:rPr>
              <w:t>2021</w:t>
            </w: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6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80" w:type="dxa"/>
            <w:vAlign w:val="bottom"/>
            <w:gridSpan w:val="3"/>
          </w:tcPr>
          <w:p>
            <w:pPr>
              <w:jc w:val="center"/>
              <w:ind w:right="40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6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Net Earnings from contnuing operatons atributable to Martn Marieta</w:t>
            </w:r>
          </w:p>
        </w:tc>
        <w:tc>
          <w:tcPr>
            <w:tcW w:w="1800" w:type="dxa"/>
            <w:vAlign w:val="bottom"/>
            <w:tcBorders>
              <w:bottom w:val="single" w:sz="8" w:color="CFF0FC"/>
            </w:tcBorders>
            <w:gridSpan w:val="2"/>
            <w:shd w:val="clear" w:color="auto" w:fill="CFF0FC"/>
          </w:tcPr>
          <w:p>
            <w:pPr>
              <w:jc w:val="right"/>
              <w:ind w:right="861"/>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24.5</w:t>
            </w:r>
          </w:p>
        </w:tc>
        <w:tc>
          <w:tcPr>
            <w:tcW w:w="1440" w:type="dxa"/>
            <w:vAlign w:val="bottom"/>
            <w:tcBorders>
              <w:bottom w:val="single" w:sz="8" w:color="CFF0FC"/>
            </w:tcBorders>
            <w:gridSpan w:val="2"/>
            <w:shd w:val="clear" w:color="auto" w:fill="CFF0FC"/>
          </w:tcPr>
          <w:p>
            <w:pPr>
              <w:jc w:val="right"/>
              <w:ind w:right="941"/>
              <w:spacing w:after="0" w:line="234" w:lineRule="exact"/>
              <w:rPr>
                <w:sz w:val="20"/>
                <w:szCs w:val="20"/>
                <w:color w:val="auto"/>
              </w:rPr>
            </w:pPr>
            <w:r>
              <w:rPr>
                <w:rFonts w:ascii="Calibri" w:cs="Calibri" w:eastAsia="Calibri" w:hAnsi="Calibri"/>
                <w:sz w:val="20"/>
                <w:szCs w:val="20"/>
                <w:color w:val="auto"/>
              </w:rPr>
              <w:t>$</w:t>
            </w:r>
          </w:p>
        </w:tc>
        <w:tc>
          <w:tcPr>
            <w:tcW w:w="5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660" w:type="dxa"/>
            <w:vAlign w:val="bottom"/>
          </w:tcPr>
          <w:p>
            <w:pPr>
              <w:spacing w:after="0" w:line="234" w:lineRule="exact"/>
              <w:rPr>
                <w:sz w:val="20"/>
                <w:szCs w:val="20"/>
                <w:color w:val="auto"/>
              </w:rPr>
            </w:pPr>
            <w:r>
              <w:rPr>
                <w:rFonts w:ascii="Calibri" w:cs="Calibri" w:eastAsia="Calibri" w:hAnsi="Calibri"/>
                <w:sz w:val="20"/>
                <w:szCs w:val="20"/>
                <w:color w:val="auto"/>
              </w:rPr>
              <w:t>Add back:</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
        </w:trPr>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6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Interest expense, net of interest income</w:t>
            </w:r>
          </w:p>
        </w:tc>
        <w:tc>
          <w:tcPr>
            <w:tcW w:w="7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40.5</w:t>
            </w: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6660" w:type="dxa"/>
            <w:vAlign w:val="bottom"/>
          </w:tcPr>
          <w:p>
            <w:pPr>
              <w:ind w:left="260"/>
              <w:spacing w:after="0" w:line="234" w:lineRule="exact"/>
              <w:rPr>
                <w:sz w:val="20"/>
                <w:szCs w:val="20"/>
                <w:color w:val="auto"/>
              </w:rPr>
            </w:pPr>
            <w:r>
              <w:rPr>
                <w:rFonts w:ascii="Calibri" w:cs="Calibri" w:eastAsia="Calibri" w:hAnsi="Calibri"/>
                <w:sz w:val="20"/>
                <w:szCs w:val="20"/>
                <w:color w:val="auto"/>
              </w:rPr>
              <w:t>Income tax expense for controlling interests</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5.9</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jc w:val="right"/>
              <w:spacing w:after="0" w:line="234" w:lineRule="exact"/>
              <w:rPr>
                <w:sz w:val="20"/>
                <w:szCs w:val="20"/>
                <w:color w:val="auto"/>
              </w:rPr>
            </w:pPr>
            <w:r>
              <w:rPr>
                <w:rFonts w:ascii="Calibri" w:cs="Calibri" w:eastAsia="Calibri" w:hAnsi="Calibri"/>
                <w:sz w:val="20"/>
                <w:szCs w:val="20"/>
                <w:color w:val="auto"/>
              </w:rPr>
              <w:t>15.8</w:t>
            </w:r>
          </w:p>
        </w:tc>
        <w:tc>
          <w:tcPr>
            <w:tcW w:w="120" w:type="dxa"/>
            <w:vAlign w:val="bottom"/>
          </w:tcPr>
          <w:p>
            <w:pPr>
              <w:spacing w:after="0"/>
              <w:rPr>
                <w:sz w:val="20"/>
                <w:szCs w:val="20"/>
                <w:color w:val="auto"/>
              </w:rPr>
            </w:pPr>
          </w:p>
        </w:tc>
      </w:tr>
      <w:tr>
        <w:trPr>
          <w:trHeight w:val="22"/>
        </w:trPr>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2"/>
        </w:trPr>
        <w:tc>
          <w:tcPr>
            <w:tcW w:w="6660" w:type="dxa"/>
            <w:vAlign w:val="bottom"/>
            <w:shd w:val="clear" w:color="auto" w:fill="CFF0FC"/>
          </w:tcPr>
          <w:p>
            <w:pPr>
              <w:ind w:left="260"/>
              <w:spacing w:after="0" w:line="232" w:lineRule="exact"/>
              <w:rPr>
                <w:sz w:val="20"/>
                <w:szCs w:val="20"/>
                <w:color w:val="auto"/>
              </w:rPr>
            </w:pPr>
            <w:r>
              <w:rPr>
                <w:rFonts w:ascii="Calibri" w:cs="Calibri" w:eastAsia="Calibri" w:hAnsi="Calibri"/>
                <w:sz w:val="20"/>
                <w:szCs w:val="20"/>
                <w:color w:val="auto"/>
              </w:rPr>
              <w:t>Depreciaton, depleton and amortzaton and earnings/loss from</w:t>
            </w:r>
          </w:p>
        </w:tc>
        <w:tc>
          <w:tcPr>
            <w:tcW w:w="7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7"/>
        </w:trPr>
        <w:tc>
          <w:tcPr>
            <w:tcW w:w="6660" w:type="dxa"/>
            <w:vAlign w:val="bottom"/>
            <w:tcBorders>
              <w:bottom w:val="single" w:sz="8" w:color="CFF0FC"/>
            </w:tcBorders>
            <w:shd w:val="clear" w:color="auto" w:fill="CFF0FC"/>
          </w:tcPr>
          <w:p>
            <w:pPr>
              <w:ind w:left="400"/>
              <w:spacing w:after="0" w:line="234" w:lineRule="exact"/>
              <w:rPr>
                <w:sz w:val="20"/>
                <w:szCs w:val="20"/>
                <w:color w:val="auto"/>
              </w:rPr>
            </w:pPr>
            <w:r>
              <w:rPr>
                <w:rFonts w:ascii="Calibri" w:cs="Calibri" w:eastAsia="Calibri" w:hAnsi="Calibri"/>
                <w:sz w:val="20"/>
                <w:szCs w:val="20"/>
                <w:color w:val="auto"/>
              </w:rPr>
              <w:t>nonconsolidated equity afliates</w:t>
            </w:r>
          </w:p>
        </w:tc>
        <w:tc>
          <w:tcPr>
            <w:tcW w:w="7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124.9</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96.0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4"/>
        </w:trPr>
        <w:tc>
          <w:tcPr>
            <w:tcW w:w="6660" w:type="dxa"/>
            <w:vAlign w:val="bottom"/>
          </w:tcPr>
          <w:p>
            <w:pPr>
              <w:ind w:left="260"/>
              <w:spacing w:after="0" w:line="234" w:lineRule="exact"/>
              <w:rPr>
                <w:sz w:val="20"/>
                <w:szCs w:val="20"/>
                <w:color w:val="auto"/>
              </w:rPr>
            </w:pPr>
            <w:r>
              <w:rPr>
                <w:rFonts w:ascii="Calibri" w:cs="Calibri" w:eastAsia="Calibri" w:hAnsi="Calibri"/>
                <w:sz w:val="20"/>
                <w:szCs w:val="20"/>
                <w:color w:val="auto"/>
              </w:rPr>
              <w:t>Acquisiton and integraton expenses</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1.4</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jc w:val="right"/>
              <w:spacing w:after="0" w:line="234" w:lineRule="exact"/>
              <w:rPr>
                <w:sz w:val="20"/>
                <w:szCs w:val="20"/>
                <w:color w:val="auto"/>
              </w:rPr>
            </w:pPr>
            <w:r>
              <w:rPr>
                <w:rFonts w:ascii="Calibri" w:cs="Calibri" w:eastAsia="Calibri" w:hAnsi="Calibri"/>
                <w:sz w:val="20"/>
                <w:szCs w:val="20"/>
                <w:color w:val="auto"/>
              </w:rPr>
              <w:t>1.2</w:t>
            </w:r>
          </w:p>
        </w:tc>
        <w:tc>
          <w:tcPr>
            <w:tcW w:w="120" w:type="dxa"/>
            <w:vAlign w:val="bottom"/>
          </w:tcPr>
          <w:p>
            <w:pPr>
              <w:spacing w:after="0"/>
              <w:rPr>
                <w:sz w:val="20"/>
                <w:szCs w:val="20"/>
                <w:color w:val="auto"/>
              </w:rPr>
            </w:pPr>
          </w:p>
        </w:tc>
      </w:tr>
      <w:tr>
        <w:trPr>
          <w:trHeight w:val="22"/>
        </w:trPr>
        <w:tc>
          <w:tcPr>
            <w:tcW w:w="666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55"/>
        </w:trPr>
        <w:tc>
          <w:tcPr>
            <w:tcW w:w="6660" w:type="dxa"/>
            <w:vAlign w:val="bottom"/>
            <w:tcBorders>
              <w:bottom w:val="single" w:sz="8" w:color="CFF0FC"/>
            </w:tcBorders>
            <w:shd w:val="clear" w:color="auto" w:fill="CFF0FC"/>
          </w:tcPr>
          <w:p>
            <w:pPr>
              <w:spacing w:after="0" w:line="214" w:lineRule="exact"/>
              <w:rPr>
                <w:sz w:val="20"/>
                <w:szCs w:val="20"/>
                <w:color w:val="auto"/>
              </w:rPr>
            </w:pPr>
            <w:r>
              <w:rPr>
                <w:rFonts w:ascii="Calibri" w:cs="Calibri" w:eastAsia="Calibri" w:hAnsi="Calibri"/>
                <w:sz w:val="20"/>
                <w:szCs w:val="20"/>
                <w:color w:val="auto"/>
              </w:rPr>
              <w:t>Adjusted EBITDA</w:t>
            </w:r>
          </w:p>
        </w:tc>
        <w:tc>
          <w:tcPr>
            <w:tcW w:w="7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861"/>
              <w:spacing w:after="0" w:line="228" w:lineRule="exact"/>
              <w:rPr>
                <w:sz w:val="20"/>
                <w:szCs w:val="20"/>
                <w:color w:val="auto"/>
              </w:rPr>
            </w:pPr>
            <w:r>
              <w:rPr>
                <w:rFonts w:ascii="Calibri" w:cs="Calibri" w:eastAsia="Calibri" w:hAnsi="Calibri"/>
                <w:sz w:val="20"/>
                <w:szCs w:val="20"/>
                <w:color w:val="auto"/>
                <w:w w:val="78"/>
              </w:rPr>
              <w:t>$</w:t>
            </w:r>
          </w:p>
        </w:tc>
        <w:tc>
          <w:tcPr>
            <w:tcW w:w="6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197.2</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941"/>
              <w:spacing w:after="0" w:line="228" w:lineRule="exact"/>
              <w:rPr>
                <w:sz w:val="20"/>
                <w:szCs w:val="20"/>
                <w:color w:val="auto"/>
              </w:rPr>
            </w:pPr>
            <w:r>
              <w:rPr>
                <w:rFonts w:ascii="Calibri" w:cs="Calibri" w:eastAsia="Calibri" w:hAnsi="Calibri"/>
                <w:sz w:val="20"/>
                <w:szCs w:val="20"/>
                <w:color w:val="auto"/>
                <w:w w:val="78"/>
              </w:rPr>
              <w:t>$</w:t>
            </w:r>
          </w:p>
        </w:tc>
        <w:tc>
          <w:tcPr>
            <w:tcW w:w="5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205.6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5" w:name="page26"/>
    <w:bookmarkEnd w:id="25"/>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1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Mix-adjusted average selling price (mix-adjusted ASP) excludes the impacts of product, geographic and other mix from the current-period average selling price and is a non-GAAP measure. Mix-adjusted ASP is calculated by comparing current-period shipments to like-for-like shipments in the comparable prior period. Management uses this metric to evaluate the efectveness of the Company’s pricing increases and believes this informaton is useful to investors as it provides same-on-same pricing trends. The following reconciles reported average selling price to mix-adjusted ASP and corresponding variances.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40" w:type="dxa"/>
            <w:vAlign w:val="bottom"/>
            <w:gridSpan w:val="3"/>
          </w:tcPr>
          <w:p>
            <w:pPr>
              <w:jc w:val="center"/>
              <w:spacing w:after="0"/>
              <w:rPr>
                <w:sz w:val="20"/>
                <w:szCs w:val="20"/>
                <w:color w:val="auto"/>
              </w:rPr>
            </w:pPr>
            <w:r>
              <w:rPr>
                <w:rFonts w:ascii="Calibri" w:cs="Calibri" w:eastAsia="Calibri" w:hAnsi="Calibri"/>
                <w:sz w:val="20"/>
                <w:szCs w:val="20"/>
                <w:color w:val="auto"/>
              </w:rPr>
              <w:t>Three Months Ended</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7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40" w:type="dxa"/>
            <w:vAlign w:val="bottom"/>
            <w:gridSpan w:val="3"/>
          </w:tcPr>
          <w:p>
            <w:pPr>
              <w:jc w:val="center"/>
              <w:spacing w:after="0"/>
              <w:rPr>
                <w:sz w:val="20"/>
                <w:szCs w:val="20"/>
                <w:color w:val="auto"/>
              </w:rPr>
            </w:pPr>
            <w:r>
              <w:rPr>
                <w:rFonts w:ascii="Calibri" w:cs="Calibri" w:eastAsia="Calibri" w:hAnsi="Calibri"/>
                <w:sz w:val="20"/>
                <w:szCs w:val="20"/>
                <w:color w:val="auto"/>
                <w:w w:val="99"/>
              </w:rPr>
              <w:t>March 31,</w:t>
            </w: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3"/>
        </w:trPr>
        <w:tc>
          <w:tcPr>
            <w:tcW w:w="73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7300" w:type="dxa"/>
            <w:vAlign w:val="bottom"/>
          </w:tcPr>
          <w:p>
            <w:pPr>
              <w:spacing w:after="0"/>
              <w:rPr>
                <w:sz w:val="19"/>
                <w:szCs w:val="19"/>
                <w:color w:val="auto"/>
              </w:rPr>
            </w:pPr>
          </w:p>
        </w:tc>
        <w:tc>
          <w:tcPr>
            <w:tcW w:w="1060" w:type="dxa"/>
            <w:vAlign w:val="bottom"/>
          </w:tcPr>
          <w:p>
            <w:pPr>
              <w:jc w:val="right"/>
              <w:spacing w:after="0" w:line="228" w:lineRule="exact"/>
              <w:rPr>
                <w:sz w:val="20"/>
                <w:szCs w:val="20"/>
                <w:color w:val="auto"/>
              </w:rPr>
            </w:pPr>
            <w:r>
              <w:rPr>
                <w:rFonts w:ascii="Calibri" w:cs="Calibri" w:eastAsia="Calibri" w:hAnsi="Calibri"/>
                <w:sz w:val="20"/>
                <w:szCs w:val="20"/>
                <w:color w:val="auto"/>
              </w:rPr>
              <w:t>2022</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61"/>
              <w:spacing w:after="0" w:line="228" w:lineRule="exact"/>
              <w:rPr>
                <w:sz w:val="20"/>
                <w:szCs w:val="20"/>
                <w:color w:val="auto"/>
              </w:rPr>
            </w:pPr>
            <w:r>
              <w:rPr>
                <w:rFonts w:ascii="Calibri" w:cs="Calibri" w:eastAsia="Calibri" w:hAnsi="Calibri"/>
                <w:sz w:val="20"/>
                <w:szCs w:val="20"/>
                <w:color w:val="auto"/>
                <w:w w:val="98"/>
              </w:rPr>
              <w:t>2021</w:t>
            </w:r>
          </w:p>
        </w:tc>
        <w:tc>
          <w:tcPr>
            <w:tcW w:w="60" w:type="dxa"/>
            <w:vAlign w:val="bottom"/>
          </w:tcPr>
          <w:p>
            <w:pPr>
              <w:spacing w:after="0"/>
              <w:rPr>
                <w:sz w:val="19"/>
                <w:szCs w:val="19"/>
                <w:color w:val="auto"/>
              </w:rPr>
            </w:pPr>
          </w:p>
        </w:tc>
      </w:tr>
      <w:tr>
        <w:trPr>
          <w:trHeight w:val="22"/>
        </w:trPr>
        <w:tc>
          <w:tcPr>
            <w:tcW w:w="73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r>
      <w:tr>
        <w:trPr>
          <w:trHeight w:val="230"/>
        </w:trPr>
        <w:tc>
          <w:tcPr>
            <w:tcW w:w="730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b w:val="1"/>
                <w:bCs w:val="1"/>
                <w:color w:val="auto"/>
              </w:rPr>
              <w:t>West Group - Aggregates:</w:t>
            </w:r>
          </w:p>
        </w:tc>
        <w:tc>
          <w:tcPr>
            <w:tcW w:w="10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234"/>
        </w:trPr>
        <w:tc>
          <w:tcPr>
            <w:tcW w:w="7300" w:type="dxa"/>
            <w:vAlign w:val="bottom"/>
          </w:tcPr>
          <w:p>
            <w:pPr>
              <w:spacing w:after="0" w:line="234" w:lineRule="exact"/>
              <w:rPr>
                <w:sz w:val="20"/>
                <w:szCs w:val="20"/>
                <w:color w:val="auto"/>
              </w:rPr>
            </w:pPr>
            <w:r>
              <w:rPr>
                <w:rFonts w:ascii="Calibri" w:cs="Calibri" w:eastAsia="Calibri" w:hAnsi="Calibri"/>
                <w:sz w:val="20"/>
                <w:szCs w:val="20"/>
                <w:color w:val="auto"/>
              </w:rPr>
              <w:t>Reported average selling price</w:t>
            </w:r>
          </w:p>
        </w:tc>
        <w:tc>
          <w:tcPr>
            <w:tcW w:w="1060" w:type="dxa"/>
            <w:vAlign w:val="bottom"/>
          </w:tcPr>
          <w:p>
            <w:pPr>
              <w:jc w:val="right"/>
              <w:ind w:right="861"/>
              <w:spacing w:after="0" w:line="234" w:lineRule="exact"/>
              <w:rPr>
                <w:sz w:val="20"/>
                <w:szCs w:val="20"/>
                <w:color w:val="auto"/>
              </w:rPr>
            </w:pPr>
            <w:r>
              <w:rPr>
                <w:rFonts w:ascii="Calibri" w:cs="Calibri" w:eastAsia="Calibri" w:hAnsi="Calibri"/>
                <w:sz w:val="20"/>
                <w:szCs w:val="20"/>
                <w:color w:val="auto"/>
                <w:w w:val="78"/>
              </w:rPr>
              <w:t>$</w:t>
            </w: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15.05</w:t>
            </w:r>
          </w:p>
        </w:tc>
        <w:tc>
          <w:tcPr>
            <w:tcW w:w="480" w:type="dxa"/>
            <w:vAlign w:val="bottom"/>
          </w:tcPr>
          <w:p>
            <w:pPr>
              <w:spacing w:after="0"/>
              <w:rPr>
                <w:sz w:val="20"/>
                <w:szCs w:val="20"/>
                <w:color w:val="auto"/>
              </w:rPr>
            </w:pPr>
          </w:p>
        </w:tc>
        <w:tc>
          <w:tcPr>
            <w:tcW w:w="620" w:type="dxa"/>
            <w:vAlign w:val="bottom"/>
          </w:tcPr>
          <w:p>
            <w:pPr>
              <w:jc w:val="right"/>
              <w:ind w:right="421"/>
              <w:spacing w:after="0" w:line="234" w:lineRule="exact"/>
              <w:rPr>
                <w:sz w:val="20"/>
                <w:szCs w:val="20"/>
                <w:color w:val="auto"/>
              </w:rPr>
            </w:pPr>
            <w:r>
              <w:rPr>
                <w:rFonts w:ascii="Calibri" w:cs="Calibri" w:eastAsia="Calibri" w:hAnsi="Calibri"/>
                <w:sz w:val="20"/>
                <w:szCs w:val="20"/>
                <w:color w:val="auto"/>
                <w:w w:val="78"/>
              </w:rPr>
              <w:t>$</w:t>
            </w: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13.81</w:t>
            </w:r>
          </w:p>
        </w:tc>
        <w:tc>
          <w:tcPr>
            <w:tcW w:w="60" w:type="dxa"/>
            <w:vAlign w:val="bottom"/>
          </w:tcPr>
          <w:p>
            <w:pPr>
              <w:spacing w:after="0"/>
              <w:rPr>
                <w:sz w:val="20"/>
                <w:szCs w:val="20"/>
                <w:color w:val="auto"/>
              </w:rPr>
            </w:pPr>
          </w:p>
        </w:tc>
      </w:tr>
      <w:tr>
        <w:trPr>
          <w:trHeight w:val="62"/>
        </w:trPr>
        <w:tc>
          <w:tcPr>
            <w:tcW w:w="7300" w:type="dxa"/>
            <w:vAlign w:val="bottom"/>
            <w:tcBorders>
              <w:bottom w:val="single" w:sz="8" w:color="CFF0FC"/>
            </w:tcBorders>
          </w:tcPr>
          <w:p>
            <w:pPr>
              <w:spacing w:after="0"/>
              <w:rPr>
                <w:sz w:val="5"/>
                <w:szCs w:val="5"/>
                <w:color w:val="auto"/>
              </w:rPr>
            </w:pPr>
          </w:p>
        </w:tc>
        <w:tc>
          <w:tcPr>
            <w:tcW w:w="1060" w:type="dxa"/>
            <w:vAlign w:val="bottom"/>
            <w:tcBorders>
              <w:bottom w:val="single" w:sz="8" w:color="CFF0FC"/>
            </w:tcBorders>
          </w:tcPr>
          <w:p>
            <w:pPr>
              <w:spacing w:after="0"/>
              <w:rPr>
                <w:sz w:val="5"/>
                <w:szCs w:val="5"/>
                <w:color w:val="auto"/>
              </w:rPr>
            </w:pPr>
          </w:p>
        </w:tc>
        <w:tc>
          <w:tcPr>
            <w:tcW w:w="640" w:type="dxa"/>
            <w:vAlign w:val="bottom"/>
            <w:tcBorders>
              <w:bottom w:val="single" w:sz="8" w:color="CFF0FC"/>
            </w:tcBorders>
          </w:tcPr>
          <w:p>
            <w:pPr>
              <w:spacing w:after="0"/>
              <w:rPr>
                <w:sz w:val="5"/>
                <w:szCs w:val="5"/>
                <w:color w:val="auto"/>
              </w:rPr>
            </w:pPr>
          </w:p>
        </w:tc>
        <w:tc>
          <w:tcPr>
            <w:tcW w:w="480" w:type="dxa"/>
            <w:vAlign w:val="bottom"/>
            <w:tcBorders>
              <w:bottom w:val="single" w:sz="8" w:color="CFF0FC"/>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r>
      <w:tr>
        <w:trPr>
          <w:trHeight w:val="204"/>
        </w:trPr>
        <w:tc>
          <w:tcPr>
            <w:tcW w:w="7300" w:type="dxa"/>
            <w:vAlign w:val="bottom"/>
            <w:shd w:val="clear" w:color="auto" w:fill="CFF0FC"/>
          </w:tcPr>
          <w:p>
            <w:pPr>
              <w:spacing w:after="0" w:line="204" w:lineRule="exact"/>
              <w:rPr>
                <w:sz w:val="20"/>
                <w:szCs w:val="20"/>
                <w:color w:val="auto"/>
              </w:rPr>
            </w:pPr>
            <w:r>
              <w:rPr>
                <w:rFonts w:ascii="Calibri" w:cs="Calibri" w:eastAsia="Calibri" w:hAnsi="Calibri"/>
                <w:sz w:val="20"/>
                <w:szCs w:val="20"/>
                <w:color w:val="auto"/>
              </w:rPr>
              <w:t>Adjustment for favorable impact of product,</w:t>
            </w: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76"/>
        </w:trPr>
        <w:tc>
          <w:tcPr>
            <w:tcW w:w="7300" w:type="dxa"/>
            <w:vAlign w:val="bottom"/>
            <w:tcBorders>
              <w:bottom w:val="single" w:sz="8" w:color="CFF0FC"/>
            </w:tcBorders>
            <w:shd w:val="clear" w:color="auto" w:fill="CFF0FC"/>
          </w:tcPr>
          <w:p>
            <w:pPr>
              <w:ind w:left="140"/>
              <w:spacing w:after="0" w:line="243" w:lineRule="exact"/>
              <w:rPr>
                <w:sz w:val="20"/>
                <w:szCs w:val="20"/>
                <w:color w:val="auto"/>
              </w:rPr>
            </w:pPr>
            <w:r>
              <w:rPr>
                <w:rFonts w:ascii="Calibri" w:cs="Calibri" w:eastAsia="Calibri" w:hAnsi="Calibri"/>
                <w:sz w:val="20"/>
                <w:szCs w:val="20"/>
                <w:color w:val="auto"/>
              </w:rPr>
              <w:t>geographic and other mix</w:t>
            </w:r>
          </w:p>
        </w:tc>
        <w:tc>
          <w:tcPr>
            <w:tcW w:w="10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gridSpan w:val="2"/>
            <w:shd w:val="clear" w:color="auto" w:fill="CFF0FC"/>
          </w:tcPr>
          <w:p>
            <w:pPr>
              <w:jc w:val="right"/>
              <w:ind w:right="420"/>
              <w:spacing w:after="0" w:line="243" w:lineRule="exact"/>
              <w:rPr>
                <w:sz w:val="20"/>
                <w:szCs w:val="20"/>
                <w:color w:val="auto"/>
              </w:rPr>
            </w:pPr>
            <w:r>
              <w:rPr>
                <w:rFonts w:ascii="Calibri" w:cs="Calibri" w:eastAsia="Calibri" w:hAnsi="Calibri"/>
                <w:sz w:val="20"/>
                <w:szCs w:val="20"/>
                <w:color w:val="auto"/>
              </w:rPr>
              <w:t>(0.58)</w:t>
            </w:r>
          </w:p>
        </w:tc>
        <w:tc>
          <w:tcPr>
            <w:tcW w:w="6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r>
      <w:tr>
        <w:trPr>
          <w:trHeight w:val="228"/>
        </w:trPr>
        <w:tc>
          <w:tcPr>
            <w:tcW w:w="7300" w:type="dxa"/>
            <w:vAlign w:val="bottom"/>
          </w:tcPr>
          <w:p>
            <w:pPr>
              <w:spacing w:after="0" w:line="217" w:lineRule="exact"/>
              <w:rPr>
                <w:sz w:val="20"/>
                <w:szCs w:val="20"/>
                <w:color w:val="auto"/>
              </w:rPr>
            </w:pPr>
            <w:r>
              <w:rPr>
                <w:rFonts w:ascii="Calibri" w:cs="Calibri" w:eastAsia="Calibri" w:hAnsi="Calibri"/>
                <w:sz w:val="20"/>
                <w:szCs w:val="20"/>
                <w:color w:val="auto"/>
              </w:rPr>
              <w:t>Mix-adjusted ASP</w:t>
            </w:r>
          </w:p>
        </w:tc>
        <w:tc>
          <w:tcPr>
            <w:tcW w:w="1060" w:type="dxa"/>
            <w:vAlign w:val="bottom"/>
            <w:tcBorders>
              <w:top w:val="single" w:sz="8" w:color="auto"/>
            </w:tcBorders>
          </w:tcPr>
          <w:p>
            <w:pPr>
              <w:jc w:val="right"/>
              <w:ind w:right="861"/>
              <w:spacing w:after="0" w:line="228" w:lineRule="exact"/>
              <w:rPr>
                <w:sz w:val="20"/>
                <w:szCs w:val="20"/>
                <w:color w:val="auto"/>
              </w:rPr>
            </w:pPr>
            <w:r>
              <w:rPr>
                <w:rFonts w:ascii="Calibri" w:cs="Calibri" w:eastAsia="Calibri" w:hAnsi="Calibri"/>
                <w:sz w:val="20"/>
                <w:szCs w:val="20"/>
                <w:color w:val="auto"/>
                <w:w w:val="78"/>
              </w:rPr>
              <w:t>$</w:t>
            </w:r>
          </w:p>
        </w:tc>
        <w:tc>
          <w:tcPr>
            <w:tcW w:w="6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14.47</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62"/>
        </w:trPr>
        <w:tc>
          <w:tcPr>
            <w:tcW w:w="730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Borders>
              <w:bottom w:val="single" w:sz="8" w:color="CFF0FC"/>
            </w:tcBorders>
          </w:tcPr>
          <w:p>
            <w:pPr>
              <w:spacing w:after="0"/>
              <w:rPr>
                <w:sz w:val="5"/>
                <w:szCs w:val="5"/>
                <w:color w:val="auto"/>
              </w:rPr>
            </w:pPr>
          </w:p>
        </w:tc>
        <w:tc>
          <w:tcPr>
            <w:tcW w:w="620" w:type="dxa"/>
            <w:vAlign w:val="bottom"/>
            <w:tcBorders>
              <w:bottom w:val="single" w:sz="8" w:color="CFF0FC"/>
            </w:tcBorders>
          </w:tcPr>
          <w:p>
            <w:pPr>
              <w:spacing w:after="0"/>
              <w:rPr>
                <w:sz w:val="5"/>
                <w:szCs w:val="5"/>
                <w:color w:val="auto"/>
              </w:rPr>
            </w:pPr>
          </w:p>
        </w:tc>
        <w:tc>
          <w:tcPr>
            <w:tcW w:w="108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r>
      <w:tr>
        <w:trPr>
          <w:trHeight w:val="237"/>
        </w:trPr>
        <w:tc>
          <w:tcPr>
            <w:tcW w:w="7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4"/>
        </w:trPr>
        <w:tc>
          <w:tcPr>
            <w:tcW w:w="7300" w:type="dxa"/>
            <w:vAlign w:val="bottom"/>
          </w:tcPr>
          <w:p>
            <w:pPr>
              <w:spacing w:after="0" w:line="234" w:lineRule="exact"/>
              <w:rPr>
                <w:sz w:val="20"/>
                <w:szCs w:val="20"/>
                <w:color w:val="auto"/>
              </w:rPr>
            </w:pPr>
            <w:r>
              <w:rPr>
                <w:rFonts w:ascii="Calibri" w:cs="Calibri" w:eastAsia="Calibri" w:hAnsi="Calibri"/>
                <w:sz w:val="20"/>
                <w:szCs w:val="20"/>
                <w:color w:val="auto"/>
              </w:rPr>
              <w:t>Reported average selling price variance</w:t>
            </w:r>
          </w:p>
        </w:tc>
        <w:tc>
          <w:tcPr>
            <w:tcW w:w="1060" w:type="dxa"/>
            <w:vAlign w:val="bottom"/>
          </w:tcPr>
          <w:p>
            <w:pPr>
              <w:spacing w:after="0"/>
              <w:rPr>
                <w:sz w:val="20"/>
                <w:szCs w:val="20"/>
                <w:color w:val="auto"/>
              </w:rPr>
            </w:pPr>
          </w:p>
        </w:tc>
        <w:tc>
          <w:tcPr>
            <w:tcW w:w="1120" w:type="dxa"/>
            <w:vAlign w:val="bottom"/>
            <w:gridSpan w:val="2"/>
          </w:tcPr>
          <w:p>
            <w:pPr>
              <w:jc w:val="right"/>
              <w:ind w:right="340"/>
              <w:spacing w:after="0" w:line="234" w:lineRule="exact"/>
              <w:rPr>
                <w:sz w:val="20"/>
                <w:szCs w:val="20"/>
                <w:color w:val="auto"/>
              </w:rPr>
            </w:pPr>
            <w:r>
              <w:rPr>
                <w:rFonts w:ascii="Calibri" w:cs="Calibri" w:eastAsia="Calibri" w:hAnsi="Calibri"/>
                <w:sz w:val="20"/>
                <w:szCs w:val="20"/>
                <w:color w:val="auto"/>
              </w:rPr>
              <w:t>9.0%</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2"/>
        </w:trPr>
        <w:tc>
          <w:tcPr>
            <w:tcW w:w="730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80" w:type="dxa"/>
            <w:vAlign w:val="bottom"/>
            <w:tcBorders>
              <w:bottom w:val="single" w:sz="8" w:color="CFF0FC"/>
            </w:tcBorders>
          </w:tcPr>
          <w:p>
            <w:pPr>
              <w:spacing w:after="0"/>
              <w:rPr>
                <w:sz w:val="5"/>
                <w:szCs w:val="5"/>
                <w:color w:val="auto"/>
              </w:rPr>
            </w:pPr>
          </w:p>
        </w:tc>
        <w:tc>
          <w:tcPr>
            <w:tcW w:w="620" w:type="dxa"/>
            <w:vAlign w:val="bottom"/>
            <w:tcBorders>
              <w:bottom w:val="single" w:sz="8" w:color="CFF0FC"/>
            </w:tcBorders>
          </w:tcPr>
          <w:p>
            <w:pPr>
              <w:spacing w:after="0"/>
              <w:rPr>
                <w:sz w:val="5"/>
                <w:szCs w:val="5"/>
                <w:color w:val="auto"/>
              </w:rPr>
            </w:pPr>
          </w:p>
        </w:tc>
        <w:tc>
          <w:tcPr>
            <w:tcW w:w="108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r>
      <w:tr>
        <w:trPr>
          <w:trHeight w:val="242"/>
        </w:trPr>
        <w:tc>
          <w:tcPr>
            <w:tcW w:w="7300" w:type="dxa"/>
            <w:vAlign w:val="bottom"/>
            <w:tcBorders>
              <w:bottom w:val="single" w:sz="8" w:color="CFF0FC"/>
            </w:tcBorders>
            <w:shd w:val="clear" w:color="auto" w:fill="CFF0FC"/>
          </w:tcPr>
          <w:p>
            <w:pPr>
              <w:spacing w:after="0" w:line="204" w:lineRule="exact"/>
              <w:rPr>
                <w:sz w:val="20"/>
                <w:szCs w:val="20"/>
                <w:color w:val="auto"/>
              </w:rPr>
            </w:pPr>
            <w:r>
              <w:rPr>
                <w:rFonts w:ascii="Calibri" w:cs="Calibri" w:eastAsia="Calibri" w:hAnsi="Calibri"/>
                <w:sz w:val="20"/>
                <w:szCs w:val="20"/>
                <w:color w:val="auto"/>
              </w:rPr>
              <w:t>Mix-adjusted ASP variance</w:t>
            </w:r>
          </w:p>
        </w:tc>
        <w:tc>
          <w:tcPr>
            <w:tcW w:w="10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340"/>
              <w:spacing w:after="0" w:line="215" w:lineRule="exact"/>
              <w:rPr>
                <w:sz w:val="20"/>
                <w:szCs w:val="20"/>
                <w:color w:val="auto"/>
              </w:rPr>
            </w:pPr>
            <w:r>
              <w:rPr>
                <w:rFonts w:ascii="Calibri" w:cs="Calibri" w:eastAsia="Calibri" w:hAnsi="Calibri"/>
                <w:sz w:val="20"/>
                <w:szCs w:val="20"/>
                <w:color w:val="auto"/>
              </w:rPr>
              <w:t>4.8%</w:t>
            </w:r>
          </w:p>
        </w:tc>
        <w:tc>
          <w:tcPr>
            <w:tcW w:w="6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7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Quarter Ended March 31, 2022</w:t>
      </w:r>
    </w:p>
    <w:p>
      <w:pPr>
        <w:spacing w:after="0" w:line="23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Financial highlights for the quarter ended March 31, 2022 (unless noted, all comparisons are versus the prior-year quarter and for continuing operations):</w:t>
      </w:r>
    </w:p>
    <w:p>
      <w:pPr>
        <w:spacing w:after="0" w:line="108"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Consolidated total revenues of $1.23 billion compared with $982.4 million</w:t>
      </w:r>
    </w:p>
    <w:p>
      <w:pPr>
        <w:spacing w:after="0" w:line="29" w:lineRule="exact"/>
        <w:rPr>
          <w:rFonts w:ascii="Arial" w:cs="Arial" w:eastAsia="Arial" w:hAnsi="Arial"/>
          <w:sz w:val="20"/>
          <w:szCs w:val="20"/>
          <w:color w:val="007DC6"/>
        </w:rPr>
      </w:pPr>
    </w:p>
    <w:p>
      <w:pPr>
        <w:ind w:left="740" w:hanging="368"/>
        <w:spacing w:after="0" w:line="209" w:lineRule="auto"/>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Building Materials business products and services revenues of $1.08 billion compared with $856.6 million</w:t>
      </w:r>
    </w:p>
    <w:p>
      <w:pPr>
        <w:spacing w:after="0" w:line="30" w:lineRule="exact"/>
        <w:rPr>
          <w:rFonts w:ascii="Arial" w:cs="Arial" w:eastAsia="Arial" w:hAnsi="Arial"/>
          <w:sz w:val="20"/>
          <w:szCs w:val="20"/>
          <w:color w:val="007DC6"/>
        </w:rPr>
      </w:pPr>
    </w:p>
    <w:p>
      <w:pPr>
        <w:ind w:left="740" w:hanging="368"/>
        <w:spacing w:after="0" w:line="209" w:lineRule="auto"/>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Magnesia Specialties products revenues of $70.8 million compared with $65.3 million</w:t>
      </w:r>
    </w:p>
    <w:p>
      <w:pPr>
        <w:spacing w:after="0" w:line="30" w:lineRule="exact"/>
        <w:rPr>
          <w:rFonts w:ascii="Arial" w:cs="Arial" w:eastAsia="Arial" w:hAnsi="Arial"/>
          <w:sz w:val="20"/>
          <w:szCs w:val="20"/>
          <w:color w:val="007DC6"/>
        </w:rPr>
      </w:pPr>
    </w:p>
    <w:p>
      <w:pPr>
        <w:ind w:left="740" w:hanging="368"/>
        <w:spacing w:after="0" w:line="209" w:lineRule="auto"/>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Consolidated gross profit of $156.1 million compared with $174.7 million</w:t>
      </w:r>
    </w:p>
    <w:p>
      <w:pPr>
        <w:spacing w:after="0" w:line="30" w:lineRule="exact"/>
        <w:rPr>
          <w:rFonts w:ascii="Arial" w:cs="Arial" w:eastAsia="Arial" w:hAnsi="Arial"/>
          <w:sz w:val="20"/>
          <w:szCs w:val="20"/>
          <w:color w:val="007DC6"/>
        </w:rPr>
      </w:pPr>
    </w:p>
    <w:p>
      <w:pPr>
        <w:ind w:left="740" w:hanging="368"/>
        <w:spacing w:after="0" w:line="209" w:lineRule="auto"/>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Consolidated earnings from operations of $59.9 million compared with $99.3 million</w:t>
      </w:r>
    </w:p>
    <w:p>
      <w:pPr>
        <w:spacing w:after="0" w:line="30" w:lineRule="exact"/>
        <w:rPr>
          <w:rFonts w:ascii="Arial" w:cs="Arial" w:eastAsia="Arial" w:hAnsi="Arial"/>
          <w:sz w:val="20"/>
          <w:szCs w:val="20"/>
          <w:color w:val="007DC6"/>
        </w:rPr>
      </w:pPr>
    </w:p>
    <w:p>
      <w:pPr>
        <w:ind w:left="740" w:hanging="368"/>
        <w:spacing w:after="0" w:line="209" w:lineRule="auto"/>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Net earnings from continuing operations attributable to Martin Marietta of $24.5 million compared with $65.3 million</w:t>
      </w:r>
    </w:p>
    <w:p>
      <w:pPr>
        <w:spacing w:after="0" w:line="30" w:lineRule="exact"/>
        <w:rPr>
          <w:rFonts w:ascii="Arial" w:cs="Arial" w:eastAsia="Arial" w:hAnsi="Arial"/>
          <w:sz w:val="20"/>
          <w:szCs w:val="20"/>
          <w:color w:val="007DC6"/>
        </w:rPr>
      </w:pPr>
    </w:p>
    <w:p>
      <w:pPr>
        <w:ind w:left="740" w:hanging="368"/>
        <w:spacing w:after="0" w:line="209" w:lineRule="auto"/>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Adjusted EBITDA of $197.2 million compared with $205.6 million</w:t>
      </w:r>
    </w:p>
    <w:p>
      <w:pPr>
        <w:spacing w:after="0" w:line="30" w:lineRule="exact"/>
        <w:rPr>
          <w:rFonts w:ascii="Arial" w:cs="Arial" w:eastAsia="Arial" w:hAnsi="Arial"/>
          <w:sz w:val="20"/>
          <w:szCs w:val="20"/>
          <w:color w:val="007DC6"/>
        </w:rPr>
      </w:pPr>
    </w:p>
    <w:p>
      <w:pPr>
        <w:ind w:left="740" w:hanging="368"/>
        <w:spacing w:after="0" w:line="209" w:lineRule="auto"/>
        <w:tabs>
          <w:tab w:leader="none" w:pos="740" w:val="left"/>
        </w:tabs>
        <w:numPr>
          <w:ilvl w:val="0"/>
          <w:numId w:val="14"/>
        </w:numPr>
        <w:rPr>
          <w:rFonts w:ascii="Arial" w:cs="Arial" w:eastAsia="Arial" w:hAnsi="Arial"/>
          <w:sz w:val="20"/>
          <w:szCs w:val="20"/>
          <w:color w:val="007DC6"/>
        </w:rPr>
      </w:pPr>
      <w:r>
        <w:rPr>
          <w:rFonts w:ascii="Calibri" w:cs="Calibri" w:eastAsia="Calibri" w:hAnsi="Calibri"/>
          <w:sz w:val="20"/>
          <w:szCs w:val="20"/>
          <w:color w:val="auto"/>
        </w:rPr>
        <w:t>Earnings per diluted share from continuing operations of $0.39 compared with $1.04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37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tables present total revenues, gross proft (loss), selling, general and administratve (SG&amp;A) expenses and earnings (loss) from operatons data for the Company and its reportable segments by product line for contnuing operatons for the three months ended March 31, 2022 and 2021. In each case, the data is stated as a percentage of revenues of the Company or the relevant segment or product line, as the case may be.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00" w:type="dxa"/>
            <w:vAlign w:val="bottom"/>
            <w:gridSpan w:val="4"/>
          </w:tcPr>
          <w:p>
            <w:pPr>
              <w:jc w:val="right"/>
              <w:ind w:right="1880"/>
              <w:spacing w:after="0"/>
              <w:rPr>
                <w:sz w:val="20"/>
                <w:szCs w:val="20"/>
                <w:color w:val="auto"/>
              </w:rPr>
            </w:pPr>
            <w:r>
              <w:rPr>
                <w:rFonts w:ascii="Calibri" w:cs="Calibri" w:eastAsia="Calibri" w:hAnsi="Calibri"/>
                <w:sz w:val="20"/>
                <w:szCs w:val="20"/>
                <w:color w:val="auto"/>
              </w:rPr>
              <w:t>Three Months Ended March 31,</w:t>
            </w:r>
          </w:p>
        </w:tc>
      </w:tr>
      <w:tr>
        <w:trPr>
          <w:trHeight w:val="33"/>
        </w:trPr>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8"/>
        </w:trPr>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2022</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81"/>
              <w:spacing w:after="0" w:line="228" w:lineRule="exact"/>
              <w:rPr>
                <w:sz w:val="20"/>
                <w:szCs w:val="20"/>
                <w:color w:val="auto"/>
              </w:rPr>
            </w:pPr>
            <w:r>
              <w:rPr>
                <w:rFonts w:ascii="Calibri" w:cs="Calibri" w:eastAsia="Calibri" w:hAnsi="Calibri"/>
                <w:sz w:val="20"/>
                <w:szCs w:val="20"/>
                <w:color w:val="auto"/>
              </w:rPr>
              <w:t>2021</w:t>
            </w:r>
          </w:p>
        </w:tc>
        <w:tc>
          <w:tcPr>
            <w:tcW w:w="1700" w:type="dxa"/>
            <w:vAlign w:val="bottom"/>
          </w:tcPr>
          <w:p>
            <w:pPr>
              <w:spacing w:after="0"/>
              <w:rPr>
                <w:sz w:val="19"/>
                <w:szCs w:val="19"/>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r>
      <w:tr>
        <w:trPr>
          <w:trHeight w:val="228"/>
        </w:trPr>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61"/>
              <w:spacing w:after="0" w:line="228" w:lineRule="exact"/>
              <w:rPr>
                <w:sz w:val="20"/>
                <w:szCs w:val="20"/>
                <w:color w:val="auto"/>
              </w:rPr>
            </w:pPr>
            <w:r>
              <w:rPr>
                <w:rFonts w:ascii="Calibri" w:cs="Calibri" w:eastAsia="Calibri" w:hAnsi="Calibri"/>
                <w:sz w:val="20"/>
                <w:szCs w:val="20"/>
                <w:color w:val="auto"/>
              </w:rPr>
              <w:t>Amount</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61"/>
              <w:spacing w:after="0" w:line="228" w:lineRule="exact"/>
              <w:rPr>
                <w:sz w:val="20"/>
                <w:szCs w:val="20"/>
                <w:color w:val="auto"/>
              </w:rPr>
            </w:pPr>
            <w:r>
              <w:rPr>
                <w:rFonts w:ascii="Calibri" w:cs="Calibri" w:eastAsia="Calibri" w:hAnsi="Calibri"/>
                <w:sz w:val="20"/>
                <w:szCs w:val="20"/>
                <w:color w:val="auto"/>
              </w:rPr>
              <w:t>Amount</w:t>
            </w:r>
          </w:p>
        </w:tc>
        <w:tc>
          <w:tcPr>
            <w:tcW w:w="1700" w:type="dxa"/>
            <w:vAlign w:val="bottom"/>
          </w:tcPr>
          <w:p>
            <w:pPr>
              <w:spacing w:after="0"/>
              <w:rPr>
                <w:sz w:val="19"/>
                <w:szCs w:val="19"/>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gridSpan w:val="4"/>
          </w:tcPr>
          <w:p>
            <w:pPr>
              <w:spacing w:after="0" w:line="20" w:lineRule="exact"/>
              <w:rPr>
                <w:sz w:val="1"/>
                <w:szCs w:val="1"/>
                <w:color w:val="auto"/>
              </w:rPr>
            </w:pPr>
          </w:p>
        </w:tc>
      </w:tr>
      <w:tr>
        <w:trPr>
          <w:trHeight w:val="228"/>
        </w:trPr>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gridSpan w:val="4"/>
          </w:tcPr>
          <w:p>
            <w:pPr>
              <w:jc w:val="right"/>
              <w:ind w:right="2380"/>
              <w:spacing w:after="0" w:line="228" w:lineRule="exact"/>
              <w:rPr>
                <w:sz w:val="20"/>
                <w:szCs w:val="20"/>
                <w:color w:val="auto"/>
              </w:rPr>
            </w:pPr>
            <w:r>
              <w:rPr>
                <w:rFonts w:ascii="Calibri" w:cs="Calibri" w:eastAsia="Calibri" w:hAnsi="Calibri"/>
                <w:sz w:val="20"/>
                <w:szCs w:val="20"/>
                <w:i w:val="1"/>
                <w:iCs w:val="1"/>
                <w:color w:val="auto"/>
              </w:rPr>
              <w:t>(Dollars in Millions)</w:t>
            </w: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39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b w:val="1"/>
                <w:bCs w:val="1"/>
                <w:color w:val="auto"/>
              </w:rPr>
              <w:t>Total revenues:</w:t>
            </w: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r>
      <w:tr>
        <w:trPr>
          <w:trHeight w:val="234"/>
        </w:trPr>
        <w:tc>
          <w:tcPr>
            <w:tcW w:w="3900" w:type="dxa"/>
            <w:vAlign w:val="bottom"/>
          </w:tcPr>
          <w:p>
            <w:pPr>
              <w:spacing w:after="0" w:line="234" w:lineRule="exact"/>
              <w:rPr>
                <w:sz w:val="20"/>
                <w:szCs w:val="20"/>
                <w:color w:val="auto"/>
              </w:rPr>
            </w:pPr>
            <w:r>
              <w:rPr>
                <w:rFonts w:ascii="Calibri" w:cs="Calibri" w:eastAsia="Calibri" w:hAnsi="Calibri"/>
                <w:sz w:val="20"/>
                <w:szCs w:val="20"/>
                <w:color w:val="auto"/>
              </w:rPr>
              <w:t>Building Materials business: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6"/>
        </w:trPr>
        <w:tc>
          <w:tcPr>
            <w:tcW w:w="39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Products and services</w:t>
            </w: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r>
      <w:tr>
        <w:trPr>
          <w:trHeight w:val="234"/>
        </w:trPr>
        <w:tc>
          <w:tcPr>
            <w:tcW w:w="3900" w:type="dxa"/>
            <w:vAlign w:val="bottom"/>
          </w:tcPr>
          <w:p>
            <w:pPr>
              <w:ind w:left="380"/>
              <w:spacing w:after="0" w:line="234" w:lineRule="exact"/>
              <w:rPr>
                <w:sz w:val="20"/>
                <w:szCs w:val="20"/>
                <w:color w:val="auto"/>
              </w:rPr>
            </w:pPr>
            <w:r>
              <w:rPr>
                <w:rFonts w:ascii="Calibri" w:cs="Calibri" w:eastAsia="Calibri" w:hAnsi="Calibri"/>
                <w:sz w:val="20"/>
                <w:szCs w:val="20"/>
                <w:color w:val="auto"/>
              </w:rPr>
              <w:t>East Group</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3900" w:type="dxa"/>
            <w:vAlign w:val="bottom"/>
            <w:tcBorders>
              <w:bottom w:val="single" w:sz="8" w:color="CFF0FC"/>
            </w:tcBorders>
            <w:shd w:val="clear" w:color="auto" w:fill="CFF0FC"/>
          </w:tcPr>
          <w:p>
            <w:pPr>
              <w:ind w:left="620"/>
              <w:spacing w:after="0" w:line="234" w:lineRule="exact"/>
              <w:rPr>
                <w:sz w:val="20"/>
                <w:szCs w:val="20"/>
                <w:color w:val="auto"/>
              </w:rPr>
            </w:pPr>
            <w:r>
              <w:rPr>
                <w:rFonts w:ascii="Calibri" w:cs="Calibri" w:eastAsia="Calibri" w:hAnsi="Calibri"/>
                <w:sz w:val="20"/>
                <w:szCs w:val="20"/>
                <w:color w:val="auto"/>
              </w:rPr>
              <w:t>Aggregates</w:t>
            </w:r>
          </w:p>
        </w:tc>
        <w:tc>
          <w:tcPr>
            <w:tcW w:w="1220" w:type="dxa"/>
            <w:vAlign w:val="bottom"/>
            <w:tcBorders>
              <w:bottom w:val="single" w:sz="8" w:color="CFF0FC"/>
            </w:tcBorders>
            <w:gridSpan w:val="2"/>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395.1</w:t>
            </w:r>
          </w:p>
        </w:tc>
        <w:tc>
          <w:tcPr>
            <w:tcW w:w="28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CFF0FC"/>
            </w:tcBorders>
            <w:gridSpan w:val="2"/>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372.5</w:t>
            </w:r>
          </w:p>
        </w:tc>
        <w:tc>
          <w:tcPr>
            <w:tcW w:w="1700" w:type="dxa"/>
            <w:vAlign w:val="bottom"/>
            <w:tcBorders>
              <w:bottom w:val="single" w:sz="8" w:color="CFF0FC"/>
            </w:tcBorders>
            <w:shd w:val="clear" w:color="auto" w:fill="CFF0FC"/>
          </w:tcPr>
          <w:p>
            <w:pPr>
              <w:spacing w:after="0"/>
              <w:rPr>
                <w:sz w:val="20"/>
                <w:szCs w:val="20"/>
                <w:color w:val="auto"/>
              </w:rPr>
            </w:pPr>
          </w:p>
        </w:tc>
      </w:tr>
      <w:tr>
        <w:trPr>
          <w:trHeight w:val="234"/>
        </w:trPr>
        <w:tc>
          <w:tcPr>
            <w:tcW w:w="3900" w:type="dxa"/>
            <w:vAlign w:val="bottom"/>
          </w:tcPr>
          <w:p>
            <w:pPr>
              <w:ind w:left="620"/>
              <w:spacing w:after="0" w:line="234" w:lineRule="exact"/>
              <w:rPr>
                <w:sz w:val="20"/>
                <w:szCs w:val="20"/>
                <w:color w:val="auto"/>
              </w:rPr>
            </w:pPr>
            <w:r>
              <w:rPr>
                <w:rFonts w:ascii="Calibri" w:cs="Calibri" w:eastAsia="Calibri" w:hAnsi="Calibri"/>
                <w:sz w:val="20"/>
                <w:szCs w:val="20"/>
                <w:color w:val="auto"/>
              </w:rPr>
              <w:t>Asphalt</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300"/>
              <w:spacing w:after="0" w:line="234" w:lineRule="exact"/>
              <w:rPr>
                <w:sz w:val="20"/>
                <w:szCs w:val="20"/>
                <w:color w:val="auto"/>
              </w:rPr>
            </w:pPr>
            <w:r>
              <w:rPr>
                <w:rFonts w:ascii="Calibri" w:cs="Calibri" w:eastAsia="Calibri" w:hAnsi="Calibri"/>
                <w:sz w:val="20"/>
                <w:szCs w:val="20"/>
                <w:color w:val="auto"/>
              </w:rPr>
              <w:t>—</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jc w:val="right"/>
              <w:ind w:right="1720"/>
              <w:spacing w:after="0" w:line="234" w:lineRule="exact"/>
              <w:rPr>
                <w:sz w:val="20"/>
                <w:szCs w:val="20"/>
                <w:color w:val="auto"/>
              </w:rPr>
            </w:pPr>
            <w:r>
              <w:rPr>
                <w:rFonts w:ascii="Calibri" w:cs="Calibri" w:eastAsia="Calibri" w:hAnsi="Calibri"/>
                <w:sz w:val="20"/>
                <w:szCs w:val="20"/>
                <w:color w:val="auto"/>
              </w:rPr>
              <w:t>—</w:t>
            </w: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7"/>
        </w:trPr>
        <w:tc>
          <w:tcPr>
            <w:tcW w:w="3900" w:type="dxa"/>
            <w:vAlign w:val="bottom"/>
            <w:tcBorders>
              <w:bottom w:val="single" w:sz="8" w:color="CFF0FC"/>
            </w:tcBorders>
            <w:shd w:val="clear" w:color="auto" w:fill="CFF0FC"/>
          </w:tcPr>
          <w:p>
            <w:pPr>
              <w:ind w:left="620"/>
              <w:spacing w:after="0" w:line="234" w:lineRule="exact"/>
              <w:rPr>
                <w:sz w:val="20"/>
                <w:szCs w:val="20"/>
                <w:color w:val="auto"/>
              </w:rPr>
            </w:pPr>
            <w:r>
              <w:rPr>
                <w:rFonts w:ascii="Calibri" w:cs="Calibri" w:eastAsia="Calibri" w:hAnsi="Calibri"/>
                <w:sz w:val="20"/>
                <w:szCs w:val="20"/>
                <w:color w:val="auto"/>
              </w:rPr>
              <w:t>Less: Interproduct revenues</w:t>
            </w:r>
          </w:p>
        </w:tc>
        <w:tc>
          <w:tcPr>
            <w:tcW w:w="10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gridSpan w:val="2"/>
            <w:shd w:val="clear" w:color="auto" w:fill="CFF0FC"/>
          </w:tcPr>
          <w:p>
            <w:pPr>
              <w:jc w:val="right"/>
              <w:ind w:right="220"/>
              <w:spacing w:after="0" w:line="234" w:lineRule="exact"/>
              <w:rPr>
                <w:sz w:val="20"/>
                <w:szCs w:val="20"/>
                <w:color w:val="auto"/>
              </w:rPr>
            </w:pPr>
            <w:r>
              <w:rPr>
                <w:rFonts w:ascii="Calibri" w:cs="Calibri" w:eastAsia="Calibri" w:hAnsi="Calibri"/>
                <w:sz w:val="20"/>
                <w:szCs w:val="20"/>
                <w:color w:val="auto"/>
              </w:rPr>
              <w:t>(0.5)</w:t>
            </w:r>
          </w:p>
        </w:tc>
        <w:tc>
          <w:tcPr>
            <w:tcW w:w="16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840" w:type="dxa"/>
            <w:vAlign w:val="bottom"/>
            <w:tcBorders>
              <w:bottom w:val="single" w:sz="8" w:color="CFF0FC"/>
            </w:tcBorders>
            <w:gridSpan w:val="2"/>
            <w:shd w:val="clear" w:color="auto" w:fill="CFF0FC"/>
          </w:tcPr>
          <w:p>
            <w:pPr>
              <w:jc w:val="right"/>
              <w:ind w:right="1720"/>
              <w:spacing w:after="0" w:line="234" w:lineRule="exact"/>
              <w:rPr>
                <w:sz w:val="20"/>
                <w:szCs w:val="20"/>
                <w:color w:val="auto"/>
              </w:rPr>
            </w:pPr>
            <w:r>
              <w:rPr>
                <w:rFonts w:ascii="Calibri" w:cs="Calibri" w:eastAsia="Calibri" w:hAnsi="Calibri"/>
                <w:sz w:val="20"/>
                <w:szCs w:val="20"/>
                <w:color w:val="auto"/>
              </w:rPr>
              <w:t>—</w:t>
            </w:r>
          </w:p>
        </w:tc>
      </w:tr>
      <w:tr>
        <w:trPr>
          <w:trHeight w:val="228"/>
        </w:trPr>
        <w:tc>
          <w:tcPr>
            <w:tcW w:w="3900" w:type="dxa"/>
            <w:vAlign w:val="bottom"/>
          </w:tcPr>
          <w:p>
            <w:pPr>
              <w:ind w:left="380"/>
              <w:spacing w:after="0" w:line="217" w:lineRule="exact"/>
              <w:rPr>
                <w:sz w:val="20"/>
                <w:szCs w:val="20"/>
                <w:color w:val="auto"/>
              </w:rPr>
            </w:pPr>
            <w:r>
              <w:rPr>
                <w:rFonts w:ascii="Calibri" w:cs="Calibri" w:eastAsia="Calibri" w:hAnsi="Calibri"/>
                <w:sz w:val="20"/>
                <w:szCs w:val="20"/>
                <w:color w:val="auto"/>
              </w:rPr>
              <w:t>East Group Total</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394.6</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372.5</w:t>
            </w:r>
          </w:p>
        </w:tc>
        <w:tc>
          <w:tcPr>
            <w:tcW w:w="1700" w:type="dxa"/>
            <w:vAlign w:val="bottom"/>
          </w:tcPr>
          <w:p>
            <w:pPr>
              <w:spacing w:after="0"/>
              <w:rPr>
                <w:sz w:val="19"/>
                <w:szCs w:val="19"/>
                <w:color w:val="auto"/>
              </w:rPr>
            </w:pPr>
          </w:p>
        </w:tc>
      </w:tr>
      <w:tr>
        <w:trPr>
          <w:trHeight w:val="22"/>
        </w:trPr>
        <w:tc>
          <w:tcPr>
            <w:tcW w:w="39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6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FF0FC"/>
            </w:tcBorders>
          </w:tcPr>
          <w:p>
            <w:pPr>
              <w:spacing w:after="0" w:line="20" w:lineRule="exact"/>
              <w:rPr>
                <w:sz w:val="1"/>
                <w:szCs w:val="1"/>
                <w:color w:val="auto"/>
              </w:rPr>
            </w:pPr>
          </w:p>
        </w:tc>
      </w:tr>
      <w:tr>
        <w:trPr>
          <w:trHeight w:val="230"/>
        </w:trPr>
        <w:tc>
          <w:tcPr>
            <w:tcW w:w="3900" w:type="dxa"/>
            <w:vAlign w:val="bottom"/>
            <w:tcBorders>
              <w:bottom w:val="single" w:sz="8" w:color="CFF0FC"/>
            </w:tcBorders>
            <w:shd w:val="clear" w:color="auto" w:fill="CFF0FC"/>
          </w:tcPr>
          <w:p>
            <w:pPr>
              <w:ind w:left="380"/>
              <w:spacing w:after="0" w:line="217" w:lineRule="exact"/>
              <w:rPr>
                <w:sz w:val="20"/>
                <w:szCs w:val="20"/>
                <w:color w:val="auto"/>
              </w:rPr>
            </w:pPr>
            <w:r>
              <w:rPr>
                <w:rFonts w:ascii="Calibri" w:cs="Calibri" w:eastAsia="Calibri" w:hAnsi="Calibri"/>
                <w:sz w:val="20"/>
                <w:szCs w:val="20"/>
                <w:color w:val="auto"/>
              </w:rPr>
              <w:t>West Group</w:t>
            </w: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r>
      <w:tr>
        <w:trPr>
          <w:trHeight w:val="234"/>
        </w:trPr>
        <w:tc>
          <w:tcPr>
            <w:tcW w:w="3900" w:type="dxa"/>
            <w:vAlign w:val="bottom"/>
          </w:tcPr>
          <w:p>
            <w:pPr>
              <w:ind w:left="620"/>
              <w:spacing w:after="0" w:line="234" w:lineRule="exact"/>
              <w:rPr>
                <w:sz w:val="20"/>
                <w:szCs w:val="20"/>
                <w:color w:val="auto"/>
              </w:rPr>
            </w:pPr>
            <w:r>
              <w:rPr>
                <w:rFonts w:ascii="Calibri" w:cs="Calibri" w:eastAsia="Calibri" w:hAnsi="Calibri"/>
                <w:sz w:val="20"/>
                <w:szCs w:val="20"/>
                <w:color w:val="auto"/>
              </w:rPr>
              <w:t>Aggregates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290.8</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200.1</w:t>
            </w:r>
          </w:p>
        </w:tc>
        <w:tc>
          <w:tcPr>
            <w:tcW w:w="1700" w:type="dxa"/>
            <w:vAlign w:val="bottom"/>
          </w:tcPr>
          <w:p>
            <w:pPr>
              <w:spacing w:after="0"/>
              <w:rPr>
                <w:sz w:val="20"/>
                <w:szCs w:val="20"/>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6"/>
        </w:trPr>
        <w:tc>
          <w:tcPr>
            <w:tcW w:w="3900" w:type="dxa"/>
            <w:vAlign w:val="bottom"/>
            <w:tcBorders>
              <w:bottom w:val="single" w:sz="8" w:color="CFF0FC"/>
            </w:tcBorders>
            <w:shd w:val="clear" w:color="auto" w:fill="CFF0FC"/>
          </w:tcPr>
          <w:p>
            <w:pPr>
              <w:ind w:left="620"/>
              <w:spacing w:after="0" w:line="234" w:lineRule="exact"/>
              <w:rPr>
                <w:sz w:val="20"/>
                <w:szCs w:val="20"/>
                <w:color w:val="auto"/>
              </w:rPr>
            </w:pPr>
            <w:r>
              <w:rPr>
                <w:rFonts w:ascii="Calibri" w:cs="Calibri" w:eastAsia="Calibri" w:hAnsi="Calibri"/>
                <w:sz w:val="20"/>
                <w:szCs w:val="20"/>
                <w:color w:val="auto"/>
              </w:rPr>
              <w:t>Cement</w:t>
            </w: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134.3</w:t>
            </w:r>
          </w:p>
        </w:tc>
        <w:tc>
          <w:tcPr>
            <w:tcW w:w="28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109.6</w:t>
            </w:r>
          </w:p>
        </w:tc>
        <w:tc>
          <w:tcPr>
            <w:tcW w:w="1700" w:type="dxa"/>
            <w:vAlign w:val="bottom"/>
            <w:tcBorders>
              <w:bottom w:val="single" w:sz="8" w:color="CFF0FC"/>
            </w:tcBorders>
            <w:shd w:val="clear" w:color="auto" w:fill="CFF0FC"/>
          </w:tcPr>
          <w:p>
            <w:pPr>
              <w:spacing w:after="0"/>
              <w:rPr>
                <w:sz w:val="20"/>
                <w:szCs w:val="20"/>
                <w:color w:val="auto"/>
              </w:rPr>
            </w:pPr>
          </w:p>
        </w:tc>
      </w:tr>
      <w:tr>
        <w:trPr>
          <w:trHeight w:val="234"/>
        </w:trPr>
        <w:tc>
          <w:tcPr>
            <w:tcW w:w="3900" w:type="dxa"/>
            <w:vAlign w:val="bottom"/>
          </w:tcPr>
          <w:p>
            <w:pPr>
              <w:ind w:left="620"/>
              <w:spacing w:after="0" w:line="234" w:lineRule="exact"/>
              <w:rPr>
                <w:sz w:val="20"/>
                <w:szCs w:val="20"/>
                <w:color w:val="auto"/>
              </w:rPr>
            </w:pPr>
            <w:r>
              <w:rPr>
                <w:rFonts w:ascii="Calibri" w:cs="Calibri" w:eastAsia="Calibri" w:hAnsi="Calibri"/>
                <w:sz w:val="20"/>
                <w:szCs w:val="20"/>
                <w:color w:val="auto"/>
              </w:rPr>
              <w:t>Ready mixed concrete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290.1</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235.3</w:t>
            </w:r>
          </w:p>
        </w:tc>
        <w:tc>
          <w:tcPr>
            <w:tcW w:w="1700" w:type="dxa"/>
            <w:vAlign w:val="bottom"/>
          </w:tcPr>
          <w:p>
            <w:pPr>
              <w:spacing w:after="0"/>
              <w:rPr>
                <w:sz w:val="20"/>
                <w:szCs w:val="20"/>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6"/>
        </w:trPr>
        <w:tc>
          <w:tcPr>
            <w:tcW w:w="3900" w:type="dxa"/>
            <w:vAlign w:val="bottom"/>
            <w:tcBorders>
              <w:bottom w:val="single" w:sz="8" w:color="CFF0FC"/>
            </w:tcBorders>
            <w:shd w:val="clear" w:color="auto" w:fill="CFF0FC"/>
          </w:tcPr>
          <w:p>
            <w:pPr>
              <w:ind w:left="620"/>
              <w:spacing w:after="0" w:line="234" w:lineRule="exact"/>
              <w:rPr>
                <w:sz w:val="20"/>
                <w:szCs w:val="20"/>
                <w:color w:val="auto"/>
              </w:rPr>
            </w:pPr>
            <w:r>
              <w:rPr>
                <w:rFonts w:ascii="Calibri" w:cs="Calibri" w:eastAsia="Calibri" w:hAnsi="Calibri"/>
                <w:sz w:val="20"/>
                <w:szCs w:val="20"/>
                <w:color w:val="auto"/>
              </w:rPr>
              <w:t>Asphalt and paving</w:t>
            </w: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54.8</w:t>
            </w:r>
          </w:p>
        </w:tc>
        <w:tc>
          <w:tcPr>
            <w:tcW w:w="28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12.2</w:t>
            </w:r>
          </w:p>
        </w:tc>
        <w:tc>
          <w:tcPr>
            <w:tcW w:w="1700" w:type="dxa"/>
            <w:vAlign w:val="bottom"/>
            <w:tcBorders>
              <w:bottom w:val="single" w:sz="8" w:color="CFF0FC"/>
            </w:tcBorders>
            <w:shd w:val="clear" w:color="auto" w:fill="CFF0FC"/>
          </w:tcPr>
          <w:p>
            <w:pPr>
              <w:spacing w:after="0"/>
              <w:rPr>
                <w:sz w:val="20"/>
                <w:szCs w:val="20"/>
                <w:color w:val="auto"/>
              </w:rPr>
            </w:pPr>
          </w:p>
        </w:tc>
      </w:tr>
      <w:tr>
        <w:trPr>
          <w:trHeight w:val="234"/>
        </w:trPr>
        <w:tc>
          <w:tcPr>
            <w:tcW w:w="3900" w:type="dxa"/>
            <w:vAlign w:val="bottom"/>
          </w:tcPr>
          <w:p>
            <w:pPr>
              <w:ind w:left="620"/>
              <w:spacing w:after="0" w:line="234" w:lineRule="exact"/>
              <w:rPr>
                <w:sz w:val="20"/>
                <w:szCs w:val="20"/>
                <w:color w:val="auto"/>
              </w:rPr>
            </w:pPr>
            <w:r>
              <w:rPr>
                <w:rFonts w:ascii="Calibri" w:cs="Calibri" w:eastAsia="Calibri" w:hAnsi="Calibri"/>
                <w:sz w:val="20"/>
                <w:szCs w:val="20"/>
                <w:color w:val="auto"/>
              </w:rPr>
              <w:t>Less: Interproduct revenues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20"/>
              <w:spacing w:after="0" w:line="234" w:lineRule="exact"/>
              <w:rPr>
                <w:sz w:val="20"/>
                <w:szCs w:val="20"/>
                <w:color w:val="auto"/>
              </w:rPr>
            </w:pPr>
            <w:r>
              <w:rPr>
                <w:rFonts w:ascii="Calibri" w:cs="Calibri" w:eastAsia="Calibri" w:hAnsi="Calibri"/>
                <w:sz w:val="20"/>
                <w:szCs w:val="20"/>
                <w:color w:val="auto"/>
              </w:rPr>
              <w:t>(87.6)</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jc w:val="right"/>
              <w:ind w:right="1640"/>
              <w:spacing w:after="0" w:line="234" w:lineRule="exact"/>
              <w:rPr>
                <w:sz w:val="20"/>
                <w:szCs w:val="20"/>
                <w:color w:val="auto"/>
              </w:rPr>
            </w:pPr>
            <w:r>
              <w:rPr>
                <w:rFonts w:ascii="Calibri" w:cs="Calibri" w:eastAsia="Calibri" w:hAnsi="Calibri"/>
                <w:sz w:val="20"/>
                <w:szCs w:val="20"/>
                <w:color w:val="auto"/>
              </w:rPr>
              <w:t>(73.1)</w:t>
            </w:r>
          </w:p>
        </w:tc>
      </w:tr>
      <w:tr>
        <w:trPr>
          <w:trHeight w:val="22"/>
        </w:trPr>
        <w:tc>
          <w:tcPr>
            <w:tcW w:w="39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6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FF0FC"/>
            </w:tcBorders>
          </w:tcPr>
          <w:p>
            <w:pPr>
              <w:spacing w:after="0" w:line="20" w:lineRule="exact"/>
              <w:rPr>
                <w:sz w:val="1"/>
                <w:szCs w:val="1"/>
                <w:color w:val="auto"/>
              </w:rPr>
            </w:pPr>
          </w:p>
        </w:tc>
      </w:tr>
      <w:tr>
        <w:trPr>
          <w:trHeight w:val="250"/>
        </w:trPr>
        <w:tc>
          <w:tcPr>
            <w:tcW w:w="3900" w:type="dxa"/>
            <w:vAlign w:val="bottom"/>
            <w:tcBorders>
              <w:bottom w:val="single" w:sz="8" w:color="CFF0FC"/>
            </w:tcBorders>
            <w:shd w:val="clear" w:color="auto" w:fill="CFF0FC"/>
          </w:tcPr>
          <w:p>
            <w:pPr>
              <w:ind w:left="380"/>
              <w:spacing w:after="0" w:line="217" w:lineRule="exact"/>
              <w:rPr>
                <w:sz w:val="20"/>
                <w:szCs w:val="20"/>
                <w:color w:val="auto"/>
              </w:rPr>
            </w:pPr>
            <w:r>
              <w:rPr>
                <w:rFonts w:ascii="Calibri" w:cs="Calibri" w:eastAsia="Calibri" w:hAnsi="Calibri"/>
                <w:sz w:val="20"/>
                <w:szCs w:val="20"/>
                <w:color w:val="auto"/>
              </w:rPr>
              <w:t>West Group Total</w:t>
            </w:r>
          </w:p>
        </w:tc>
        <w:tc>
          <w:tcPr>
            <w:tcW w:w="1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682.4</w:t>
            </w:r>
          </w:p>
        </w:tc>
        <w:tc>
          <w:tcPr>
            <w:tcW w:w="2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484.1</w:t>
            </w:r>
          </w:p>
        </w:tc>
        <w:tc>
          <w:tcPr>
            <w:tcW w:w="1700" w:type="dxa"/>
            <w:vAlign w:val="bottom"/>
            <w:tcBorders>
              <w:bottom w:val="single" w:sz="8" w:color="CFF0FC"/>
            </w:tcBorders>
            <w:shd w:val="clear" w:color="auto" w:fill="CFF0FC"/>
          </w:tcPr>
          <w:p>
            <w:pPr>
              <w:spacing w:after="0"/>
              <w:rPr>
                <w:sz w:val="21"/>
                <w:szCs w:val="21"/>
                <w:color w:val="auto"/>
              </w:rPr>
            </w:pPr>
          </w:p>
        </w:tc>
      </w:tr>
      <w:tr>
        <w:trPr>
          <w:trHeight w:val="228"/>
        </w:trPr>
        <w:tc>
          <w:tcPr>
            <w:tcW w:w="3900" w:type="dxa"/>
            <w:vAlign w:val="bottom"/>
          </w:tcPr>
          <w:p>
            <w:pPr>
              <w:ind w:left="140"/>
              <w:spacing w:after="0" w:line="217" w:lineRule="exact"/>
              <w:rPr>
                <w:sz w:val="20"/>
                <w:szCs w:val="20"/>
                <w:color w:val="auto"/>
              </w:rPr>
            </w:pPr>
            <w:r>
              <w:rPr>
                <w:rFonts w:ascii="Calibri" w:cs="Calibri" w:eastAsia="Calibri" w:hAnsi="Calibri"/>
                <w:sz w:val="20"/>
                <w:szCs w:val="20"/>
                <w:color w:val="auto"/>
              </w:rPr>
              <w:t>Products and services</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1,077.0</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856.6</w:t>
            </w:r>
          </w:p>
        </w:tc>
        <w:tc>
          <w:tcPr>
            <w:tcW w:w="1700" w:type="dxa"/>
            <w:vAlign w:val="bottom"/>
          </w:tcPr>
          <w:p>
            <w:pPr>
              <w:spacing w:after="0"/>
              <w:rPr>
                <w:sz w:val="19"/>
                <w:szCs w:val="19"/>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6"/>
        </w:trPr>
        <w:tc>
          <w:tcPr>
            <w:tcW w:w="39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0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76.8</w:t>
            </w:r>
          </w:p>
        </w:tc>
        <w:tc>
          <w:tcPr>
            <w:tcW w:w="280" w:type="dxa"/>
            <w:vAlign w:val="bottom"/>
            <w:tcBorders>
              <w:bottom w:val="single" w:sz="8" w:color="CFF0FC"/>
            </w:tcBorders>
            <w:shd w:val="clear" w:color="auto" w:fill="CFF0FC"/>
          </w:tcPr>
          <w:p>
            <w:pPr>
              <w:spacing w:after="0"/>
              <w:rPr>
                <w:sz w:val="22"/>
                <w:szCs w:val="22"/>
                <w:color w:val="auto"/>
              </w:rPr>
            </w:pPr>
          </w:p>
        </w:tc>
        <w:tc>
          <w:tcPr>
            <w:tcW w:w="16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54.9</w:t>
            </w:r>
          </w:p>
        </w:tc>
        <w:tc>
          <w:tcPr>
            <w:tcW w:w="1700" w:type="dxa"/>
            <w:vAlign w:val="bottom"/>
            <w:tcBorders>
              <w:bottom w:val="single" w:sz="8" w:color="CFF0FC"/>
            </w:tcBorders>
            <w:shd w:val="clear" w:color="auto" w:fill="CFF0FC"/>
          </w:tcPr>
          <w:p>
            <w:pPr>
              <w:spacing w:after="0"/>
              <w:rPr>
                <w:sz w:val="22"/>
                <w:szCs w:val="22"/>
                <w:color w:val="auto"/>
              </w:rPr>
            </w:pPr>
          </w:p>
        </w:tc>
      </w:tr>
      <w:tr>
        <w:trPr>
          <w:trHeight w:val="228"/>
        </w:trPr>
        <w:tc>
          <w:tcPr>
            <w:tcW w:w="3900" w:type="dxa"/>
            <w:vAlign w:val="bottom"/>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1,153.8</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911.5</w:t>
            </w:r>
          </w:p>
        </w:tc>
        <w:tc>
          <w:tcPr>
            <w:tcW w:w="1700" w:type="dxa"/>
            <w:vAlign w:val="bottom"/>
          </w:tcPr>
          <w:p>
            <w:pPr>
              <w:spacing w:after="0"/>
              <w:rPr>
                <w:sz w:val="19"/>
                <w:szCs w:val="19"/>
                <w:color w:val="auto"/>
              </w:rPr>
            </w:pPr>
          </w:p>
        </w:tc>
      </w:tr>
      <w:tr>
        <w:trPr>
          <w:trHeight w:val="22"/>
        </w:trPr>
        <w:tc>
          <w:tcPr>
            <w:tcW w:w="39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6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FF0FC"/>
            </w:tcBorders>
          </w:tcPr>
          <w:p>
            <w:pPr>
              <w:spacing w:after="0" w:line="20" w:lineRule="exact"/>
              <w:rPr>
                <w:sz w:val="1"/>
                <w:szCs w:val="1"/>
                <w:color w:val="auto"/>
              </w:rPr>
            </w:pPr>
          </w:p>
        </w:tc>
      </w:tr>
      <w:tr>
        <w:trPr>
          <w:trHeight w:val="230"/>
        </w:trPr>
        <w:tc>
          <w:tcPr>
            <w:tcW w:w="390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Magnesia Specialtes:</w:t>
            </w:r>
          </w:p>
        </w:tc>
        <w:tc>
          <w:tcPr>
            <w:tcW w:w="10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r>
      <w:tr>
        <w:trPr>
          <w:trHeight w:val="234"/>
        </w:trPr>
        <w:tc>
          <w:tcPr>
            <w:tcW w:w="3900" w:type="dxa"/>
            <w:vAlign w:val="bottom"/>
          </w:tcPr>
          <w:p>
            <w:pPr>
              <w:ind w:left="140"/>
              <w:spacing w:after="0" w:line="234" w:lineRule="exact"/>
              <w:rPr>
                <w:sz w:val="20"/>
                <w:szCs w:val="20"/>
                <w:color w:val="auto"/>
              </w:rPr>
            </w:pPr>
            <w:r>
              <w:rPr>
                <w:rFonts w:ascii="Calibri" w:cs="Calibri" w:eastAsia="Calibri" w:hAnsi="Calibri"/>
                <w:sz w:val="20"/>
                <w:szCs w:val="20"/>
                <w:color w:val="auto"/>
              </w:rPr>
              <w:t>Products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70.8</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65.3</w:t>
            </w:r>
          </w:p>
        </w:tc>
        <w:tc>
          <w:tcPr>
            <w:tcW w:w="1700" w:type="dxa"/>
            <w:vAlign w:val="bottom"/>
          </w:tcPr>
          <w:p>
            <w:pPr>
              <w:spacing w:after="0"/>
              <w:rPr>
                <w:sz w:val="20"/>
                <w:szCs w:val="20"/>
                <w:color w:val="auto"/>
              </w:rPr>
            </w:pPr>
          </w:p>
        </w:tc>
      </w:tr>
      <w:tr>
        <w:trPr>
          <w:trHeight w:val="22"/>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6"/>
        </w:trPr>
        <w:tc>
          <w:tcPr>
            <w:tcW w:w="39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0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6.2</w:t>
            </w:r>
          </w:p>
        </w:tc>
        <w:tc>
          <w:tcPr>
            <w:tcW w:w="280" w:type="dxa"/>
            <w:vAlign w:val="bottom"/>
            <w:tcBorders>
              <w:bottom w:val="single" w:sz="8" w:color="CFF0FC"/>
            </w:tcBorders>
            <w:shd w:val="clear" w:color="auto" w:fill="CFF0FC"/>
          </w:tcPr>
          <w:p>
            <w:pPr>
              <w:spacing w:after="0"/>
              <w:rPr>
                <w:sz w:val="22"/>
                <w:szCs w:val="22"/>
                <w:color w:val="auto"/>
              </w:rPr>
            </w:pPr>
          </w:p>
        </w:tc>
        <w:tc>
          <w:tcPr>
            <w:tcW w:w="16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5.6</w:t>
            </w:r>
          </w:p>
        </w:tc>
        <w:tc>
          <w:tcPr>
            <w:tcW w:w="1700" w:type="dxa"/>
            <w:vAlign w:val="bottom"/>
            <w:tcBorders>
              <w:bottom w:val="single" w:sz="8" w:color="CFF0FC"/>
            </w:tcBorders>
            <w:shd w:val="clear" w:color="auto" w:fill="CFF0FC"/>
          </w:tcPr>
          <w:p>
            <w:pPr>
              <w:spacing w:after="0"/>
              <w:rPr>
                <w:sz w:val="22"/>
                <w:szCs w:val="22"/>
                <w:color w:val="auto"/>
              </w:rPr>
            </w:pPr>
          </w:p>
        </w:tc>
      </w:tr>
      <w:tr>
        <w:trPr>
          <w:trHeight w:val="228"/>
        </w:trPr>
        <w:tc>
          <w:tcPr>
            <w:tcW w:w="3900" w:type="dxa"/>
            <w:vAlign w:val="bottom"/>
          </w:tcPr>
          <w:p>
            <w:pPr>
              <w:spacing w:after="0" w:line="217" w:lineRule="exact"/>
              <w:rPr>
                <w:sz w:val="20"/>
                <w:szCs w:val="20"/>
                <w:color w:val="auto"/>
              </w:rPr>
            </w:pPr>
            <w:r>
              <w:rPr>
                <w:rFonts w:ascii="Calibri" w:cs="Calibri" w:eastAsia="Calibri" w:hAnsi="Calibri"/>
                <w:sz w:val="20"/>
                <w:szCs w:val="20"/>
                <w:color w:val="auto"/>
              </w:rPr>
              <w:t>Total Magnesia Specialtes</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77.0</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70.9</w:t>
            </w:r>
          </w:p>
        </w:tc>
        <w:tc>
          <w:tcPr>
            <w:tcW w:w="1700" w:type="dxa"/>
            <w:vAlign w:val="bottom"/>
          </w:tcPr>
          <w:p>
            <w:pPr>
              <w:spacing w:after="0"/>
              <w:rPr>
                <w:sz w:val="19"/>
                <w:szCs w:val="19"/>
                <w:color w:val="auto"/>
              </w:rPr>
            </w:pPr>
          </w:p>
        </w:tc>
      </w:tr>
      <w:tr>
        <w:trPr>
          <w:trHeight w:val="22"/>
        </w:trPr>
        <w:tc>
          <w:tcPr>
            <w:tcW w:w="39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6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FF0FC"/>
            </w:tcBorders>
          </w:tcPr>
          <w:p>
            <w:pPr>
              <w:spacing w:after="0" w:line="20" w:lineRule="exact"/>
              <w:rPr>
                <w:sz w:val="1"/>
                <w:szCs w:val="1"/>
                <w:color w:val="auto"/>
              </w:rPr>
            </w:pPr>
          </w:p>
        </w:tc>
      </w:tr>
      <w:tr>
        <w:trPr>
          <w:trHeight w:val="255"/>
        </w:trPr>
        <w:tc>
          <w:tcPr>
            <w:tcW w:w="390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Total</w:t>
            </w:r>
          </w:p>
        </w:tc>
        <w:tc>
          <w:tcPr>
            <w:tcW w:w="1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1,230.8</w:t>
            </w:r>
          </w:p>
        </w:tc>
        <w:tc>
          <w:tcPr>
            <w:tcW w:w="2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982.4</w:t>
            </w:r>
          </w:p>
        </w:tc>
        <w:tc>
          <w:tcPr>
            <w:tcW w:w="1700" w:type="dxa"/>
            <w:vAlign w:val="bottom"/>
            <w:tcBorders>
              <w:bottom w:val="single" w:sz="8" w:color="CFF0FC"/>
            </w:tcBorders>
            <w:shd w:val="clear" w:color="auto" w:fill="CFF0FC"/>
          </w:tcPr>
          <w:p>
            <w:pPr>
              <w:spacing w:after="0"/>
              <w:rPr>
                <w:sz w:val="21"/>
                <w:szCs w:val="2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7" w:name="page28"/>
    <w:bookmarkEnd w:id="27"/>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5"/>
          </w:tcPr>
          <w:p>
            <w:pPr>
              <w:jc w:val="right"/>
              <w:ind w:right="520"/>
              <w:spacing w:after="0"/>
              <w:rPr>
                <w:sz w:val="20"/>
                <w:szCs w:val="20"/>
                <w:color w:val="auto"/>
              </w:rPr>
            </w:pPr>
            <w:r>
              <w:rPr>
                <w:rFonts w:ascii="Calibri" w:cs="Calibri" w:eastAsia="Calibri" w:hAnsi="Calibri"/>
                <w:sz w:val="20"/>
                <w:szCs w:val="20"/>
                <w:color w:val="auto"/>
              </w:rPr>
              <w:t>Three Months Ended March 31,</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
        </w:trPr>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2022</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2021</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28"/>
        </w:trPr>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720"/>
              <w:spacing w:after="0" w:line="228" w:lineRule="exact"/>
              <w:rPr>
                <w:sz w:val="20"/>
                <w:szCs w:val="20"/>
                <w:color w:val="auto"/>
              </w:rPr>
            </w:pPr>
            <w:r>
              <w:rPr>
                <w:rFonts w:ascii="Calibri" w:cs="Calibri" w:eastAsia="Calibri" w:hAnsi="Calibri"/>
                <w:sz w:val="20"/>
                <w:szCs w:val="20"/>
                <w:color w:val="auto"/>
              </w:rPr>
              <w:t>Amount</w:t>
            </w:r>
          </w:p>
        </w:tc>
        <w:tc>
          <w:tcPr>
            <w:tcW w:w="130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 of Revenues</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680"/>
              <w:spacing w:after="0" w:line="228" w:lineRule="exact"/>
              <w:rPr>
                <w:sz w:val="20"/>
                <w:szCs w:val="20"/>
                <w:color w:val="auto"/>
              </w:rPr>
            </w:pPr>
            <w:r>
              <w:rPr>
                <w:rFonts w:ascii="Calibri" w:cs="Calibri" w:eastAsia="Calibri" w:hAnsi="Calibri"/>
                <w:sz w:val="20"/>
                <w:szCs w:val="20"/>
                <w:color w:val="auto"/>
              </w:rPr>
              <w:t>Amount</w:t>
            </w:r>
          </w:p>
        </w:tc>
        <w:tc>
          <w:tcPr>
            <w:tcW w:w="1300" w:type="dxa"/>
            <w:vAlign w:val="bottom"/>
            <w:tcBorders>
              <w:top w:val="single" w:sz="8" w:color="auto"/>
            </w:tcBorders>
          </w:tcPr>
          <w:p>
            <w:pPr>
              <w:jc w:val="right"/>
              <w:ind w:right="1"/>
              <w:spacing w:after="0" w:line="228" w:lineRule="exact"/>
              <w:rPr>
                <w:sz w:val="20"/>
                <w:szCs w:val="20"/>
                <w:color w:val="auto"/>
              </w:rPr>
            </w:pPr>
            <w:r>
              <w:rPr>
                <w:rFonts w:ascii="Calibri" w:cs="Calibri" w:eastAsia="Calibri" w:hAnsi="Calibri"/>
                <w:sz w:val="20"/>
                <w:szCs w:val="20"/>
                <w:color w:val="auto"/>
                <w:w w:val="99"/>
              </w:rPr>
              <w:t>% of Revenues</w:t>
            </w:r>
          </w:p>
        </w:tc>
        <w:tc>
          <w:tcPr>
            <w:tcW w:w="100" w:type="dxa"/>
            <w:vAlign w:val="bottom"/>
          </w:tcPr>
          <w:p>
            <w:pPr>
              <w:spacing w:after="0"/>
              <w:rPr>
                <w:sz w:val="19"/>
                <w:szCs w:val="19"/>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4"/>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gridSpan w:val="5"/>
          </w:tcPr>
          <w:p>
            <w:pPr>
              <w:jc w:val="right"/>
              <w:ind w:right="104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3800" w:type="dxa"/>
            <w:vAlign w:val="bottom"/>
          </w:tcPr>
          <w:p>
            <w:pPr>
              <w:spacing w:after="0"/>
              <w:rPr>
                <w:sz w:val="20"/>
                <w:szCs w:val="20"/>
                <w:color w:val="auto"/>
              </w:rPr>
            </w:pPr>
            <w:r>
              <w:rPr>
                <w:rFonts w:ascii="Calibri" w:cs="Calibri" w:eastAsia="Calibri" w:hAnsi="Calibri"/>
                <w:sz w:val="20"/>
                <w:szCs w:val="20"/>
                <w:b w:val="1"/>
                <w:bCs w:val="1"/>
                <w:color w:val="auto"/>
              </w:rPr>
              <w:t>Gross proft (loss):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
        </w:trPr>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38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Building Materials business:</w:t>
            </w:r>
          </w:p>
        </w:tc>
        <w:tc>
          <w:tcPr>
            <w:tcW w:w="1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3800" w:type="dxa"/>
            <w:vAlign w:val="bottom"/>
          </w:tcPr>
          <w:p>
            <w:pPr>
              <w:ind w:left="620"/>
              <w:spacing w:after="0" w:line="234" w:lineRule="exact"/>
              <w:rPr>
                <w:sz w:val="20"/>
                <w:szCs w:val="20"/>
                <w:color w:val="auto"/>
              </w:rPr>
            </w:pPr>
            <w:r>
              <w:rPr>
                <w:rFonts w:ascii="Calibri" w:cs="Calibri" w:eastAsia="Calibri" w:hAnsi="Calibri"/>
                <w:sz w:val="20"/>
                <w:szCs w:val="20"/>
                <w:color w:val="auto"/>
              </w:rPr>
              <w:t>Aggregates</w:t>
            </w:r>
          </w:p>
        </w:tc>
        <w:tc>
          <w:tcPr>
            <w:tcW w:w="1320" w:type="dxa"/>
            <w:vAlign w:val="bottom"/>
            <w:gridSpan w:val="2"/>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101.9</w:t>
            </w:r>
          </w:p>
        </w:tc>
        <w:tc>
          <w:tcPr>
            <w:tcW w:w="38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14.9</w:t>
            </w:r>
          </w:p>
        </w:tc>
        <w:tc>
          <w:tcPr>
            <w:tcW w:w="240" w:type="dxa"/>
            <w:vAlign w:val="bottom"/>
          </w:tcPr>
          <w:p>
            <w:pPr>
              <w:spacing w:after="0"/>
              <w:rPr>
                <w:sz w:val="20"/>
                <w:szCs w:val="20"/>
                <w:color w:val="auto"/>
              </w:rPr>
            </w:pPr>
          </w:p>
        </w:tc>
        <w:tc>
          <w:tcPr>
            <w:tcW w:w="22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121.8</w:t>
            </w:r>
          </w:p>
        </w:tc>
        <w:tc>
          <w:tcPr>
            <w:tcW w:w="32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21.3</w:t>
            </w:r>
          </w:p>
        </w:tc>
        <w:tc>
          <w:tcPr>
            <w:tcW w:w="100" w:type="dxa"/>
            <w:vAlign w:val="bottom"/>
          </w:tcPr>
          <w:p>
            <w:pPr>
              <w:spacing w:after="0"/>
              <w:rPr>
                <w:sz w:val="20"/>
                <w:szCs w:val="20"/>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800" w:type="dxa"/>
            <w:vAlign w:val="bottom"/>
            <w:tcBorders>
              <w:bottom w:val="single" w:sz="8" w:color="CFF0FC"/>
            </w:tcBorders>
            <w:shd w:val="clear" w:color="auto" w:fill="CFF0FC"/>
          </w:tcPr>
          <w:p>
            <w:pPr>
              <w:ind w:left="620"/>
              <w:spacing w:after="0" w:line="234" w:lineRule="exact"/>
              <w:rPr>
                <w:sz w:val="20"/>
                <w:szCs w:val="20"/>
                <w:color w:val="auto"/>
              </w:rPr>
            </w:pPr>
            <w:r>
              <w:rPr>
                <w:rFonts w:ascii="Calibri" w:cs="Calibri" w:eastAsia="Calibri" w:hAnsi="Calibri"/>
                <w:sz w:val="20"/>
                <w:szCs w:val="20"/>
                <w:color w:val="auto"/>
              </w:rPr>
              <w:t>Cement</w:t>
            </w:r>
          </w:p>
        </w:tc>
        <w:tc>
          <w:tcPr>
            <w:tcW w:w="1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27.3</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20.3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15.3</w:t>
            </w:r>
          </w:p>
        </w:tc>
        <w:tc>
          <w:tcPr>
            <w:tcW w:w="3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3800" w:type="dxa"/>
            <w:vAlign w:val="bottom"/>
          </w:tcPr>
          <w:p>
            <w:pPr>
              <w:ind w:left="620"/>
              <w:spacing w:after="0" w:line="234" w:lineRule="exact"/>
              <w:rPr>
                <w:sz w:val="20"/>
                <w:szCs w:val="20"/>
                <w:color w:val="auto"/>
              </w:rPr>
            </w:pPr>
            <w:r>
              <w:rPr>
                <w:rFonts w:ascii="Calibri" w:cs="Calibri" w:eastAsia="Calibri" w:hAnsi="Calibri"/>
                <w:sz w:val="20"/>
                <w:szCs w:val="20"/>
                <w:color w:val="auto"/>
              </w:rPr>
              <w:t>Ready mixed concrete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21.1</w:t>
            </w:r>
          </w:p>
        </w:tc>
        <w:tc>
          <w:tcPr>
            <w:tcW w:w="38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7.3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19.4</w:t>
            </w:r>
          </w:p>
        </w:tc>
        <w:tc>
          <w:tcPr>
            <w:tcW w:w="32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8.3</w:t>
            </w:r>
          </w:p>
        </w:tc>
        <w:tc>
          <w:tcPr>
            <w:tcW w:w="100" w:type="dxa"/>
            <w:vAlign w:val="bottom"/>
          </w:tcPr>
          <w:p>
            <w:pPr>
              <w:spacing w:after="0"/>
              <w:rPr>
                <w:sz w:val="20"/>
                <w:szCs w:val="20"/>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3800" w:type="dxa"/>
            <w:vAlign w:val="bottom"/>
            <w:tcBorders>
              <w:bottom w:val="single" w:sz="8" w:color="CFF0FC"/>
            </w:tcBorders>
            <w:shd w:val="clear" w:color="auto" w:fill="CFF0FC"/>
          </w:tcPr>
          <w:p>
            <w:pPr>
              <w:ind w:left="620"/>
              <w:spacing w:after="0" w:line="234" w:lineRule="exact"/>
              <w:rPr>
                <w:sz w:val="20"/>
                <w:szCs w:val="20"/>
                <w:color w:val="auto"/>
              </w:rPr>
            </w:pPr>
            <w:r>
              <w:rPr>
                <w:rFonts w:ascii="Calibri" w:cs="Calibri" w:eastAsia="Calibri" w:hAnsi="Calibri"/>
                <w:sz w:val="20"/>
                <w:szCs w:val="20"/>
                <w:color w:val="auto"/>
              </w:rPr>
              <w:t>Asphalt and paving</w:t>
            </w:r>
          </w:p>
        </w:tc>
        <w:tc>
          <w:tcPr>
            <w:tcW w:w="1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gridSpan w:val="2"/>
            <w:shd w:val="clear" w:color="auto" w:fill="CFF0FC"/>
          </w:tcPr>
          <w:p>
            <w:pPr>
              <w:jc w:val="right"/>
              <w:ind w:right="320"/>
              <w:spacing w:after="0" w:line="234" w:lineRule="exact"/>
              <w:rPr>
                <w:sz w:val="20"/>
                <w:szCs w:val="20"/>
                <w:color w:val="auto"/>
              </w:rPr>
            </w:pPr>
            <w:r>
              <w:rPr>
                <w:rFonts w:ascii="Calibri" w:cs="Calibri" w:eastAsia="Calibri" w:hAnsi="Calibri"/>
                <w:sz w:val="20"/>
                <w:szCs w:val="20"/>
                <w:color w:val="auto"/>
              </w:rPr>
              <w:t>(13.3)</w:t>
            </w:r>
          </w:p>
        </w:tc>
        <w:tc>
          <w:tcPr>
            <w:tcW w:w="1540" w:type="dxa"/>
            <w:vAlign w:val="bottom"/>
            <w:tcBorders>
              <w:bottom w:val="single" w:sz="8" w:color="CFF0FC"/>
            </w:tcBorders>
            <w:gridSpan w:val="2"/>
            <w:shd w:val="clear" w:color="auto" w:fill="CFF0FC"/>
          </w:tcPr>
          <w:p>
            <w:pPr>
              <w:jc w:val="right"/>
              <w:ind w:right="180"/>
              <w:spacing w:after="0" w:line="234" w:lineRule="exact"/>
              <w:rPr>
                <w:sz w:val="20"/>
                <w:szCs w:val="20"/>
                <w:color w:val="auto"/>
              </w:rPr>
            </w:pPr>
            <w:r>
              <w:rPr>
                <w:rFonts w:ascii="Calibri" w:cs="Calibri" w:eastAsia="Calibri" w:hAnsi="Calibri"/>
                <w:sz w:val="20"/>
                <w:szCs w:val="20"/>
                <w:color w:val="auto"/>
              </w:rPr>
              <w:t>(24.3)</w:t>
            </w:r>
          </w:p>
        </w:tc>
        <w:tc>
          <w:tcPr>
            <w:tcW w:w="2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gridSpan w:val="2"/>
            <w:shd w:val="clear" w:color="auto" w:fill="CFF0FC"/>
          </w:tcPr>
          <w:p>
            <w:pPr>
              <w:jc w:val="right"/>
              <w:ind w:right="260"/>
              <w:spacing w:after="0" w:line="234" w:lineRule="exact"/>
              <w:rPr>
                <w:sz w:val="20"/>
                <w:szCs w:val="20"/>
                <w:color w:val="auto"/>
              </w:rPr>
            </w:pPr>
            <w:r>
              <w:rPr>
                <w:rFonts w:ascii="Calibri" w:cs="Calibri" w:eastAsia="Calibri" w:hAnsi="Calibri"/>
                <w:sz w:val="20"/>
                <w:szCs w:val="20"/>
                <w:color w:val="auto"/>
              </w:rPr>
              <w:t>(8.2)</w:t>
            </w:r>
          </w:p>
        </w:tc>
        <w:tc>
          <w:tcPr>
            <w:tcW w:w="1400" w:type="dxa"/>
            <w:vAlign w:val="bottom"/>
            <w:tcBorders>
              <w:bottom w:val="single" w:sz="8" w:color="CFF0FC"/>
            </w:tcBorders>
            <w:gridSpan w:val="2"/>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(67.4)</w:t>
            </w:r>
          </w:p>
        </w:tc>
      </w:tr>
      <w:tr>
        <w:trPr>
          <w:trHeight w:val="228"/>
        </w:trPr>
        <w:tc>
          <w:tcPr>
            <w:tcW w:w="3800" w:type="dxa"/>
            <w:vAlign w:val="bottom"/>
          </w:tcPr>
          <w:p>
            <w:pPr>
              <w:ind w:left="140"/>
              <w:spacing w:after="0" w:line="217" w:lineRule="exact"/>
              <w:rPr>
                <w:sz w:val="20"/>
                <w:szCs w:val="20"/>
                <w:color w:val="auto"/>
              </w:rPr>
            </w:pPr>
            <w:r>
              <w:rPr>
                <w:rFonts w:ascii="Calibri" w:cs="Calibri" w:eastAsia="Calibri" w:hAnsi="Calibri"/>
                <w:sz w:val="20"/>
                <w:szCs w:val="20"/>
                <w:color w:val="auto"/>
              </w:rPr>
              <w:t>Products and services</w:t>
            </w:r>
          </w:p>
        </w:tc>
        <w:tc>
          <w:tcPr>
            <w:tcW w:w="1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137.0</w:t>
            </w:r>
          </w:p>
        </w:tc>
        <w:tc>
          <w:tcPr>
            <w:tcW w:w="38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12.7</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148.3</w:t>
            </w:r>
          </w:p>
        </w:tc>
        <w:tc>
          <w:tcPr>
            <w:tcW w:w="32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17.3</w:t>
            </w:r>
          </w:p>
        </w:tc>
        <w:tc>
          <w:tcPr>
            <w:tcW w:w="100" w:type="dxa"/>
            <w:vAlign w:val="bottom"/>
          </w:tcPr>
          <w:p>
            <w:pPr>
              <w:spacing w:after="0"/>
              <w:rPr>
                <w:sz w:val="19"/>
                <w:szCs w:val="19"/>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8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w:t>
            </w:r>
          </w:p>
        </w:tc>
        <w:tc>
          <w:tcPr>
            <w:tcW w:w="3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gridSpan w:val="2"/>
            <w:shd w:val="clear" w:color="auto" w:fill="CFF0FC"/>
          </w:tcPr>
          <w:p>
            <w:pPr>
              <w:jc w:val="right"/>
              <w:ind w:right="260"/>
              <w:spacing w:after="0" w:line="234" w:lineRule="exact"/>
              <w:rPr>
                <w:sz w:val="20"/>
                <w:szCs w:val="20"/>
                <w:color w:val="auto"/>
              </w:rPr>
            </w:pPr>
            <w:r>
              <w:rPr>
                <w:rFonts w:ascii="Calibri" w:cs="Calibri" w:eastAsia="Calibri" w:hAnsi="Calibri"/>
                <w:sz w:val="20"/>
                <w:szCs w:val="20"/>
                <w:color w:val="auto"/>
              </w:rPr>
              <w:t>(0.3)</w:t>
            </w:r>
          </w:p>
        </w:tc>
        <w:tc>
          <w:tcPr>
            <w:tcW w:w="1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3800" w:type="dxa"/>
            <w:vAlign w:val="bottom"/>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1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138.4</w:t>
            </w:r>
          </w:p>
        </w:tc>
        <w:tc>
          <w:tcPr>
            <w:tcW w:w="38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12.0</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148.0</w:t>
            </w:r>
          </w:p>
        </w:tc>
        <w:tc>
          <w:tcPr>
            <w:tcW w:w="32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16.2</w:t>
            </w:r>
          </w:p>
        </w:tc>
        <w:tc>
          <w:tcPr>
            <w:tcW w:w="100" w:type="dxa"/>
            <w:vAlign w:val="bottom"/>
          </w:tcPr>
          <w:p>
            <w:pPr>
              <w:spacing w:after="0"/>
              <w:rPr>
                <w:sz w:val="19"/>
                <w:szCs w:val="19"/>
                <w:color w:val="auto"/>
              </w:rPr>
            </w:pPr>
          </w:p>
        </w:tc>
      </w:tr>
      <w:tr>
        <w:trPr>
          <w:trHeight w:val="22"/>
        </w:trPr>
        <w:tc>
          <w:tcPr>
            <w:tcW w:w="380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30"/>
        </w:trPr>
        <w:tc>
          <w:tcPr>
            <w:tcW w:w="380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Magnesia Specialtes:</w:t>
            </w:r>
          </w:p>
        </w:tc>
        <w:tc>
          <w:tcPr>
            <w:tcW w:w="1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3800" w:type="dxa"/>
            <w:vAlign w:val="bottom"/>
          </w:tcPr>
          <w:p>
            <w:pPr>
              <w:ind w:left="140"/>
              <w:spacing w:after="0" w:line="234" w:lineRule="exact"/>
              <w:rPr>
                <w:sz w:val="20"/>
                <w:szCs w:val="20"/>
                <w:color w:val="auto"/>
              </w:rPr>
            </w:pPr>
            <w:r>
              <w:rPr>
                <w:rFonts w:ascii="Calibri" w:cs="Calibri" w:eastAsia="Calibri" w:hAnsi="Calibri"/>
                <w:sz w:val="20"/>
                <w:szCs w:val="20"/>
                <w:color w:val="auto"/>
              </w:rPr>
              <w:t>Products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26.8</w:t>
            </w:r>
          </w:p>
        </w:tc>
        <w:tc>
          <w:tcPr>
            <w:tcW w:w="38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37.8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28.4</w:t>
            </w:r>
          </w:p>
        </w:tc>
        <w:tc>
          <w:tcPr>
            <w:tcW w:w="320" w:type="dxa"/>
            <w:vAlign w:val="bottom"/>
          </w:tcPr>
          <w:p>
            <w:pPr>
              <w:spacing w:after="0"/>
              <w:rPr>
                <w:sz w:val="20"/>
                <w:szCs w:val="20"/>
                <w:color w:val="auto"/>
              </w:rPr>
            </w:pP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43.5</w:t>
            </w:r>
          </w:p>
        </w:tc>
        <w:tc>
          <w:tcPr>
            <w:tcW w:w="100" w:type="dxa"/>
            <w:vAlign w:val="bottom"/>
          </w:tcPr>
          <w:p>
            <w:pPr>
              <w:spacing w:after="0"/>
              <w:rPr>
                <w:sz w:val="20"/>
                <w:szCs w:val="20"/>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380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Freight</w:t>
            </w:r>
          </w:p>
        </w:tc>
        <w:tc>
          <w:tcPr>
            <w:tcW w:w="1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gridSpan w:val="2"/>
            <w:shd w:val="clear" w:color="auto" w:fill="CFF0FC"/>
          </w:tcPr>
          <w:p>
            <w:pPr>
              <w:jc w:val="right"/>
              <w:ind w:right="320"/>
              <w:spacing w:after="0" w:line="234" w:lineRule="exact"/>
              <w:rPr>
                <w:sz w:val="20"/>
                <w:szCs w:val="20"/>
                <w:color w:val="auto"/>
              </w:rPr>
            </w:pPr>
            <w:r>
              <w:rPr>
                <w:rFonts w:ascii="Calibri" w:cs="Calibri" w:eastAsia="Calibri" w:hAnsi="Calibri"/>
                <w:sz w:val="20"/>
                <w:szCs w:val="20"/>
                <w:color w:val="auto"/>
              </w:rPr>
              <w:t>(1.2)</w:t>
            </w:r>
          </w:p>
        </w:tc>
        <w:tc>
          <w:tcPr>
            <w:tcW w:w="1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gridSpan w:val="2"/>
            <w:shd w:val="clear" w:color="auto" w:fill="CFF0FC"/>
          </w:tcPr>
          <w:p>
            <w:pPr>
              <w:jc w:val="right"/>
              <w:ind w:right="260"/>
              <w:spacing w:after="0" w:line="234" w:lineRule="exact"/>
              <w:rPr>
                <w:sz w:val="20"/>
                <w:szCs w:val="20"/>
                <w:color w:val="auto"/>
              </w:rPr>
            </w:pPr>
            <w:r>
              <w:rPr>
                <w:rFonts w:ascii="Calibri" w:cs="Calibri" w:eastAsia="Calibri" w:hAnsi="Calibri"/>
                <w:sz w:val="20"/>
                <w:szCs w:val="20"/>
                <w:color w:val="auto"/>
              </w:rPr>
              <w:t>(0.9)</w:t>
            </w:r>
          </w:p>
        </w:tc>
        <w:tc>
          <w:tcPr>
            <w:tcW w:w="1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3800" w:type="dxa"/>
            <w:vAlign w:val="bottom"/>
          </w:tcPr>
          <w:p>
            <w:pPr>
              <w:spacing w:after="0" w:line="217" w:lineRule="exact"/>
              <w:rPr>
                <w:sz w:val="20"/>
                <w:szCs w:val="20"/>
                <w:color w:val="auto"/>
              </w:rPr>
            </w:pPr>
            <w:r>
              <w:rPr>
                <w:rFonts w:ascii="Calibri" w:cs="Calibri" w:eastAsia="Calibri" w:hAnsi="Calibri"/>
                <w:sz w:val="20"/>
                <w:szCs w:val="20"/>
                <w:color w:val="auto"/>
              </w:rPr>
              <w:t>Total Magnesia Specialtes</w:t>
            </w:r>
          </w:p>
        </w:tc>
        <w:tc>
          <w:tcPr>
            <w:tcW w:w="1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25.6</w:t>
            </w:r>
          </w:p>
        </w:tc>
        <w:tc>
          <w:tcPr>
            <w:tcW w:w="38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33.3</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27.5</w:t>
            </w:r>
          </w:p>
        </w:tc>
        <w:tc>
          <w:tcPr>
            <w:tcW w:w="32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38.8</w:t>
            </w:r>
          </w:p>
        </w:tc>
        <w:tc>
          <w:tcPr>
            <w:tcW w:w="100" w:type="dxa"/>
            <w:vAlign w:val="bottom"/>
          </w:tcPr>
          <w:p>
            <w:pPr>
              <w:spacing w:after="0"/>
              <w:rPr>
                <w:sz w:val="19"/>
                <w:szCs w:val="19"/>
                <w:color w:val="auto"/>
              </w:rPr>
            </w:pPr>
          </w:p>
        </w:tc>
      </w:tr>
      <w:tr>
        <w:trPr>
          <w:trHeight w:val="22"/>
        </w:trPr>
        <w:tc>
          <w:tcPr>
            <w:tcW w:w="380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0"/>
        </w:trPr>
        <w:tc>
          <w:tcPr>
            <w:tcW w:w="380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Corporate</w:t>
            </w:r>
          </w:p>
        </w:tc>
        <w:tc>
          <w:tcPr>
            <w:tcW w:w="1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(7.9)</w:t>
            </w: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(0.8)</w:t>
            </w:r>
          </w:p>
        </w:tc>
        <w:tc>
          <w:tcPr>
            <w:tcW w:w="3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28"/>
        </w:trPr>
        <w:tc>
          <w:tcPr>
            <w:tcW w:w="3800" w:type="dxa"/>
            <w:vAlign w:val="bottom"/>
          </w:tcPr>
          <w:p>
            <w:pPr>
              <w:spacing w:after="0" w:line="217" w:lineRule="exact"/>
              <w:rPr>
                <w:sz w:val="20"/>
                <w:szCs w:val="20"/>
                <w:color w:val="auto"/>
              </w:rPr>
            </w:pPr>
            <w:r>
              <w:rPr>
                <w:rFonts w:ascii="Calibri" w:cs="Calibri" w:eastAsia="Calibri" w:hAnsi="Calibri"/>
                <w:sz w:val="20"/>
                <w:szCs w:val="20"/>
                <w:color w:val="auto"/>
              </w:rPr>
              <w:t>Total</w:t>
            </w:r>
          </w:p>
        </w:tc>
        <w:tc>
          <w:tcPr>
            <w:tcW w:w="110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156.1</w:t>
            </w:r>
          </w:p>
        </w:tc>
        <w:tc>
          <w:tcPr>
            <w:tcW w:w="38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12.7</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174.7</w:t>
            </w:r>
          </w:p>
        </w:tc>
        <w:tc>
          <w:tcPr>
            <w:tcW w:w="32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17.8</w:t>
            </w:r>
          </w:p>
        </w:tc>
        <w:tc>
          <w:tcPr>
            <w:tcW w:w="100" w:type="dxa"/>
            <w:vAlign w:val="bottom"/>
          </w:tcPr>
          <w:p>
            <w:pPr>
              <w:spacing w:after="0"/>
              <w:rPr>
                <w:sz w:val="19"/>
                <w:szCs w:val="19"/>
                <w:color w:val="auto"/>
              </w:rPr>
            </w:pPr>
          </w:p>
        </w:tc>
      </w:tr>
      <w:tr>
        <w:trPr>
          <w:trHeight w:val="22"/>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8" w:name="page29"/>
    <w:bookmarkEnd w:id="28"/>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20" w:type="dxa"/>
            <w:vAlign w:val="bottom"/>
            <w:gridSpan w:val="6"/>
          </w:tcPr>
          <w:p>
            <w:pPr>
              <w:jc w:val="center"/>
              <w:ind w:right="460"/>
              <w:spacing w:after="0"/>
              <w:rPr>
                <w:sz w:val="20"/>
                <w:szCs w:val="20"/>
                <w:color w:val="auto"/>
              </w:rPr>
            </w:pPr>
            <w:r>
              <w:rPr>
                <w:rFonts w:ascii="Calibri" w:cs="Calibri" w:eastAsia="Calibri" w:hAnsi="Calibri"/>
                <w:sz w:val="20"/>
                <w:szCs w:val="20"/>
                <w:color w:val="auto"/>
              </w:rPr>
              <w:t>Three Months Ended March 31,</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
        </w:trPr>
        <w:tc>
          <w:tcPr>
            <w:tcW w:w="4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4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0"/>
              <w:spacing w:after="0" w:line="228" w:lineRule="exact"/>
              <w:rPr>
                <w:sz w:val="20"/>
                <w:szCs w:val="20"/>
                <w:color w:val="auto"/>
              </w:rPr>
            </w:pPr>
            <w:r>
              <w:rPr>
                <w:rFonts w:ascii="Calibri" w:cs="Calibri" w:eastAsia="Calibri" w:hAnsi="Calibri"/>
                <w:sz w:val="20"/>
                <w:szCs w:val="20"/>
                <w:color w:val="auto"/>
              </w:rPr>
              <w:t>2022</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2021</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26"/>
        </w:trPr>
        <w:tc>
          <w:tcPr>
            <w:tcW w:w="4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spacing w:after="0" w:line="225" w:lineRule="exact"/>
              <w:rPr>
                <w:sz w:val="20"/>
                <w:szCs w:val="20"/>
                <w:color w:val="auto"/>
              </w:rPr>
            </w:pPr>
            <w:r>
              <w:rPr>
                <w:rFonts w:ascii="Calibri" w:cs="Calibri" w:eastAsia="Calibri" w:hAnsi="Calibri"/>
                <w:sz w:val="20"/>
                <w:szCs w:val="20"/>
                <w:color w:val="auto"/>
                <w:w w:val="95"/>
              </w:rPr>
              <w:t>% of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
              <w:spacing w:after="0" w:line="225" w:lineRule="exact"/>
              <w:rPr>
                <w:sz w:val="20"/>
                <w:szCs w:val="20"/>
                <w:color w:val="auto"/>
              </w:rPr>
            </w:pPr>
            <w:r>
              <w:rPr>
                <w:rFonts w:ascii="Calibri" w:cs="Calibri" w:eastAsia="Calibri" w:hAnsi="Calibri"/>
                <w:sz w:val="20"/>
                <w:szCs w:val="20"/>
                <w:color w:val="auto"/>
                <w:w w:val="95"/>
              </w:rPr>
              <w:t>% of</w:t>
            </w:r>
          </w:p>
        </w:tc>
        <w:tc>
          <w:tcPr>
            <w:tcW w:w="1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740"/>
              <w:spacing w:after="0" w:line="234" w:lineRule="exact"/>
              <w:rPr>
                <w:sz w:val="20"/>
                <w:szCs w:val="20"/>
                <w:color w:val="auto"/>
              </w:rPr>
            </w:pPr>
            <w:r>
              <w:rPr>
                <w:rFonts w:ascii="Calibri" w:cs="Calibri" w:eastAsia="Calibri" w:hAnsi="Calibri"/>
                <w:sz w:val="20"/>
                <w:szCs w:val="20"/>
                <w:color w:val="auto"/>
              </w:rPr>
              <w:t>Amount</w:t>
            </w:r>
          </w:p>
        </w:tc>
        <w:tc>
          <w:tcPr>
            <w:tcW w:w="1540" w:type="dxa"/>
            <w:vAlign w:val="bottom"/>
            <w:gridSpan w:val="2"/>
          </w:tcPr>
          <w:p>
            <w:pPr>
              <w:jc w:val="center"/>
              <w:ind w:right="320"/>
              <w:spacing w:after="0" w:line="234" w:lineRule="exact"/>
              <w:rPr>
                <w:sz w:val="20"/>
                <w:szCs w:val="20"/>
                <w:color w:val="auto"/>
              </w:rPr>
            </w:pPr>
            <w:r>
              <w:rPr>
                <w:rFonts w:ascii="Calibri" w:cs="Calibri" w:eastAsia="Calibri" w:hAnsi="Calibri"/>
                <w:sz w:val="20"/>
                <w:szCs w:val="20"/>
                <w:color w:val="auto"/>
                <w:w w:val="99"/>
              </w:rPr>
              <w:t>Revenues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80"/>
              <w:spacing w:after="0" w:line="234" w:lineRule="exact"/>
              <w:rPr>
                <w:sz w:val="20"/>
                <w:szCs w:val="20"/>
                <w:color w:val="auto"/>
              </w:rPr>
            </w:pPr>
            <w:r>
              <w:rPr>
                <w:rFonts w:ascii="Calibri" w:cs="Calibri" w:eastAsia="Calibri" w:hAnsi="Calibri"/>
                <w:sz w:val="20"/>
                <w:szCs w:val="20"/>
                <w:color w:val="auto"/>
              </w:rPr>
              <w:t>Amount</w:t>
            </w:r>
          </w:p>
        </w:tc>
        <w:tc>
          <w:tcPr>
            <w:tcW w:w="1380" w:type="dxa"/>
            <w:vAlign w:val="bottom"/>
            <w:gridSpan w:val="2"/>
          </w:tcPr>
          <w:p>
            <w:pPr>
              <w:jc w:val="center"/>
              <w:ind w:right="200"/>
              <w:spacing w:after="0" w:line="234" w:lineRule="exact"/>
              <w:rPr>
                <w:sz w:val="20"/>
                <w:szCs w:val="20"/>
                <w:color w:val="auto"/>
              </w:rPr>
            </w:pPr>
            <w:r>
              <w:rPr>
                <w:rFonts w:ascii="Calibri" w:cs="Calibri" w:eastAsia="Calibri" w:hAnsi="Calibri"/>
                <w:sz w:val="20"/>
                <w:szCs w:val="20"/>
                <w:color w:val="auto"/>
                <w:w w:val="99"/>
              </w:rPr>
              <w:t>Revenues</w:t>
            </w:r>
          </w:p>
        </w:tc>
      </w:tr>
      <w:tr>
        <w:trPr>
          <w:trHeight w:val="33"/>
        </w:trPr>
        <w:tc>
          <w:tcPr>
            <w:tcW w:w="4260" w:type="dxa"/>
            <w:vAlign w:val="bottom"/>
            <w:tcBorders>
              <w:bottom w:val="single" w:sz="8" w:color="CFF0FC"/>
            </w:tcBorders>
          </w:tcPr>
          <w:p>
            <w:pPr>
              <w:spacing w:after="0"/>
              <w:rPr>
                <w:sz w:val="2"/>
                <w:szCs w:val="2"/>
                <w:color w:val="auto"/>
              </w:rPr>
            </w:pPr>
          </w:p>
        </w:tc>
        <w:tc>
          <w:tcPr>
            <w:tcW w:w="6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30"/>
        </w:trPr>
        <w:tc>
          <w:tcPr>
            <w:tcW w:w="42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3220" w:type="dxa"/>
            <w:vAlign w:val="bottom"/>
            <w:tcBorders>
              <w:bottom w:val="single" w:sz="8" w:color="CFF0FC"/>
            </w:tcBorders>
            <w:gridSpan w:val="6"/>
            <w:shd w:val="clear" w:color="auto" w:fill="CFF0FC"/>
          </w:tcPr>
          <w:p>
            <w:pPr>
              <w:jc w:val="center"/>
              <w:ind w:right="48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260" w:type="dxa"/>
            <w:vAlign w:val="bottom"/>
          </w:tcPr>
          <w:p>
            <w:pPr>
              <w:spacing w:after="0" w:line="234" w:lineRule="exact"/>
              <w:rPr>
                <w:sz w:val="20"/>
                <w:szCs w:val="20"/>
                <w:color w:val="auto"/>
              </w:rPr>
            </w:pPr>
            <w:r>
              <w:rPr>
                <w:rFonts w:ascii="Calibri" w:cs="Calibri" w:eastAsia="Calibri" w:hAnsi="Calibri"/>
                <w:sz w:val="20"/>
                <w:szCs w:val="20"/>
                <w:b w:val="1"/>
                <w:bCs w:val="1"/>
                <w:color w:val="auto"/>
              </w:rPr>
              <w:t>Selling, general &amp; administratve expenses: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2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Building Materials business:</w:t>
            </w: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260" w:type="dxa"/>
            <w:vAlign w:val="bottom"/>
          </w:tcPr>
          <w:p>
            <w:pPr>
              <w:ind w:left="260"/>
              <w:spacing w:after="0" w:line="234" w:lineRule="exact"/>
              <w:rPr>
                <w:sz w:val="20"/>
                <w:szCs w:val="20"/>
                <w:color w:val="auto"/>
              </w:rPr>
            </w:pPr>
            <w:r>
              <w:rPr>
                <w:rFonts w:ascii="Calibri" w:cs="Calibri" w:eastAsia="Calibri" w:hAnsi="Calibri"/>
                <w:sz w:val="20"/>
                <w:szCs w:val="20"/>
                <w:color w:val="auto"/>
              </w:rPr>
              <w:t>East Group</w:t>
            </w:r>
          </w:p>
        </w:tc>
        <w:tc>
          <w:tcPr>
            <w:tcW w:w="860" w:type="dxa"/>
            <w:vAlign w:val="bottom"/>
            <w:gridSpan w:val="2"/>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28.8</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gridSpan w:val="2"/>
          </w:tcPr>
          <w:p>
            <w:pPr>
              <w:jc w:val="right"/>
              <w:ind w:right="38"/>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24.2</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2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West Group</w:t>
            </w:r>
          </w:p>
        </w:tc>
        <w:tc>
          <w:tcPr>
            <w:tcW w:w="6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41.3</w:t>
            </w:r>
          </w:p>
        </w:tc>
        <w:tc>
          <w:tcPr>
            <w:tcW w:w="3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33.3</w:t>
            </w:r>
          </w:p>
        </w:tc>
        <w:tc>
          <w:tcPr>
            <w:tcW w:w="3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4260" w:type="dxa"/>
            <w:vAlign w:val="bottom"/>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70.1</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57.5</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2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Magnesia Specialtes</w:t>
            </w: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w:t>
            </w: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260" w:type="dxa"/>
            <w:vAlign w:val="bottom"/>
          </w:tcPr>
          <w:p>
            <w:pPr>
              <w:spacing w:after="0" w:line="234" w:lineRule="exact"/>
              <w:rPr>
                <w:sz w:val="20"/>
                <w:szCs w:val="20"/>
                <w:color w:val="auto"/>
              </w:rPr>
            </w:pPr>
            <w:r>
              <w:rPr>
                <w:rFonts w:ascii="Calibri" w:cs="Calibri" w:eastAsia="Calibri" w:hAnsi="Calibri"/>
                <w:sz w:val="20"/>
                <w:szCs w:val="20"/>
                <w:color w:val="auto"/>
              </w:rPr>
              <w:t>Corporate</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23.0</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18.6</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26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5"/>
        </w:trPr>
        <w:tc>
          <w:tcPr>
            <w:tcW w:w="426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Total</w:t>
            </w:r>
          </w:p>
        </w:tc>
        <w:tc>
          <w:tcPr>
            <w:tcW w:w="6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97.1</w:t>
            </w:r>
          </w:p>
        </w:tc>
        <w:tc>
          <w:tcPr>
            <w:tcW w:w="3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line="217" w:lineRule="exact"/>
              <w:rPr>
                <w:sz w:val="20"/>
                <w:szCs w:val="20"/>
                <w:color w:val="auto"/>
              </w:rPr>
            </w:pPr>
            <w:r>
              <w:rPr>
                <w:rFonts w:ascii="Calibri" w:cs="Calibri" w:eastAsia="Calibri" w:hAnsi="Calibri"/>
                <w:sz w:val="20"/>
                <w:szCs w:val="20"/>
                <w:color w:val="auto"/>
              </w:rPr>
              <w:t>7.9</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38"/>
              <w:spacing w:after="0"/>
              <w:rPr>
                <w:sz w:val="20"/>
                <w:szCs w:val="20"/>
                <w:color w:val="auto"/>
              </w:rPr>
            </w:pPr>
            <w:r>
              <w:rPr>
                <w:rFonts w:ascii="Calibri" w:cs="Calibri" w:eastAsia="Calibri" w:hAnsi="Calibri"/>
                <w:sz w:val="16"/>
                <w:szCs w:val="16"/>
                <w:color w:val="auto"/>
                <w:w w:val="73"/>
              </w:rPr>
              <w:t>$</w:t>
            </w: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79.8</w:t>
            </w: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line="217" w:lineRule="exact"/>
              <w:rPr>
                <w:sz w:val="20"/>
                <w:szCs w:val="20"/>
                <w:color w:val="auto"/>
              </w:rPr>
            </w:pPr>
            <w:r>
              <w:rPr>
                <w:rFonts w:ascii="Calibri" w:cs="Calibri" w:eastAsia="Calibri" w:hAnsi="Calibri"/>
                <w:sz w:val="20"/>
                <w:szCs w:val="20"/>
                <w:color w:val="auto"/>
              </w:rPr>
              <w:t>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gridSpan w:val="3"/>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61"/>
        </w:trPr>
        <w:tc>
          <w:tcPr>
            <w:tcW w:w="4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6"/>
          </w:tcPr>
          <w:p>
            <w:pPr>
              <w:jc w:val="center"/>
              <w:ind w:right="460"/>
              <w:spacing w:after="0"/>
              <w:rPr>
                <w:sz w:val="20"/>
                <w:szCs w:val="20"/>
                <w:color w:val="auto"/>
              </w:rPr>
            </w:pPr>
            <w:r>
              <w:rPr>
                <w:rFonts w:ascii="Calibri" w:cs="Calibri" w:eastAsia="Calibri" w:hAnsi="Calibri"/>
                <w:sz w:val="20"/>
                <w:szCs w:val="20"/>
                <w:color w:val="auto"/>
              </w:rPr>
              <w:t>Three Months Ended March 31,</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
        </w:trPr>
        <w:tc>
          <w:tcPr>
            <w:tcW w:w="4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4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0"/>
              <w:spacing w:after="0" w:line="228" w:lineRule="exact"/>
              <w:rPr>
                <w:sz w:val="20"/>
                <w:szCs w:val="20"/>
                <w:color w:val="auto"/>
              </w:rPr>
            </w:pPr>
            <w:r>
              <w:rPr>
                <w:rFonts w:ascii="Calibri" w:cs="Calibri" w:eastAsia="Calibri" w:hAnsi="Calibri"/>
                <w:sz w:val="20"/>
                <w:szCs w:val="20"/>
                <w:color w:val="auto"/>
              </w:rPr>
              <w:t>2022</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spacing w:after="0" w:line="228" w:lineRule="exact"/>
              <w:rPr>
                <w:sz w:val="20"/>
                <w:szCs w:val="20"/>
                <w:color w:val="auto"/>
              </w:rPr>
            </w:pPr>
            <w:r>
              <w:rPr>
                <w:rFonts w:ascii="Calibri" w:cs="Calibri" w:eastAsia="Calibri" w:hAnsi="Calibri"/>
                <w:sz w:val="20"/>
                <w:szCs w:val="20"/>
                <w:color w:val="auto"/>
              </w:rPr>
              <w:t>2021</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28"/>
        </w:trPr>
        <w:tc>
          <w:tcPr>
            <w:tcW w:w="4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right"/>
              <w:ind w:right="740"/>
              <w:spacing w:after="0" w:line="228" w:lineRule="exact"/>
              <w:rPr>
                <w:sz w:val="20"/>
                <w:szCs w:val="20"/>
                <w:color w:val="auto"/>
              </w:rPr>
            </w:pPr>
            <w:r>
              <w:rPr>
                <w:rFonts w:ascii="Calibri" w:cs="Calibri" w:eastAsia="Calibri" w:hAnsi="Calibri"/>
                <w:sz w:val="20"/>
                <w:szCs w:val="20"/>
                <w:color w:val="auto"/>
              </w:rPr>
              <w:t>Amount</w:t>
            </w:r>
          </w:p>
        </w:tc>
        <w:tc>
          <w:tcPr>
            <w:tcW w:w="1300" w:type="dxa"/>
            <w:vAlign w:val="bottom"/>
            <w:tcBorders>
              <w:top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9"/>
              </w:rPr>
              <w:t>% of Revenues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680"/>
              <w:spacing w:after="0" w:line="228" w:lineRule="exact"/>
              <w:rPr>
                <w:sz w:val="20"/>
                <w:szCs w:val="20"/>
                <w:color w:val="auto"/>
              </w:rPr>
            </w:pPr>
            <w:r>
              <w:rPr>
                <w:rFonts w:ascii="Calibri" w:cs="Calibri" w:eastAsia="Calibri" w:hAnsi="Calibri"/>
                <w:sz w:val="20"/>
                <w:szCs w:val="20"/>
                <w:color w:val="auto"/>
              </w:rPr>
              <w:t>Amount</w:t>
            </w:r>
          </w:p>
        </w:tc>
        <w:tc>
          <w:tcPr>
            <w:tcW w:w="1280" w:type="dxa"/>
            <w:vAlign w:val="bottom"/>
            <w:tcBorders>
              <w:top w:val="single" w:sz="8" w:color="auto"/>
            </w:tcBorders>
          </w:tcPr>
          <w:p>
            <w:pPr>
              <w:jc w:val="center"/>
              <w:ind w:right="1"/>
              <w:spacing w:after="0" w:line="228" w:lineRule="exact"/>
              <w:rPr>
                <w:sz w:val="20"/>
                <w:szCs w:val="20"/>
                <w:color w:val="auto"/>
              </w:rPr>
            </w:pPr>
            <w:r>
              <w:rPr>
                <w:rFonts w:ascii="Calibri" w:cs="Calibri" w:eastAsia="Calibri" w:hAnsi="Calibri"/>
                <w:sz w:val="20"/>
                <w:szCs w:val="20"/>
                <w:color w:val="auto"/>
                <w:w w:val="99"/>
              </w:rPr>
              <w:t>% of Revenues</w:t>
            </w:r>
          </w:p>
        </w:tc>
        <w:tc>
          <w:tcPr>
            <w:tcW w:w="100" w:type="dxa"/>
            <w:vAlign w:val="bottom"/>
          </w:tcPr>
          <w:p>
            <w:pPr>
              <w:spacing w:after="0"/>
              <w:rPr>
                <w:sz w:val="19"/>
                <w:szCs w:val="19"/>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5"/>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gridSpan w:val="6"/>
          </w:tcPr>
          <w:p>
            <w:pPr>
              <w:jc w:val="center"/>
              <w:ind w:right="480"/>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2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b w:val="1"/>
                <w:bCs w:val="1"/>
                <w:color w:val="auto"/>
              </w:rPr>
              <w:t>Earnings (Loss) from operatons:</w:t>
            </w: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260" w:type="dxa"/>
            <w:vAlign w:val="bottom"/>
          </w:tcPr>
          <w:p>
            <w:pPr>
              <w:spacing w:after="0" w:line="234" w:lineRule="exact"/>
              <w:rPr>
                <w:sz w:val="20"/>
                <w:szCs w:val="20"/>
                <w:color w:val="auto"/>
              </w:rPr>
            </w:pPr>
            <w:r>
              <w:rPr>
                <w:rFonts w:ascii="Calibri" w:cs="Calibri" w:eastAsia="Calibri" w:hAnsi="Calibri"/>
                <w:sz w:val="20"/>
                <w:szCs w:val="20"/>
                <w:color w:val="auto"/>
              </w:rPr>
              <w:t>Building Materials business: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2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East Group</w:t>
            </w:r>
          </w:p>
        </w:tc>
        <w:tc>
          <w:tcPr>
            <w:tcW w:w="860" w:type="dxa"/>
            <w:vAlign w:val="bottom"/>
            <w:tcBorders>
              <w:bottom w:val="single" w:sz="8" w:color="CFF0FC"/>
            </w:tcBorders>
            <w:gridSpan w:val="2"/>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28.0</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ind w:right="38"/>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61.7</w:t>
            </w: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260" w:type="dxa"/>
            <w:vAlign w:val="bottom"/>
          </w:tcPr>
          <w:p>
            <w:pPr>
              <w:ind w:left="260"/>
              <w:spacing w:after="0" w:line="234" w:lineRule="exact"/>
              <w:rPr>
                <w:sz w:val="20"/>
                <w:szCs w:val="20"/>
                <w:color w:val="auto"/>
              </w:rPr>
            </w:pPr>
            <w:r>
              <w:rPr>
                <w:rFonts w:ascii="Calibri" w:cs="Calibri" w:eastAsia="Calibri" w:hAnsi="Calibri"/>
                <w:sz w:val="20"/>
                <w:szCs w:val="20"/>
                <w:color w:val="auto"/>
              </w:rPr>
              <w:t>West Group</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43.0</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31.9</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26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30"/>
        </w:trPr>
        <w:tc>
          <w:tcPr>
            <w:tcW w:w="426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Total Building Materials business</w:t>
            </w: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71.0</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93.6</w:t>
            </w: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260" w:type="dxa"/>
            <w:vAlign w:val="bottom"/>
          </w:tcPr>
          <w:p>
            <w:pPr>
              <w:spacing w:after="0" w:line="234" w:lineRule="exact"/>
              <w:rPr>
                <w:sz w:val="20"/>
                <w:szCs w:val="20"/>
                <w:color w:val="auto"/>
              </w:rPr>
            </w:pPr>
            <w:r>
              <w:rPr>
                <w:rFonts w:ascii="Calibri" w:cs="Calibri" w:eastAsia="Calibri" w:hAnsi="Calibri"/>
                <w:sz w:val="20"/>
                <w:szCs w:val="20"/>
                <w:color w:val="auto"/>
              </w:rPr>
              <w:t>Magnesia Specialtes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21.5</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Calibri" w:cs="Calibri" w:eastAsia="Calibri" w:hAnsi="Calibri"/>
                <w:sz w:val="20"/>
                <w:szCs w:val="20"/>
                <w:color w:val="auto"/>
              </w:rPr>
              <w:t>23.5</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2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Corporate</w:t>
            </w:r>
          </w:p>
        </w:tc>
        <w:tc>
          <w:tcPr>
            <w:tcW w:w="6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gridSpan w:val="2"/>
            <w:shd w:val="clear" w:color="auto" w:fill="CFF0FC"/>
          </w:tcPr>
          <w:p>
            <w:pPr>
              <w:jc w:val="right"/>
              <w:ind w:right="320"/>
              <w:spacing w:after="0" w:line="234" w:lineRule="exact"/>
              <w:rPr>
                <w:sz w:val="20"/>
                <w:szCs w:val="20"/>
                <w:color w:val="auto"/>
              </w:rPr>
            </w:pPr>
            <w:r>
              <w:rPr>
                <w:rFonts w:ascii="Calibri" w:cs="Calibri" w:eastAsia="Calibri" w:hAnsi="Calibri"/>
                <w:sz w:val="20"/>
                <w:szCs w:val="20"/>
                <w:color w:val="auto"/>
              </w:rPr>
              <w:t>(32.6)</w:t>
            </w:r>
          </w:p>
        </w:tc>
        <w:tc>
          <w:tcPr>
            <w:tcW w:w="1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gridSpan w:val="2"/>
            <w:shd w:val="clear" w:color="auto" w:fill="CFF0FC"/>
          </w:tcPr>
          <w:p>
            <w:pPr>
              <w:jc w:val="right"/>
              <w:ind w:right="260"/>
              <w:spacing w:after="0" w:line="234" w:lineRule="exact"/>
              <w:rPr>
                <w:sz w:val="20"/>
                <w:szCs w:val="20"/>
                <w:color w:val="auto"/>
              </w:rPr>
            </w:pPr>
            <w:r>
              <w:rPr>
                <w:rFonts w:ascii="Calibri" w:cs="Calibri" w:eastAsia="Calibri" w:hAnsi="Calibri"/>
                <w:sz w:val="20"/>
                <w:szCs w:val="20"/>
                <w:color w:val="auto"/>
              </w:rPr>
              <w:t>(17.8)</w:t>
            </w:r>
          </w:p>
        </w:tc>
        <w:tc>
          <w:tcPr>
            <w:tcW w:w="1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4260" w:type="dxa"/>
            <w:vAlign w:val="bottom"/>
          </w:tcPr>
          <w:p>
            <w:pPr>
              <w:spacing w:after="0" w:line="217" w:lineRule="exact"/>
              <w:rPr>
                <w:sz w:val="20"/>
                <w:szCs w:val="20"/>
                <w:color w:val="auto"/>
              </w:rPr>
            </w:pPr>
            <w:r>
              <w:rPr>
                <w:rFonts w:ascii="Calibri" w:cs="Calibri" w:eastAsia="Calibri" w:hAnsi="Calibri"/>
                <w:sz w:val="20"/>
                <w:szCs w:val="20"/>
                <w:color w:val="auto"/>
              </w:rPr>
              <w:t>Total</w:t>
            </w:r>
          </w:p>
        </w:tc>
        <w:tc>
          <w:tcPr>
            <w:tcW w:w="640" w:type="dxa"/>
            <w:vAlign w:val="bottom"/>
          </w:tcPr>
          <w:p>
            <w:pPr>
              <w:spacing w:after="0"/>
              <w:rPr>
                <w:sz w:val="19"/>
                <w:szCs w:val="19"/>
                <w:color w:val="auto"/>
              </w:rPr>
            </w:pPr>
          </w:p>
        </w:tc>
        <w:tc>
          <w:tcPr>
            <w:tcW w:w="220" w:type="dxa"/>
            <w:vAlign w:val="bottom"/>
            <w:tcBorders>
              <w:top w:val="single" w:sz="8" w:color="auto"/>
            </w:tcBorders>
          </w:tcPr>
          <w:p>
            <w:pPr>
              <w:jc w:val="right"/>
              <w:ind w:right="21"/>
              <w:spacing w:after="0" w:line="228" w:lineRule="exact"/>
              <w:rPr>
                <w:sz w:val="20"/>
                <w:szCs w:val="20"/>
                <w:color w:val="auto"/>
              </w:rPr>
            </w:pPr>
            <w:r>
              <w:rPr>
                <w:rFonts w:ascii="Calibri" w:cs="Calibri" w:eastAsia="Calibri" w:hAnsi="Calibri"/>
                <w:sz w:val="20"/>
                <w:szCs w:val="20"/>
                <w:color w:val="auto"/>
                <w:w w:val="78"/>
              </w:rPr>
              <w:t>$</w:t>
            </w: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59.9</w:t>
            </w:r>
          </w:p>
        </w:tc>
        <w:tc>
          <w:tcPr>
            <w:tcW w:w="380" w:type="dxa"/>
            <w:vAlign w:val="bottom"/>
          </w:tcPr>
          <w:p>
            <w:pPr>
              <w:spacing w:after="0"/>
              <w:rPr>
                <w:sz w:val="19"/>
                <w:szCs w:val="19"/>
                <w:color w:val="auto"/>
              </w:rPr>
            </w:pPr>
          </w:p>
        </w:tc>
        <w:tc>
          <w:tcPr>
            <w:tcW w:w="1300" w:type="dxa"/>
            <w:vAlign w:val="bottom"/>
          </w:tcPr>
          <w:p>
            <w:pPr>
              <w:jc w:val="right"/>
              <w:spacing w:after="0" w:line="217" w:lineRule="exact"/>
              <w:rPr>
                <w:sz w:val="20"/>
                <w:szCs w:val="20"/>
                <w:color w:val="auto"/>
              </w:rPr>
            </w:pPr>
            <w:r>
              <w:rPr>
                <w:rFonts w:ascii="Calibri" w:cs="Calibri" w:eastAsia="Calibri" w:hAnsi="Calibri"/>
                <w:sz w:val="20"/>
                <w:szCs w:val="20"/>
                <w:color w:val="auto"/>
              </w:rPr>
              <w:t>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38"/>
              <w:spacing w:after="0"/>
              <w:rPr>
                <w:sz w:val="20"/>
                <w:szCs w:val="20"/>
                <w:color w:val="auto"/>
              </w:rPr>
            </w:pPr>
            <w:r>
              <w:rPr>
                <w:rFonts w:ascii="Calibri" w:cs="Calibri" w:eastAsia="Calibri" w:hAnsi="Calibri"/>
                <w:sz w:val="16"/>
                <w:szCs w:val="16"/>
                <w:color w:val="auto"/>
                <w:w w:val="73"/>
              </w:rPr>
              <w:t>$</w:t>
            </w:r>
          </w:p>
        </w:tc>
        <w:tc>
          <w:tcPr>
            <w:tcW w:w="114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99.3</w:t>
            </w:r>
          </w:p>
        </w:tc>
        <w:tc>
          <w:tcPr>
            <w:tcW w:w="320" w:type="dxa"/>
            <w:vAlign w:val="bottom"/>
          </w:tcPr>
          <w:p>
            <w:pPr>
              <w:spacing w:after="0"/>
              <w:rPr>
                <w:sz w:val="19"/>
                <w:szCs w:val="19"/>
                <w:color w:val="auto"/>
              </w:rPr>
            </w:pPr>
          </w:p>
        </w:tc>
        <w:tc>
          <w:tcPr>
            <w:tcW w:w="1280" w:type="dxa"/>
            <w:vAlign w:val="bottom"/>
          </w:tcPr>
          <w:p>
            <w:pPr>
              <w:jc w:val="right"/>
              <w:spacing w:after="0" w:line="217" w:lineRule="exact"/>
              <w:rPr>
                <w:sz w:val="20"/>
                <w:szCs w:val="20"/>
                <w:color w:val="auto"/>
              </w:rPr>
            </w:pPr>
            <w:r>
              <w:rPr>
                <w:rFonts w:ascii="Calibri" w:cs="Calibri" w:eastAsia="Calibri" w:hAnsi="Calibri"/>
                <w:sz w:val="20"/>
                <w:szCs w:val="20"/>
                <w:color w:val="auto"/>
              </w:rPr>
              <w:t>10.1</w:t>
            </w:r>
          </w:p>
        </w:tc>
        <w:tc>
          <w:tcPr>
            <w:tcW w:w="100" w:type="dxa"/>
            <w:vAlign w:val="bottom"/>
          </w:tcPr>
          <w:p>
            <w:pPr>
              <w:spacing w:after="0"/>
              <w:rPr>
                <w:sz w:val="19"/>
                <w:szCs w:val="19"/>
                <w:color w:val="auto"/>
              </w:rPr>
            </w:pPr>
          </w:p>
        </w:tc>
      </w:tr>
      <w:tr>
        <w:trPr>
          <w:trHeight w:val="22"/>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tables present aggregates volume and pricing variance data and shipments data by segment:</w:t>
      </w:r>
    </w:p>
    <w:p>
      <w:pPr>
        <w:spacing w:after="0" w:line="107" w:lineRule="exact"/>
        <w:rPr>
          <w:sz w:val="20"/>
          <w:szCs w:val="20"/>
          <w:color w:val="auto"/>
        </w:rPr>
      </w:pPr>
    </w:p>
    <w:p>
      <w:pPr>
        <w:jc w:val="center"/>
        <w:ind w:left="6840"/>
        <w:spacing w:after="0"/>
        <w:rPr>
          <w:sz w:val="20"/>
          <w:szCs w:val="20"/>
          <w:color w:val="auto"/>
        </w:rPr>
      </w:pPr>
      <w:r>
        <w:rPr>
          <w:rFonts w:ascii="Calibri" w:cs="Calibri" w:eastAsia="Calibri" w:hAnsi="Calibri"/>
          <w:sz w:val="20"/>
          <w:szCs w:val="20"/>
          <w:color w:val="auto"/>
        </w:rPr>
        <w:t>Three Months Ended</w:t>
      </w:r>
    </w:p>
    <w:p>
      <w:pPr>
        <w:spacing w:after="0" w:line="12" w:lineRule="exact"/>
        <w:rPr>
          <w:sz w:val="20"/>
          <w:szCs w:val="20"/>
          <w:color w:val="auto"/>
        </w:rPr>
      </w:pPr>
    </w:p>
    <w:p>
      <w:pPr>
        <w:jc w:val="center"/>
        <w:ind w:left="6840"/>
        <w:spacing w:after="0"/>
        <w:rPr>
          <w:sz w:val="20"/>
          <w:szCs w:val="20"/>
          <w:color w:val="auto"/>
        </w:rPr>
      </w:pPr>
      <w:r>
        <w:rPr>
          <w:rFonts w:ascii="Calibri" w:cs="Calibri" w:eastAsia="Calibri" w:hAnsi="Calibri"/>
          <w:sz w:val="20"/>
          <w:szCs w:val="20"/>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20955</wp:posOffset>
            </wp:positionV>
            <wp:extent cx="2674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tcPr>
          <w:p>
            <w:pPr>
              <w:spacing w:after="0"/>
              <w:rPr>
                <w:sz w:val="21"/>
                <w:szCs w:val="21"/>
                <w:color w:val="auto"/>
              </w:rPr>
            </w:pPr>
          </w:p>
        </w:tc>
        <w:tc>
          <w:tcPr>
            <w:tcW w:w="1360" w:type="dxa"/>
            <w:vAlign w:val="bottom"/>
          </w:tcPr>
          <w:p>
            <w:pPr>
              <w:ind w:left="620"/>
              <w:spacing w:after="0"/>
              <w:rPr>
                <w:sz w:val="20"/>
                <w:szCs w:val="20"/>
                <w:color w:val="auto"/>
              </w:rPr>
            </w:pPr>
            <w:r>
              <w:rPr>
                <w:rFonts w:ascii="Calibri" w:cs="Calibri" w:eastAsia="Calibri" w:hAnsi="Calibri"/>
                <w:sz w:val="20"/>
                <w:szCs w:val="20"/>
                <w:color w:val="auto"/>
              </w:rPr>
              <w:t>Volume</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tcPr>
          <w:p>
            <w:pPr>
              <w:jc w:val="right"/>
              <w:ind w:right="721"/>
              <w:spacing w:after="0"/>
              <w:rPr>
                <w:sz w:val="20"/>
                <w:szCs w:val="20"/>
                <w:color w:val="auto"/>
              </w:rPr>
            </w:pPr>
            <w:r>
              <w:rPr>
                <w:rFonts w:ascii="Calibri" w:cs="Calibri" w:eastAsia="Calibri" w:hAnsi="Calibri"/>
                <w:sz w:val="20"/>
                <w:szCs w:val="20"/>
                <w:color w:val="auto"/>
              </w:rPr>
              <w:t>Pricing</w:t>
            </w:r>
          </w:p>
        </w:tc>
      </w:tr>
      <w:tr>
        <w:trPr>
          <w:trHeight w:val="33"/>
        </w:trPr>
        <w:tc>
          <w:tcPr>
            <w:tcW w:w="702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0"/>
        </w:trPr>
        <w:tc>
          <w:tcPr>
            <w:tcW w:w="7020" w:type="dxa"/>
            <w:vAlign w:val="bottom"/>
            <w:shd w:val="clear" w:color="auto" w:fill="CFF0FC"/>
          </w:tcPr>
          <w:p>
            <w:pPr>
              <w:spacing w:after="0" w:line="250" w:lineRule="exact"/>
              <w:rPr>
                <w:sz w:val="20"/>
                <w:szCs w:val="20"/>
                <w:color w:val="auto"/>
              </w:rPr>
            </w:pPr>
            <w:r>
              <w:rPr>
                <w:rFonts w:ascii="Calibri" w:cs="Calibri" w:eastAsia="Calibri" w:hAnsi="Calibri"/>
                <w:sz w:val="17"/>
                <w:szCs w:val="17"/>
                <w:b w:val="1"/>
                <w:bCs w:val="1"/>
                <w:color w:val="auto"/>
              </w:rPr>
              <w:t>Volume/Pricing Variance</w:t>
            </w:r>
            <w:r>
              <w:rPr>
                <w:rFonts w:ascii="Calibri" w:cs="Calibri" w:eastAsia="Calibri" w:hAnsi="Calibri"/>
                <w:sz w:val="27"/>
                <w:szCs w:val="27"/>
                <w:color w:val="auto"/>
                <w:vertAlign w:val="superscript"/>
              </w:rPr>
              <w:t>(1)</w:t>
            </w: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r>
      <w:tr>
        <w:trPr>
          <w:trHeight w:val="234"/>
        </w:trPr>
        <w:tc>
          <w:tcPr>
            <w:tcW w:w="8380" w:type="dxa"/>
            <w:vAlign w:val="bottom"/>
            <w:gridSpan w:val="2"/>
          </w:tcPr>
          <w:p>
            <w:pPr>
              <w:ind w:left="260"/>
              <w:spacing w:after="0" w:line="234" w:lineRule="exact"/>
              <w:rPr>
                <w:sz w:val="20"/>
                <w:szCs w:val="20"/>
                <w:color w:val="auto"/>
              </w:rPr>
            </w:pPr>
            <w:r>
              <w:rPr>
                <w:rFonts w:ascii="Calibri" w:cs="Calibri" w:eastAsia="Calibri" w:hAnsi="Calibri"/>
                <w:sz w:val="20"/>
                <w:szCs w:val="20"/>
                <w:color w:val="auto"/>
              </w:rPr>
              <w:t>East Group</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1.1%</w:t>
            </w:r>
          </w:p>
        </w:tc>
        <w:tc>
          <w:tcPr>
            <w:tcW w:w="180" w:type="dxa"/>
            <w:vAlign w:val="bottom"/>
          </w:tcPr>
          <w:p>
            <w:pPr>
              <w:spacing w:after="0"/>
              <w:rPr>
                <w:sz w:val="20"/>
                <w:szCs w:val="20"/>
                <w:color w:val="auto"/>
              </w:rPr>
            </w:pPr>
          </w:p>
        </w:tc>
        <w:tc>
          <w:tcPr>
            <w:tcW w:w="2020" w:type="dxa"/>
            <w:vAlign w:val="bottom"/>
          </w:tcPr>
          <w:p>
            <w:pPr>
              <w:jc w:val="right"/>
              <w:spacing w:after="0" w:line="234" w:lineRule="exact"/>
              <w:rPr>
                <w:sz w:val="20"/>
                <w:szCs w:val="20"/>
                <w:color w:val="auto"/>
              </w:rPr>
            </w:pPr>
            <w:r>
              <w:rPr>
                <w:rFonts w:ascii="Calibri" w:cs="Calibri" w:eastAsia="Calibri" w:hAnsi="Calibri"/>
                <w:sz w:val="20"/>
                <w:szCs w:val="20"/>
                <w:color w:val="auto"/>
              </w:rPr>
              <w:t>5.1%</w:t>
            </w:r>
          </w:p>
        </w:tc>
      </w:tr>
      <w:tr>
        <w:trPr>
          <w:trHeight w:val="22"/>
        </w:trPr>
        <w:tc>
          <w:tcPr>
            <w:tcW w:w="7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6"/>
        </w:trPr>
        <w:tc>
          <w:tcPr>
            <w:tcW w:w="8380" w:type="dxa"/>
            <w:vAlign w:val="bottom"/>
            <w:tcBorders>
              <w:bottom w:val="single" w:sz="8" w:color="CFF0FC"/>
            </w:tcBorders>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West Group</w:t>
            </w:r>
          </w:p>
        </w:tc>
        <w:tc>
          <w:tcPr>
            <w:tcW w:w="6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32.7%</w:t>
            </w:r>
          </w:p>
        </w:tc>
        <w:tc>
          <w:tcPr>
            <w:tcW w:w="180" w:type="dxa"/>
            <w:vAlign w:val="bottom"/>
            <w:tcBorders>
              <w:bottom w:val="single" w:sz="8" w:color="CFF0FC"/>
            </w:tcBorders>
            <w:shd w:val="clear" w:color="auto" w:fill="CFF0FC"/>
          </w:tcPr>
          <w:p>
            <w:pPr>
              <w:spacing w:after="0"/>
              <w:rPr>
                <w:sz w:val="20"/>
                <w:szCs w:val="20"/>
                <w:color w:val="auto"/>
              </w:rPr>
            </w:pPr>
          </w:p>
        </w:tc>
        <w:tc>
          <w:tcPr>
            <w:tcW w:w="20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9.0%</w:t>
            </w:r>
          </w:p>
        </w:tc>
      </w:tr>
      <w:tr>
        <w:trPr>
          <w:trHeight w:val="257"/>
        </w:trPr>
        <w:tc>
          <w:tcPr>
            <w:tcW w:w="8380" w:type="dxa"/>
            <w:vAlign w:val="bottom"/>
            <w:gridSpan w:val="2"/>
          </w:tcPr>
          <w:p>
            <w:pPr>
              <w:spacing w:after="0" w:line="257" w:lineRule="exact"/>
              <w:rPr>
                <w:sz w:val="20"/>
                <w:szCs w:val="20"/>
                <w:color w:val="auto"/>
              </w:rPr>
            </w:pPr>
            <w:r>
              <w:rPr>
                <w:rFonts w:ascii="Calibri" w:cs="Calibri" w:eastAsia="Calibri" w:hAnsi="Calibri"/>
                <w:sz w:val="17"/>
                <w:szCs w:val="17"/>
                <w:color w:val="auto"/>
              </w:rPr>
              <w:t>Total aggregates operatons</w:t>
            </w:r>
            <w:r>
              <w:rPr>
                <w:rFonts w:ascii="Calibri" w:cs="Calibri" w:eastAsia="Calibri" w:hAnsi="Calibri"/>
                <w:sz w:val="28"/>
                <w:szCs w:val="28"/>
                <w:color w:val="auto"/>
                <w:vertAlign w:val="superscript"/>
              </w:rPr>
              <w:t>(2)</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13.4%</w:t>
            </w:r>
          </w:p>
        </w:tc>
        <w:tc>
          <w:tcPr>
            <w:tcW w:w="180" w:type="dxa"/>
            <w:vAlign w:val="bottom"/>
          </w:tcPr>
          <w:p>
            <w:pPr>
              <w:spacing w:after="0"/>
              <w:rPr>
                <w:sz w:val="22"/>
                <w:szCs w:val="22"/>
                <w:color w:val="auto"/>
              </w:rPr>
            </w:pPr>
          </w:p>
        </w:tc>
        <w:tc>
          <w:tcPr>
            <w:tcW w:w="2020" w:type="dxa"/>
            <w:vAlign w:val="bottom"/>
          </w:tcPr>
          <w:p>
            <w:pPr>
              <w:jc w:val="right"/>
              <w:spacing w:after="0" w:line="234" w:lineRule="exact"/>
              <w:rPr>
                <w:sz w:val="20"/>
                <w:szCs w:val="20"/>
                <w:color w:val="auto"/>
              </w:rPr>
            </w:pPr>
            <w:r>
              <w:rPr>
                <w:rFonts w:ascii="Calibri" w:cs="Calibri" w:eastAsia="Calibri" w:hAnsi="Calibri"/>
                <w:sz w:val="20"/>
                <w:szCs w:val="20"/>
                <w:color w:val="auto"/>
              </w:rPr>
              <w:t>5.6%</w:t>
            </w:r>
          </w:p>
        </w:tc>
      </w:tr>
      <w:tr>
        <w:trPr>
          <w:trHeight w:val="256"/>
        </w:trPr>
        <w:tc>
          <w:tcPr>
            <w:tcW w:w="8380" w:type="dxa"/>
            <w:vAlign w:val="bottom"/>
            <w:gridSpan w:val="2"/>
            <w:shd w:val="clear" w:color="auto" w:fill="CFF0FC"/>
          </w:tcPr>
          <w:p>
            <w:pPr>
              <w:spacing w:after="0" w:line="257" w:lineRule="exact"/>
              <w:rPr>
                <w:sz w:val="20"/>
                <w:szCs w:val="20"/>
                <w:color w:val="auto"/>
              </w:rPr>
            </w:pPr>
            <w:r>
              <w:rPr>
                <w:rFonts w:ascii="Calibri" w:cs="Calibri" w:eastAsia="Calibri" w:hAnsi="Calibri"/>
                <w:sz w:val="17"/>
                <w:szCs w:val="17"/>
                <w:color w:val="auto"/>
              </w:rPr>
              <w:t>Organic aggregates operatons</w:t>
            </w:r>
            <w:r>
              <w:rPr>
                <w:rFonts w:ascii="Calibri" w:cs="Calibri" w:eastAsia="Calibri" w:hAnsi="Calibri"/>
                <w:sz w:val="28"/>
                <w:szCs w:val="28"/>
                <w:color w:val="auto"/>
                <w:vertAlign w:val="superscript"/>
              </w:rPr>
              <w:t>(3)</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w:t>
            </w:r>
          </w:p>
        </w:tc>
        <w:tc>
          <w:tcPr>
            <w:tcW w:w="180" w:type="dxa"/>
            <w:vAlign w:val="bottom"/>
            <w:shd w:val="clear" w:color="auto" w:fill="CFF0FC"/>
          </w:tcPr>
          <w:p>
            <w:pPr>
              <w:spacing w:after="0"/>
              <w:rPr>
                <w:sz w:val="22"/>
                <w:szCs w:val="22"/>
                <w:color w:val="auto"/>
              </w:rPr>
            </w:pPr>
          </w:p>
        </w:tc>
        <w:tc>
          <w:tcPr>
            <w:tcW w:w="202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w:t>
            </w:r>
          </w:p>
        </w:tc>
      </w:tr>
    </w:tbl>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9" w:name="page30"/>
    <w:bookmarkEnd w:id="29"/>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377" w:lineRule="exact"/>
        <w:rPr>
          <w:sz w:val="20"/>
          <w:szCs w:val="20"/>
          <w:color w:val="auto"/>
        </w:rPr>
      </w:pPr>
    </w:p>
    <w:p>
      <w:pPr>
        <w:jc w:val="center"/>
        <w:ind w:left="6960"/>
        <w:spacing w:after="0"/>
        <w:rPr>
          <w:sz w:val="20"/>
          <w:szCs w:val="20"/>
          <w:color w:val="auto"/>
        </w:rPr>
      </w:pPr>
      <w:r>
        <w:rPr>
          <w:rFonts w:ascii="Calibri" w:cs="Calibri" w:eastAsia="Calibri" w:hAnsi="Calibri"/>
          <w:sz w:val="20"/>
          <w:szCs w:val="20"/>
          <w:color w:val="auto"/>
        </w:rPr>
        <w:t>Three Months Ended</w:t>
      </w:r>
    </w:p>
    <w:p>
      <w:pPr>
        <w:spacing w:after="0" w:line="12" w:lineRule="exact"/>
        <w:rPr>
          <w:sz w:val="20"/>
          <w:szCs w:val="20"/>
          <w:color w:val="auto"/>
        </w:rPr>
      </w:pPr>
    </w:p>
    <w:p>
      <w:pPr>
        <w:jc w:val="center"/>
        <w:ind w:left="6960"/>
        <w:spacing w:after="0"/>
        <w:rPr>
          <w:sz w:val="20"/>
          <w:szCs w:val="20"/>
          <w:color w:val="auto"/>
        </w:rPr>
      </w:pPr>
      <w:r>
        <w:rPr>
          <w:rFonts w:ascii="Calibri" w:cs="Calibri" w:eastAsia="Calibri" w:hAnsi="Calibri"/>
          <w:sz w:val="20"/>
          <w:szCs w:val="20"/>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20955</wp:posOffset>
            </wp:positionV>
            <wp:extent cx="25457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320" w:type="dxa"/>
            <w:vAlign w:val="bottom"/>
            <w:gridSpan w:val="2"/>
          </w:tcPr>
          <w:p>
            <w:pPr>
              <w:ind w:left="7820"/>
              <w:spacing w:after="0"/>
              <w:rPr>
                <w:sz w:val="20"/>
                <w:szCs w:val="20"/>
                <w:color w:val="auto"/>
              </w:rPr>
            </w:pPr>
            <w:r>
              <w:rPr>
                <w:rFonts w:ascii="Calibri" w:cs="Calibri" w:eastAsia="Calibri" w:hAnsi="Calibri"/>
                <w:sz w:val="20"/>
                <w:szCs w:val="20"/>
                <w:color w:val="auto"/>
              </w:rPr>
              <w:t>2022</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jc w:val="right"/>
              <w:ind w:right="641"/>
              <w:spacing w:after="0"/>
              <w:rPr>
                <w:sz w:val="20"/>
                <w:szCs w:val="20"/>
                <w:color w:val="auto"/>
              </w:rPr>
            </w:pPr>
            <w:r>
              <w:rPr>
                <w:rFonts w:ascii="Calibri" w:cs="Calibri" w:eastAsia="Calibri" w:hAnsi="Calibri"/>
                <w:sz w:val="20"/>
                <w:szCs w:val="20"/>
                <w:color w:val="auto"/>
              </w:rPr>
              <w:t>2021</w:t>
            </w:r>
          </w:p>
        </w:tc>
        <w:tc>
          <w:tcPr>
            <w:tcW w:w="120" w:type="dxa"/>
            <w:vAlign w:val="bottom"/>
          </w:tcPr>
          <w:p>
            <w:pPr>
              <w:spacing w:after="0"/>
              <w:rPr>
                <w:sz w:val="21"/>
                <w:szCs w:val="21"/>
                <w:color w:val="auto"/>
              </w:rPr>
            </w:pPr>
          </w:p>
        </w:tc>
      </w:tr>
      <w:tr>
        <w:trPr>
          <w:trHeight w:val="33"/>
        </w:trPr>
        <w:tc>
          <w:tcPr>
            <w:tcW w:w="7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7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60" w:type="dxa"/>
            <w:vAlign w:val="bottom"/>
            <w:gridSpan w:val="3"/>
          </w:tcPr>
          <w:p>
            <w:pPr>
              <w:ind w:left="100"/>
              <w:spacing w:after="0" w:line="228" w:lineRule="exact"/>
              <w:rPr>
                <w:sz w:val="20"/>
                <w:szCs w:val="20"/>
                <w:color w:val="auto"/>
              </w:rPr>
            </w:pPr>
            <w:r>
              <w:rPr>
                <w:rFonts w:ascii="Calibri" w:cs="Calibri" w:eastAsia="Calibri" w:hAnsi="Calibri"/>
                <w:sz w:val="20"/>
                <w:szCs w:val="20"/>
                <w:i w:val="1"/>
                <w:iCs w:val="1"/>
                <w:color w:val="auto"/>
              </w:rPr>
              <w:t>(Tons in Millions)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7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320" w:type="dxa"/>
            <w:vAlign w:val="bottom"/>
            <w:tcBorders>
              <w:bottom w:val="single" w:sz="8" w:color="CDF0FC"/>
            </w:tcBorders>
            <w:gridSpan w:val="2"/>
            <w:shd w:val="clear" w:color="auto" w:fill="CDF0FC"/>
          </w:tcPr>
          <w:p>
            <w:pPr>
              <w:spacing w:after="0" w:line="234" w:lineRule="exact"/>
              <w:rPr>
                <w:sz w:val="20"/>
                <w:szCs w:val="20"/>
                <w:color w:val="auto"/>
              </w:rPr>
            </w:pPr>
            <w:r>
              <w:rPr>
                <w:rFonts w:ascii="Calibri" w:cs="Calibri" w:eastAsia="Calibri" w:hAnsi="Calibri"/>
                <w:sz w:val="20"/>
                <w:szCs w:val="20"/>
                <w:b w:val="1"/>
                <w:bCs w:val="1"/>
                <w:color w:val="auto"/>
              </w:rPr>
              <w:t>Shipments</w:t>
            </w:r>
          </w:p>
        </w:tc>
        <w:tc>
          <w:tcPr>
            <w:tcW w:w="640" w:type="dxa"/>
            <w:vAlign w:val="bottom"/>
            <w:tcBorders>
              <w:bottom w:val="single" w:sz="8" w:color="CDF0FC"/>
            </w:tcBorders>
            <w:shd w:val="clear" w:color="auto" w:fill="CDF0FC"/>
          </w:tcPr>
          <w:p>
            <w:pPr>
              <w:spacing w:after="0"/>
              <w:rPr>
                <w:sz w:val="20"/>
                <w:szCs w:val="20"/>
                <w:color w:val="auto"/>
              </w:rPr>
            </w:pPr>
          </w:p>
        </w:tc>
        <w:tc>
          <w:tcPr>
            <w:tcW w:w="300" w:type="dxa"/>
            <w:vAlign w:val="bottom"/>
            <w:tcBorders>
              <w:bottom w:val="single" w:sz="8" w:color="CDF0FC"/>
            </w:tcBorders>
            <w:shd w:val="clear" w:color="auto" w:fill="CDF0FC"/>
          </w:tcPr>
          <w:p>
            <w:pPr>
              <w:spacing w:after="0"/>
              <w:rPr>
                <w:sz w:val="20"/>
                <w:szCs w:val="20"/>
                <w:color w:val="auto"/>
              </w:rPr>
            </w:pPr>
          </w:p>
        </w:tc>
        <w:tc>
          <w:tcPr>
            <w:tcW w:w="620" w:type="dxa"/>
            <w:vAlign w:val="bottom"/>
            <w:tcBorders>
              <w:bottom w:val="single" w:sz="8" w:color="CDF0FC"/>
            </w:tcBorders>
            <w:shd w:val="clear" w:color="auto" w:fill="CDF0FC"/>
          </w:tcPr>
          <w:p>
            <w:pPr>
              <w:spacing w:after="0"/>
              <w:rPr>
                <w:sz w:val="20"/>
                <w:szCs w:val="20"/>
                <w:color w:val="auto"/>
              </w:rPr>
            </w:pPr>
          </w:p>
        </w:tc>
        <w:tc>
          <w:tcPr>
            <w:tcW w:w="1240" w:type="dxa"/>
            <w:vAlign w:val="bottom"/>
            <w:tcBorders>
              <w:bottom w:val="single" w:sz="8" w:color="CDF0FC"/>
            </w:tcBorders>
            <w:shd w:val="clear" w:color="auto" w:fill="CDF0FC"/>
          </w:tcPr>
          <w:p>
            <w:pPr>
              <w:spacing w:after="0"/>
              <w:rPr>
                <w:sz w:val="20"/>
                <w:szCs w:val="20"/>
                <w:color w:val="auto"/>
              </w:rPr>
            </w:pPr>
          </w:p>
        </w:tc>
        <w:tc>
          <w:tcPr>
            <w:tcW w:w="120" w:type="dxa"/>
            <w:vAlign w:val="bottom"/>
            <w:tcBorders>
              <w:bottom w:val="single" w:sz="8" w:color="CDF0FC"/>
            </w:tcBorders>
            <w:shd w:val="clear" w:color="auto" w:fill="CDF0FC"/>
          </w:tcPr>
          <w:p>
            <w:pPr>
              <w:spacing w:after="0"/>
              <w:rPr>
                <w:sz w:val="20"/>
                <w:szCs w:val="20"/>
                <w:color w:val="auto"/>
              </w:rPr>
            </w:pPr>
          </w:p>
        </w:tc>
      </w:tr>
      <w:tr>
        <w:trPr>
          <w:trHeight w:val="234"/>
        </w:trPr>
        <w:tc>
          <w:tcPr>
            <w:tcW w:w="8320" w:type="dxa"/>
            <w:vAlign w:val="bottom"/>
            <w:gridSpan w:val="2"/>
          </w:tcPr>
          <w:p>
            <w:pPr>
              <w:ind w:left="260"/>
              <w:spacing w:after="0" w:line="234" w:lineRule="exact"/>
              <w:rPr>
                <w:sz w:val="20"/>
                <w:szCs w:val="20"/>
                <w:color w:val="auto"/>
              </w:rPr>
            </w:pPr>
            <w:r>
              <w:rPr>
                <w:rFonts w:ascii="Calibri" w:cs="Calibri" w:eastAsia="Calibri" w:hAnsi="Calibri"/>
                <w:sz w:val="20"/>
                <w:szCs w:val="20"/>
                <w:color w:val="auto"/>
              </w:rPr>
              <w:t>East Group</w:t>
            </w:r>
          </w:p>
        </w:tc>
        <w:tc>
          <w:tcPr>
            <w:tcW w:w="640" w:type="dxa"/>
            <w:vAlign w:val="bottom"/>
          </w:tcPr>
          <w:p>
            <w:pPr>
              <w:jc w:val="right"/>
              <w:spacing w:after="0" w:line="234" w:lineRule="exact"/>
              <w:rPr>
                <w:sz w:val="20"/>
                <w:szCs w:val="20"/>
                <w:color w:val="auto"/>
              </w:rPr>
            </w:pPr>
            <w:r>
              <w:rPr>
                <w:rFonts w:ascii="Calibri" w:cs="Calibri" w:eastAsia="Calibri" w:hAnsi="Calibri"/>
                <w:sz w:val="20"/>
                <w:szCs w:val="20"/>
                <w:color w:val="auto"/>
              </w:rPr>
              <w:t>23.0</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spacing w:after="0" w:line="234" w:lineRule="exact"/>
              <w:rPr>
                <w:sz w:val="20"/>
                <w:szCs w:val="20"/>
                <w:color w:val="auto"/>
              </w:rPr>
            </w:pPr>
            <w:r>
              <w:rPr>
                <w:rFonts w:ascii="Calibri" w:cs="Calibri" w:eastAsia="Calibri" w:hAnsi="Calibri"/>
                <w:sz w:val="20"/>
                <w:szCs w:val="20"/>
                <w:color w:val="auto"/>
              </w:rPr>
              <w:t>22.7</w:t>
            </w:r>
          </w:p>
        </w:tc>
        <w:tc>
          <w:tcPr>
            <w:tcW w:w="120" w:type="dxa"/>
            <w:vAlign w:val="bottom"/>
          </w:tcPr>
          <w:p>
            <w:pPr>
              <w:spacing w:after="0"/>
              <w:rPr>
                <w:sz w:val="20"/>
                <w:szCs w:val="20"/>
                <w:color w:val="auto"/>
              </w:rPr>
            </w:pPr>
          </w:p>
        </w:tc>
      </w:tr>
      <w:tr>
        <w:trPr>
          <w:trHeight w:val="22"/>
        </w:trPr>
        <w:tc>
          <w:tcPr>
            <w:tcW w:w="7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8320" w:type="dxa"/>
            <w:vAlign w:val="bottom"/>
            <w:tcBorders>
              <w:bottom w:val="single" w:sz="8" w:color="CFF0FC"/>
            </w:tcBorders>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West Group</w:t>
            </w:r>
          </w:p>
        </w:tc>
        <w:tc>
          <w:tcPr>
            <w:tcW w:w="6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19.1</w:t>
            </w:r>
          </w:p>
        </w:tc>
        <w:tc>
          <w:tcPr>
            <w:tcW w:w="3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14.4</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7100" w:type="dxa"/>
            <w:vAlign w:val="bottom"/>
          </w:tcPr>
          <w:p>
            <w:pPr>
              <w:spacing w:after="0" w:line="250" w:lineRule="exact"/>
              <w:rPr>
                <w:sz w:val="20"/>
                <w:szCs w:val="20"/>
                <w:color w:val="auto"/>
              </w:rPr>
            </w:pPr>
            <w:r>
              <w:rPr>
                <w:rFonts w:ascii="Calibri" w:cs="Calibri" w:eastAsia="Calibri" w:hAnsi="Calibri"/>
                <w:sz w:val="17"/>
                <w:szCs w:val="17"/>
                <w:color w:val="auto"/>
              </w:rPr>
              <w:t>Total aggregates operatons</w:t>
            </w:r>
            <w:r>
              <w:rPr>
                <w:rFonts w:ascii="Calibri" w:cs="Calibri" w:eastAsia="Calibri" w:hAnsi="Calibri"/>
                <w:sz w:val="27"/>
                <w:szCs w:val="27"/>
                <w:color w:val="auto"/>
                <w:vertAlign w:val="superscript"/>
              </w:rPr>
              <w:t>(2)</w:t>
            </w:r>
          </w:p>
        </w:tc>
        <w:tc>
          <w:tcPr>
            <w:tcW w:w="12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42.1</w:t>
            </w:r>
          </w:p>
        </w:tc>
        <w:tc>
          <w:tcPr>
            <w:tcW w:w="300" w:type="dxa"/>
            <w:vAlign w:val="bottom"/>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37.1</w:t>
            </w:r>
          </w:p>
        </w:tc>
        <w:tc>
          <w:tcPr>
            <w:tcW w:w="120" w:type="dxa"/>
            <w:vAlign w:val="bottom"/>
          </w:tcPr>
          <w:p>
            <w:pPr>
              <w:spacing w:after="0"/>
              <w:rPr>
                <w:sz w:val="21"/>
                <w:szCs w:val="21"/>
                <w:color w:val="auto"/>
              </w:rPr>
            </w:pPr>
          </w:p>
        </w:tc>
      </w:tr>
      <w:tr>
        <w:trPr>
          <w:trHeight w:val="20"/>
        </w:trPr>
        <w:tc>
          <w:tcPr>
            <w:tcW w:w="7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220" w:hanging="212"/>
        <w:spacing w:after="0" w:line="211" w:lineRule="auto"/>
        <w:tabs>
          <w:tab w:leader="none" w:pos="220" w:val="left"/>
        </w:tabs>
        <w:numPr>
          <w:ilvl w:val="0"/>
          <w:numId w:val="15"/>
        </w:numPr>
        <w:rPr>
          <w:rFonts w:ascii="Calibri" w:cs="Calibri" w:eastAsia="Calibri" w:hAnsi="Calibri"/>
          <w:sz w:val="28"/>
          <w:szCs w:val="28"/>
          <w:i w:val="1"/>
          <w:iCs w:val="1"/>
          <w:color w:val="auto"/>
          <w:vertAlign w:val="superscript"/>
        </w:rPr>
      </w:pPr>
      <w:r>
        <w:rPr>
          <w:rFonts w:ascii="Calibri" w:cs="Calibri" w:eastAsia="Calibri" w:hAnsi="Calibri"/>
          <w:sz w:val="17"/>
          <w:szCs w:val="17"/>
          <w:i w:val="1"/>
          <w:iCs w:val="1"/>
          <w:color w:val="auto"/>
        </w:rPr>
        <w:t>Volume/pricing variances refect the percentage increase from the comparable period in the prior year.</w:t>
      </w:r>
    </w:p>
    <w:p>
      <w:pPr>
        <w:spacing w:after="0" w:line="37" w:lineRule="exact"/>
        <w:rPr>
          <w:rFonts w:ascii="Calibri" w:cs="Calibri" w:eastAsia="Calibri" w:hAnsi="Calibri"/>
          <w:sz w:val="28"/>
          <w:szCs w:val="28"/>
          <w:i w:val="1"/>
          <w:iCs w:val="1"/>
          <w:color w:val="auto"/>
          <w:vertAlign w:val="superscript"/>
        </w:rPr>
      </w:pPr>
    </w:p>
    <w:p>
      <w:pPr>
        <w:ind w:left="220" w:hanging="212"/>
        <w:spacing w:after="0" w:line="185" w:lineRule="auto"/>
        <w:tabs>
          <w:tab w:leader="none" w:pos="220" w:val="left"/>
        </w:tabs>
        <w:numPr>
          <w:ilvl w:val="0"/>
          <w:numId w:val="15"/>
        </w:numPr>
        <w:rPr>
          <w:rFonts w:ascii="Calibri" w:cs="Calibri" w:eastAsia="Calibri" w:hAnsi="Calibri"/>
          <w:sz w:val="19"/>
          <w:szCs w:val="19"/>
          <w:i w:val="1"/>
          <w:iCs w:val="1"/>
          <w:color w:val="auto"/>
          <w:vertAlign w:val="superscript"/>
        </w:rPr>
      </w:pPr>
      <w:r>
        <w:rPr>
          <w:rFonts w:ascii="Calibri" w:cs="Calibri" w:eastAsia="Calibri" w:hAnsi="Calibri"/>
          <w:sz w:val="13"/>
          <w:szCs w:val="13"/>
          <w:i w:val="1"/>
          <w:iCs w:val="1"/>
          <w:color w:val="auto"/>
        </w:rPr>
        <w:t>Total aggregates operatons include acquisitons from the date of acquisiton and divesttures through the date of disposal.</w:t>
      </w:r>
    </w:p>
    <w:p>
      <w:pPr>
        <w:spacing w:after="0" w:line="37" w:lineRule="exact"/>
        <w:rPr>
          <w:rFonts w:ascii="Calibri" w:cs="Calibri" w:eastAsia="Calibri" w:hAnsi="Calibri"/>
          <w:sz w:val="19"/>
          <w:szCs w:val="19"/>
          <w:i w:val="1"/>
          <w:iCs w:val="1"/>
          <w:color w:val="auto"/>
          <w:vertAlign w:val="superscript"/>
        </w:rPr>
      </w:pPr>
    </w:p>
    <w:p>
      <w:pPr>
        <w:ind w:firstLine="8"/>
        <w:spacing w:after="0" w:line="184" w:lineRule="auto"/>
        <w:tabs>
          <w:tab w:leader="none" w:pos="221" w:val="left"/>
        </w:tabs>
        <w:numPr>
          <w:ilvl w:val="0"/>
          <w:numId w:val="15"/>
        </w:numPr>
        <w:rPr>
          <w:rFonts w:ascii="Calibri" w:cs="Calibri" w:eastAsia="Calibri" w:hAnsi="Calibri"/>
          <w:sz w:val="26"/>
          <w:szCs w:val="26"/>
          <w:i w:val="1"/>
          <w:iCs w:val="1"/>
          <w:color w:val="auto"/>
          <w:vertAlign w:val="superscript"/>
        </w:rPr>
      </w:pPr>
      <w:r>
        <w:rPr>
          <w:rFonts w:ascii="Calibri" w:cs="Calibri" w:eastAsia="Calibri" w:hAnsi="Calibri"/>
          <w:sz w:val="16"/>
          <w:szCs w:val="16"/>
          <w:i w:val="1"/>
          <w:iCs w:val="1"/>
          <w:color w:val="auto"/>
        </w:rPr>
        <w:t>Organic aggregates operatons exclude volume and pricing data for acquisitons that have not been included in prior-year operatons for the comparable period and divesttures.</w:t>
      </w:r>
    </w:p>
    <w:p>
      <w:pPr>
        <w:spacing w:after="0" w:line="99"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presents shipments data by product line for the Building Materials business: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gridSpan w:val="6"/>
          </w:tcPr>
          <w:p>
            <w:pPr>
              <w:jc w:val="center"/>
              <w:ind w:right="20"/>
              <w:spacing w:after="0"/>
              <w:rPr>
                <w:sz w:val="20"/>
                <w:szCs w:val="20"/>
                <w:color w:val="auto"/>
              </w:rPr>
            </w:pPr>
            <w:r>
              <w:rPr>
                <w:rFonts w:ascii="Calibri" w:cs="Calibri" w:eastAsia="Calibri" w:hAnsi="Calibri"/>
                <w:sz w:val="20"/>
                <w:szCs w:val="20"/>
                <w:color w:val="auto"/>
              </w:rPr>
              <w:t>Three Months Ended</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5"/>
          </w:tcPr>
          <w:p>
            <w:pPr>
              <w:jc w:val="center"/>
              <w:ind w:right="280"/>
              <w:spacing w:after="0"/>
              <w:rPr>
                <w:sz w:val="20"/>
                <w:szCs w:val="20"/>
                <w:color w:val="auto"/>
              </w:rPr>
            </w:pPr>
            <w:r>
              <w:rPr>
                <w:rFonts w:ascii="Calibri" w:cs="Calibri" w:eastAsia="Calibri" w:hAnsi="Calibri"/>
                <w:sz w:val="20"/>
                <w:szCs w:val="20"/>
                <w:color w:val="auto"/>
              </w:rPr>
              <w:t>March 31,</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Calibri" w:cs="Calibri" w:eastAsia="Calibri" w:hAnsi="Calibri"/>
                <w:sz w:val="20"/>
                <w:szCs w:val="20"/>
                <w:color w:val="auto"/>
                <w:w w:val="98"/>
              </w:rPr>
              <w:t>2022</w:t>
            </w:r>
          </w:p>
        </w:tc>
        <w:tc>
          <w:tcPr>
            <w:tcW w:w="1400" w:type="dxa"/>
            <w:vAlign w:val="bottom"/>
            <w:gridSpan w:val="3"/>
          </w:tcPr>
          <w:p>
            <w:pPr>
              <w:jc w:val="right"/>
              <w:spacing w:after="0"/>
              <w:rPr>
                <w:sz w:val="20"/>
                <w:szCs w:val="20"/>
                <w:color w:val="auto"/>
              </w:rPr>
            </w:pPr>
            <w:r>
              <w:rPr>
                <w:rFonts w:ascii="Calibri" w:cs="Calibri" w:eastAsia="Calibri" w:hAnsi="Calibri"/>
                <w:sz w:val="20"/>
                <w:szCs w:val="20"/>
                <w:color w:val="auto"/>
              </w:rPr>
              <w:t>2021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Calibri" w:cs="Calibri" w:eastAsia="Calibri" w:hAnsi="Calibri"/>
                <w:sz w:val="20"/>
                <w:szCs w:val="20"/>
                <w:color w:val="auto"/>
              </w:rPr>
              <w:t>% Change</w:t>
            </w:r>
          </w:p>
        </w:tc>
        <w:tc>
          <w:tcPr>
            <w:tcW w:w="0" w:type="dxa"/>
            <w:vAlign w:val="bottom"/>
          </w:tcPr>
          <w:p>
            <w:pPr>
              <w:spacing w:after="0"/>
              <w:rPr>
                <w:sz w:val="1"/>
                <w:szCs w:val="1"/>
                <w:color w:val="auto"/>
              </w:rPr>
            </w:pPr>
          </w:p>
        </w:tc>
      </w:tr>
      <w:tr>
        <w:trPr>
          <w:trHeight w:val="33"/>
        </w:trPr>
        <w:tc>
          <w:tcPr>
            <w:tcW w:w="4840" w:type="dxa"/>
            <w:vAlign w:val="bottom"/>
            <w:vMerge w:val="restart"/>
          </w:tcPr>
          <w:p>
            <w:pPr>
              <w:spacing w:after="0"/>
              <w:rPr>
                <w:sz w:val="20"/>
                <w:szCs w:val="20"/>
                <w:color w:val="auto"/>
              </w:rPr>
            </w:pPr>
            <w:r>
              <w:rPr>
                <w:rFonts w:ascii="Calibri" w:cs="Calibri" w:eastAsia="Calibri" w:hAnsi="Calibri"/>
                <w:sz w:val="20"/>
                <w:szCs w:val="20"/>
                <w:b w:val="1"/>
                <w:bCs w:val="1"/>
                <w:color w:val="auto"/>
              </w:rPr>
              <w:t>Shipments</w:t>
            </w: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Aggregates (in millions):</w:t>
            </w:r>
          </w:p>
        </w:tc>
        <w:tc>
          <w:tcPr>
            <w:tcW w:w="8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380"/>
              <w:spacing w:after="0" w:line="234" w:lineRule="exact"/>
              <w:rPr>
                <w:sz w:val="20"/>
                <w:szCs w:val="20"/>
                <w:color w:val="auto"/>
              </w:rPr>
            </w:pPr>
            <w:r>
              <w:rPr>
                <w:rFonts w:ascii="Calibri" w:cs="Calibri" w:eastAsia="Calibri" w:hAnsi="Calibri"/>
                <w:sz w:val="20"/>
                <w:szCs w:val="20"/>
                <w:color w:val="auto"/>
              </w:rPr>
              <w:t>Tons to external customers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w w:val="95"/>
              </w:rPr>
              <w:t>38.6</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2"/>
          </w:tcPr>
          <w:p>
            <w:pPr>
              <w:jc w:val="right"/>
              <w:ind w:right="20"/>
              <w:spacing w:after="0" w:line="234" w:lineRule="exact"/>
              <w:rPr>
                <w:sz w:val="20"/>
                <w:szCs w:val="20"/>
                <w:color w:val="auto"/>
              </w:rPr>
            </w:pPr>
            <w:r>
              <w:rPr>
                <w:rFonts w:ascii="Calibri" w:cs="Calibri" w:eastAsia="Calibri" w:hAnsi="Calibri"/>
                <w:sz w:val="20"/>
                <w:szCs w:val="20"/>
                <w:color w:val="auto"/>
                <w:w w:val="95"/>
              </w:rPr>
              <w:t>34.5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840" w:type="dxa"/>
            <w:vAlign w:val="bottom"/>
            <w:tcBorders>
              <w:bottom w:val="single" w:sz="8" w:color="CFF0FC"/>
            </w:tcBorders>
            <w:shd w:val="clear" w:color="auto" w:fill="CFF0FC"/>
          </w:tcPr>
          <w:p>
            <w:pPr>
              <w:ind w:left="380"/>
              <w:spacing w:after="0" w:line="234" w:lineRule="exact"/>
              <w:rPr>
                <w:sz w:val="20"/>
                <w:szCs w:val="20"/>
                <w:color w:val="auto"/>
              </w:rPr>
            </w:pPr>
            <w:r>
              <w:rPr>
                <w:rFonts w:ascii="Calibri" w:cs="Calibri" w:eastAsia="Calibri" w:hAnsi="Calibri"/>
                <w:sz w:val="20"/>
                <w:szCs w:val="20"/>
                <w:color w:val="auto"/>
              </w:rPr>
              <w:t>Internal tons used in other product lines</w:t>
            </w:r>
          </w:p>
        </w:tc>
        <w:tc>
          <w:tcPr>
            <w:tcW w:w="8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3.5</w:t>
            </w:r>
          </w:p>
        </w:tc>
        <w:tc>
          <w:tcPr>
            <w:tcW w:w="2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gridSpan w:val="2"/>
            <w:shd w:val="clear" w:color="auto" w:fill="CFF0FC"/>
          </w:tcPr>
          <w:p>
            <w:pPr>
              <w:jc w:val="right"/>
              <w:ind w:right="20"/>
              <w:spacing w:after="0" w:line="234" w:lineRule="exact"/>
              <w:rPr>
                <w:sz w:val="20"/>
                <w:szCs w:val="20"/>
                <w:color w:val="auto"/>
              </w:rPr>
            </w:pPr>
            <w:r>
              <w:rPr>
                <w:rFonts w:ascii="Calibri" w:cs="Calibri" w:eastAsia="Calibri" w:hAnsi="Calibri"/>
                <w:sz w:val="20"/>
                <w:szCs w:val="20"/>
                <w:color w:val="auto"/>
              </w:rPr>
              <w:t>2.6</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140"/>
              <w:spacing w:after="0" w:line="217" w:lineRule="exact"/>
              <w:rPr>
                <w:sz w:val="20"/>
                <w:szCs w:val="20"/>
                <w:color w:val="auto"/>
              </w:rPr>
            </w:pPr>
            <w:r>
              <w:rPr>
                <w:rFonts w:ascii="Calibri" w:cs="Calibri" w:eastAsia="Calibri" w:hAnsi="Calibri"/>
                <w:sz w:val="20"/>
                <w:szCs w:val="20"/>
                <w:color w:val="auto"/>
              </w:rPr>
              <w:t>Total aggregates tons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5"/>
              </w:rPr>
              <w:t>42.1</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gridSpan w:val="2"/>
          </w:tcPr>
          <w:p>
            <w:pPr>
              <w:jc w:val="right"/>
              <w:ind w:right="20"/>
              <w:spacing w:after="0" w:line="228" w:lineRule="exact"/>
              <w:rPr>
                <w:sz w:val="20"/>
                <w:szCs w:val="20"/>
                <w:color w:val="auto"/>
              </w:rPr>
            </w:pPr>
            <w:r>
              <w:rPr>
                <w:rFonts w:ascii="Calibri" w:cs="Calibri" w:eastAsia="Calibri" w:hAnsi="Calibri"/>
                <w:sz w:val="20"/>
                <w:szCs w:val="20"/>
                <w:color w:val="auto"/>
                <w:w w:val="95"/>
              </w:rPr>
              <w:t>37.1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40"/>
              <w:spacing w:after="0" w:line="217" w:lineRule="exact"/>
              <w:rPr>
                <w:sz w:val="20"/>
                <w:szCs w:val="20"/>
                <w:color w:val="auto"/>
              </w:rPr>
            </w:pPr>
            <w:r>
              <w:rPr>
                <w:rFonts w:ascii="Calibri" w:cs="Calibri" w:eastAsia="Calibri" w:hAnsi="Calibri"/>
                <w:sz w:val="20"/>
                <w:szCs w:val="20"/>
                <w:color w:val="auto"/>
              </w:rPr>
              <w:t>13.4%</w:t>
            </w:r>
          </w:p>
        </w:tc>
        <w:tc>
          <w:tcPr>
            <w:tcW w:w="0" w:type="dxa"/>
            <w:vAlign w:val="bottom"/>
          </w:tcPr>
          <w:p>
            <w:pPr>
              <w:spacing w:after="0"/>
              <w:rPr>
                <w:sz w:val="1"/>
                <w:szCs w:val="1"/>
                <w:color w:val="auto"/>
              </w:rPr>
            </w:pPr>
          </w:p>
        </w:tc>
      </w:tr>
      <w:tr>
        <w:trPr>
          <w:trHeight w:val="62"/>
        </w:trPr>
        <w:tc>
          <w:tcPr>
            <w:tcW w:w="4840" w:type="dxa"/>
            <w:vAlign w:val="bottom"/>
            <w:tcBorders>
              <w:bottom w:val="single" w:sz="8" w:color="CFF0FC"/>
            </w:tcBorders>
          </w:tcPr>
          <w:p>
            <w:pPr>
              <w:spacing w:after="0"/>
              <w:rPr>
                <w:sz w:val="5"/>
                <w:szCs w:val="5"/>
                <w:color w:val="auto"/>
              </w:rPr>
            </w:pPr>
          </w:p>
        </w:tc>
        <w:tc>
          <w:tcPr>
            <w:tcW w:w="820" w:type="dxa"/>
            <w:vAlign w:val="bottom"/>
            <w:tcBorders>
              <w:bottom w:val="single" w:sz="8" w:color="CFF0FC"/>
            </w:tcBorders>
          </w:tcPr>
          <w:p>
            <w:pPr>
              <w:spacing w:after="0"/>
              <w:rPr>
                <w:sz w:val="5"/>
                <w:szCs w:val="5"/>
                <w:color w:val="auto"/>
              </w:rPr>
            </w:pPr>
          </w:p>
        </w:tc>
        <w:tc>
          <w:tcPr>
            <w:tcW w:w="380" w:type="dxa"/>
            <w:vAlign w:val="bottom"/>
            <w:tcBorders>
              <w:bottom w:val="single" w:sz="8" w:color="CFF0FC"/>
            </w:tcBorders>
          </w:tcPr>
          <w:p>
            <w:pPr>
              <w:spacing w:after="0"/>
              <w:rPr>
                <w:sz w:val="5"/>
                <w:szCs w:val="5"/>
                <w:color w:val="auto"/>
              </w:rPr>
            </w:pPr>
          </w:p>
        </w:tc>
        <w:tc>
          <w:tcPr>
            <w:tcW w:w="980" w:type="dxa"/>
            <w:vAlign w:val="bottom"/>
            <w:tcBorders>
              <w:bottom w:val="single" w:sz="8" w:color="CFF0FC"/>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CFF0FC"/>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1140" w:type="dxa"/>
            <w:vAlign w:val="bottom"/>
            <w:tcBorders>
              <w:bottom w:val="single" w:sz="8" w:color="CFF0FC"/>
            </w:tcBorders>
          </w:tcPr>
          <w:p>
            <w:pPr>
              <w:spacing w:after="0"/>
              <w:rPr>
                <w:sz w:val="5"/>
                <w:szCs w:val="5"/>
                <w:color w:val="auto"/>
              </w:rPr>
            </w:pPr>
          </w:p>
        </w:tc>
        <w:tc>
          <w:tcPr>
            <w:tcW w:w="20" w:type="dxa"/>
            <w:vAlign w:val="bottom"/>
            <w:tcBorders>
              <w:bottom w:val="single" w:sz="8" w:color="CFF0FC"/>
            </w:tcBorders>
          </w:tcPr>
          <w:p>
            <w:pPr>
              <w:spacing w:after="0"/>
              <w:rPr>
                <w:sz w:val="5"/>
                <w:szCs w:val="5"/>
                <w:color w:val="auto"/>
              </w:rPr>
            </w:pPr>
          </w:p>
        </w:tc>
        <w:tc>
          <w:tcPr>
            <w:tcW w:w="16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line="234" w:lineRule="exact"/>
              <w:rPr>
                <w:sz w:val="20"/>
                <w:szCs w:val="20"/>
                <w:color w:val="auto"/>
              </w:rPr>
            </w:pPr>
            <w:r>
              <w:rPr>
                <w:rFonts w:ascii="Calibri" w:cs="Calibri" w:eastAsia="Calibri" w:hAnsi="Calibri"/>
                <w:sz w:val="20"/>
                <w:szCs w:val="20"/>
                <w:color w:val="auto"/>
              </w:rPr>
              <w:t>Cement (in millions):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tcBorders>
              <w:bottom w:val="single" w:sz="8" w:color="CFF0FC"/>
            </w:tcBorders>
            <w:shd w:val="clear" w:color="auto" w:fill="CFF0FC"/>
          </w:tcPr>
          <w:p>
            <w:pPr>
              <w:ind w:left="140"/>
              <w:spacing w:after="0" w:line="234" w:lineRule="exact"/>
              <w:rPr>
                <w:sz w:val="20"/>
                <w:szCs w:val="20"/>
                <w:color w:val="auto"/>
              </w:rPr>
            </w:pPr>
            <w:r>
              <w:rPr>
                <w:rFonts w:ascii="Calibri" w:cs="Calibri" w:eastAsia="Calibri" w:hAnsi="Calibri"/>
                <w:sz w:val="20"/>
                <w:szCs w:val="20"/>
                <w:color w:val="auto"/>
              </w:rPr>
              <w:t>Tons to external customers</w:t>
            </w:r>
          </w:p>
        </w:tc>
        <w:tc>
          <w:tcPr>
            <w:tcW w:w="8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0.7</w:t>
            </w:r>
          </w:p>
        </w:tc>
        <w:tc>
          <w:tcPr>
            <w:tcW w:w="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gridSpan w:val="2"/>
            <w:shd w:val="clear" w:color="auto" w:fill="CFF0FC"/>
          </w:tcPr>
          <w:p>
            <w:pPr>
              <w:jc w:val="right"/>
              <w:ind w:right="20"/>
              <w:spacing w:after="0" w:line="234" w:lineRule="exact"/>
              <w:rPr>
                <w:sz w:val="20"/>
                <w:szCs w:val="20"/>
                <w:color w:val="auto"/>
              </w:rPr>
            </w:pPr>
            <w:r>
              <w:rPr>
                <w:rFonts w:ascii="Calibri" w:cs="Calibri" w:eastAsia="Calibri" w:hAnsi="Calibri"/>
                <w:sz w:val="20"/>
                <w:szCs w:val="20"/>
                <w:color w:val="auto"/>
              </w:rPr>
              <w:t>0.6</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40"/>
              <w:spacing w:after="0" w:line="234" w:lineRule="exact"/>
              <w:rPr>
                <w:sz w:val="20"/>
                <w:szCs w:val="20"/>
                <w:color w:val="auto"/>
              </w:rPr>
            </w:pPr>
            <w:r>
              <w:rPr>
                <w:rFonts w:ascii="Calibri" w:cs="Calibri" w:eastAsia="Calibri" w:hAnsi="Calibri"/>
                <w:sz w:val="20"/>
                <w:szCs w:val="20"/>
                <w:color w:val="auto"/>
              </w:rPr>
              <w:t>Internal tons used in ready mixed concrete</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0.3</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2"/>
          </w:tcPr>
          <w:p>
            <w:pPr>
              <w:jc w:val="right"/>
              <w:ind w:right="20"/>
              <w:spacing w:after="0" w:line="234" w:lineRule="exact"/>
              <w:rPr>
                <w:sz w:val="20"/>
                <w:szCs w:val="20"/>
                <w:color w:val="auto"/>
              </w:rPr>
            </w:pPr>
            <w:r>
              <w:rPr>
                <w:rFonts w:ascii="Calibri" w:cs="Calibri" w:eastAsia="Calibri" w:hAnsi="Calibri"/>
                <w:sz w:val="20"/>
                <w:szCs w:val="20"/>
                <w:color w:val="auto"/>
              </w:rPr>
              <w:t>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4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84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Total cement tons</w:t>
            </w:r>
          </w:p>
        </w:tc>
        <w:tc>
          <w:tcPr>
            <w:tcW w:w="8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1.0</w:t>
            </w:r>
          </w:p>
        </w:tc>
        <w:tc>
          <w:tcPr>
            <w:tcW w:w="2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gridSpan w:val="2"/>
            <w:shd w:val="clear" w:color="auto" w:fill="CFF0FC"/>
          </w:tcPr>
          <w:p>
            <w:pPr>
              <w:jc w:val="right"/>
              <w:ind w:right="20"/>
              <w:spacing w:after="0" w:line="228" w:lineRule="exact"/>
              <w:rPr>
                <w:sz w:val="20"/>
                <w:szCs w:val="20"/>
                <w:color w:val="auto"/>
              </w:rPr>
            </w:pPr>
            <w:r>
              <w:rPr>
                <w:rFonts w:ascii="Calibri" w:cs="Calibri" w:eastAsia="Calibri" w:hAnsi="Calibri"/>
                <w:sz w:val="20"/>
                <w:szCs w:val="20"/>
                <w:color w:val="auto"/>
              </w:rPr>
              <w:t>0.9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3"/>
            <w:shd w:val="clear" w:color="auto" w:fill="CFF0FC"/>
          </w:tcPr>
          <w:p>
            <w:pPr>
              <w:jc w:val="right"/>
              <w:ind w:right="40"/>
              <w:spacing w:after="0" w:line="217" w:lineRule="exact"/>
              <w:rPr>
                <w:sz w:val="20"/>
                <w:szCs w:val="20"/>
                <w:color w:val="auto"/>
              </w:rPr>
            </w:pPr>
            <w:r>
              <w:rPr>
                <w:rFonts w:ascii="Calibri" w:cs="Calibri" w:eastAsia="Calibri" w:hAnsi="Calibri"/>
                <w:sz w:val="20"/>
                <w:szCs w:val="20"/>
                <w:color w:val="auto"/>
              </w:rPr>
              <w:t>10.0%</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8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Ready Mixed Concrete (in millions of cubic yards)</w:t>
            </w:r>
          </w:p>
        </w:tc>
        <w:tc>
          <w:tcPr>
            <w:tcW w:w="8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w:t>
            </w:r>
          </w:p>
        </w:tc>
        <w:tc>
          <w:tcPr>
            <w:tcW w:w="2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gridSpan w:val="2"/>
            <w:shd w:val="clear" w:color="auto" w:fill="CFF0FC"/>
          </w:tcPr>
          <w:p>
            <w:pPr>
              <w:jc w:val="right"/>
              <w:ind w:right="20"/>
              <w:spacing w:after="0" w:line="234" w:lineRule="exact"/>
              <w:rPr>
                <w:sz w:val="20"/>
                <w:szCs w:val="20"/>
                <w:color w:val="auto"/>
              </w:rPr>
            </w:pPr>
            <w:r>
              <w:rPr>
                <w:rFonts w:ascii="Calibri" w:cs="Calibri" w:eastAsia="Calibri" w:hAnsi="Calibri"/>
                <w:sz w:val="20"/>
                <w:szCs w:val="20"/>
                <w:color w:val="auto"/>
              </w:rPr>
              <w:t>2.1</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3"/>
            <w:shd w:val="clear" w:color="auto" w:fill="CFF0FC"/>
          </w:tcPr>
          <w:p>
            <w:pPr>
              <w:jc w:val="right"/>
              <w:ind w:right="40"/>
              <w:spacing w:after="0" w:line="234" w:lineRule="exact"/>
              <w:rPr>
                <w:sz w:val="20"/>
                <w:szCs w:val="20"/>
                <w:color w:val="auto"/>
              </w:rPr>
            </w:pPr>
            <w:r>
              <w:rPr>
                <w:rFonts w:ascii="Calibri" w:cs="Calibri" w:eastAsia="Calibri" w:hAnsi="Calibri"/>
                <w:sz w:val="20"/>
                <w:szCs w:val="20"/>
                <w:color w:val="auto"/>
              </w:rPr>
              <w:t>14.8%</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Asphalt (in millions):</w:t>
            </w:r>
          </w:p>
        </w:tc>
        <w:tc>
          <w:tcPr>
            <w:tcW w:w="8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260"/>
              <w:spacing w:after="0" w:line="234" w:lineRule="exact"/>
              <w:rPr>
                <w:sz w:val="20"/>
                <w:szCs w:val="20"/>
                <w:color w:val="auto"/>
              </w:rPr>
            </w:pPr>
            <w:r>
              <w:rPr>
                <w:rFonts w:ascii="Calibri" w:cs="Calibri" w:eastAsia="Calibri" w:hAnsi="Calibri"/>
                <w:sz w:val="20"/>
                <w:szCs w:val="20"/>
                <w:color w:val="auto"/>
              </w:rPr>
              <w:t>Tons to external customers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line="234" w:lineRule="exact"/>
              <w:rPr>
                <w:sz w:val="20"/>
                <w:szCs w:val="20"/>
                <w:color w:val="auto"/>
              </w:rPr>
            </w:pPr>
            <w:r>
              <w:rPr>
                <w:rFonts w:ascii="Calibri" w:cs="Calibri" w:eastAsia="Calibri" w:hAnsi="Calibri"/>
                <w:sz w:val="20"/>
                <w:szCs w:val="20"/>
                <w:color w:val="auto"/>
              </w:rPr>
              <w:t>0.7</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2"/>
          </w:tcPr>
          <w:p>
            <w:pPr>
              <w:jc w:val="right"/>
              <w:ind w:right="20"/>
              <w:spacing w:after="0" w:line="234" w:lineRule="exact"/>
              <w:rPr>
                <w:sz w:val="20"/>
                <w:szCs w:val="20"/>
                <w:color w:val="auto"/>
              </w:rPr>
            </w:pPr>
            <w:r>
              <w:rPr>
                <w:rFonts w:ascii="Calibri" w:cs="Calibri" w:eastAsia="Calibri" w:hAnsi="Calibri"/>
                <w:sz w:val="20"/>
                <w:szCs w:val="20"/>
                <w:color w:val="auto"/>
              </w:rPr>
              <w:t>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4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Internal tons used in paving business</w:t>
            </w:r>
          </w:p>
        </w:tc>
        <w:tc>
          <w:tcPr>
            <w:tcW w:w="8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gridSpan w:val="3"/>
            <w:shd w:val="clear" w:color="auto" w:fill="CFF0FC"/>
          </w:tcPr>
          <w:p>
            <w:pPr>
              <w:jc w:val="right"/>
              <w:ind w:right="941"/>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gridSpan w:val="4"/>
            <w:shd w:val="clear" w:color="auto" w:fill="CFF0FC"/>
          </w:tcPr>
          <w:p>
            <w:pPr>
              <w:jc w:val="right"/>
              <w:ind w:right="360"/>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840" w:type="dxa"/>
            <w:vAlign w:val="bottom"/>
          </w:tcPr>
          <w:p>
            <w:pPr>
              <w:spacing w:after="0" w:line="217" w:lineRule="exact"/>
              <w:rPr>
                <w:sz w:val="20"/>
                <w:szCs w:val="20"/>
                <w:color w:val="auto"/>
              </w:rPr>
            </w:pPr>
            <w:r>
              <w:rPr>
                <w:rFonts w:ascii="Calibri" w:cs="Calibri" w:eastAsia="Calibri" w:hAnsi="Calibri"/>
                <w:sz w:val="20"/>
                <w:szCs w:val="20"/>
                <w:color w:val="auto"/>
              </w:rPr>
              <w:t>Total asphalt tons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0.7</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gridSpan w:val="2"/>
          </w:tcPr>
          <w:p>
            <w:pPr>
              <w:jc w:val="right"/>
              <w:ind w:right="20"/>
              <w:spacing w:after="0" w:line="228" w:lineRule="exact"/>
              <w:rPr>
                <w:sz w:val="20"/>
                <w:szCs w:val="20"/>
                <w:color w:val="auto"/>
              </w:rPr>
            </w:pPr>
            <w:r>
              <w:rPr>
                <w:rFonts w:ascii="Calibri" w:cs="Calibri" w:eastAsia="Calibri" w:hAnsi="Calibri"/>
                <w:sz w:val="20"/>
                <w:szCs w:val="20"/>
                <w:color w:val="auto"/>
              </w:rPr>
              <w:t>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40"/>
              <w:spacing w:after="0" w:line="217" w:lineRule="exact"/>
              <w:rPr>
                <w:sz w:val="20"/>
                <w:szCs w:val="20"/>
                <w:color w:val="auto"/>
              </w:rPr>
            </w:pPr>
            <w:r>
              <w:rPr>
                <w:rFonts w:ascii="Calibri" w:cs="Calibri" w:eastAsia="Calibri" w:hAnsi="Calibri"/>
                <w:sz w:val="20"/>
                <w:szCs w:val="20"/>
                <w:color w:val="auto"/>
              </w:rPr>
              <w:t>509.1%</w:t>
            </w:r>
          </w:p>
        </w:tc>
        <w:tc>
          <w:tcPr>
            <w:tcW w:w="0" w:type="dxa"/>
            <w:vAlign w:val="bottom"/>
          </w:tcPr>
          <w:p>
            <w:pPr>
              <w:spacing w:after="0"/>
              <w:rPr>
                <w:sz w:val="1"/>
                <w:szCs w:val="1"/>
                <w:color w:val="auto"/>
              </w:rPr>
            </w:pPr>
          </w:p>
        </w:tc>
      </w:tr>
      <w:tr>
        <w:trPr>
          <w:trHeight w:val="22"/>
        </w:trPr>
        <w:tc>
          <w:tcPr>
            <w:tcW w:w="56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380" w:type="dxa"/>
            <w:vAlign w:val="bottom"/>
            <w:gridSpan w:val="5"/>
          </w:tcPr>
          <w:p>
            <w:pPr>
              <w:spacing w:after="0"/>
              <w:rPr>
                <w:sz w:val="20"/>
                <w:szCs w:val="20"/>
                <w:color w:val="auto"/>
              </w:rPr>
            </w:pPr>
            <w:r>
              <w:rPr>
                <w:rFonts w:ascii="Calibri" w:cs="Calibri" w:eastAsia="Calibri" w:hAnsi="Calibri"/>
                <w:sz w:val="20"/>
                <w:szCs w:val="20"/>
                <w:color w:val="auto"/>
              </w:rPr>
              <w:t>The average selling price by product line for the Building Materials business is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9"/>
          </w:tcPr>
          <w:p>
            <w:pPr>
              <w:jc w:val="center"/>
              <w:ind w:right="600"/>
              <w:spacing w:after="0"/>
              <w:rPr>
                <w:sz w:val="20"/>
                <w:szCs w:val="20"/>
                <w:color w:val="auto"/>
              </w:rPr>
            </w:pPr>
            <w:r>
              <w:rPr>
                <w:rFonts w:ascii="Calibri" w:cs="Calibri" w:eastAsia="Calibri" w:hAnsi="Calibri"/>
                <w:sz w:val="20"/>
                <w:szCs w:val="20"/>
                <w:color w:val="auto"/>
              </w:rPr>
              <w:t>Three Months Ended</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3"/>
          </w:tcPr>
          <w:p>
            <w:pPr>
              <w:jc w:val="center"/>
              <w:ind w:right="181"/>
              <w:spacing w:after="0"/>
              <w:rPr>
                <w:sz w:val="20"/>
                <w:szCs w:val="20"/>
                <w:color w:val="auto"/>
              </w:rPr>
            </w:pPr>
            <w:r>
              <w:rPr>
                <w:rFonts w:ascii="Calibri" w:cs="Calibri" w:eastAsia="Calibri" w:hAnsi="Calibri"/>
                <w:sz w:val="20"/>
                <w:szCs w:val="20"/>
                <w:color w:val="auto"/>
              </w:rPr>
              <w:t>March 31,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01"/>
              <w:spacing w:after="0" w:line="228" w:lineRule="exact"/>
              <w:rPr>
                <w:sz w:val="20"/>
                <w:szCs w:val="20"/>
                <w:color w:val="auto"/>
              </w:rPr>
            </w:pPr>
            <w:r>
              <w:rPr>
                <w:rFonts w:ascii="Calibri" w:cs="Calibri" w:eastAsia="Calibri" w:hAnsi="Calibri"/>
                <w:sz w:val="20"/>
                <w:szCs w:val="20"/>
                <w:color w:val="auto"/>
              </w:rPr>
              <w:t>2022</w:t>
            </w: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361"/>
              <w:spacing w:after="0" w:line="228" w:lineRule="exact"/>
              <w:rPr>
                <w:sz w:val="20"/>
                <w:szCs w:val="20"/>
                <w:color w:val="auto"/>
              </w:rPr>
            </w:pPr>
            <w:r>
              <w:rPr>
                <w:rFonts w:ascii="Calibri" w:cs="Calibri" w:eastAsia="Calibri" w:hAnsi="Calibri"/>
                <w:sz w:val="20"/>
                <w:szCs w:val="20"/>
                <w:color w:val="auto"/>
              </w:rPr>
              <w:t>2021</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line="228" w:lineRule="exact"/>
              <w:rPr>
                <w:sz w:val="20"/>
                <w:szCs w:val="20"/>
                <w:color w:val="auto"/>
              </w:rPr>
            </w:pPr>
            <w:r>
              <w:rPr>
                <w:rFonts w:ascii="Calibri" w:cs="Calibri" w:eastAsia="Calibri" w:hAnsi="Calibri"/>
                <w:sz w:val="20"/>
                <w:szCs w:val="20"/>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4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shd w:val="clear" w:color="auto" w:fill="CFF0FC"/>
          </w:tcPr>
          <w:p>
            <w:pPr>
              <w:spacing w:after="0" w:line="217" w:lineRule="exact"/>
              <w:rPr>
                <w:sz w:val="20"/>
                <w:szCs w:val="20"/>
                <w:color w:val="auto"/>
              </w:rPr>
            </w:pPr>
            <w:r>
              <w:rPr>
                <w:rFonts w:ascii="Calibri" w:cs="Calibri" w:eastAsia="Calibri" w:hAnsi="Calibri"/>
                <w:sz w:val="20"/>
                <w:szCs w:val="20"/>
                <w:color w:val="auto"/>
              </w:rPr>
              <w:t>Aggregates (per ton)</w:t>
            </w:r>
          </w:p>
        </w:tc>
        <w:tc>
          <w:tcPr>
            <w:tcW w:w="8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right"/>
              <w:ind w:right="181"/>
              <w:spacing w:after="0" w:line="228" w:lineRule="exact"/>
              <w:rPr>
                <w:sz w:val="20"/>
                <w:szCs w:val="20"/>
                <w:color w:val="auto"/>
              </w:rPr>
            </w:pPr>
            <w:r>
              <w:rPr>
                <w:rFonts w:ascii="Calibri" w:cs="Calibri" w:eastAsia="Calibri" w:hAnsi="Calibri"/>
                <w:sz w:val="20"/>
                <w:szCs w:val="20"/>
                <w:color w:val="auto"/>
                <w:w w:val="78"/>
              </w:rPr>
              <w:t>$</w:t>
            </w:r>
          </w:p>
        </w:tc>
        <w:tc>
          <w:tcPr>
            <w:tcW w:w="1340" w:type="dxa"/>
            <w:vAlign w:val="bottom"/>
            <w:tcBorders>
              <w:bottom w:val="single" w:sz="8" w:color="CFF0FC"/>
            </w:tcBorders>
            <w:gridSpan w:val="2"/>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16.17</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620" w:type="dxa"/>
            <w:vAlign w:val="bottom"/>
            <w:tcBorders>
              <w:bottom w:val="single" w:sz="8" w:color="CFF0FC"/>
            </w:tcBorders>
            <w:gridSpan w:val="4"/>
            <w:shd w:val="clear" w:color="auto" w:fill="CFF0FC"/>
          </w:tcPr>
          <w:p>
            <w:pPr>
              <w:jc w:val="right"/>
              <w:spacing w:after="0" w:line="228" w:lineRule="exact"/>
              <w:rPr>
                <w:sz w:val="20"/>
                <w:szCs w:val="20"/>
                <w:color w:val="auto"/>
              </w:rPr>
            </w:pPr>
            <w:r>
              <w:rPr>
                <w:rFonts w:ascii="Calibri" w:cs="Calibri" w:eastAsia="Calibri" w:hAnsi="Calibri"/>
                <w:sz w:val="20"/>
                <w:szCs w:val="20"/>
                <w:color w:val="auto"/>
              </w:rPr>
              <w:t>15.31</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3"/>
            <w:shd w:val="clear" w:color="auto" w:fill="CFF0FC"/>
          </w:tcPr>
          <w:p>
            <w:pPr>
              <w:jc w:val="right"/>
              <w:ind w:right="20"/>
              <w:spacing w:after="0" w:line="228" w:lineRule="exact"/>
              <w:rPr>
                <w:sz w:val="20"/>
                <w:szCs w:val="20"/>
                <w:color w:val="auto"/>
              </w:rPr>
            </w:pPr>
            <w:r>
              <w:rPr>
                <w:rFonts w:ascii="Calibri" w:cs="Calibri" w:eastAsia="Calibri" w:hAnsi="Calibri"/>
                <w:sz w:val="20"/>
                <w:szCs w:val="20"/>
                <w:color w:val="auto"/>
              </w:rPr>
              <w:t>5.6%</w:t>
            </w:r>
          </w:p>
        </w:tc>
        <w:tc>
          <w:tcPr>
            <w:tcW w:w="0" w:type="dxa"/>
            <w:vAlign w:val="bottom"/>
          </w:tcPr>
          <w:p>
            <w:pPr>
              <w:spacing w:after="0"/>
              <w:rPr>
                <w:sz w:val="1"/>
                <w:szCs w:val="1"/>
                <w:color w:val="auto"/>
              </w:rPr>
            </w:pPr>
          </w:p>
        </w:tc>
      </w:tr>
      <w:tr>
        <w:trPr>
          <w:trHeight w:val="234"/>
        </w:trPr>
        <w:tc>
          <w:tcPr>
            <w:tcW w:w="4840" w:type="dxa"/>
            <w:vAlign w:val="bottom"/>
          </w:tcPr>
          <w:p>
            <w:pPr>
              <w:spacing w:after="0" w:line="234" w:lineRule="exact"/>
              <w:rPr>
                <w:sz w:val="20"/>
                <w:szCs w:val="20"/>
                <w:color w:val="auto"/>
              </w:rPr>
            </w:pPr>
            <w:r>
              <w:rPr>
                <w:rFonts w:ascii="Calibri" w:cs="Calibri" w:eastAsia="Calibri" w:hAnsi="Calibri"/>
                <w:sz w:val="20"/>
                <w:szCs w:val="20"/>
                <w:color w:val="auto"/>
              </w:rPr>
              <w:t>Cement (per ton)</w:t>
            </w:r>
          </w:p>
        </w:tc>
        <w:tc>
          <w:tcPr>
            <w:tcW w:w="120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134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129.11</w:t>
            </w:r>
          </w:p>
        </w:tc>
        <w:tc>
          <w:tcPr>
            <w:tcW w:w="42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w:t>
            </w:r>
          </w:p>
        </w:tc>
        <w:tc>
          <w:tcPr>
            <w:tcW w:w="1620" w:type="dxa"/>
            <w:vAlign w:val="bottom"/>
            <w:gridSpan w:val="4"/>
          </w:tcPr>
          <w:p>
            <w:pPr>
              <w:jc w:val="right"/>
              <w:spacing w:after="0" w:line="234" w:lineRule="exact"/>
              <w:rPr>
                <w:sz w:val="20"/>
                <w:szCs w:val="20"/>
                <w:color w:val="auto"/>
              </w:rPr>
            </w:pPr>
            <w:r>
              <w:rPr>
                <w:rFonts w:ascii="Calibri" w:cs="Calibri" w:eastAsia="Calibri" w:hAnsi="Calibri"/>
                <w:sz w:val="20"/>
                <w:szCs w:val="20"/>
                <w:color w:val="auto"/>
              </w:rPr>
              <w:t>115.49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20"/>
              <w:spacing w:after="0" w:line="234" w:lineRule="exact"/>
              <w:rPr>
                <w:sz w:val="20"/>
                <w:szCs w:val="20"/>
                <w:color w:val="auto"/>
              </w:rPr>
            </w:pPr>
            <w:r>
              <w:rPr>
                <w:rFonts w:ascii="Calibri" w:cs="Calibri" w:eastAsia="Calibri" w:hAnsi="Calibri"/>
                <w:sz w:val="20"/>
                <w:szCs w:val="20"/>
                <w:color w:val="auto"/>
              </w:rPr>
              <w:t>11.8%</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Ready Mixed Concrete (per cubic yard)</w:t>
            </w:r>
          </w:p>
        </w:tc>
        <w:tc>
          <w:tcPr>
            <w:tcW w:w="1200" w:type="dxa"/>
            <w:vAlign w:val="bottom"/>
            <w:tcBorders>
              <w:bottom w:val="single" w:sz="8" w:color="CFF0FC"/>
            </w:tcBorders>
            <w:gridSpan w:val="2"/>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1340" w:type="dxa"/>
            <w:vAlign w:val="bottom"/>
            <w:tcBorders>
              <w:bottom w:val="single" w:sz="8" w:color="CFF0FC"/>
            </w:tcBorders>
            <w:gridSpan w:val="2"/>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120.71</w:t>
            </w:r>
          </w:p>
        </w:tc>
        <w:tc>
          <w:tcPr>
            <w:tcW w:w="420" w:type="dxa"/>
            <w:vAlign w:val="bottom"/>
            <w:tcBorders>
              <w:bottom w:val="single" w:sz="8" w:color="CFF0FC"/>
            </w:tcBorders>
            <w:gridSpan w:val="3"/>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1620" w:type="dxa"/>
            <w:vAlign w:val="bottom"/>
            <w:tcBorders>
              <w:bottom w:val="single" w:sz="8" w:color="CFF0FC"/>
            </w:tcBorders>
            <w:gridSpan w:val="4"/>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112.12</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3"/>
            <w:shd w:val="clear" w:color="auto" w:fill="CFF0FC"/>
          </w:tcPr>
          <w:p>
            <w:pPr>
              <w:jc w:val="right"/>
              <w:ind w:right="20"/>
              <w:spacing w:after="0" w:line="234" w:lineRule="exact"/>
              <w:rPr>
                <w:sz w:val="20"/>
                <w:szCs w:val="20"/>
                <w:color w:val="auto"/>
              </w:rPr>
            </w:pPr>
            <w:r>
              <w:rPr>
                <w:rFonts w:ascii="Calibri" w:cs="Calibri" w:eastAsia="Calibri" w:hAnsi="Calibri"/>
                <w:sz w:val="20"/>
                <w:szCs w:val="20"/>
                <w:color w:val="auto"/>
              </w:rPr>
              <w:t>7.7%</w:t>
            </w:r>
          </w:p>
        </w:tc>
        <w:tc>
          <w:tcPr>
            <w:tcW w:w="0" w:type="dxa"/>
            <w:vAlign w:val="bottom"/>
          </w:tcPr>
          <w:p>
            <w:pPr>
              <w:spacing w:after="0"/>
              <w:rPr>
                <w:sz w:val="1"/>
                <w:szCs w:val="1"/>
                <w:color w:val="auto"/>
              </w:rPr>
            </w:pPr>
          </w:p>
        </w:tc>
      </w:tr>
      <w:tr>
        <w:trPr>
          <w:trHeight w:val="234"/>
        </w:trPr>
        <w:tc>
          <w:tcPr>
            <w:tcW w:w="4840" w:type="dxa"/>
            <w:vAlign w:val="bottom"/>
          </w:tcPr>
          <w:p>
            <w:pPr>
              <w:spacing w:after="0" w:line="234" w:lineRule="exact"/>
              <w:rPr>
                <w:sz w:val="20"/>
                <w:szCs w:val="20"/>
                <w:color w:val="auto"/>
              </w:rPr>
            </w:pPr>
            <w:r>
              <w:rPr>
                <w:rFonts w:ascii="Calibri" w:cs="Calibri" w:eastAsia="Calibri" w:hAnsi="Calibri"/>
                <w:sz w:val="20"/>
                <w:szCs w:val="20"/>
                <w:color w:val="auto"/>
              </w:rPr>
              <w:t>Asphalt (per ton)</w:t>
            </w:r>
          </w:p>
        </w:tc>
        <w:tc>
          <w:tcPr>
            <w:tcW w:w="120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134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62.39</w:t>
            </w:r>
          </w:p>
        </w:tc>
        <w:tc>
          <w:tcPr>
            <w:tcW w:w="42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w:t>
            </w:r>
          </w:p>
        </w:tc>
        <w:tc>
          <w:tcPr>
            <w:tcW w:w="1620" w:type="dxa"/>
            <w:vAlign w:val="bottom"/>
            <w:gridSpan w:val="4"/>
          </w:tcPr>
          <w:p>
            <w:pPr>
              <w:jc w:val="right"/>
              <w:spacing w:after="0" w:line="234" w:lineRule="exact"/>
              <w:rPr>
                <w:sz w:val="20"/>
                <w:szCs w:val="20"/>
                <w:color w:val="auto"/>
              </w:rPr>
            </w:pPr>
            <w:r>
              <w:rPr>
                <w:rFonts w:ascii="Calibri" w:cs="Calibri" w:eastAsia="Calibri" w:hAnsi="Calibri"/>
                <w:sz w:val="20"/>
                <w:szCs w:val="20"/>
                <w:color w:val="auto"/>
              </w:rPr>
              <w:t>49.04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20"/>
              <w:spacing w:after="0" w:line="234" w:lineRule="exact"/>
              <w:rPr>
                <w:sz w:val="20"/>
                <w:szCs w:val="20"/>
                <w:color w:val="auto"/>
              </w:rPr>
            </w:pPr>
            <w:r>
              <w:rPr>
                <w:rFonts w:ascii="Calibri" w:cs="Calibri" w:eastAsia="Calibri" w:hAnsi="Calibri"/>
                <w:sz w:val="20"/>
                <w:szCs w:val="20"/>
                <w:color w:val="auto"/>
              </w:rPr>
              <w:t>27.2%</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0" w:name="page31"/>
    <w:bookmarkEnd w:id="30"/>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ind w:right="-19"/>
        <w:spacing w:after="0"/>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Organic aggregates shipments to the infrastructure market increased 6.2%, primarily driven by increased highway widening projects in North Carolina, Georgia and Indiana. The infrastructure market accounted for 32% of frst-quarter organic aggregates shipments.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Organic aggregates shipments to the nonresidental market were fat, with strong warehousing demand in Ohio, Indiana and Texas ofset by a decrease in major projects in North and South Carolina. The nonresidental market represented 36% of frst-quarter organic aggregates shipments.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Organic aggregates shipments to the residental market decreased 2% compared with a strong prior-year quarter, refectng supply chain issues, increased costs and labor shortages. The residental market accounted for 26% of frst-quarter organic aggregates shipments.</w:t>
      </w:r>
    </w:p>
    <w:p>
      <w:pPr>
        <w:spacing w:after="0" w:line="11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The ChemRock/Rail market accounted for the remaining 6% of frst-quarter organic aggregates shipments. Volumes to this end use increased 20%, driven by increased aglime shipments in Iowa and increased ballast demand in Texas spurred by long-deferred railroad maintenance projects.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First-quarter organic aggregates shipments increased 2.5%, refectng growing public and private product demand at the onset of constructon season, while organic pricing increased 6.5%. Inclusive of acquired operatons, aggregates shipments grew 13.4% compared with prior-year quarter and pricing increased 5.6%. Overall, East Group total shipments increased 1.1%, refectng increased infrastructure constructon actvity in the Southeast and Midwest, while pricing increased 5.1%. West Group total shipments increased 32.7%, driven by robust underlying demand in Texas and shipments from acquired operatons that more than ofset Colorado weather-related shipment shortalls. West Group pricing increased 9.0%, or 4.8% on a mix-adjusted basis, beneftng from improving long-haul shipments from higher-priced distributon yards and higher selling prices at acquired operatons. Aggregates product gross margin decreased 640 basis points to 14.9%, as year-over-year price increase impacts were more than ofset by higher diesel fuel costs of approximately $12 million, increased supplies, repair costs, contract service cost of approximately $20 million, higher internal freight costs of $9 million and the impact of Tiller winter shut down, which did not impact prior year quarter as the operatons were acquired April 30, 2021.</w:t>
      </w:r>
    </w:p>
    <w:p>
      <w:pPr>
        <w:spacing w:after="0" w:line="3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Texas cement shipments increased 10.0%, supported by robust product demand and tght supply throughout the Texas Triangle. Cement pricing improved 11.8%, beneftng from the carryover of 2021 mid-year price increases and improving demand for higher-priced specialty oil-well cement products. Product gross margin expanded 630 basis points to 20.3% compared with the prior-year quarter, which was negatvely impacted by incremental costs and inefciencies resultng from the Texas Deep Freeze.</w:t>
      </w:r>
    </w:p>
    <w:p>
      <w:pPr>
        <w:spacing w:after="0" w:line="12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Organic ready mixed concrete shipments declined slightly, driven by tming of project completons and weather-related Colorado shipment declines. Organic pricing grew 8.2% in frst quarter 2022 compared with frst quarter 2021, following the implementaton of annual price increases early in the year. Inclusive of the acquired Arizona operatons, ready mixed concrete shipments and pricing increased 14.8% and 7.7%, respectvely. Product gross margin declined 100 basis points to 7.3%, driven primarily by higher raw material and diesel costs which more than ofset price increases. Seasonal winter weather conditons in Colorado contributed to a 3.1 percent decrease in organic asphalt shipments. Organic pricing increased 5.8 percent. Including contributons from the acquired West Coast operatons, total asphalt shipments and pricing increased 509.1 percent and 27.2 percent, respectvely. As antcipated, the Minnesota-based asphalt facilites, which were acquired on April 30, 2021, were closed during the frst quarter given the constructon season does not begin untl late spring. Consistent with the Company’s historical frst-quarter trends, the asphalt and paving business posted an overall loss.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1" w:name="page32"/>
    <w:bookmarkEnd w:id="31"/>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Magnesia Specialtes frst-quarter product revenues increased 8.5% to $70.8 million, driven by robust global demand for magnesia-based chemical products as well as improving domestc steel producton in the later half of the quarter. Product gross proft was $26.8 million compared with $28.4 million. Product gross margin decreased 570 basis points to 37.8% as higher costs for energy, supplies and raw materials more than ofset revenue growth. First-quarter earnings from operatons were $21.5 million in 2022 compared with $23.5 million in 2021.</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117"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Consolidated SG&amp;A for frst quarter 2022 was 7.9% of total revenues compared with 8.1% in the prior-year quarter, an improvement of 20 basis points. Earnings from operatons for the quarter were $59.9 million in 2022 compared with $99.3 million in 2021, the decrease driven by higher costs for energy, supplies, freight and personnel, which more than ofset year over year price increases.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Income Tax Expense</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For the three months ended March 31, 2022 and 2021, the efectve income tax rates for contnuing operatons were 19.3% and 19.5%, respectvely.</w:t>
      </w:r>
    </w:p>
    <w:p>
      <w:pPr>
        <w:spacing w:after="0" w:line="324" w:lineRule="exact"/>
        <w:rPr>
          <w:sz w:val="20"/>
          <w:szCs w:val="20"/>
          <w:color w:val="auto"/>
        </w:rPr>
      </w:pPr>
    </w:p>
    <w:p>
      <w:pPr>
        <w:spacing w:after="0"/>
        <w:rPr>
          <w:sz w:val="20"/>
          <w:szCs w:val="20"/>
          <w:color w:val="auto"/>
        </w:rPr>
      </w:pPr>
      <w:r>
        <w:rPr>
          <w:rFonts w:ascii="Calibri" w:cs="Calibri" w:eastAsia="Calibri" w:hAnsi="Calibri"/>
          <w:sz w:val="20"/>
          <w:szCs w:val="20"/>
          <w:color w:val="auto"/>
        </w:rPr>
        <w:t>LIQUIDITY AND CAPITAL RESOURCES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Cash provided by operatng actvites for the three months ended March 31, 2022 and 2021 was $169.9 million and $191.9 million, respectvely. Operatng cash fow is primarily derived from consolidated net earnings before deductng depreciaton, depleton and amortzaton, and the impact of changes in working capital. Depreciaton, depleton and amortzaton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00" w:type="dxa"/>
            <w:vAlign w:val="bottom"/>
          </w:tcPr>
          <w:p>
            <w:pPr>
              <w:spacing w:after="0"/>
              <w:rPr>
                <w:sz w:val="21"/>
                <w:szCs w:val="21"/>
                <w:color w:val="auto"/>
              </w:rPr>
            </w:pPr>
          </w:p>
        </w:tc>
        <w:tc>
          <w:tcPr>
            <w:tcW w:w="2940" w:type="dxa"/>
            <w:vAlign w:val="bottom"/>
            <w:gridSpan w:val="5"/>
          </w:tcPr>
          <w:p>
            <w:pPr>
              <w:jc w:val="center"/>
              <w:ind w:left="361"/>
              <w:spacing w:after="0"/>
              <w:rPr>
                <w:sz w:val="20"/>
                <w:szCs w:val="20"/>
                <w:color w:val="auto"/>
              </w:rPr>
            </w:pPr>
            <w:r>
              <w:rPr>
                <w:rFonts w:ascii="Calibri" w:cs="Calibri" w:eastAsia="Calibri" w:hAnsi="Calibri"/>
                <w:sz w:val="20"/>
                <w:szCs w:val="20"/>
                <w:color w:val="auto"/>
              </w:rPr>
              <w:t>Three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7"/>
        </w:trPr>
        <w:tc>
          <w:tcPr>
            <w:tcW w:w="7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00" w:type="dxa"/>
            <w:vAlign w:val="bottom"/>
            <w:gridSpan w:val="4"/>
          </w:tcPr>
          <w:p>
            <w:pPr>
              <w:jc w:val="center"/>
              <w:ind w:right="498"/>
              <w:spacing w:after="0"/>
              <w:rPr>
                <w:sz w:val="20"/>
                <w:szCs w:val="20"/>
                <w:color w:val="auto"/>
              </w:rPr>
            </w:pPr>
            <w:r>
              <w:rPr>
                <w:rFonts w:ascii="Calibri" w:cs="Calibri" w:eastAsia="Calibri" w:hAnsi="Calibri"/>
                <w:sz w:val="20"/>
                <w:szCs w:val="20"/>
                <w:color w:val="auto"/>
              </w:rPr>
              <w:t>March 31,</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3"/>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770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Calibri" w:cs="Calibri" w:eastAsia="Calibri" w:hAnsi="Calibri"/>
                <w:sz w:val="20"/>
                <w:szCs w:val="20"/>
                <w:color w:val="auto"/>
              </w:rPr>
              <w:t>2022</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
              <w:spacing w:after="0" w:line="228" w:lineRule="exact"/>
              <w:rPr>
                <w:sz w:val="20"/>
                <w:szCs w:val="20"/>
                <w:color w:val="auto"/>
              </w:rPr>
            </w:pPr>
            <w:r>
              <w:rPr>
                <w:rFonts w:ascii="Calibri" w:cs="Calibri" w:eastAsia="Calibri" w:hAnsi="Calibri"/>
                <w:sz w:val="20"/>
                <w:szCs w:val="20"/>
                <w:color w:val="auto"/>
              </w:rPr>
              <w:t>2021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7700" w:type="dxa"/>
            <w:vAlign w:val="bottom"/>
          </w:tcPr>
          <w:p>
            <w:pPr>
              <w:spacing w:after="0" w:line="20" w:lineRule="exact"/>
              <w:rPr>
                <w:sz w:val="1"/>
                <w:szCs w:val="1"/>
                <w:color w:val="auto"/>
              </w:rPr>
            </w:pPr>
          </w:p>
        </w:tc>
        <w:tc>
          <w:tcPr>
            <w:tcW w:w="2940" w:type="dxa"/>
            <w:vAlign w:val="bottom"/>
            <w:tcBorders>
              <w:bottom w:val="single" w:sz="8" w:color="auto"/>
            </w:tcBorders>
            <w:gridSpan w:val="5"/>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7700" w:type="dxa"/>
            <w:vAlign w:val="bottom"/>
          </w:tcPr>
          <w:p>
            <w:pPr>
              <w:spacing w:after="0"/>
              <w:rPr>
                <w:sz w:val="19"/>
                <w:szCs w:val="19"/>
                <w:color w:val="auto"/>
              </w:rPr>
            </w:pPr>
          </w:p>
        </w:tc>
        <w:tc>
          <w:tcPr>
            <w:tcW w:w="2940" w:type="dxa"/>
            <w:vAlign w:val="bottom"/>
            <w:gridSpan w:val="5"/>
          </w:tcPr>
          <w:p>
            <w:pPr>
              <w:jc w:val="center"/>
              <w:ind w:left="381"/>
              <w:spacing w:after="0" w:line="228" w:lineRule="exact"/>
              <w:rPr>
                <w:sz w:val="20"/>
                <w:szCs w:val="20"/>
                <w:color w:val="auto"/>
              </w:rPr>
            </w:pPr>
            <w:r>
              <w:rPr>
                <w:rFonts w:ascii="Calibri" w:cs="Calibri" w:eastAsia="Calibri" w:hAnsi="Calibri"/>
                <w:sz w:val="20"/>
                <w:szCs w:val="20"/>
                <w:i w:val="1"/>
                <w:iCs w:val="1"/>
                <w:color w:val="auto"/>
              </w:rPr>
              <w:t>(Dollars in Millions)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7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Depreciaton</w:t>
            </w:r>
          </w:p>
        </w:tc>
        <w:tc>
          <w:tcPr>
            <w:tcW w:w="1040" w:type="dxa"/>
            <w:vAlign w:val="bottom"/>
            <w:tcBorders>
              <w:bottom w:val="single" w:sz="8" w:color="CFF0FC"/>
            </w:tcBorders>
            <w:shd w:val="clear" w:color="auto" w:fill="CFF0FC"/>
          </w:tcPr>
          <w:p>
            <w:pPr>
              <w:jc w:val="right"/>
              <w:ind w:right="841"/>
              <w:spacing w:after="0" w:line="234" w:lineRule="exact"/>
              <w:rPr>
                <w:sz w:val="20"/>
                <w:szCs w:val="20"/>
                <w:color w:val="auto"/>
              </w:rPr>
            </w:pPr>
            <w:r>
              <w:rPr>
                <w:rFonts w:ascii="Calibri" w:cs="Calibri" w:eastAsia="Calibri" w:hAnsi="Calibri"/>
                <w:sz w:val="20"/>
                <w:szCs w:val="20"/>
                <w:color w:val="auto"/>
                <w:w w:val="78"/>
              </w:rPr>
              <w:t>$</w:t>
            </w: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101.8</w:t>
            </w: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gridSpan w:val="2"/>
            <w:shd w:val="clear" w:color="auto" w:fill="CFF0FC"/>
          </w:tcPr>
          <w:p>
            <w:pPr>
              <w:jc w:val="right"/>
              <w:ind w:right="898"/>
              <w:spacing w:after="0" w:line="234" w:lineRule="exact"/>
              <w:rPr>
                <w:sz w:val="20"/>
                <w:szCs w:val="20"/>
                <w:color w:val="auto"/>
              </w:rPr>
            </w:pPr>
            <w:r>
              <w:rPr>
                <w:rFonts w:ascii="Calibri" w:cs="Calibri" w:eastAsia="Calibri" w:hAnsi="Calibri"/>
                <w:sz w:val="20"/>
                <w:szCs w:val="20"/>
                <w:color w:val="auto"/>
                <w:w w:val="78"/>
              </w:rPr>
              <w:t>$</w:t>
            </w:r>
          </w:p>
        </w:tc>
        <w:tc>
          <w:tcPr>
            <w:tcW w:w="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84.7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4"/>
        </w:trPr>
        <w:tc>
          <w:tcPr>
            <w:tcW w:w="7700" w:type="dxa"/>
            <w:vAlign w:val="bottom"/>
          </w:tcPr>
          <w:p>
            <w:pPr>
              <w:spacing w:after="0" w:line="234" w:lineRule="exact"/>
              <w:rPr>
                <w:sz w:val="20"/>
                <w:szCs w:val="20"/>
                <w:color w:val="auto"/>
              </w:rPr>
            </w:pPr>
            <w:r>
              <w:rPr>
                <w:rFonts w:ascii="Calibri" w:cs="Calibri" w:eastAsia="Calibri" w:hAnsi="Calibri"/>
                <w:sz w:val="20"/>
                <w:szCs w:val="20"/>
                <w:color w:val="auto"/>
              </w:rPr>
              <w:t>Depleton</w:t>
            </w:r>
          </w:p>
        </w:tc>
        <w:tc>
          <w:tcPr>
            <w:tcW w:w="1040" w:type="dxa"/>
            <w:vAlign w:val="bottom"/>
          </w:tcPr>
          <w:p>
            <w:pPr>
              <w:spacing w:after="0"/>
              <w:rPr>
                <w:sz w:val="20"/>
                <w:szCs w:val="20"/>
                <w:color w:val="auto"/>
              </w:rPr>
            </w:pPr>
          </w:p>
        </w:tc>
        <w:tc>
          <w:tcPr>
            <w:tcW w:w="520" w:type="dxa"/>
            <w:vAlign w:val="bottom"/>
          </w:tcPr>
          <w:p>
            <w:pPr>
              <w:jc w:val="right"/>
              <w:spacing w:after="0" w:line="234" w:lineRule="exact"/>
              <w:rPr>
                <w:sz w:val="20"/>
                <w:szCs w:val="20"/>
                <w:color w:val="auto"/>
              </w:rPr>
            </w:pPr>
            <w:r>
              <w:rPr>
                <w:rFonts w:ascii="Calibri" w:cs="Calibri" w:eastAsia="Calibri" w:hAnsi="Calibri"/>
                <w:sz w:val="20"/>
                <w:szCs w:val="20"/>
                <w:color w:val="auto"/>
              </w:rPr>
              <w:t>11.8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line="234" w:lineRule="exact"/>
              <w:rPr>
                <w:sz w:val="20"/>
                <w:szCs w:val="20"/>
                <w:color w:val="auto"/>
              </w:rPr>
            </w:pPr>
            <w:r>
              <w:rPr>
                <w:rFonts w:ascii="Calibri" w:cs="Calibri" w:eastAsia="Calibri" w:hAnsi="Calibri"/>
                <w:sz w:val="20"/>
                <w:szCs w:val="20"/>
                <w:color w:val="auto"/>
              </w:rPr>
              <w:t>6.8</w:t>
            </w:r>
          </w:p>
        </w:tc>
        <w:tc>
          <w:tcPr>
            <w:tcW w:w="120" w:type="dxa"/>
            <w:vAlign w:val="bottom"/>
          </w:tcPr>
          <w:p>
            <w:pPr>
              <w:spacing w:after="0"/>
              <w:rPr>
                <w:sz w:val="20"/>
                <w:szCs w:val="20"/>
                <w:color w:val="auto"/>
              </w:rPr>
            </w:pPr>
          </w:p>
        </w:tc>
      </w:tr>
      <w:tr>
        <w:trPr>
          <w:trHeight w:val="22"/>
        </w:trPr>
        <w:tc>
          <w:tcPr>
            <w:tcW w:w="7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77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Amortzaton</w:t>
            </w:r>
          </w:p>
        </w:tc>
        <w:tc>
          <w:tcPr>
            <w:tcW w:w="10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14.6</w:t>
            </w:r>
          </w:p>
        </w:tc>
        <w:tc>
          <w:tcPr>
            <w:tcW w:w="3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7.1</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28"/>
        </w:trPr>
        <w:tc>
          <w:tcPr>
            <w:tcW w:w="7700" w:type="dxa"/>
            <w:vAlign w:val="bottom"/>
          </w:tcPr>
          <w:p>
            <w:pPr>
              <w:spacing w:after="0" w:line="217" w:lineRule="exact"/>
              <w:rPr>
                <w:sz w:val="20"/>
                <w:szCs w:val="20"/>
                <w:color w:val="auto"/>
              </w:rPr>
            </w:pPr>
            <w:r>
              <w:rPr>
                <w:rFonts w:ascii="Calibri" w:cs="Calibri" w:eastAsia="Calibri" w:hAnsi="Calibri"/>
                <w:sz w:val="20"/>
                <w:szCs w:val="20"/>
                <w:color w:val="auto"/>
              </w:rPr>
              <w:t>Total</w:t>
            </w:r>
          </w:p>
        </w:tc>
        <w:tc>
          <w:tcPr>
            <w:tcW w:w="1040" w:type="dxa"/>
            <w:vAlign w:val="bottom"/>
            <w:tcBorders>
              <w:top w:val="single" w:sz="8" w:color="auto"/>
            </w:tcBorders>
          </w:tcPr>
          <w:p>
            <w:pPr>
              <w:jc w:val="right"/>
              <w:ind w:right="841"/>
              <w:spacing w:after="0" w:line="228" w:lineRule="exact"/>
              <w:rPr>
                <w:sz w:val="20"/>
                <w:szCs w:val="20"/>
                <w:color w:val="auto"/>
              </w:rPr>
            </w:pPr>
            <w:r>
              <w:rPr>
                <w:rFonts w:ascii="Calibri" w:cs="Calibri" w:eastAsia="Calibri" w:hAnsi="Calibri"/>
                <w:sz w:val="20"/>
                <w:szCs w:val="20"/>
                <w:color w:val="auto"/>
                <w:w w:val="78"/>
              </w:rPr>
              <w:t>$</w:t>
            </w:r>
          </w:p>
        </w:tc>
        <w:tc>
          <w:tcPr>
            <w:tcW w:w="5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128.2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top w:val="single" w:sz="8" w:color="auto"/>
            </w:tcBorders>
          </w:tcPr>
          <w:p>
            <w:pPr>
              <w:jc w:val="right"/>
              <w:ind w:right="898"/>
              <w:spacing w:after="0"/>
              <w:rPr>
                <w:sz w:val="20"/>
                <w:szCs w:val="20"/>
                <w:color w:val="auto"/>
              </w:rPr>
            </w:pPr>
            <w:r>
              <w:rPr>
                <w:rFonts w:ascii="Calibri" w:cs="Calibri" w:eastAsia="Calibri" w:hAnsi="Calibri"/>
                <w:sz w:val="16"/>
                <w:szCs w:val="16"/>
                <w:color w:val="auto"/>
                <w:w w:val="73"/>
              </w:rPr>
              <w:t>$</w:t>
            </w:r>
          </w:p>
        </w:tc>
        <w:tc>
          <w:tcPr>
            <w:tcW w:w="4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rPr>
              <w:t>98.6</w:t>
            </w:r>
          </w:p>
        </w:tc>
        <w:tc>
          <w:tcPr>
            <w:tcW w:w="120" w:type="dxa"/>
            <w:vAlign w:val="bottom"/>
          </w:tcPr>
          <w:p>
            <w:pPr>
              <w:spacing w:after="0"/>
              <w:rPr>
                <w:sz w:val="19"/>
                <w:szCs w:val="19"/>
                <w:color w:val="auto"/>
              </w:rPr>
            </w:pPr>
          </w:p>
        </w:tc>
      </w:tr>
      <w:tr>
        <w:trPr>
          <w:trHeight w:val="22"/>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seasonal nature of constructon actvity impacts the Company’s interim operatng cash fow when compared with the full year. Full-year 2021 net cash provided by operatng actvites was $1.14 billion.</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During the three months ended March 31, 2022 and 2021, the Company paid $139.8 million and $110.3 million, respectvely, for capital investments.</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can repurchase its common stock through open-market purchases pursuant to authority granted by its Board of Directors or through private transactons at such prices and upon such terms as the Chief Executve Ofcer deems appropriate. The Company repurchased 130,551 shares of common stock during the frst three months of 2022 at an aggregate cost of $50.0 million. At March 31, 2022, 13,390,401 shares of common stock can be purchased under the Company’s repurchase authorizaton.</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2" w:name="page33"/>
    <w:bookmarkEnd w:id="32"/>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26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that matures on September 21, 2022. The Trade Receivable Facility contains a cross-default provision to the Company’s other debt agreements.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has an $800 million fve-year senior unsecured revolving facility (the Revolving Facility), which expires in December 2026. The Revolving Facility requires the Company’s rato of consolidated debt-to-consolidated EBITDA, as defned, for the trailing-twelve-month period (the Rato) to not exceed 3.50x as of the end of any fscal quarter, provided that the Company may exclude from the Rato debt incurred in connecton with certain acquisitons during the quarter or the three preceding quarters so long as the Rato calculated without such exclusion does not exceed 4.00x. Additonally, if there are no amounts outstanding under the Revolving Facility and the Trade Receivable Facility, consolidated debt, including debt for which the Company is a co-borrower, may be reduced in an amount equal to the lesser of $500.0 million or the sum of the Company’s unrestricted cash and temporary investments, for purposes of the covenant calculaton. The Company was in compliance with the Rato at March 31, 2022.</w:t>
      </w:r>
    </w:p>
    <w:p>
      <w:pPr>
        <w:spacing w:after="0" w:line="12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the event of a default on the Rato, the lenders can terminate the Revolving Facility and Trade Receivable Facility and declare any outstanding balances as immediately due. There were no amounts outstanding under the Trade Receivable Facility or the Revolving Facility as of March 31, 2022.</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Cash on hand,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address near-term debt maturites, meet capital expenditures and discretonary investment needs, fund certain acquisiton opportunites that may arise, allow the repurchase of shares of the Company’s common stock and allow for payment of dividends for the foreseeable future. At March 31, 2022, the Company had $1,197.4 million of unused borrowing capacity under its Revolving Facility and Trade Receivable Facility, subject to complying with the related leverage covenant. Historically, the Company has successfully extended the maturity dates of these credit facilites. Further, as of March 31, 2022, the Company does not have any publicly-traded debt that matures prior to 2023.</w:t>
      </w:r>
    </w:p>
    <w:p>
      <w:pPr>
        <w:spacing w:after="0" w:line="12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Coronavirus Aid, Relief and Economic Security Act (CARES Act) was signed into law in March 2020 and provided liquidity support for businesses. Through the CARES Act, the Company deferred payment of $27.6 million, representng the 6.2% employer share of Social Security taxes for the period from March 27, 2020 through December 31, 2020. Half of the deferred obligaton was repaid in 2021 and the remaining half is due December 31, 2022. There will be no interest assessed on amounts deferred.</w:t>
      </w:r>
    </w:p>
    <w:p>
      <w:pPr>
        <w:spacing w:after="0" w:line="326" w:lineRule="exact"/>
        <w:rPr>
          <w:sz w:val="20"/>
          <w:szCs w:val="20"/>
          <w:color w:val="auto"/>
        </w:rPr>
      </w:pPr>
    </w:p>
    <w:p>
      <w:pPr>
        <w:spacing w:after="0"/>
        <w:rPr>
          <w:sz w:val="20"/>
          <w:szCs w:val="20"/>
          <w:color w:val="auto"/>
        </w:rPr>
      </w:pPr>
      <w:r>
        <w:rPr>
          <w:rFonts w:ascii="Calibri" w:cs="Calibri" w:eastAsia="Calibri" w:hAnsi="Calibri"/>
          <w:sz w:val="20"/>
          <w:szCs w:val="20"/>
          <w:color w:val="auto"/>
        </w:rPr>
        <w:t>TRENDS AND RISKS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Company outlined the risks associated with its business in its Annual Report on Form 10-K for the year ended December 31, 2021. Management contnues to evaluate its exposure to all operatng risks on an ongoing basis.</w:t>
      </w:r>
    </w:p>
    <w:p>
      <w:pPr>
        <w:spacing w:after="0" w:line="324" w:lineRule="exact"/>
        <w:rPr>
          <w:sz w:val="20"/>
          <w:szCs w:val="20"/>
          <w:color w:val="auto"/>
        </w:rPr>
      </w:pPr>
    </w:p>
    <w:p>
      <w:pPr>
        <w:spacing w:after="0"/>
        <w:rPr>
          <w:sz w:val="20"/>
          <w:szCs w:val="20"/>
          <w:color w:val="auto"/>
        </w:rPr>
      </w:pPr>
      <w:r>
        <w:rPr>
          <w:rFonts w:ascii="Calibri" w:cs="Calibri" w:eastAsia="Calibri" w:hAnsi="Calibri"/>
          <w:sz w:val="20"/>
          <w:szCs w:val="20"/>
          <w:color w:val="auto"/>
        </w:rPr>
        <w:t>OTHER MATTERS</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3" w:name="page34"/>
    <w:bookmarkEnd w:id="33"/>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26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Investors are cautoned that all statements in this Form 10-Q that relate to the future involve risks and uncertaintes, and are based on assumptons that the Company believes in good faith are reasonable but which may be materially diferent from actual results. These statements, which are forward-looking statements under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Any or all of management’s forward-looking statements here and in other publicatons may turn out to be wrong.</w:t>
      </w:r>
    </w:p>
    <w:p>
      <w:pPr>
        <w:spacing w:after="0" w:line="121"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The Company’s outlook is subject to various risks and uncertaintes, and is based on assumptons that the Company believes in good faith are reasonable but which may be materially diferent from actual results. Factors that the Company currently believes could cause actual results to difer materially from the forward-looking statements in this Form 10-Q (including the outlook) include, but are not limited to: the ability of the Company to face challenges, including those posed by the COVID-19 pandemic and implementaton of any such related response plans; fuctuatons in COVID-19 cases in the United States and the extent that geography of outbreak primarily matches the regions in which the Company’s Building Materials business principally operates; the resiliency and potental declines of the Company’s various constructon end-use markets; the potental negatve impact of the COVID-19 pandemic on the Company’s ability to contnue supplying heavy-side building materials and related services at normal levels or at all in the Company’s key regions; the duraton, impact and severity of the impact of the COVID-19 pandemic on the Company, including the markets in which the Company does business, its suppliers, customers or other business partners as well as the Company’s employees; the economic impact of government responses to the pandemic; the performance of the United States economy, including the impact on the economy of the COVID-19 pandemic and governmental orders restrictng actvites imposed to prevent further outbreak of COVID-19; shipment declines resultng from economic events beyond the Company’s control; a widespread decline in aggregates pricing, including a decline in aggregates shipment volume negatvely afectng aggregates price; the history of both cement and ready mixed concrete being subject to signifcant changes in supply, demand and price fuctuatons; the terminaton, capping and/or reducton or suspension of the federal and/or state gasoline tax(es) or other revenue related to public constructon; the level and tming of federal, state or local transportaton or infrastructure or public projects funding, most partcularly in Texas, Colorado, California, North Carolina, Georgia, Minnesota, Iowa, Florida, Indiana and Maryland; the impact of governmental orders restrictng actvites imposed to prevent further outbreak of COVID-19 on travel, potentally reducing state fuel tax revenues used to fund highway projects; the United States Congress’ inability to reach agreement among themselves or with the Administraton on policy issues that impact the federal budget; the ability of states and/or other enttes to fnance approved projects either with tax revenues or alternatve fnancing structures; levels of constructon spending in the markets the Company serves; a reducton in defense spending and the subsequent impact on constructon actvity on or near military bases; a decline in the commercial component of the nonresidental constructon market, notably ofce and retail space, including a decline resultng from economic distress related to the COVID-19 pandemic; a decline in energy-related constructon actvity resultng from a sustained period of low global oil prices or changes in oil producton paterns or capital spending, partcularly in Texas; increasing residental mortgage interest rates and other factors that could result in a slowdown in residental constructon; unfavorable weather conditons, partcularly Atlantc Ocean and Gulf of Mexico hurricane actvity, wildfres, the late start to spring or the early onset of winter and the impact of a drought or excessive rainfall in the markets served by the Company, any of which can signifcantly afect producton schedules, volumes, product and/or geographic mix and proftability; whether the Company’s operatons will contnue to be treated as “essental” operatons under applicable government orders restrictng business actvites imposed to prevent further outbreak of COVID-19 or, even if so treated, whether site-specifc health and safety concerns might otherwise require certain of the Company’s operatons to be halted for some period of tme; the volatlity of fuel costs, partcularly diesel fuel, notably related to the current confict between Russia and Ukraine, and the impact on the cost, or the availability generally, of other consumables, namely steel, explosives,</w:t>
      </w: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4" w:name="page35"/>
    <w:bookmarkEnd w:id="34"/>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265"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tres and conveyor belts, and with respect to the Company’s Magnesia Specialtes business, natural gas; contnued increases in the cost of other repair and supply parts; constructon labor shortages and/or supply‐chain challenges; unexpected equipment failures, unscheduled maintenance, industrial accident or other prolonged and/or signifcant disrupton to producton facilites; increasing governmental regulaton, including environmental laws; the failure of relevant government agencies to implement expected regulatory reductons; transportaton availability or a sustained reducton in capital investment by the railroads, notably the availability of railcars, locomotve power and the conditon of rail infrastructure to move trains to supply the Company’s Texas, Colorado, Florida, Carolinas and Gulf Coast markets, including the movement of essental dolomitc lime for magnesia chemicals to the Company’s plant in Manistee, Michigan and its customers; increased transportaton costs, including increases from higher or fuctuatng passed-through energy costs or fuel surcharges, and other costs to comply with tghtening regulatons, as well as higher volumes of rail and water shipments (leading to reduced proft margins when compared with aggregates moved by truck); availability of trucks and licensed drivers for transport of the Company’s materials; availability and cost of constructon equipment in the United States; weakening in the steel industry markets served by the Company’s dolomitc lime products; changes in steel capacity utlizaton; trade disputes with one or more natons impactng the U.S. economy, including the impact of tarifs on the steel industry; unplanned changes in costs or realignment of customers that introduce volatlity to earnings, including the Magnesia Specialtes business; proper functoning of informaton technology and automated operatng systems to manage or support operatons; infaton and its efect on both producton and interest costs; the concentraton of customers in constructon markets and the increased risk of potental losses on customer receivables; the impact of the level of demand in the Company’s end-use markets, producton levels and management of producton costs on the operatng leverage and therefore proftability of the Company; the possibility that the expected synergies from acquisitons will not be realized or will not be realized within the expected tme period, including achieving antcipated proftability to maintain compliance with the Company’s leverage rato debt covenant; changes in tax laws, the interpretaton of such laws and/or administratve practces, including acquisitons or divesttures, that would increase the Company’s tax rate; violaton of the Company’s debt covenant if price and/or volumes return to previous levels of instability; downward pressure on the Company’s common stock price and its impact on goodwill impairment evaluatons; the possibility of a reducton of the Company’s credit ratng to non-investment grade; and other risk factors listed from tme to tme found in the Company’s flings with the SEC.</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should consider these forward-looking statements in light of risk factors discussed in the Company’s Annual Report on Form 10-K for the year ended December 31, 2021 and other periodic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The Company assumes no obligaton to update any such forward-looking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5" w:name="page36"/>
    <w:bookmarkEnd w:id="35"/>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38" w:lineRule="auto"/>
        <w:rPr>
          <w:sz w:val="20"/>
          <w:szCs w:val="20"/>
          <w:color w:val="auto"/>
        </w:rPr>
      </w:pPr>
      <w:r>
        <w:rPr>
          <w:rFonts w:ascii="Calibri" w:cs="Calibri" w:eastAsia="Calibri" w:hAnsi="Calibri"/>
          <w:sz w:val="20"/>
          <w:szCs w:val="20"/>
          <w:color w:val="auto"/>
        </w:rPr>
        <w:t>RESULTS OF OPERATIONS</w:t>
      </w:r>
    </w:p>
    <w:p>
      <w:pPr>
        <w:jc w:val="center"/>
        <w:spacing w:after="0"/>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ACCESS TO COMPANY FILINGS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Shareholders may obtain, without charge, a copy of Martn Marieta’s Annual Report on Form 10-K, as fled with the Securites and</w:t>
      </w:r>
    </w:p>
    <w:p>
      <w:pPr>
        <w:spacing w:after="0" w:line="238" w:lineRule="auto"/>
        <w:rPr>
          <w:sz w:val="20"/>
          <w:szCs w:val="20"/>
          <w:color w:val="auto"/>
        </w:rPr>
      </w:pPr>
      <w:r>
        <w:rPr>
          <w:rFonts w:ascii="Calibri" w:cs="Calibri" w:eastAsia="Calibri" w:hAnsi="Calibri"/>
          <w:sz w:val="20"/>
          <w:szCs w:val="20"/>
          <w:color w:val="auto"/>
        </w:rPr>
        <w:t>Exchange Commission for the fscal year ended December 31, 2021, by writng to:</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Martn Marieta</w:t>
      </w:r>
    </w:p>
    <w:p>
      <w:pPr>
        <w:ind w:left="260"/>
        <w:spacing w:after="0" w:line="238" w:lineRule="auto"/>
        <w:rPr>
          <w:sz w:val="20"/>
          <w:szCs w:val="20"/>
          <w:color w:val="auto"/>
        </w:rPr>
      </w:pPr>
      <w:r>
        <w:rPr>
          <w:rFonts w:ascii="Calibri" w:cs="Calibri" w:eastAsia="Calibri" w:hAnsi="Calibri"/>
          <w:sz w:val="20"/>
          <w:szCs w:val="20"/>
          <w:color w:val="auto"/>
        </w:rPr>
        <w:t>Atn: Corporate Secretary</w:t>
      </w:r>
    </w:p>
    <w:p>
      <w:pPr>
        <w:ind w:left="260"/>
        <w:spacing w:after="0"/>
        <w:rPr>
          <w:sz w:val="20"/>
          <w:szCs w:val="20"/>
          <w:color w:val="auto"/>
        </w:rPr>
      </w:pPr>
      <w:r>
        <w:rPr>
          <w:rFonts w:ascii="Calibri" w:cs="Calibri" w:eastAsia="Calibri" w:hAnsi="Calibri"/>
          <w:sz w:val="20"/>
          <w:szCs w:val="20"/>
          <w:color w:val="auto"/>
        </w:rPr>
        <w:t>4123 Parklake Avenue</w:t>
      </w:r>
    </w:p>
    <w:p>
      <w:pPr>
        <w:ind w:left="260"/>
        <w:spacing w:after="0" w:line="238" w:lineRule="auto"/>
        <w:rPr>
          <w:sz w:val="20"/>
          <w:szCs w:val="20"/>
          <w:color w:val="auto"/>
        </w:rPr>
      </w:pPr>
      <w:r>
        <w:rPr>
          <w:rFonts w:ascii="Calibri" w:cs="Calibri" w:eastAsia="Calibri" w:hAnsi="Calibri"/>
          <w:sz w:val="20"/>
          <w:szCs w:val="20"/>
          <w:color w:val="auto"/>
        </w:rPr>
        <w:t>Raleigh, North Carolina 27612</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Additonally, Martn Marieta’s Annual Report, press releases and flings with the Securites and Exchange Commission, including Forms 10-K, 10-Q, 8-K and 11-K, can generally be accessed via the Company’s website. Filings with the Securites and Exchange Commission accessed via the website are available through a link with the Electronic Data Gathering, Analysis, and Retrieval (EDGAR) system. Accordingly, access to such flings is available upon EDGAR placing the related document in its database. Investor relatons contact informaton is as follows:</w:t>
      </w:r>
    </w:p>
    <w:p>
      <w:pPr>
        <w:spacing w:after="0" w:line="10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Telephone: (919) 783-4691</w:t>
      </w:r>
    </w:p>
    <w:p>
      <w:pPr>
        <w:ind w:left="260"/>
        <w:spacing w:after="0" w:line="238" w:lineRule="auto"/>
        <w:rPr>
          <w:sz w:val="20"/>
          <w:szCs w:val="20"/>
          <w:color w:val="auto"/>
        </w:rPr>
      </w:pPr>
      <w:r>
        <w:rPr>
          <w:rFonts w:ascii="Calibri" w:cs="Calibri" w:eastAsia="Calibri" w:hAnsi="Calibri"/>
          <w:sz w:val="20"/>
          <w:szCs w:val="20"/>
          <w:color w:val="auto"/>
        </w:rPr>
        <w:t>Website address: www.martnmarieta.com</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Informaton included on the Company’s website is not incorporated into, or otherwise creates a part of, this report.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6" w:name="page37"/>
    <w:bookmarkEnd w:id="36"/>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color w:val="auto"/>
        </w:rPr>
        <w:t>Item 3. Quanttatve and Qualitatve Disclosures About Market Risk.</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Company’s operatons are highly dependent upon the interest rate-sensitve constructon and steelmaking industries. Demand in the residental and nonresidental constructon market, which combined accounted for 62% of aggregates shipments for the three months ended March 31, 2022, is afected by interest rates. During the quarter ended March 31, 2022, the Federal Reserve raised the target federal funds rate 25 basis points. Consequently, these marketplaces could experience lower levels of economic actvity in an environment of rising interest rates or escalatng costs if companies and consumers are unable to obtain fnancing for constructon projects or if consumer confdence is eroded by economic uncertainty.</w:t>
      </w:r>
    </w:p>
    <w:p>
      <w:pPr>
        <w:spacing w:after="0" w:line="120"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Demand for aggregates products, partcularly in the infrastructure constructon market, is afected by federal, state and local budget and defcit issues.</w:t>
      </w:r>
    </w:p>
    <w:p>
      <w:pPr>
        <w:spacing w:after="0" w:line="11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Aside from these inherent risks from within its operatons, the Company’s earnings are also afected by changes in short-term interest rates and changes in enacted tax laws.</w:t>
      </w:r>
    </w:p>
    <w:p>
      <w:pPr>
        <w:spacing w:after="0" w:line="118" w:lineRule="exact"/>
        <w:rPr>
          <w:sz w:val="20"/>
          <w:szCs w:val="20"/>
          <w:color w:val="auto"/>
        </w:rPr>
      </w:pPr>
    </w:p>
    <w:p>
      <w:pPr>
        <w:jc w:val="both"/>
        <w:spacing w:after="0" w:line="244" w:lineRule="auto"/>
        <w:rPr>
          <w:sz w:val="20"/>
          <w:szCs w:val="20"/>
          <w:color w:val="auto"/>
        </w:rPr>
      </w:pPr>
      <w:r>
        <w:rPr>
          <w:rFonts w:ascii="Calibri" w:cs="Calibri" w:eastAsia="Calibri" w:hAnsi="Calibri"/>
          <w:sz w:val="20"/>
          <w:szCs w:val="20"/>
          <w:i w:val="1"/>
          <w:iCs w:val="1"/>
          <w:color w:val="auto"/>
        </w:rPr>
        <w:t xml:space="preserve">Variable-Rate Borrowing Facilites. </w:t>
      </w:r>
      <w:r>
        <w:rPr>
          <w:rFonts w:ascii="Calibri" w:cs="Calibri" w:eastAsia="Calibri" w:hAnsi="Calibri"/>
          <w:sz w:val="20"/>
          <w:szCs w:val="20"/>
          <w:color w:val="auto"/>
        </w:rPr>
        <w:t>At March 31, 2022, the Company had an $800.0 million Revolving Facility and a $400.0 million Trade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Receivable Facility. Borrowings under these facilites bear interest at a variable interest rate. There were no borrowings outstanding on either facility at March 31, 2022. However, any future borrowings under the credit facilites or outstanding variable-rate debt are exposed to interest rate risk.</w:t>
      </w:r>
    </w:p>
    <w:p>
      <w:pPr>
        <w:spacing w:after="0" w:line="114"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Pension Expense. </w:t>
      </w:r>
      <w:r>
        <w:rPr>
          <w:rFonts w:ascii="Calibri" w:cs="Calibri" w:eastAsia="Calibri" w:hAnsi="Calibri"/>
          <w:sz w:val="20"/>
          <w:szCs w:val="20"/>
          <w:color w:val="auto"/>
        </w:rPr>
        <w:t>The Company’s results of operatons are afected by its pension expense. Assumptons that afect pension expense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include 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is discussed in the Company’s Annual Report on Form 10-K for the year ended December 31, 2021. The Company remeasured its qualifed pension plan as of February 28, 2022, to refect an amendment that increased the pension beneft for qualifying hourly employees. The discount rate at the remeasurement date was approximately 50 basis points higher compared with the discount rate as of December 31, 2021. Further, discount rates increased approximately 25 additonal basis points in the month of March 2022. Unless another event requires an interim remeasurement, the Company will next remeasure its pension obligaton and funded status as of December 31, 2022. Changes in the discount rate and pension asset values will impact 2023 pension expense.</w:t>
      </w:r>
    </w:p>
    <w:p>
      <w:pPr>
        <w:spacing w:after="0" w:line="341"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Income Tax. </w:t>
      </w:r>
      <w:r>
        <w:rPr>
          <w:rFonts w:ascii="Calibri" w:cs="Calibri" w:eastAsia="Calibri" w:hAnsi="Calibri"/>
          <w:sz w:val="20"/>
          <w:szCs w:val="20"/>
          <w:color w:val="auto"/>
        </w:rPr>
        <w:t>Any changes in enacted tax laws, rules or regulatory or judicial interpretatons; or any change in the pronouncements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relatng to accountng for income taxes could materially impact our efectve tax rate, tax payments, fnancial conditon and results of operatons.</w:t>
      </w:r>
    </w:p>
    <w:p>
      <w:pPr>
        <w:spacing w:after="0" w:line="34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i w:val="1"/>
          <w:iCs w:val="1"/>
          <w:color w:val="auto"/>
        </w:rPr>
        <w:t>Energy Costs</w:t>
      </w:r>
      <w:r>
        <w:rPr>
          <w:rFonts w:ascii="Calibri" w:cs="Calibri" w:eastAsia="Calibri" w:hAnsi="Calibri"/>
          <w:sz w:val="20"/>
          <w:szCs w:val="20"/>
          <w:color w:val="auto"/>
        </w:rPr>
        <w:t>. Energy costs, including diesel fuel, natural gas, electricity, coal and liquid asphalt, represent signifcant producton costs of</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Company. The cement operatons and Magnesia Specialtes business have fxed price agreements covering a majority of their 2022 coal requirements. Organic energy expense for the three months ended March 31, 2022 increased approximately 52% compared with the prior-year period, related to higher prices for natural gas, diesel, electricity and gasoline in 2022. Specifcally, the ongoing confict between Russia and Ukraine has exacerbated already increased diesel prices; however, any future energy prices cannot be reliably predicted. A hypothetcal price change of 52% would change organic full-year 2022 energy expense by $158.1 million as compared with 2021, assuming constant volumes. Further, the full-year 2022 impact on proftability and margins would be greater when considering the energy consumed by operatons acquired 2021.</w:t>
      </w: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7" w:name="page38"/>
    <w:bookmarkEnd w:id="37"/>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Ended March 31, 2022</w:t>
      </w:r>
    </w:p>
    <w:p>
      <w:pPr>
        <w:jc w:val="center"/>
        <w:spacing w:after="0" w:line="238" w:lineRule="auto"/>
        <w:rPr>
          <w:sz w:val="20"/>
          <w:szCs w:val="20"/>
          <w:color w:val="auto"/>
        </w:rPr>
      </w:pPr>
      <w:r>
        <w:rPr>
          <w:rFonts w:ascii="Calibri" w:cs="Calibri" w:eastAsia="Calibri" w:hAnsi="Calibri"/>
          <w:sz w:val="20"/>
          <w:szCs w:val="20"/>
          <w:color w:val="auto"/>
        </w:rPr>
        <w:t>(Contnued)</w:t>
      </w:r>
    </w:p>
    <w:p>
      <w:pPr>
        <w:spacing w:after="0" w:line="26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i w:val="1"/>
          <w:iCs w:val="1"/>
          <w:color w:val="auto"/>
        </w:rPr>
        <w:t xml:space="preserve">Commodity Risk. </w:t>
      </w:r>
      <w:r>
        <w:rPr>
          <w:rFonts w:ascii="Calibri" w:cs="Calibri" w:eastAsia="Calibri" w:hAnsi="Calibri"/>
          <w:sz w:val="20"/>
          <w:szCs w:val="20"/>
          <w:color w:val="auto"/>
        </w:rPr>
        <w:t>Cement is a commodity, and competton is based principally on price, which is highly sensitve to changes in supply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and demand. Prices are ofen subject to material changes in response to relatvely minor fuctuatons in supply and demand, general economic conditons and other market conditons beyond the Company’s control. Increases in the producton capacity of industry partcipants or increases in cement imports tend to create an oversupply of such products leading to an imbalance between supply and demand, which can have a negatve impact on product prices. There can be no assurance that prices for products sold will not decline in the future or that such declines will not have a material adverse efect on the Company’s business, fnancial conditon and results of operatons. Assuming full- year 2021 cement product revenues of $494.5 million, a hypothetcal 10% change in sales price would impact full-year cement product revenues by $49.5 million.</w:t>
      </w:r>
    </w:p>
    <w:p>
      <w:pPr>
        <w:spacing w:after="0" w:line="12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Cement is a key raw material in the producton of ready mixed concrete. The Company may be unable to pass along increases in the costs of cement and raw materials to customers in the form of price increases for the Company’s products. A hypothetcal 10% change in cement costs in 2022 compared with 2021, assuming constant volumes, would change the ready mixed concrete product line cost of revenues by $32.3 million. While increases in cement pricing may negatvely impact the proftability of the ready mixed concrete operatons, the cement business would beneft, although the positve impact may not refect a direct correlaton to the impact on the ready mixed concrete business.</w:t>
      </w:r>
    </w:p>
    <w:p>
      <w:pPr>
        <w:spacing w:after="0" w:line="12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The Company consumes other raw material and supply commodites in its operatons, the costs of which have been negatvely impacted by high infaton. The Company periodically implements price increases due to rising costs. However, there is a lag between announced price increases and the tme when they are fully realized.</w:t>
      </w:r>
    </w:p>
    <w:p>
      <w:pPr>
        <w:spacing w:after="0" w:line="323" w:lineRule="exact"/>
        <w:rPr>
          <w:sz w:val="20"/>
          <w:szCs w:val="20"/>
          <w:color w:val="auto"/>
        </w:rPr>
      </w:pPr>
    </w:p>
    <w:p>
      <w:pPr>
        <w:spacing w:after="0"/>
        <w:rPr>
          <w:sz w:val="20"/>
          <w:szCs w:val="20"/>
          <w:color w:val="auto"/>
        </w:rPr>
      </w:pPr>
      <w:r>
        <w:rPr>
          <w:rFonts w:ascii="Calibri" w:cs="Calibri" w:eastAsia="Calibri" w:hAnsi="Calibri"/>
          <w:sz w:val="20"/>
          <w:szCs w:val="20"/>
          <w:color w:val="auto"/>
        </w:rPr>
        <w:t>Item 4. Controls and Procedures.</w:t>
      </w:r>
    </w:p>
    <w:p>
      <w:pPr>
        <w:spacing w:after="0" w:line="117"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Evaluaton of Disclosure Controls and Procedures. </w:t>
      </w:r>
      <w:r>
        <w:rPr>
          <w:rFonts w:ascii="Calibri" w:cs="Calibri" w:eastAsia="Calibri" w:hAnsi="Calibri"/>
          <w:sz w:val="20"/>
          <w:szCs w:val="20"/>
          <w:color w:val="auto"/>
        </w:rPr>
        <w:t>As of March 31, 2022, an evaluaton was performed under the supervision and with</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partcipaton of the Company’s management, including the Chief Executve Ofcer and Chief Financial Ofcer, of the efectveness of the design and the operaton of the Company’s disclosure controls and procedures. Based on that evaluaton, the Company’s management, including the Chief Executve Ofcer and Chief Financial Ofcer, concluded that the Company’s disclosure controls and procedures were efectve as of March 31, 2022. There were no changes in the Company’s internal control over fnancial reportng during the most recently completed fscal quarter that materially afected, or are reasonably likely to materially afect, the Company’s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8" w:name="page39"/>
    <w:bookmarkEnd w:id="38"/>
    <w:p>
      <w:pPr>
        <w:jc w:val="center"/>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spacing w:after="0" w:line="238" w:lineRule="auto"/>
        <w:rPr>
          <w:sz w:val="20"/>
          <w:szCs w:val="20"/>
          <w:color w:val="auto"/>
        </w:rPr>
      </w:pPr>
      <w:r>
        <w:rPr>
          <w:rFonts w:ascii="Calibri" w:cs="Calibri" w:eastAsia="Calibri" w:hAnsi="Calibri"/>
          <w:sz w:val="20"/>
          <w:szCs w:val="20"/>
          <w:color w:val="auto"/>
        </w:rPr>
        <w:t>FORM 10-Q</w:t>
      </w:r>
    </w:p>
    <w:p>
      <w:pPr>
        <w:jc w:val="center"/>
        <w:spacing w:after="0"/>
        <w:rPr>
          <w:sz w:val="20"/>
          <w:szCs w:val="20"/>
          <w:color w:val="auto"/>
        </w:rPr>
      </w:pPr>
      <w:r>
        <w:rPr>
          <w:rFonts w:ascii="Calibri" w:cs="Calibri" w:eastAsia="Calibri" w:hAnsi="Calibri"/>
          <w:sz w:val="20"/>
          <w:szCs w:val="20"/>
          <w:color w:val="auto"/>
        </w:rPr>
        <w:t>For the Quarter March 31, 2022</w:t>
      </w:r>
    </w:p>
    <w:p>
      <w:pPr>
        <w:spacing w:after="0" w:line="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PART II. OTHER INFORMATION</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 Legal Proceedings.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See </w:t>
      </w:r>
      <w:r>
        <w:rPr>
          <w:rFonts w:ascii="Calibri" w:cs="Calibri" w:eastAsia="Calibri" w:hAnsi="Calibri"/>
          <w:sz w:val="20"/>
          <w:szCs w:val="20"/>
          <w:i w:val="1"/>
          <w:iCs w:val="1"/>
          <w:u w:val="single" w:color="auto"/>
          <w:color w:val="0000EE"/>
        </w:rPr>
        <w:t>Note 10 Commitments and Contngencies, Legal and Administratve Proceedings</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of this Form 10-Q.</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1A. Risk Factors.</w:t>
      </w:r>
    </w:p>
    <w:p>
      <w:pPr>
        <w:spacing w:after="0" w:line="117"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 xml:space="preserve">Reference is made to </w:t>
      </w:r>
      <w:r>
        <w:rPr>
          <w:rFonts w:ascii="Calibri" w:cs="Calibri" w:eastAsia="Calibri" w:hAnsi="Calibri"/>
          <w:sz w:val="20"/>
          <w:szCs w:val="20"/>
          <w:i w:val="1"/>
          <w:iCs w:val="1"/>
          <w:color w:val="auto"/>
        </w:rPr>
        <w:t>Part I. Item 1A. Risk Factors and Forward-Looking Statements</w:t>
      </w:r>
      <w:r>
        <w:rPr>
          <w:rFonts w:ascii="Calibri" w:cs="Calibri" w:eastAsia="Calibri" w:hAnsi="Calibri"/>
          <w:sz w:val="20"/>
          <w:szCs w:val="20"/>
          <w:color w:val="auto"/>
        </w:rPr>
        <w:t xml:space="preserve"> of the Martn Marieta Annual Report on Form 10-K for the year ended December 31, 2021.</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2. Unregistered Sales of Equity Securites and Use of Proceeds</w:t>
      </w:r>
      <w:r>
        <w:rPr>
          <w:rFonts w:ascii="Calibri" w:cs="Calibri" w:eastAsia="Calibri" w:hAnsi="Calibri"/>
          <w:sz w:val="20"/>
          <w:szCs w:val="20"/>
          <w:color w:val="auto"/>
        </w:rPr>
        <w:t>.</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ISSUER PURCHASES OF EQUITY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color w:val="auto"/>
                <w:w w:val="95"/>
              </w:rPr>
              <w:t>Total Number of Shares</w:t>
            </w:r>
          </w:p>
        </w:tc>
        <w:tc>
          <w:tcPr>
            <w:tcW w:w="24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7"/>
              </w:rPr>
              <w:t>Maximum Number of</w:t>
            </w:r>
          </w:p>
        </w:tc>
      </w:tr>
      <w:tr>
        <w:trPr>
          <w:trHeight w:val="229"/>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Calibri" w:cs="Calibri" w:eastAsia="Calibri" w:hAnsi="Calibri"/>
                <w:sz w:val="18"/>
                <w:szCs w:val="18"/>
                <w:color w:val="auto"/>
                <w:w w:val="97"/>
              </w:rPr>
              <w:t>Purchased as Part of</w:t>
            </w:r>
          </w:p>
        </w:tc>
        <w:tc>
          <w:tcPr>
            <w:tcW w:w="24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Calibri" w:cs="Calibri" w:eastAsia="Calibri" w:hAnsi="Calibri"/>
                <w:sz w:val="18"/>
                <w:szCs w:val="18"/>
                <w:color w:val="auto"/>
                <w:w w:val="96"/>
              </w:rPr>
              <w:t>Shares that May Yet</w:t>
            </w:r>
          </w:p>
        </w:tc>
      </w:tr>
      <w:tr>
        <w:trPr>
          <w:trHeight w:val="23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Calibri" w:cs="Calibri" w:eastAsia="Calibri" w:hAnsi="Calibri"/>
                <w:sz w:val="18"/>
                <w:szCs w:val="18"/>
                <w:color w:val="auto"/>
              </w:rPr>
              <w:t>Total Number of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Calibri" w:cs="Calibri" w:eastAsia="Calibri" w:hAnsi="Calibri"/>
                <w:sz w:val="18"/>
                <w:szCs w:val="18"/>
                <w:color w:val="auto"/>
                <w:w w:val="95"/>
              </w:rPr>
              <w:t>Average Price</w:t>
            </w:r>
          </w:p>
        </w:tc>
        <w:tc>
          <w:tcPr>
            <w:tcW w:w="1680" w:type="dxa"/>
            <w:vAlign w:val="bottom"/>
          </w:tcPr>
          <w:p>
            <w:pPr>
              <w:jc w:val="center"/>
              <w:spacing w:after="0"/>
              <w:rPr>
                <w:sz w:val="20"/>
                <w:szCs w:val="20"/>
                <w:color w:val="auto"/>
              </w:rPr>
            </w:pPr>
            <w:r>
              <w:rPr>
                <w:rFonts w:ascii="Calibri" w:cs="Calibri" w:eastAsia="Calibri" w:hAnsi="Calibri"/>
                <w:sz w:val="18"/>
                <w:szCs w:val="18"/>
                <w:color w:val="auto"/>
                <w:w w:val="98"/>
              </w:rPr>
              <w:t>Publicly Announced</w:t>
            </w:r>
          </w:p>
        </w:tc>
        <w:tc>
          <w:tcPr>
            <w:tcW w:w="24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6"/>
              </w:rPr>
              <w:t>be Purchased Under</w:t>
            </w:r>
          </w:p>
        </w:tc>
      </w:tr>
      <w:tr>
        <w:trPr>
          <w:trHeight w:val="229"/>
        </w:trPr>
        <w:tc>
          <w:tcPr>
            <w:tcW w:w="4320" w:type="dxa"/>
            <w:vAlign w:val="bottom"/>
            <w:gridSpan w:val="2"/>
          </w:tcPr>
          <w:p>
            <w:pPr>
              <w:ind w:left="1880"/>
              <w:spacing w:after="0"/>
              <w:rPr>
                <w:sz w:val="20"/>
                <w:szCs w:val="20"/>
                <w:color w:val="auto"/>
              </w:rPr>
            </w:pPr>
            <w:r>
              <w:rPr>
                <w:rFonts w:ascii="Calibri" w:cs="Calibri" w:eastAsia="Calibri" w:hAnsi="Calibri"/>
                <w:sz w:val="18"/>
                <w:szCs w:val="18"/>
                <w:color w:val="auto"/>
              </w:rPr>
              <w:t>Period</w:t>
            </w:r>
          </w:p>
        </w:tc>
        <w:tc>
          <w:tcPr>
            <w:tcW w:w="1540" w:type="dxa"/>
            <w:vAlign w:val="bottom"/>
          </w:tcPr>
          <w:p>
            <w:pPr>
              <w:jc w:val="right"/>
              <w:ind w:right="50"/>
              <w:spacing w:after="0"/>
              <w:rPr>
                <w:sz w:val="20"/>
                <w:szCs w:val="20"/>
                <w:color w:val="auto"/>
              </w:rPr>
            </w:pPr>
            <w:r>
              <w:rPr>
                <w:rFonts w:ascii="Calibri" w:cs="Calibri" w:eastAsia="Calibri" w:hAnsi="Calibri"/>
                <w:sz w:val="18"/>
                <w:szCs w:val="18"/>
                <w:color w:val="auto"/>
              </w:rPr>
              <w:t>Shares Purchased</w:t>
            </w:r>
          </w:p>
        </w:tc>
        <w:tc>
          <w:tcPr>
            <w:tcW w:w="220" w:type="dxa"/>
            <w:vAlign w:val="bottom"/>
          </w:tcPr>
          <w:p>
            <w:pPr>
              <w:spacing w:after="0"/>
              <w:rPr>
                <w:sz w:val="19"/>
                <w:szCs w:val="19"/>
                <w:color w:val="auto"/>
              </w:rPr>
            </w:pPr>
          </w:p>
        </w:tc>
        <w:tc>
          <w:tcPr>
            <w:tcW w:w="1440" w:type="dxa"/>
            <w:vAlign w:val="bottom"/>
            <w:gridSpan w:val="3"/>
          </w:tcPr>
          <w:p>
            <w:pPr>
              <w:jc w:val="center"/>
              <w:ind w:right="240"/>
              <w:spacing w:after="0"/>
              <w:rPr>
                <w:sz w:val="20"/>
                <w:szCs w:val="20"/>
                <w:color w:val="auto"/>
              </w:rPr>
            </w:pPr>
            <w:r>
              <w:rPr>
                <w:rFonts w:ascii="Calibri" w:cs="Calibri" w:eastAsia="Calibri" w:hAnsi="Calibri"/>
                <w:sz w:val="18"/>
                <w:szCs w:val="18"/>
                <w:color w:val="auto"/>
                <w:w w:val="98"/>
              </w:rPr>
              <w:t>Paid per Share</w:t>
            </w:r>
          </w:p>
        </w:tc>
        <w:tc>
          <w:tcPr>
            <w:tcW w:w="1680" w:type="dxa"/>
            <w:vAlign w:val="bottom"/>
          </w:tcPr>
          <w:p>
            <w:pPr>
              <w:jc w:val="center"/>
              <w:spacing w:after="0"/>
              <w:rPr>
                <w:sz w:val="20"/>
                <w:szCs w:val="20"/>
                <w:color w:val="auto"/>
              </w:rPr>
            </w:pPr>
            <w:r>
              <w:rPr>
                <w:rFonts w:ascii="Calibri" w:cs="Calibri" w:eastAsia="Calibri" w:hAnsi="Calibri"/>
                <w:sz w:val="18"/>
                <w:szCs w:val="18"/>
                <w:color w:val="auto"/>
                <w:w w:val="98"/>
              </w:rPr>
              <w:t>Plans or Programs</w:t>
            </w:r>
          </w:p>
        </w:tc>
        <w:tc>
          <w:tcPr>
            <w:tcW w:w="24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Calibri" w:cs="Calibri" w:eastAsia="Calibri" w:hAnsi="Calibri"/>
                <w:sz w:val="18"/>
                <w:szCs w:val="18"/>
                <w:color w:val="auto"/>
                <w:w w:val="96"/>
              </w:rPr>
              <w:t>the Plans or Programs</w:t>
            </w:r>
          </w:p>
        </w:tc>
      </w:tr>
      <w:tr>
        <w:trPr>
          <w:trHeight w:val="23"/>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00" w:type="dxa"/>
            <w:vAlign w:val="bottom"/>
            <w:tcBorders>
              <w:top w:val="single" w:sz="8" w:color="auto"/>
            </w:tcBorders>
          </w:tcPr>
          <w:p>
            <w:pPr>
              <w:spacing w:after="0" w:line="215" w:lineRule="exact"/>
              <w:rPr>
                <w:sz w:val="20"/>
                <w:szCs w:val="20"/>
                <w:color w:val="auto"/>
              </w:rPr>
            </w:pPr>
            <w:r>
              <w:rPr>
                <w:rFonts w:ascii="Calibri" w:cs="Calibri" w:eastAsia="Calibri" w:hAnsi="Calibri"/>
                <w:sz w:val="18"/>
                <w:szCs w:val="18"/>
                <w:color w:val="auto"/>
              </w:rPr>
              <w:t>January 1, 2022 - January 31, 2022</w:t>
            </w:r>
          </w:p>
        </w:tc>
        <w:tc>
          <w:tcPr>
            <w:tcW w:w="120" w:type="dxa"/>
            <w:vAlign w:val="bottom"/>
          </w:tcPr>
          <w:p>
            <w:pPr>
              <w:spacing w:after="0"/>
              <w:rPr>
                <w:sz w:val="18"/>
                <w:szCs w:val="18"/>
                <w:color w:val="auto"/>
              </w:rPr>
            </w:pPr>
          </w:p>
        </w:tc>
        <w:tc>
          <w:tcPr>
            <w:tcW w:w="154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6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7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13,520,952</w:t>
            </w:r>
          </w:p>
        </w:tc>
        <w:tc>
          <w:tcPr>
            <w:tcW w:w="100" w:type="dxa"/>
            <w:vAlign w:val="bottom"/>
          </w:tcPr>
          <w:p>
            <w:pPr>
              <w:spacing w:after="0"/>
              <w:rPr>
                <w:sz w:val="18"/>
                <w:szCs w:val="18"/>
                <w:color w:val="auto"/>
              </w:rPr>
            </w:pPr>
          </w:p>
        </w:tc>
      </w:tr>
      <w:tr>
        <w:trPr>
          <w:trHeight w:val="237"/>
        </w:trPr>
        <w:tc>
          <w:tcPr>
            <w:tcW w:w="4320" w:type="dxa"/>
            <w:vAlign w:val="bottom"/>
            <w:gridSpan w:val="2"/>
            <w:shd w:val="clear" w:color="auto" w:fill="CFF0FC"/>
          </w:tcPr>
          <w:p>
            <w:pPr>
              <w:spacing w:after="0"/>
              <w:rPr>
                <w:sz w:val="20"/>
                <w:szCs w:val="20"/>
                <w:color w:val="auto"/>
              </w:rPr>
            </w:pPr>
            <w:r>
              <w:rPr>
                <w:rFonts w:ascii="Calibri" w:cs="Calibri" w:eastAsia="Calibri" w:hAnsi="Calibri"/>
                <w:sz w:val="18"/>
                <w:szCs w:val="18"/>
                <w:color w:val="auto"/>
              </w:rPr>
              <w:t>February 1, 2022 - February 28, 2022</w:t>
            </w:r>
          </w:p>
        </w:tc>
        <w:tc>
          <w:tcPr>
            <w:tcW w:w="154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130,551</w:t>
            </w:r>
          </w:p>
        </w:tc>
        <w:tc>
          <w:tcPr>
            <w:tcW w:w="32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1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382.99</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130,551</w:t>
            </w:r>
          </w:p>
        </w:tc>
        <w:tc>
          <w:tcPr>
            <w:tcW w:w="1940" w:type="dxa"/>
            <w:vAlign w:val="bottom"/>
            <w:gridSpan w:val="2"/>
            <w:shd w:val="clear" w:color="auto" w:fill="CFF0FC"/>
          </w:tcPr>
          <w:p>
            <w:pPr>
              <w:jc w:val="right"/>
              <w:spacing w:after="0"/>
              <w:rPr>
                <w:sz w:val="20"/>
                <w:szCs w:val="20"/>
                <w:color w:val="auto"/>
              </w:rPr>
            </w:pPr>
            <w:r>
              <w:rPr>
                <w:rFonts w:ascii="Calibri" w:cs="Calibri" w:eastAsia="Calibri" w:hAnsi="Calibri"/>
                <w:sz w:val="18"/>
                <w:szCs w:val="18"/>
                <w:color w:val="auto"/>
              </w:rPr>
              <w:t>13,390,401</w:t>
            </w:r>
          </w:p>
        </w:tc>
        <w:tc>
          <w:tcPr>
            <w:tcW w:w="100" w:type="dxa"/>
            <w:vAlign w:val="bottom"/>
            <w:shd w:val="clear" w:color="auto" w:fill="CFF0FC"/>
          </w:tcPr>
          <w:p>
            <w:pPr>
              <w:spacing w:after="0"/>
              <w:rPr>
                <w:sz w:val="20"/>
                <w:szCs w:val="20"/>
                <w:color w:val="auto"/>
              </w:rPr>
            </w:pPr>
          </w:p>
        </w:tc>
      </w:tr>
      <w:tr>
        <w:trPr>
          <w:trHeight w:val="223"/>
        </w:trPr>
        <w:tc>
          <w:tcPr>
            <w:tcW w:w="4320" w:type="dxa"/>
            <w:vAlign w:val="bottom"/>
            <w:tcBorders>
              <w:bottom w:val="single" w:sz="8" w:color="CFF0FC"/>
            </w:tcBorders>
            <w:gridSpan w:val="2"/>
          </w:tcPr>
          <w:p>
            <w:pPr>
              <w:spacing w:after="0" w:line="215" w:lineRule="exact"/>
              <w:rPr>
                <w:sz w:val="20"/>
                <w:szCs w:val="20"/>
                <w:color w:val="auto"/>
              </w:rPr>
            </w:pPr>
            <w:r>
              <w:rPr>
                <w:rFonts w:ascii="Calibri" w:cs="Calibri" w:eastAsia="Calibri" w:hAnsi="Calibri"/>
                <w:sz w:val="18"/>
                <w:szCs w:val="18"/>
                <w:color w:val="auto"/>
              </w:rPr>
              <w:t>March 1, 2022 - March 31, 2022</w:t>
            </w:r>
          </w:p>
        </w:tc>
        <w:tc>
          <w:tcPr>
            <w:tcW w:w="1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320" w:type="dxa"/>
            <w:vAlign w:val="bottom"/>
            <w:tcBorders>
              <w:bottom w:val="single" w:sz="8" w:color="CFF0FC"/>
            </w:tcBorders>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CFF0FC"/>
            </w:tcBorders>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940" w:type="dxa"/>
            <w:vAlign w:val="bottom"/>
            <w:tcBorders>
              <w:bottom w:val="single" w:sz="8" w:color="CFF0FC"/>
            </w:tcBorders>
            <w:gridSpan w:val="2"/>
          </w:tcPr>
          <w:p>
            <w:pPr>
              <w:jc w:val="right"/>
              <w:spacing w:after="0" w:line="215" w:lineRule="exact"/>
              <w:rPr>
                <w:sz w:val="20"/>
                <w:szCs w:val="20"/>
                <w:color w:val="auto"/>
              </w:rPr>
            </w:pPr>
            <w:r>
              <w:rPr>
                <w:rFonts w:ascii="Calibri" w:cs="Calibri" w:eastAsia="Calibri" w:hAnsi="Calibri"/>
                <w:sz w:val="18"/>
                <w:szCs w:val="18"/>
                <w:color w:val="auto"/>
              </w:rPr>
              <w:t>13,390,401</w:t>
            </w:r>
          </w:p>
        </w:tc>
        <w:tc>
          <w:tcPr>
            <w:tcW w:w="10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gridSpan w:val="2"/>
            <w:shd w:val="clear" w:color="auto" w:fill="CFF0FC"/>
          </w:tcPr>
          <w:p>
            <w:pPr>
              <w:spacing w:after="0" w:line="206" w:lineRule="exact"/>
              <w:rPr>
                <w:sz w:val="20"/>
                <w:szCs w:val="20"/>
                <w:color w:val="auto"/>
              </w:rPr>
            </w:pPr>
            <w:r>
              <w:rPr>
                <w:rFonts w:ascii="Calibri" w:cs="Calibri" w:eastAsia="Calibri" w:hAnsi="Calibri"/>
                <w:sz w:val="18"/>
                <w:szCs w:val="18"/>
                <w:color w:val="auto"/>
              </w:rPr>
              <w:t>Total</w:t>
            </w:r>
          </w:p>
        </w:tc>
        <w:tc>
          <w:tcPr>
            <w:tcW w:w="15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130,551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130,551</w:t>
            </w:r>
          </w:p>
        </w:tc>
        <w:tc>
          <w:tcPr>
            <w:tcW w:w="24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expiraton date.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4. Mine Safety Disclosures.</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informaton concerning mine safety violatons or other regulatory maters required by Secton 1503(a) of the Dodd-Frank Wall Street Reform and Consumer Protecton Act and Item 104 of Regulaton S-K (17 CFR 229.104) is included in Exhibit 95 to this Quarterly Report on Form 10-Q.</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44"/>
        </w:trPr>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40" w:type="dxa"/>
            <w:vAlign w:val="bottom"/>
          </w:tcPr>
          <w:p>
            <w:pPr>
              <w:jc w:val="center"/>
              <w:ind w:right="1281"/>
              <w:spacing w:after="0"/>
              <w:rPr>
                <w:sz w:val="20"/>
                <w:szCs w:val="20"/>
                <w:color w:val="auto"/>
              </w:rPr>
            </w:pPr>
            <w:r>
              <w:rPr>
                <w:rFonts w:ascii="Calibri" w:cs="Calibri" w:eastAsia="Calibri" w:hAnsi="Calibri"/>
                <w:sz w:val="20"/>
                <w:szCs w:val="20"/>
                <w:color w:val="auto"/>
              </w:rPr>
              <w:t>MARTIN MARIETTA MATERIALS, INC. AND CONSOLIDATED SUBSIDIARIES</w:t>
            </w:r>
          </w:p>
        </w:tc>
      </w:tr>
      <w:tr>
        <w:trPr>
          <w:trHeight w:val="243"/>
        </w:trPr>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40" w:type="dxa"/>
            <w:vAlign w:val="bottom"/>
          </w:tcPr>
          <w:p>
            <w:pPr>
              <w:jc w:val="center"/>
              <w:ind w:right="1301"/>
              <w:spacing w:after="0" w:line="243" w:lineRule="exact"/>
              <w:rPr>
                <w:sz w:val="20"/>
                <w:szCs w:val="20"/>
                <w:color w:val="auto"/>
              </w:rPr>
            </w:pPr>
            <w:r>
              <w:rPr>
                <w:rFonts w:ascii="Calibri" w:cs="Calibri" w:eastAsia="Calibri" w:hAnsi="Calibri"/>
                <w:sz w:val="20"/>
                <w:szCs w:val="20"/>
                <w:color w:val="auto"/>
              </w:rPr>
              <w:t>FORM 10-Q</w:t>
            </w:r>
          </w:p>
        </w:tc>
      </w:tr>
      <w:tr>
        <w:trPr>
          <w:trHeight w:val="243"/>
        </w:trPr>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40" w:type="dxa"/>
            <w:vAlign w:val="bottom"/>
          </w:tcPr>
          <w:p>
            <w:pPr>
              <w:jc w:val="center"/>
              <w:ind w:right="1301"/>
              <w:spacing w:after="0" w:line="243" w:lineRule="exact"/>
              <w:rPr>
                <w:sz w:val="20"/>
                <w:szCs w:val="20"/>
                <w:color w:val="auto"/>
              </w:rPr>
            </w:pPr>
            <w:r>
              <w:rPr>
                <w:rFonts w:ascii="Calibri" w:cs="Calibri" w:eastAsia="Calibri" w:hAnsi="Calibri"/>
                <w:sz w:val="20"/>
                <w:szCs w:val="20"/>
                <w:color w:val="auto"/>
              </w:rPr>
              <w:t>For the Quarter March 31, 2022</w:t>
            </w:r>
          </w:p>
        </w:tc>
      </w:tr>
      <w:tr>
        <w:trPr>
          <w:trHeight w:val="310"/>
        </w:trPr>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Pr>
          <w:p>
            <w:pPr>
              <w:jc w:val="center"/>
              <w:ind w:right="1301"/>
              <w:spacing w:after="0"/>
              <w:rPr>
                <w:sz w:val="20"/>
                <w:szCs w:val="20"/>
                <w:color w:val="auto"/>
              </w:rPr>
            </w:pPr>
            <w:r>
              <w:rPr>
                <w:rFonts w:ascii="Calibri" w:cs="Calibri" w:eastAsia="Calibri" w:hAnsi="Calibri"/>
                <w:sz w:val="20"/>
                <w:szCs w:val="20"/>
                <w:color w:val="auto"/>
                <w:w w:val="99"/>
              </w:rPr>
              <w:t>PART II. OTHER INFORMATION</w:t>
            </w:r>
          </w:p>
        </w:tc>
      </w:tr>
      <w:tr>
        <w:trPr>
          <w:trHeight w:val="243"/>
        </w:trPr>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40" w:type="dxa"/>
            <w:vAlign w:val="bottom"/>
          </w:tcPr>
          <w:p>
            <w:pPr>
              <w:jc w:val="center"/>
              <w:ind w:right="1281"/>
              <w:spacing w:after="0" w:line="243" w:lineRule="exact"/>
              <w:rPr>
                <w:sz w:val="20"/>
                <w:szCs w:val="20"/>
                <w:color w:val="auto"/>
              </w:rPr>
            </w:pPr>
            <w:r>
              <w:rPr>
                <w:rFonts w:ascii="Calibri" w:cs="Calibri" w:eastAsia="Calibri" w:hAnsi="Calibri"/>
                <w:sz w:val="20"/>
                <w:szCs w:val="20"/>
                <w:color w:val="auto"/>
              </w:rPr>
              <w:t>(Contnued)</w:t>
            </w:r>
          </w:p>
        </w:tc>
      </w:tr>
      <w:tr>
        <w:trPr>
          <w:trHeight w:val="357"/>
        </w:trPr>
        <w:tc>
          <w:tcPr>
            <w:tcW w:w="1320" w:type="dxa"/>
            <w:vAlign w:val="bottom"/>
            <w:tcBorders>
              <w:bottom w:val="single" w:sz="8" w:color="auto"/>
            </w:tcBorders>
            <w:gridSpan w:val="3"/>
          </w:tcPr>
          <w:p>
            <w:pPr>
              <w:spacing w:after="0"/>
              <w:rPr>
                <w:sz w:val="20"/>
                <w:szCs w:val="20"/>
                <w:color w:val="auto"/>
              </w:rPr>
            </w:pPr>
            <w:r>
              <w:rPr>
                <w:rFonts w:ascii="Calibri" w:cs="Calibri" w:eastAsia="Calibri" w:hAnsi="Calibri"/>
                <w:sz w:val="20"/>
                <w:szCs w:val="20"/>
                <w:color w:val="auto"/>
                <w:w w:val="99"/>
              </w:rPr>
              <w:t>Item 6. Exhibits.</w:t>
            </w:r>
          </w:p>
        </w:tc>
        <w:tc>
          <w:tcPr>
            <w:tcW w:w="80" w:type="dxa"/>
            <w:vAlign w:val="bottom"/>
          </w:tcPr>
          <w:p>
            <w:pPr>
              <w:spacing w:after="0"/>
              <w:rPr>
                <w:sz w:val="24"/>
                <w:szCs w:val="24"/>
                <w:color w:val="auto"/>
              </w:rPr>
            </w:pPr>
          </w:p>
        </w:tc>
        <w:tc>
          <w:tcPr>
            <w:tcW w:w="9840" w:type="dxa"/>
            <w:vAlign w:val="bottom"/>
          </w:tcPr>
          <w:p>
            <w:pPr>
              <w:spacing w:after="0"/>
              <w:rPr>
                <w:sz w:val="24"/>
                <w:szCs w:val="24"/>
                <w:color w:val="auto"/>
              </w:rPr>
            </w:pPr>
          </w:p>
        </w:tc>
      </w:tr>
      <w:tr>
        <w:trPr>
          <w:trHeight w:val="487"/>
        </w:trPr>
        <w:tc>
          <w:tcPr>
            <w:tcW w:w="1320" w:type="dxa"/>
            <w:vAlign w:val="bottom"/>
            <w:gridSpan w:val="3"/>
          </w:tcPr>
          <w:p>
            <w:pPr>
              <w:ind w:left="200"/>
              <w:spacing w:after="0"/>
              <w:rPr>
                <w:sz w:val="20"/>
                <w:szCs w:val="20"/>
                <w:color w:val="auto"/>
              </w:rPr>
            </w:pPr>
            <w:r>
              <w:rPr>
                <w:rFonts w:ascii="Calibri" w:cs="Calibri" w:eastAsia="Calibri" w:hAnsi="Calibri"/>
                <w:sz w:val="20"/>
                <w:szCs w:val="20"/>
                <w:color w:val="auto"/>
              </w:rPr>
              <w:t>Exhibit No.</w:t>
            </w:r>
          </w:p>
        </w:tc>
        <w:tc>
          <w:tcPr>
            <w:tcW w:w="80" w:type="dxa"/>
            <w:vAlign w:val="bottom"/>
          </w:tcPr>
          <w:p>
            <w:pPr>
              <w:spacing w:after="0"/>
              <w:rPr>
                <w:sz w:val="24"/>
                <w:szCs w:val="24"/>
                <w:color w:val="auto"/>
              </w:rPr>
            </w:pPr>
          </w:p>
        </w:tc>
        <w:tc>
          <w:tcPr>
            <w:tcW w:w="9840" w:type="dxa"/>
            <w:vAlign w:val="bottom"/>
          </w:tcPr>
          <w:p>
            <w:pPr>
              <w:ind w:left="4500"/>
              <w:spacing w:after="0"/>
              <w:rPr>
                <w:sz w:val="20"/>
                <w:szCs w:val="20"/>
                <w:color w:val="auto"/>
              </w:rPr>
            </w:pPr>
            <w:r>
              <w:rPr>
                <w:rFonts w:ascii="Calibri" w:cs="Calibri" w:eastAsia="Calibri" w:hAnsi="Calibri"/>
                <w:sz w:val="20"/>
                <w:szCs w:val="20"/>
                <w:color w:val="auto"/>
              </w:rPr>
              <w:t>Document</w:t>
            </w:r>
          </w:p>
        </w:tc>
      </w:tr>
      <w:tr>
        <w:trPr>
          <w:trHeight w:val="33"/>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Calibri" w:cs="Calibri" w:eastAsia="Calibri" w:hAnsi="Calibri"/>
                <w:sz w:val="20"/>
                <w:szCs w:val="20"/>
                <w:color w:val="0000EE"/>
                <w:w w:val="96"/>
              </w:rPr>
              <w:t>31.</w:t>
            </w:r>
            <w:r>
              <w:rPr>
                <w:rFonts w:ascii="Calibri" w:cs="Calibri" w:eastAsia="Calibri" w:hAnsi="Calibri"/>
                <w:sz w:val="20"/>
                <w:szCs w:val="20"/>
                <w:u w:val="single" w:color="auto"/>
                <w:color w:val="0000EE"/>
                <w:w w:val="96"/>
              </w:rPr>
              <w:t>01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Certfcaton dated May 3, 2022 of Chief Executve Ofcer pursuant to Securites and Exchange Act of 1934 Rule 13a-14</w:t>
            </w:r>
          </w:p>
        </w:tc>
      </w:tr>
      <w:tr>
        <w:trPr>
          <w:trHeight w:val="258"/>
        </w:trPr>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as adopted pursuant to Secton 302 of the Sarbanes-Oxley Act of 2002</w:t>
            </w:r>
          </w:p>
        </w:tc>
      </w:tr>
      <w:tr>
        <w:trPr>
          <w:trHeight w:val="330"/>
        </w:trPr>
        <w:tc>
          <w:tcPr>
            <w:tcW w:w="460" w:type="dxa"/>
            <w:vAlign w:val="bottom"/>
            <w:tcBorders>
              <w:bottom w:val="single" w:sz="8" w:color="0000EE"/>
            </w:tcBorders>
          </w:tcPr>
          <w:p>
            <w:pPr>
              <w:spacing w:after="0"/>
              <w:rPr>
                <w:sz w:val="20"/>
                <w:szCs w:val="20"/>
                <w:color w:val="auto"/>
              </w:rPr>
            </w:pPr>
            <w:r>
              <w:rPr>
                <w:rFonts w:ascii="Calibri" w:cs="Calibri" w:eastAsia="Calibri" w:hAnsi="Calibri"/>
                <w:sz w:val="20"/>
                <w:szCs w:val="20"/>
                <w:color w:val="0000EE"/>
                <w:w w:val="96"/>
              </w:rPr>
              <w:t>31.</w:t>
            </w:r>
            <w:r>
              <w:rPr>
                <w:rFonts w:ascii="Calibri" w:cs="Calibri" w:eastAsia="Calibri" w:hAnsi="Calibri"/>
                <w:sz w:val="20"/>
                <w:szCs w:val="20"/>
                <w:u w:val="single" w:color="auto"/>
                <w:color w:val="0000EE"/>
                <w:w w:val="96"/>
              </w:rPr>
              <w:t>02</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Certfcaton dated May 3, 2022 of Chief Financial Ofcer pursuant to Securites and Exchange Act of 1934 Rule 13a-14</w:t>
            </w:r>
          </w:p>
        </w:tc>
      </w:tr>
      <w:tr>
        <w:trPr>
          <w:trHeight w:val="258"/>
        </w:trPr>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as adopted pursuant to Secton 302 of the Sarbanes-Oxley Act of 2002</w:t>
            </w:r>
          </w:p>
        </w:tc>
      </w:tr>
      <w:tr>
        <w:trPr>
          <w:trHeight w:val="330"/>
        </w:trPr>
        <w:tc>
          <w:tcPr>
            <w:tcW w:w="460" w:type="dxa"/>
            <w:vAlign w:val="bottom"/>
            <w:tcBorders>
              <w:bottom w:val="single" w:sz="8" w:color="0000EE"/>
            </w:tcBorders>
          </w:tcPr>
          <w:p>
            <w:pPr>
              <w:spacing w:after="0"/>
              <w:rPr>
                <w:sz w:val="20"/>
                <w:szCs w:val="20"/>
                <w:color w:val="auto"/>
              </w:rPr>
            </w:pPr>
            <w:r>
              <w:rPr>
                <w:rFonts w:ascii="Calibri" w:cs="Calibri" w:eastAsia="Calibri" w:hAnsi="Calibri"/>
                <w:sz w:val="20"/>
                <w:szCs w:val="20"/>
                <w:color w:val="0000EE"/>
                <w:w w:val="96"/>
              </w:rPr>
              <w:t>32.</w:t>
            </w:r>
            <w:r>
              <w:rPr>
                <w:rFonts w:ascii="Calibri" w:cs="Calibri" w:eastAsia="Calibri" w:hAnsi="Calibri"/>
                <w:sz w:val="20"/>
                <w:szCs w:val="20"/>
                <w:u w:val="single" w:color="auto"/>
                <w:color w:val="0000EE"/>
                <w:w w:val="96"/>
              </w:rPr>
              <w:t>01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Writen Statement dated May 3, 2022 of Chief Executve Ofcer required by 18 U.S.C. 1350, as adopted pursuant to</w:t>
            </w:r>
          </w:p>
        </w:tc>
      </w:tr>
      <w:tr>
        <w:trPr>
          <w:trHeight w:val="258"/>
        </w:trPr>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Secton 906 of the Sarbanes-Oxley Act of 2002</w:t>
            </w:r>
          </w:p>
        </w:tc>
      </w:tr>
      <w:tr>
        <w:trPr>
          <w:trHeight w:val="330"/>
        </w:trPr>
        <w:tc>
          <w:tcPr>
            <w:tcW w:w="460" w:type="dxa"/>
            <w:vAlign w:val="bottom"/>
            <w:tcBorders>
              <w:bottom w:val="single" w:sz="8" w:color="0000EE"/>
            </w:tcBorders>
          </w:tcPr>
          <w:p>
            <w:pPr>
              <w:spacing w:after="0"/>
              <w:rPr>
                <w:sz w:val="20"/>
                <w:szCs w:val="20"/>
                <w:color w:val="auto"/>
              </w:rPr>
            </w:pPr>
            <w:r>
              <w:rPr>
                <w:rFonts w:ascii="Calibri" w:cs="Calibri" w:eastAsia="Calibri" w:hAnsi="Calibri"/>
                <w:sz w:val="20"/>
                <w:szCs w:val="20"/>
                <w:color w:val="0000EE"/>
                <w:w w:val="96"/>
              </w:rPr>
              <w:t>32.</w:t>
            </w:r>
            <w:r>
              <w:rPr>
                <w:rFonts w:ascii="Calibri" w:cs="Calibri" w:eastAsia="Calibri" w:hAnsi="Calibri"/>
                <w:sz w:val="20"/>
                <w:szCs w:val="20"/>
                <w:u w:val="single" w:color="auto"/>
                <w:color w:val="0000EE"/>
                <w:w w:val="96"/>
              </w:rPr>
              <w:t>02</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Writen Statement dated May 3, 2022 of Chief Financial Ofcer required by 18 U.S.C. 1350, as adopted pursuant to</w:t>
            </w:r>
          </w:p>
        </w:tc>
      </w:tr>
      <w:tr>
        <w:trPr>
          <w:trHeight w:val="258"/>
        </w:trPr>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2"/>
          </w:tcPr>
          <w:p>
            <w:pPr>
              <w:ind w:left="80"/>
              <w:spacing w:after="0"/>
              <w:rPr>
                <w:sz w:val="20"/>
                <w:szCs w:val="20"/>
                <w:color w:val="auto"/>
              </w:rPr>
            </w:pPr>
            <w:r>
              <w:rPr>
                <w:rFonts w:ascii="Calibri" w:cs="Calibri" w:eastAsia="Calibri" w:hAnsi="Calibri"/>
                <w:sz w:val="20"/>
                <w:szCs w:val="20"/>
                <w:color w:val="auto"/>
              </w:rPr>
              <w:t>Secton 906 of the Sarbanes-Oxley Act of 2002</w:t>
            </w:r>
          </w:p>
        </w:tc>
      </w:tr>
    </w:tbl>
    <w:p>
      <w:pPr>
        <w:spacing w:after="0" w:line="120" w:lineRule="exact"/>
        <w:rPr>
          <w:sz w:val="20"/>
          <w:szCs w:val="20"/>
          <w:color w:val="auto"/>
        </w:rPr>
      </w:pPr>
    </w:p>
    <w:p>
      <w:pPr>
        <w:ind w:left="1400" w:hanging="1392"/>
        <w:spacing w:after="0"/>
        <w:tabs>
          <w:tab w:leader="none" w:pos="1400" w:val="left"/>
        </w:tabs>
        <w:numPr>
          <w:ilvl w:val="0"/>
          <w:numId w:val="16"/>
        </w:numPr>
        <w:rPr>
          <w:rFonts w:ascii="Calibri" w:cs="Calibri" w:eastAsia="Calibri" w:hAnsi="Calibri"/>
          <w:sz w:val="20"/>
          <w:szCs w:val="20"/>
          <w:u w:val="single" w:color="auto"/>
          <w:color w:val="0000EE"/>
        </w:rPr>
      </w:pPr>
      <w:r>
        <w:rPr>
          <w:rFonts w:ascii="Calibri" w:cs="Calibri" w:eastAsia="Calibri" w:hAnsi="Calibri"/>
          <w:sz w:val="20"/>
          <w:szCs w:val="20"/>
          <w:color w:val="auto"/>
        </w:rPr>
        <w:t>Mine Safety Disclosures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Calibri" w:cs="Calibri" w:eastAsia="Calibri" w:hAnsi="Calibri"/>
                <w:sz w:val="20"/>
                <w:szCs w:val="20"/>
                <w:color w:val="auto"/>
              </w:rPr>
              <w:t>101.INS</w:t>
            </w:r>
          </w:p>
        </w:tc>
        <w:tc>
          <w:tcPr>
            <w:tcW w:w="10200" w:type="dxa"/>
            <w:vAlign w:val="bottom"/>
          </w:tcPr>
          <w:p>
            <w:pPr>
              <w:ind w:left="360"/>
              <w:spacing w:after="0"/>
              <w:rPr>
                <w:sz w:val="20"/>
                <w:szCs w:val="20"/>
                <w:color w:val="auto"/>
              </w:rPr>
            </w:pPr>
            <w:r>
              <w:rPr>
                <w:rFonts w:ascii="Calibri" w:cs="Calibri" w:eastAsia="Calibri" w:hAnsi="Calibri"/>
                <w:sz w:val="20"/>
                <w:szCs w:val="20"/>
                <w:color w:val="auto"/>
              </w:rPr>
              <w:t>Inline XBRL Instance Document – The instance document does not appear in the Interactve Data File because its XBRL</w:t>
            </w:r>
          </w:p>
        </w:tc>
      </w:tr>
      <w:tr>
        <w:trPr>
          <w:trHeight w:val="243"/>
        </w:trPr>
        <w:tc>
          <w:tcPr>
            <w:tcW w:w="1040" w:type="dxa"/>
            <w:vAlign w:val="bottom"/>
          </w:tcPr>
          <w:p>
            <w:pPr>
              <w:spacing w:after="0"/>
              <w:rPr>
                <w:sz w:val="21"/>
                <w:szCs w:val="21"/>
                <w:color w:val="auto"/>
              </w:rPr>
            </w:pPr>
          </w:p>
        </w:tc>
        <w:tc>
          <w:tcPr>
            <w:tcW w:w="10200" w:type="dxa"/>
            <w:vAlign w:val="bottom"/>
          </w:tcPr>
          <w:p>
            <w:pPr>
              <w:ind w:left="360"/>
              <w:spacing w:after="0" w:line="243" w:lineRule="exact"/>
              <w:rPr>
                <w:sz w:val="20"/>
                <w:szCs w:val="20"/>
                <w:color w:val="auto"/>
              </w:rPr>
            </w:pPr>
            <w:r>
              <w:rPr>
                <w:rFonts w:ascii="Calibri" w:cs="Calibri" w:eastAsia="Calibri" w:hAnsi="Calibri"/>
                <w:sz w:val="20"/>
                <w:szCs w:val="20"/>
                <w:color w:val="auto"/>
              </w:rPr>
              <w:t>tags are embedded within the Inline XBRL document.</w:t>
            </w:r>
          </w:p>
        </w:tc>
      </w:tr>
      <w:tr>
        <w:trPr>
          <w:trHeight w:val="364"/>
        </w:trPr>
        <w:tc>
          <w:tcPr>
            <w:tcW w:w="1040" w:type="dxa"/>
            <w:vAlign w:val="bottom"/>
          </w:tcPr>
          <w:p>
            <w:pPr>
              <w:spacing w:after="0"/>
              <w:rPr>
                <w:sz w:val="20"/>
                <w:szCs w:val="20"/>
                <w:color w:val="auto"/>
              </w:rPr>
            </w:pPr>
            <w:r>
              <w:rPr>
                <w:rFonts w:ascii="Calibri" w:cs="Calibri" w:eastAsia="Calibri" w:hAnsi="Calibri"/>
                <w:sz w:val="20"/>
                <w:szCs w:val="20"/>
                <w:color w:val="auto"/>
              </w:rPr>
              <w:t>101.SCH</w:t>
            </w:r>
          </w:p>
        </w:tc>
        <w:tc>
          <w:tcPr>
            <w:tcW w:w="1020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Schema Document</w:t>
            </w:r>
          </w:p>
        </w:tc>
      </w:tr>
      <w:tr>
        <w:trPr>
          <w:trHeight w:val="365"/>
        </w:trPr>
        <w:tc>
          <w:tcPr>
            <w:tcW w:w="1040" w:type="dxa"/>
            <w:vAlign w:val="bottom"/>
          </w:tcPr>
          <w:p>
            <w:pPr>
              <w:spacing w:after="0"/>
              <w:rPr>
                <w:sz w:val="20"/>
                <w:szCs w:val="20"/>
                <w:color w:val="auto"/>
              </w:rPr>
            </w:pPr>
            <w:r>
              <w:rPr>
                <w:rFonts w:ascii="Calibri" w:cs="Calibri" w:eastAsia="Calibri" w:hAnsi="Calibri"/>
                <w:sz w:val="20"/>
                <w:szCs w:val="20"/>
                <w:color w:val="auto"/>
              </w:rPr>
              <w:t>101.CAL</w:t>
            </w:r>
          </w:p>
        </w:tc>
        <w:tc>
          <w:tcPr>
            <w:tcW w:w="1020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Calculaton Linkbase Document</w:t>
            </w:r>
          </w:p>
        </w:tc>
      </w:tr>
      <w:tr>
        <w:trPr>
          <w:trHeight w:val="364"/>
        </w:trPr>
        <w:tc>
          <w:tcPr>
            <w:tcW w:w="1040" w:type="dxa"/>
            <w:vAlign w:val="bottom"/>
          </w:tcPr>
          <w:p>
            <w:pPr>
              <w:spacing w:after="0"/>
              <w:rPr>
                <w:sz w:val="20"/>
                <w:szCs w:val="20"/>
                <w:color w:val="auto"/>
              </w:rPr>
            </w:pPr>
            <w:r>
              <w:rPr>
                <w:rFonts w:ascii="Calibri" w:cs="Calibri" w:eastAsia="Calibri" w:hAnsi="Calibri"/>
                <w:sz w:val="20"/>
                <w:szCs w:val="20"/>
                <w:color w:val="auto"/>
              </w:rPr>
              <w:t>101.LAB</w:t>
            </w:r>
          </w:p>
        </w:tc>
        <w:tc>
          <w:tcPr>
            <w:tcW w:w="1020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Label Linkbase Document</w:t>
            </w:r>
          </w:p>
        </w:tc>
      </w:tr>
      <w:tr>
        <w:trPr>
          <w:trHeight w:val="365"/>
        </w:trPr>
        <w:tc>
          <w:tcPr>
            <w:tcW w:w="1040" w:type="dxa"/>
            <w:vAlign w:val="bottom"/>
          </w:tcPr>
          <w:p>
            <w:pPr>
              <w:spacing w:after="0"/>
              <w:rPr>
                <w:sz w:val="20"/>
                <w:szCs w:val="20"/>
                <w:color w:val="auto"/>
              </w:rPr>
            </w:pPr>
            <w:r>
              <w:rPr>
                <w:rFonts w:ascii="Calibri" w:cs="Calibri" w:eastAsia="Calibri" w:hAnsi="Calibri"/>
                <w:sz w:val="20"/>
                <w:szCs w:val="20"/>
                <w:color w:val="auto"/>
              </w:rPr>
              <w:t>101.PRE</w:t>
            </w:r>
          </w:p>
        </w:tc>
        <w:tc>
          <w:tcPr>
            <w:tcW w:w="1020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Presentaton Linkbase Document</w:t>
            </w:r>
          </w:p>
        </w:tc>
      </w:tr>
      <w:tr>
        <w:trPr>
          <w:trHeight w:val="364"/>
        </w:trPr>
        <w:tc>
          <w:tcPr>
            <w:tcW w:w="1040" w:type="dxa"/>
            <w:vAlign w:val="bottom"/>
          </w:tcPr>
          <w:p>
            <w:pPr>
              <w:spacing w:after="0"/>
              <w:rPr>
                <w:sz w:val="20"/>
                <w:szCs w:val="20"/>
                <w:color w:val="auto"/>
              </w:rPr>
            </w:pPr>
            <w:r>
              <w:rPr>
                <w:rFonts w:ascii="Calibri" w:cs="Calibri" w:eastAsia="Calibri" w:hAnsi="Calibri"/>
                <w:sz w:val="20"/>
                <w:szCs w:val="20"/>
                <w:color w:val="auto"/>
              </w:rPr>
              <w:t>101.DEF</w:t>
            </w:r>
          </w:p>
        </w:tc>
        <w:tc>
          <w:tcPr>
            <w:tcW w:w="1020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Defniton Linkbase</w:t>
            </w:r>
          </w:p>
        </w:tc>
      </w:tr>
    </w:tbl>
    <w:p>
      <w:pPr>
        <w:spacing w:after="0" w:line="120" w:lineRule="exact"/>
        <w:rPr>
          <w:sz w:val="20"/>
          <w:szCs w:val="20"/>
          <w:color w:val="auto"/>
        </w:rPr>
      </w:pPr>
    </w:p>
    <w:p>
      <w:pPr>
        <w:ind w:left="1400" w:hanging="1392"/>
        <w:spacing w:after="0"/>
        <w:tabs>
          <w:tab w:leader="none" w:pos="140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Cover Page Interactve Data File (formated as inline XBRL and contained in Exhibit 101)</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32" w:lineRule="exact"/>
        <w:rPr>
          <w:rFonts w:ascii="Calibri" w:cs="Calibri" w:eastAsia="Calibri" w:hAnsi="Calibri"/>
          <w:sz w:val="20"/>
          <w:szCs w:val="20"/>
          <w:color w:val="auto"/>
        </w:rPr>
      </w:pPr>
    </w:p>
    <w:p>
      <w:pPr>
        <w:ind w:left="5060"/>
        <w:spacing w:after="0"/>
        <w:rPr>
          <w:rFonts w:ascii="Calibri" w:cs="Calibri" w:eastAsia="Calibri" w:hAnsi="Calibri"/>
          <w:sz w:val="20"/>
          <w:szCs w:val="20"/>
          <w:color w:val="auto"/>
        </w:rPr>
      </w:pPr>
      <w:r>
        <w:rPr>
          <w:rFonts w:ascii="Calibri" w:cs="Calibri" w:eastAsia="Calibri" w:hAnsi="Calibri"/>
          <w:sz w:val="20"/>
          <w:szCs w:val="20"/>
          <w:color w:val="auto"/>
        </w:rPr>
        <w:t>Page 40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0" w:name="page41"/>
    <w:bookmarkEnd w:id="40"/>
    <w:p>
      <w:pPr>
        <w:jc w:val="center"/>
        <w:spacing w:after="0"/>
        <w:rPr>
          <w:sz w:val="20"/>
          <w:szCs w:val="20"/>
          <w:color w:val="auto"/>
        </w:rPr>
      </w:pPr>
      <w:r>
        <w:rPr>
          <w:rFonts w:ascii="Calibri" w:cs="Calibri" w:eastAsia="Calibri" w:hAnsi="Calibri"/>
          <w:sz w:val="20"/>
          <w:szCs w:val="20"/>
          <w:color w:val="auto"/>
        </w:rPr>
        <w:t>SIGNATURES</w:t>
      </w:r>
    </w:p>
    <w:p>
      <w:pPr>
        <w:spacing w:after="0" w:line="22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Calibri" w:cs="Calibri" w:eastAsia="Calibri" w:hAnsi="Calibri"/>
                <w:sz w:val="20"/>
                <w:szCs w:val="20"/>
                <w:color w:val="auto"/>
              </w:rPr>
              <w:t>MARTIN MARIETTA MATERIALS, INC.</w:t>
            </w:r>
          </w:p>
        </w:tc>
      </w:tr>
      <w:tr>
        <w:trPr>
          <w:trHeight w:val="243"/>
        </w:trPr>
        <w:tc>
          <w:tcPr>
            <w:tcW w:w="4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140" w:type="dxa"/>
            <w:vAlign w:val="bottom"/>
          </w:tcPr>
          <w:p>
            <w:pPr>
              <w:jc w:val="center"/>
              <w:ind w:right="2001"/>
              <w:spacing w:after="0" w:line="243" w:lineRule="exact"/>
              <w:rPr>
                <w:sz w:val="20"/>
                <w:szCs w:val="20"/>
                <w:color w:val="auto"/>
              </w:rPr>
            </w:pPr>
            <w:r>
              <w:rPr>
                <w:rFonts w:ascii="Calibri" w:cs="Calibri" w:eastAsia="Calibri" w:hAnsi="Calibri"/>
                <w:sz w:val="20"/>
                <w:szCs w:val="20"/>
                <w:color w:val="auto"/>
              </w:rPr>
              <w:t>(Registrant)</w:t>
            </w:r>
          </w:p>
        </w:tc>
      </w:tr>
      <w:tr>
        <w:trPr>
          <w:trHeight w:val="473"/>
        </w:trPr>
        <w:tc>
          <w:tcPr>
            <w:tcW w:w="4120" w:type="dxa"/>
            <w:vAlign w:val="bottom"/>
          </w:tcPr>
          <w:p>
            <w:pPr>
              <w:spacing w:after="0"/>
              <w:rPr>
                <w:sz w:val="20"/>
                <w:szCs w:val="20"/>
                <w:color w:val="auto"/>
              </w:rPr>
            </w:pPr>
            <w:r>
              <w:rPr>
                <w:rFonts w:ascii="Calibri" w:cs="Calibri" w:eastAsia="Calibri" w:hAnsi="Calibri"/>
                <w:sz w:val="20"/>
                <w:szCs w:val="20"/>
                <w:color w:val="auto"/>
              </w:rPr>
              <w:t>Date: May 3, 2022</w:t>
            </w:r>
          </w:p>
        </w:tc>
        <w:tc>
          <w:tcPr>
            <w:tcW w:w="7120" w:type="dxa"/>
            <w:vAlign w:val="bottom"/>
            <w:gridSpan w:val="2"/>
          </w:tcPr>
          <w:p>
            <w:pPr>
              <w:ind w:left="2620"/>
              <w:spacing w:after="0"/>
              <w:rPr>
                <w:sz w:val="20"/>
                <w:szCs w:val="20"/>
                <w:color w:val="auto"/>
              </w:rPr>
            </w:pPr>
            <w:r>
              <w:rPr>
                <w:rFonts w:ascii="Calibri" w:cs="Calibri" w:eastAsia="Calibri" w:hAnsi="Calibri"/>
                <w:sz w:val="20"/>
                <w:szCs w:val="20"/>
                <w:color w:val="auto"/>
              </w:rPr>
              <w:t>By: /s/ James A. J. Nickolas</w:t>
            </w:r>
          </w:p>
        </w:tc>
      </w:tr>
      <w:tr>
        <w:trPr>
          <w:trHeight w:val="33"/>
        </w:trPr>
        <w:tc>
          <w:tcPr>
            <w:tcW w:w="4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12"/>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40" w:type="dxa"/>
            <w:vAlign w:val="bottom"/>
          </w:tcPr>
          <w:p>
            <w:pPr>
              <w:spacing w:after="0" w:line="212" w:lineRule="exact"/>
              <w:rPr>
                <w:sz w:val="20"/>
                <w:szCs w:val="20"/>
                <w:color w:val="auto"/>
              </w:rPr>
            </w:pPr>
            <w:r>
              <w:rPr>
                <w:rFonts w:ascii="Calibri" w:cs="Calibri" w:eastAsia="Calibri" w:hAnsi="Calibri"/>
                <w:sz w:val="20"/>
                <w:szCs w:val="20"/>
                <w:color w:val="auto"/>
              </w:rPr>
              <w:t>James A. J. Nickolas</w:t>
            </w:r>
          </w:p>
        </w:tc>
      </w:tr>
      <w:tr>
        <w:trPr>
          <w:trHeight w:val="234"/>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40" w:type="dxa"/>
            <w:vAlign w:val="bottom"/>
          </w:tcPr>
          <w:p>
            <w:pPr>
              <w:spacing w:after="0" w:line="234" w:lineRule="exact"/>
              <w:rPr>
                <w:sz w:val="20"/>
                <w:szCs w:val="20"/>
                <w:color w:val="auto"/>
              </w:rPr>
            </w:pPr>
            <w:r>
              <w:rPr>
                <w:rFonts w:ascii="Calibri" w:cs="Calibri" w:eastAsia="Calibri" w:hAnsi="Calibri"/>
                <w:sz w:val="20"/>
                <w:szCs w:val="20"/>
                <w:color w:val="auto"/>
              </w:rPr>
              <w:t>Sr. Vice President and</w:t>
            </w:r>
          </w:p>
        </w:tc>
      </w:tr>
      <w:tr>
        <w:trPr>
          <w:trHeight w:val="243"/>
        </w:trPr>
        <w:tc>
          <w:tcPr>
            <w:tcW w:w="4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140" w:type="dxa"/>
            <w:vAlign w:val="bottom"/>
          </w:tcPr>
          <w:p>
            <w:pPr>
              <w:jc w:val="center"/>
              <w:ind w:right="1981"/>
              <w:spacing w:after="0" w:line="243" w:lineRule="exact"/>
              <w:rPr>
                <w:sz w:val="20"/>
                <w:szCs w:val="20"/>
                <w:color w:val="auto"/>
              </w:rPr>
            </w:pPr>
            <w:r>
              <w:rPr>
                <w:rFonts w:ascii="Calibri" w:cs="Calibri" w:eastAsia="Calibri" w:hAnsi="Calibri"/>
                <w:sz w:val="20"/>
                <w:szCs w:val="20"/>
                <w:color w:val="auto"/>
              </w:rPr>
              <w:t>Chief Financial Ofcer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41 of 41</w:t>
      </w:r>
    </w:p>
    <w:p>
      <w:pPr>
        <w:sectPr>
          <w:pgSz w:w="11900" w:h="16838" w:orient="portrait"/>
          <w:cols w:equalWidth="0" w:num="1">
            <w:col w:w="11240"/>
          </w:cols>
          <w:pgMar w:left="320" w:top="470" w:right="339" w:bottom="1440" w:gutter="0" w:footer="0" w:header="0"/>
        </w:sectPr>
      </w:pPr>
    </w:p>
    <w:bookmarkStart w:id="41" w:name="page42"/>
    <w:bookmarkEnd w:id="41"/>
    <w:p>
      <w:pPr>
        <w:jc w:val="right"/>
        <w:spacing w:after="0"/>
        <w:rPr>
          <w:sz w:val="20"/>
          <w:szCs w:val="20"/>
          <w:color w:val="auto"/>
        </w:rPr>
      </w:pPr>
      <w:r>
        <w:rPr>
          <w:rFonts w:ascii="Calibri" w:cs="Calibri" w:eastAsia="Calibri" w:hAnsi="Calibri"/>
          <w:sz w:val="20"/>
          <w:szCs w:val="20"/>
          <w:b w:val="1"/>
          <w:bCs w:val="1"/>
          <w:color w:val="auto"/>
        </w:rPr>
        <w:t>EXHIBIT 31.01</w:t>
      </w:r>
    </w:p>
    <w:p>
      <w:pPr>
        <w:spacing w:after="0" w:line="200" w:lineRule="exact"/>
        <w:rPr>
          <w:sz w:val="20"/>
          <w:szCs w:val="20"/>
          <w:color w:val="auto"/>
        </w:rPr>
      </w:pPr>
    </w:p>
    <w:p>
      <w:pPr>
        <w:spacing w:after="0" w:line="295" w:lineRule="exact"/>
        <w:rPr>
          <w:sz w:val="20"/>
          <w:szCs w:val="20"/>
          <w:color w:val="auto"/>
        </w:rPr>
      </w:pPr>
    </w:p>
    <w:p>
      <w:pPr>
        <w:jc w:val="center"/>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228" w:lineRule="exact"/>
        <w:rPr>
          <w:sz w:val="20"/>
          <w:szCs w:val="20"/>
          <w:color w:val="auto"/>
        </w:rPr>
      </w:pPr>
    </w:p>
    <w:p>
      <w:pPr>
        <w:ind w:left="1300" w:hanging="442"/>
        <w:spacing w:after="0"/>
        <w:tabs>
          <w:tab w:leader="none" w:pos="130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38" w:lineRule="exact"/>
        <w:rPr>
          <w:rFonts w:ascii="Calibri" w:cs="Calibri" w:eastAsia="Calibri" w:hAnsi="Calibri"/>
          <w:sz w:val="20"/>
          <w:szCs w:val="20"/>
          <w:color w:val="auto"/>
        </w:rPr>
      </w:pPr>
    </w:p>
    <w:p>
      <w:pPr>
        <w:jc w:val="both"/>
        <w:ind w:left="1300" w:hanging="442"/>
        <w:spacing w:after="0" w:line="236" w:lineRule="auto"/>
        <w:tabs>
          <w:tab w:leader="none" w:pos="130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8" w:lineRule="exact"/>
        <w:rPr>
          <w:rFonts w:ascii="Calibri" w:cs="Calibri" w:eastAsia="Calibri" w:hAnsi="Calibri"/>
          <w:sz w:val="20"/>
          <w:szCs w:val="20"/>
          <w:color w:val="auto"/>
        </w:rPr>
      </w:pPr>
    </w:p>
    <w:p>
      <w:pPr>
        <w:jc w:val="both"/>
        <w:ind w:left="1300" w:hanging="442"/>
        <w:spacing w:after="0" w:line="236" w:lineRule="auto"/>
        <w:tabs>
          <w:tab w:leader="none" w:pos="130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38" w:lineRule="exact"/>
        <w:rPr>
          <w:rFonts w:ascii="Calibri" w:cs="Calibri" w:eastAsia="Calibri" w:hAnsi="Calibri"/>
          <w:sz w:val="20"/>
          <w:szCs w:val="20"/>
          <w:color w:val="auto"/>
        </w:rPr>
      </w:pPr>
    </w:p>
    <w:p>
      <w:pPr>
        <w:jc w:val="both"/>
        <w:ind w:left="1300" w:right="20" w:hanging="442"/>
        <w:spacing w:after="0" w:line="236" w:lineRule="auto"/>
        <w:tabs>
          <w:tab w:leader="none" w:pos="130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38"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41"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41"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8"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42" w:name="page43"/>
    <w:bookmarkEnd w:id="42"/>
    <w:p>
      <w:pPr>
        <w:spacing w:after="0" w:line="255" w:lineRule="exact"/>
        <w:rPr>
          <w:sz w:val="20"/>
          <w:szCs w:val="20"/>
          <w:color w:val="auto"/>
        </w:rPr>
      </w:pPr>
    </w:p>
    <w:p>
      <w:pPr>
        <w:jc w:val="both"/>
        <w:ind w:left="1300" w:hanging="442"/>
        <w:spacing w:after="0" w:line="236" w:lineRule="auto"/>
        <w:tabs>
          <w:tab w:leader="none" w:pos="130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8"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8" w:lineRule="exact"/>
        <w:rPr>
          <w:rFonts w:ascii="Calibri" w:cs="Calibri" w:eastAsia="Calibri" w:hAnsi="Calibri"/>
          <w:sz w:val="20"/>
          <w:szCs w:val="20"/>
          <w:color w:val="auto"/>
        </w:rPr>
      </w:pPr>
    </w:p>
    <w:p>
      <w:pPr>
        <w:ind w:left="2160" w:right="20" w:hanging="438"/>
        <w:spacing w:after="0" w:line="234" w:lineRule="auto"/>
        <w:tabs>
          <w:tab w:leader="none" w:pos="216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60" w:type="dxa"/>
            <w:vAlign w:val="bottom"/>
          </w:tcPr>
          <w:p>
            <w:pPr>
              <w:spacing w:after="0"/>
              <w:rPr>
                <w:sz w:val="20"/>
                <w:szCs w:val="20"/>
                <w:color w:val="auto"/>
              </w:rPr>
            </w:pPr>
            <w:r>
              <w:rPr>
                <w:rFonts w:ascii="Calibri" w:cs="Calibri" w:eastAsia="Calibri" w:hAnsi="Calibri"/>
                <w:sz w:val="20"/>
                <w:szCs w:val="20"/>
                <w:color w:val="auto"/>
              </w:rPr>
              <w:t>Date: May 3, 2022</w:t>
            </w:r>
          </w:p>
        </w:tc>
        <w:tc>
          <w:tcPr>
            <w:tcW w:w="7080" w:type="dxa"/>
            <w:vAlign w:val="bottom"/>
            <w:gridSpan w:val="2"/>
          </w:tcPr>
          <w:p>
            <w:pPr>
              <w:ind w:left="2600"/>
              <w:spacing w:after="0"/>
              <w:rPr>
                <w:sz w:val="20"/>
                <w:szCs w:val="20"/>
                <w:color w:val="auto"/>
              </w:rPr>
            </w:pPr>
            <w:r>
              <w:rPr>
                <w:rFonts w:ascii="Calibri" w:cs="Calibri" w:eastAsia="Calibri" w:hAnsi="Calibri"/>
                <w:sz w:val="20"/>
                <w:szCs w:val="20"/>
                <w:color w:val="auto"/>
              </w:rPr>
              <w:t>By:  /s/ C. Howard Nye</w:t>
            </w:r>
          </w:p>
        </w:tc>
      </w:tr>
      <w:tr>
        <w:trPr>
          <w:trHeight w:val="33"/>
        </w:trPr>
        <w:tc>
          <w:tcPr>
            <w:tcW w:w="4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12"/>
        </w:trPr>
        <w:tc>
          <w:tcPr>
            <w:tcW w:w="4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40" w:type="dxa"/>
            <w:vAlign w:val="bottom"/>
          </w:tcPr>
          <w:p>
            <w:pPr>
              <w:spacing w:after="0" w:line="212" w:lineRule="exact"/>
              <w:rPr>
                <w:sz w:val="20"/>
                <w:szCs w:val="20"/>
                <w:color w:val="auto"/>
              </w:rPr>
            </w:pPr>
            <w:r>
              <w:rPr>
                <w:rFonts w:ascii="Calibri" w:cs="Calibri" w:eastAsia="Calibri" w:hAnsi="Calibri"/>
                <w:sz w:val="20"/>
                <w:szCs w:val="20"/>
                <w:color w:val="auto"/>
              </w:rPr>
              <w:t>C. Howard Nye</w:t>
            </w:r>
          </w:p>
        </w:tc>
      </w:tr>
      <w:tr>
        <w:trPr>
          <w:trHeight w:val="234"/>
        </w:trPr>
        <w:tc>
          <w:tcPr>
            <w:tcW w:w="4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40" w:type="dxa"/>
            <w:vAlign w:val="bottom"/>
          </w:tcPr>
          <w:p>
            <w:pPr>
              <w:spacing w:after="0" w:line="234" w:lineRule="exact"/>
              <w:rPr>
                <w:sz w:val="20"/>
                <w:szCs w:val="20"/>
                <w:color w:val="auto"/>
              </w:rPr>
            </w:pPr>
            <w:r>
              <w:rPr>
                <w:rFonts w:ascii="Calibri" w:cs="Calibri" w:eastAsia="Calibri" w:hAnsi="Calibri"/>
                <w:sz w:val="20"/>
                <w:szCs w:val="20"/>
                <w:color w:val="auto"/>
              </w:rPr>
              <w:t>Chairman, President and</w:t>
            </w:r>
          </w:p>
        </w:tc>
      </w:tr>
      <w:tr>
        <w:trPr>
          <w:trHeight w:val="243"/>
        </w:trPr>
        <w:tc>
          <w:tcPr>
            <w:tcW w:w="4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040" w:type="dxa"/>
            <w:vAlign w:val="bottom"/>
          </w:tcPr>
          <w:p>
            <w:pPr>
              <w:ind w:left="140"/>
              <w:spacing w:after="0" w:line="243" w:lineRule="exact"/>
              <w:rPr>
                <w:sz w:val="20"/>
                <w:szCs w:val="20"/>
                <w:color w:val="auto"/>
              </w:rPr>
            </w:pPr>
            <w:r>
              <w:rPr>
                <w:rFonts w:ascii="Calibri" w:cs="Calibri" w:eastAsia="Calibri" w:hAnsi="Calibri"/>
                <w:sz w:val="20"/>
                <w:szCs w:val="20"/>
                <w:color w:val="auto"/>
              </w:rPr>
              <w:t>Chief Executve Ofcer</w:t>
            </w:r>
          </w:p>
        </w:tc>
      </w:tr>
    </w:tbl>
    <w:p>
      <w:pPr>
        <w:sectPr>
          <w:pgSz w:w="11900" w:h="16838" w:orient="portrait"/>
          <w:cols w:equalWidth="0" w:num="1">
            <w:col w:w="11240"/>
          </w:cols>
          <w:pgMar w:left="320" w:top="1440" w:right="339" w:bottom="1440" w:gutter="0" w:footer="0" w:header="0"/>
        </w:sectPr>
      </w:pPr>
    </w:p>
    <w:bookmarkStart w:id="43" w:name="page44"/>
    <w:bookmarkEnd w:id="43"/>
    <w:p>
      <w:pPr>
        <w:jc w:val="right"/>
        <w:spacing w:after="0"/>
        <w:rPr>
          <w:sz w:val="20"/>
          <w:szCs w:val="20"/>
          <w:color w:val="auto"/>
        </w:rPr>
      </w:pPr>
      <w:r>
        <w:rPr>
          <w:rFonts w:ascii="Calibri" w:cs="Calibri" w:eastAsia="Calibri" w:hAnsi="Calibri"/>
          <w:sz w:val="20"/>
          <w:szCs w:val="20"/>
          <w:b w:val="1"/>
          <w:bCs w:val="1"/>
          <w:color w:val="auto"/>
        </w:rPr>
        <w:t>EXHIBIT 31.02</w:t>
      </w:r>
    </w:p>
    <w:p>
      <w:pPr>
        <w:spacing w:after="0" w:line="200" w:lineRule="exact"/>
        <w:rPr>
          <w:sz w:val="20"/>
          <w:szCs w:val="20"/>
          <w:color w:val="auto"/>
        </w:rPr>
      </w:pPr>
    </w:p>
    <w:p>
      <w:pPr>
        <w:spacing w:after="0" w:line="295" w:lineRule="exact"/>
        <w:rPr>
          <w:sz w:val="20"/>
          <w:szCs w:val="20"/>
          <w:color w:val="auto"/>
        </w:rPr>
      </w:pPr>
    </w:p>
    <w:p>
      <w:pPr>
        <w:jc w:val="center"/>
        <w:spacing w:after="0" w:line="234"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228" w:lineRule="exact"/>
        <w:rPr>
          <w:sz w:val="20"/>
          <w:szCs w:val="20"/>
          <w:color w:val="auto"/>
        </w:rPr>
      </w:pPr>
    </w:p>
    <w:p>
      <w:pPr>
        <w:ind w:left="1300" w:hanging="442"/>
        <w:spacing w:after="0"/>
        <w:tabs>
          <w:tab w:leader="none" w:pos="130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238" w:lineRule="exact"/>
        <w:rPr>
          <w:rFonts w:ascii="Calibri" w:cs="Calibri" w:eastAsia="Calibri" w:hAnsi="Calibri"/>
          <w:sz w:val="20"/>
          <w:szCs w:val="20"/>
          <w:color w:val="auto"/>
        </w:rPr>
      </w:pPr>
    </w:p>
    <w:p>
      <w:pPr>
        <w:jc w:val="both"/>
        <w:ind w:left="1300" w:hanging="442"/>
        <w:spacing w:after="0" w:line="236" w:lineRule="auto"/>
        <w:tabs>
          <w:tab w:leader="none" w:pos="130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8" w:lineRule="exact"/>
        <w:rPr>
          <w:rFonts w:ascii="Calibri" w:cs="Calibri" w:eastAsia="Calibri" w:hAnsi="Calibri"/>
          <w:sz w:val="20"/>
          <w:szCs w:val="20"/>
          <w:color w:val="auto"/>
        </w:rPr>
      </w:pPr>
    </w:p>
    <w:p>
      <w:pPr>
        <w:jc w:val="both"/>
        <w:ind w:left="1300" w:hanging="442"/>
        <w:spacing w:after="0" w:line="236" w:lineRule="auto"/>
        <w:tabs>
          <w:tab w:leader="none" w:pos="130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238" w:lineRule="exact"/>
        <w:rPr>
          <w:rFonts w:ascii="Calibri" w:cs="Calibri" w:eastAsia="Calibri" w:hAnsi="Calibri"/>
          <w:sz w:val="20"/>
          <w:szCs w:val="20"/>
          <w:color w:val="auto"/>
        </w:rPr>
      </w:pPr>
    </w:p>
    <w:p>
      <w:pPr>
        <w:jc w:val="both"/>
        <w:ind w:left="1300" w:right="20" w:hanging="442"/>
        <w:spacing w:after="0" w:line="236" w:lineRule="auto"/>
        <w:tabs>
          <w:tab w:leader="none" w:pos="130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38"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41"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41"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8"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44" w:name="page45"/>
    <w:bookmarkEnd w:id="44"/>
    <w:p>
      <w:pPr>
        <w:spacing w:after="0" w:line="269" w:lineRule="exact"/>
        <w:rPr>
          <w:sz w:val="20"/>
          <w:szCs w:val="20"/>
          <w:color w:val="auto"/>
        </w:rPr>
      </w:pPr>
    </w:p>
    <w:p>
      <w:pPr>
        <w:jc w:val="both"/>
        <w:ind w:left="1300" w:hanging="442"/>
        <w:spacing w:after="0" w:line="236" w:lineRule="auto"/>
        <w:tabs>
          <w:tab w:leader="none" w:pos="130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8" w:lineRule="exact"/>
        <w:rPr>
          <w:rFonts w:ascii="Calibri" w:cs="Calibri" w:eastAsia="Calibri" w:hAnsi="Calibri"/>
          <w:sz w:val="20"/>
          <w:szCs w:val="20"/>
          <w:color w:val="auto"/>
        </w:rPr>
      </w:pPr>
    </w:p>
    <w:p>
      <w:pPr>
        <w:jc w:val="both"/>
        <w:ind w:left="2160" w:hanging="438"/>
        <w:spacing w:after="0" w:line="236" w:lineRule="auto"/>
        <w:tabs>
          <w:tab w:leader="none" w:pos="2160" w:val="left"/>
        </w:tabs>
        <w:numPr>
          <w:ilvl w:val="1"/>
          <w:numId w:val="21"/>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8" w:lineRule="exact"/>
        <w:rPr>
          <w:rFonts w:ascii="Calibri" w:cs="Calibri" w:eastAsia="Calibri" w:hAnsi="Calibri"/>
          <w:sz w:val="20"/>
          <w:szCs w:val="20"/>
          <w:color w:val="auto"/>
        </w:rPr>
      </w:pPr>
    </w:p>
    <w:p>
      <w:pPr>
        <w:ind w:left="2160" w:right="20" w:hanging="438"/>
        <w:spacing w:after="0" w:line="234" w:lineRule="auto"/>
        <w:tabs>
          <w:tab w:leader="none" w:pos="2160" w:val="left"/>
        </w:tabs>
        <w:numPr>
          <w:ilvl w:val="1"/>
          <w:numId w:val="21"/>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20" w:type="dxa"/>
            <w:vAlign w:val="bottom"/>
          </w:tcPr>
          <w:p>
            <w:pPr>
              <w:spacing w:after="0"/>
              <w:rPr>
                <w:sz w:val="20"/>
                <w:szCs w:val="20"/>
                <w:color w:val="auto"/>
              </w:rPr>
            </w:pPr>
            <w:r>
              <w:rPr>
                <w:rFonts w:ascii="Calibri" w:cs="Calibri" w:eastAsia="Calibri" w:hAnsi="Calibri"/>
                <w:sz w:val="20"/>
                <w:szCs w:val="20"/>
                <w:color w:val="auto"/>
              </w:rPr>
              <w:t>Date: May 3, 2022</w:t>
            </w:r>
          </w:p>
        </w:tc>
        <w:tc>
          <w:tcPr>
            <w:tcW w:w="7120" w:type="dxa"/>
            <w:vAlign w:val="bottom"/>
            <w:gridSpan w:val="2"/>
          </w:tcPr>
          <w:p>
            <w:pPr>
              <w:ind w:left="2620"/>
              <w:spacing w:after="0"/>
              <w:rPr>
                <w:sz w:val="20"/>
                <w:szCs w:val="20"/>
                <w:color w:val="auto"/>
              </w:rPr>
            </w:pPr>
            <w:r>
              <w:rPr>
                <w:rFonts w:ascii="Calibri" w:cs="Calibri" w:eastAsia="Calibri" w:hAnsi="Calibri"/>
                <w:sz w:val="20"/>
                <w:szCs w:val="20"/>
                <w:color w:val="auto"/>
              </w:rPr>
              <w:t>By:  /s/ James A. J. Nickolas</w:t>
            </w:r>
          </w:p>
        </w:tc>
      </w:tr>
      <w:tr>
        <w:trPr>
          <w:trHeight w:val="33"/>
        </w:trPr>
        <w:tc>
          <w:tcPr>
            <w:tcW w:w="41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12"/>
        </w:trPr>
        <w:tc>
          <w:tcPr>
            <w:tcW w:w="4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60" w:type="dxa"/>
            <w:vAlign w:val="bottom"/>
          </w:tcPr>
          <w:p>
            <w:pPr>
              <w:spacing w:after="0" w:line="212" w:lineRule="exact"/>
              <w:rPr>
                <w:sz w:val="20"/>
                <w:szCs w:val="20"/>
                <w:color w:val="auto"/>
              </w:rPr>
            </w:pPr>
            <w:r>
              <w:rPr>
                <w:rFonts w:ascii="Calibri" w:cs="Calibri" w:eastAsia="Calibri" w:hAnsi="Calibri"/>
                <w:sz w:val="20"/>
                <w:szCs w:val="20"/>
                <w:color w:val="auto"/>
              </w:rPr>
              <w:t>James A. J. Nickolas</w:t>
            </w:r>
          </w:p>
        </w:tc>
      </w:tr>
      <w:tr>
        <w:trPr>
          <w:trHeight w:val="234"/>
        </w:trPr>
        <w:tc>
          <w:tcPr>
            <w:tcW w:w="41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60" w:type="dxa"/>
            <w:vAlign w:val="bottom"/>
          </w:tcPr>
          <w:p>
            <w:pPr>
              <w:spacing w:after="0" w:line="234" w:lineRule="exact"/>
              <w:rPr>
                <w:sz w:val="20"/>
                <w:szCs w:val="20"/>
                <w:color w:val="auto"/>
              </w:rPr>
            </w:pPr>
            <w:r>
              <w:rPr>
                <w:rFonts w:ascii="Calibri" w:cs="Calibri" w:eastAsia="Calibri" w:hAnsi="Calibri"/>
                <w:sz w:val="20"/>
                <w:szCs w:val="20"/>
                <w:color w:val="auto"/>
              </w:rPr>
              <w:t>Sr. Vice President and</w:t>
            </w:r>
          </w:p>
        </w:tc>
      </w:tr>
      <w:tr>
        <w:trPr>
          <w:trHeight w:val="243"/>
        </w:trPr>
        <w:tc>
          <w:tcPr>
            <w:tcW w:w="41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060" w:type="dxa"/>
            <w:vAlign w:val="bottom"/>
          </w:tcPr>
          <w:p>
            <w:pPr>
              <w:ind w:left="140"/>
              <w:spacing w:after="0" w:line="243" w:lineRule="exact"/>
              <w:rPr>
                <w:sz w:val="20"/>
                <w:szCs w:val="20"/>
                <w:color w:val="auto"/>
              </w:rPr>
            </w:pPr>
            <w:r>
              <w:rPr>
                <w:rFonts w:ascii="Calibri" w:cs="Calibri" w:eastAsia="Calibri" w:hAnsi="Calibri"/>
                <w:sz w:val="20"/>
                <w:szCs w:val="20"/>
                <w:color w:val="auto"/>
              </w:rPr>
              <w:t>Chief Financial Ofcer</w:t>
            </w:r>
          </w:p>
        </w:tc>
      </w:tr>
    </w:tbl>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39" w:lineRule="exact"/>
        <w:rPr>
          <w:sz w:val="20"/>
          <w:szCs w:val="20"/>
          <w:color w:val="auto"/>
        </w:rPr>
      </w:pPr>
    </w:p>
    <w:p>
      <w:pPr>
        <w:jc w:val="both"/>
        <w:ind w:right="20" w:firstLine="864"/>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March 31, 2022 (the “Report”) of Martn Marieta Materials, Inc. (the “Registrant”), as fled with the Securites and Exchange Commission on the date hereof, I, C. Howard Nye, the Chief Executve Ofcer of the Registrant, certfy, to the best of my knowledge, that:</w:t>
      </w:r>
    </w:p>
    <w:p>
      <w:pPr>
        <w:spacing w:after="0" w:line="238" w:lineRule="exact"/>
        <w:rPr>
          <w:sz w:val="20"/>
          <w:szCs w:val="20"/>
          <w:color w:val="auto"/>
        </w:rPr>
      </w:pPr>
    </w:p>
    <w:p>
      <w:pPr>
        <w:ind w:left="1700" w:right="20" w:hanging="842"/>
        <w:spacing w:after="0" w:line="234" w:lineRule="auto"/>
        <w:tabs>
          <w:tab w:leader="none" w:pos="17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39" w:lineRule="exact"/>
        <w:rPr>
          <w:rFonts w:ascii="Calibri" w:cs="Calibri" w:eastAsia="Calibri" w:hAnsi="Calibri"/>
          <w:sz w:val="20"/>
          <w:szCs w:val="20"/>
          <w:color w:val="auto"/>
        </w:rPr>
      </w:pPr>
    </w:p>
    <w:p>
      <w:pPr>
        <w:ind w:left="1700" w:hanging="842"/>
        <w:spacing w:after="0" w:line="234" w:lineRule="auto"/>
        <w:tabs>
          <w:tab w:leader="none" w:pos="17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59" w:lineRule="exact"/>
        <w:rPr>
          <w:sz w:val="20"/>
          <w:szCs w:val="20"/>
          <w:color w:val="auto"/>
        </w:rPr>
      </w:pPr>
    </w:p>
    <w:p>
      <w:pPr>
        <w:ind w:left="6760"/>
        <w:spacing w:after="0"/>
        <w:rPr>
          <w:sz w:val="20"/>
          <w:szCs w:val="20"/>
          <w:color w:val="auto"/>
        </w:rPr>
      </w:pPr>
      <w:r>
        <w:rPr>
          <w:rFonts w:ascii="Calibri" w:cs="Calibri" w:eastAsia="Calibri" w:hAnsi="Calibri"/>
          <w:sz w:val="20"/>
          <w:szCs w:val="20"/>
          <w:color w:val="auto"/>
        </w:rPr>
        <w:t>/s/ C. Howard Nye</w:t>
      </w:r>
    </w:p>
    <w:p>
      <w:pPr>
        <w:spacing w:after="0" w:line="12" w:lineRule="exact"/>
        <w:rPr>
          <w:sz w:val="20"/>
          <w:szCs w:val="20"/>
          <w:color w:val="auto"/>
        </w:rPr>
      </w:pPr>
    </w:p>
    <w:p>
      <w:pPr>
        <w:ind w:left="6760"/>
        <w:spacing w:after="0"/>
        <w:rPr>
          <w:sz w:val="20"/>
          <w:szCs w:val="20"/>
          <w:color w:val="auto"/>
        </w:rPr>
      </w:pPr>
      <w:r>
        <w:rPr>
          <w:rFonts w:ascii="Calibri" w:cs="Calibri" w:eastAsia="Calibri" w:hAnsi="Calibri"/>
          <w:sz w:val="20"/>
          <w:szCs w:val="20"/>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-141605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right"/>
        <w:ind w:right="2460"/>
        <w:spacing w:after="0" w:line="238" w:lineRule="auto"/>
        <w:rPr>
          <w:sz w:val="20"/>
          <w:szCs w:val="20"/>
          <w:color w:val="auto"/>
        </w:rPr>
      </w:pPr>
      <w:r>
        <w:rPr>
          <w:rFonts w:ascii="Calibri" w:cs="Calibri" w:eastAsia="Calibri" w:hAnsi="Calibri"/>
          <w:sz w:val="20"/>
          <w:szCs w:val="20"/>
          <w:color w:val="auto"/>
        </w:rPr>
        <w:t>Chairman, President and</w:t>
      </w:r>
    </w:p>
    <w:p>
      <w:pPr>
        <w:jc w:val="right"/>
        <w:ind w:right="2500"/>
        <w:spacing w:after="0"/>
        <w:rPr>
          <w:sz w:val="20"/>
          <w:szCs w:val="20"/>
          <w:color w:val="auto"/>
        </w:rPr>
      </w:pPr>
      <w:r>
        <w:rPr>
          <w:rFonts w:ascii="Calibri" w:cs="Calibri" w:eastAsia="Calibri" w:hAnsi="Calibri"/>
          <w:sz w:val="20"/>
          <w:szCs w:val="20"/>
          <w:color w:val="auto"/>
        </w:rPr>
        <w:t>Chief Executve Ofcer</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Dated: May 3, 2022</w:t>
      </w:r>
    </w:p>
    <w:p>
      <w:pPr>
        <w:spacing w:after="0" w:line="238"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ectPr>
          <w:pgSz w:w="11900" w:h="16838" w:orient="portrait"/>
          <w:cols w:equalWidth="0" w:num="1">
            <w:col w:w="11240"/>
          </w:cols>
          <w:pgMar w:left="320" w:top="105" w:right="339" w:bottom="1440" w:gutter="0" w:footer="0" w:header="0"/>
        </w:sectPr>
      </w:pPr>
    </w:p>
    <w:bookmarkStart w:id="46" w:name="page47"/>
    <w:bookmarkEnd w:id="46"/>
    <w:p>
      <w:pPr>
        <w:jc w:val="right"/>
        <w:spacing w:after="0"/>
        <w:rPr>
          <w:sz w:val="20"/>
          <w:szCs w:val="20"/>
          <w:color w:val="auto"/>
        </w:rPr>
      </w:pPr>
      <w:r>
        <w:rPr>
          <w:rFonts w:ascii="Calibri" w:cs="Calibri" w:eastAsia="Calibri" w:hAnsi="Calibri"/>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38"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239" w:lineRule="exact"/>
        <w:rPr>
          <w:sz w:val="20"/>
          <w:szCs w:val="20"/>
          <w:color w:val="auto"/>
        </w:rPr>
      </w:pPr>
    </w:p>
    <w:p>
      <w:pPr>
        <w:jc w:val="both"/>
        <w:ind w:right="20" w:firstLine="864"/>
        <w:spacing w:after="0" w:line="236" w:lineRule="auto"/>
        <w:rPr>
          <w:sz w:val="20"/>
          <w:szCs w:val="20"/>
          <w:color w:val="auto"/>
        </w:rPr>
      </w:pPr>
      <w:r>
        <w:rPr>
          <w:rFonts w:ascii="Calibri" w:cs="Calibri" w:eastAsia="Calibri" w:hAnsi="Calibri"/>
          <w:sz w:val="20"/>
          <w:szCs w:val="20"/>
          <w:color w:val="auto"/>
        </w:rPr>
        <w:t>In connecton with the Quarterly Report on Form 10-Q for the period ended March 31, 2022 (the “Report”) of Martn Marieta Materials, Inc. (the “Registrant”), as fled with the Securites and Exchange Commission on the date hereof, I, James A. J. Nickolas, the Chief Financial Ofcer of the Registrant, certfy, to the best of my knowledge, that:</w:t>
      </w:r>
    </w:p>
    <w:p>
      <w:pPr>
        <w:spacing w:after="0" w:line="238" w:lineRule="exact"/>
        <w:rPr>
          <w:sz w:val="20"/>
          <w:szCs w:val="20"/>
          <w:color w:val="auto"/>
        </w:rPr>
      </w:pPr>
    </w:p>
    <w:p>
      <w:pPr>
        <w:ind w:left="1700" w:right="20" w:hanging="842"/>
        <w:spacing w:after="0" w:line="234" w:lineRule="auto"/>
        <w:tabs>
          <w:tab w:leader="none" w:pos="17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239" w:lineRule="exact"/>
        <w:rPr>
          <w:rFonts w:ascii="Calibri" w:cs="Calibri" w:eastAsia="Calibri" w:hAnsi="Calibri"/>
          <w:sz w:val="20"/>
          <w:szCs w:val="20"/>
          <w:color w:val="auto"/>
        </w:rPr>
      </w:pPr>
    </w:p>
    <w:p>
      <w:pPr>
        <w:ind w:left="1700" w:hanging="842"/>
        <w:spacing w:after="0" w:line="234" w:lineRule="auto"/>
        <w:tabs>
          <w:tab w:leader="none" w:pos="17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59" w:lineRule="exact"/>
        <w:rPr>
          <w:sz w:val="20"/>
          <w:szCs w:val="20"/>
          <w:color w:val="auto"/>
        </w:rPr>
      </w:pPr>
    </w:p>
    <w:p>
      <w:pPr>
        <w:ind w:left="6760"/>
        <w:spacing w:after="0"/>
        <w:rPr>
          <w:sz w:val="20"/>
          <w:szCs w:val="20"/>
          <w:color w:val="auto"/>
        </w:rPr>
      </w:pPr>
      <w:r>
        <w:rPr>
          <w:rFonts w:ascii="Calibri" w:cs="Calibri" w:eastAsia="Calibri" w:hAnsi="Calibri"/>
          <w:sz w:val="20"/>
          <w:szCs w:val="20"/>
          <w:color w:val="auto"/>
        </w:rPr>
        <w:t>/s/ James A. J. Nickolas</w:t>
      </w:r>
    </w:p>
    <w:p>
      <w:pPr>
        <w:spacing w:after="0" w:line="12" w:lineRule="exact"/>
        <w:rPr>
          <w:sz w:val="20"/>
          <w:szCs w:val="20"/>
          <w:color w:val="auto"/>
        </w:rPr>
      </w:pPr>
    </w:p>
    <w:p>
      <w:pPr>
        <w:ind w:left="6760"/>
        <w:spacing w:after="0"/>
        <w:rPr>
          <w:sz w:val="20"/>
          <w:szCs w:val="20"/>
          <w:color w:val="auto"/>
        </w:rPr>
      </w:pPr>
      <w:r>
        <w:rPr>
          <w:rFonts w:ascii="Calibri" w:cs="Calibri" w:eastAsia="Calibri" w:hAnsi="Calibri"/>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-141605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line="238" w:lineRule="auto"/>
        <w:rPr>
          <w:sz w:val="20"/>
          <w:szCs w:val="20"/>
          <w:color w:val="auto"/>
        </w:rPr>
      </w:pPr>
      <w:r>
        <w:rPr>
          <w:rFonts w:ascii="Calibri" w:cs="Calibri" w:eastAsia="Calibri" w:hAnsi="Calibri"/>
          <w:sz w:val="20"/>
          <w:szCs w:val="20"/>
          <w:color w:val="auto"/>
        </w:rPr>
        <w:t>Sr. Vice President and</w:t>
      </w:r>
    </w:p>
    <w:p>
      <w:pPr>
        <w:ind w:left="6900"/>
        <w:spacing w:after="0"/>
        <w:rPr>
          <w:sz w:val="20"/>
          <w:szCs w:val="20"/>
          <w:color w:val="auto"/>
        </w:rPr>
      </w:pPr>
      <w:r>
        <w:rPr>
          <w:rFonts w:ascii="Calibri" w:cs="Calibri" w:eastAsia="Calibri" w:hAnsi="Calibri"/>
          <w:sz w:val="20"/>
          <w:szCs w:val="20"/>
          <w:color w:val="auto"/>
        </w:rPr>
        <w:t>Chief Financial Ofcer</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Dated: May 3, 2022</w:t>
      </w:r>
    </w:p>
    <w:p>
      <w:pPr>
        <w:spacing w:after="0" w:line="238"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ectPr>
          <w:pgSz w:w="11900" w:h="16838" w:orient="portrait"/>
          <w:cols w:equalWidth="0" w:num="1">
            <w:col w:w="11240"/>
          </w:cols>
          <w:pgMar w:left="320" w:top="105"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MINE SAFETY DISCLOSURES</w:t>
      </w:r>
    </w:p>
    <w:p>
      <w:pPr>
        <w:spacing w:after="0" w:line="23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operaton of the Company’s domestc aggregates quarries and mines is subject to regulaton by the federal Mine Safety and Health Administraton (MSHA) under the Federal Mine Safety and Health Act of 1977 (the Mine Act). MSHA inspects the Company’s quarries and mines on a regular basis and issues various citatons and orders when it believes a violaton has occurred under the Mine Act. Whenever MSHA issues a citaton or order, it also generally proposes a civil penalty, or fne, related to the alleged violaton. Citatons or orders may be contested and appealed and, as part of that process, are ofen reduced in severity and amount; they are sometmes dismissed.</w:t>
      </w:r>
    </w:p>
    <w:p>
      <w:pPr>
        <w:spacing w:after="0" w:line="200" w:lineRule="exact"/>
        <w:rPr>
          <w:sz w:val="20"/>
          <w:szCs w:val="20"/>
          <w:color w:val="auto"/>
        </w:rPr>
      </w:pPr>
    </w:p>
    <w:p>
      <w:pPr>
        <w:spacing w:after="0" w:line="267"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(SEC). In evaluatng this informaton, consideraton should be given to factors such as: (i) the number of citatons and orders will vary depending on the size of the quarry or mine and types of operatons (i.e.,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200" w:lineRule="exact"/>
        <w:rPr>
          <w:sz w:val="20"/>
          <w:szCs w:val="20"/>
          <w:color w:val="auto"/>
        </w:rPr>
      </w:pPr>
    </w:p>
    <w:p>
      <w:pPr>
        <w:spacing w:after="0" w:line="26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has provided the informaton below in response to the SEC’s rules and regulatons issued under the provisions of the Dodd-Frank Act. The disclosures refect U.S. mining operatons only, as the requirements of the Dodd-Frank Act and the SEC rules and regulatons thereunder do not apply to the Company’s quarries and mines operated outside the United States.</w:t>
      </w:r>
    </w:p>
    <w:p>
      <w:pPr>
        <w:spacing w:after="0" w:line="23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Company presents the following items regarding certain mining safety and health maters for the three months ended March 31, 2022:</w:t>
      </w:r>
    </w:p>
    <w:p>
      <w:pPr>
        <w:spacing w:after="0" w:line="239" w:lineRule="exact"/>
        <w:rPr>
          <w:sz w:val="20"/>
          <w:szCs w:val="20"/>
          <w:color w:val="auto"/>
        </w:rPr>
      </w:pPr>
    </w:p>
    <w:p>
      <w:pPr>
        <w:jc w:val="both"/>
        <w:ind w:left="440" w:hanging="432"/>
        <w:spacing w:after="0" w:line="237" w:lineRule="auto"/>
        <w:tabs>
          <w:tab w:leader="none" w:pos="44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violatons of mandatory health or safety standards that could signifcantly and substantally contribute to the cause and efect of a mine safety or health hazard under secton 104 of the Mine Act for which the Company has received a citaton from MSHA (hereinafer, “Secton 104 S&amp;S Citatons”). If MSHA determines that a violaton of a mandatory health or safety standard is likely to result in a reasonably serious injury or illness under the unique circumstance contributed to by the violaton, MSHA will classify the violaton as a “signifcant and substantal” violaton (commonly referred to as an S&amp;S violaton). MSHA inspectors will classify each citaton or order writen as an S&amp;S violaton or not.</w:t>
      </w:r>
    </w:p>
    <w:p>
      <w:pPr>
        <w:spacing w:after="0" w:line="214" w:lineRule="exact"/>
        <w:rPr>
          <w:rFonts w:ascii="Times New Roman" w:cs="Times New Roman" w:eastAsia="Times New Roman" w:hAnsi="Times New Roman"/>
          <w:sz w:val="20"/>
          <w:szCs w:val="20"/>
          <w:b w:val="1"/>
          <w:bCs w:val="1"/>
          <w:color w:val="auto"/>
        </w:rPr>
      </w:pPr>
    </w:p>
    <w:p>
      <w:pPr>
        <w:jc w:val="both"/>
        <w:ind w:left="440" w:hanging="432"/>
        <w:spacing w:after="0" w:line="236" w:lineRule="auto"/>
        <w:tabs>
          <w:tab w:leader="none" w:pos="44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authorized persons) from the afected area of a quarry or mine.</w:t>
      </w:r>
    </w:p>
    <w:p>
      <w:pPr>
        <w:spacing w:after="0" w:line="241" w:lineRule="exact"/>
        <w:rPr>
          <w:rFonts w:ascii="Times New Roman" w:cs="Times New Roman" w:eastAsia="Times New Roman" w:hAnsi="Times New Roman"/>
          <w:sz w:val="20"/>
          <w:szCs w:val="20"/>
          <w:b w:val="1"/>
          <w:bCs w:val="1"/>
          <w:color w:val="auto"/>
        </w:rPr>
      </w:pPr>
    </w:p>
    <w:p>
      <w:pPr>
        <w:jc w:val="both"/>
        <w:ind w:left="440" w:hanging="432"/>
        <w:spacing w:after="0" w:line="236" w:lineRule="auto"/>
        <w:tabs>
          <w:tab w:leader="none" w:pos="44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8" w:name="page49"/>
    <w:bookmarkEnd w:id="48"/>
    <w:p>
      <w:pPr>
        <w:ind w:left="440" w:right="20"/>
        <w:spacing w:after="0" w:line="234" w:lineRule="auto"/>
        <w:rPr>
          <w:sz w:val="20"/>
          <w:szCs w:val="20"/>
          <w:color w:val="auto"/>
        </w:rPr>
      </w:pPr>
      <w:r>
        <w:rPr>
          <w:rFonts w:ascii="Calibri" w:cs="Calibri" w:eastAsia="Calibri" w:hAnsi="Calibri"/>
          <w:sz w:val="20"/>
          <w:szCs w:val="20"/>
          <w:color w:val="auto"/>
        </w:rPr>
        <w:t>or health hazard, but the conditons do not cause imminent danger, and the MSHA inspector fnds that the violaton is caused by an unwarranted failure of the operator to comply with the health and safety standards.</w:t>
      </w:r>
    </w:p>
    <w:p>
      <w:pPr>
        <w:spacing w:after="0" w:line="239" w:lineRule="exact"/>
        <w:rPr>
          <w:sz w:val="20"/>
          <w:szCs w:val="20"/>
          <w:color w:val="auto"/>
        </w:rPr>
      </w:pPr>
    </w:p>
    <w:p>
      <w:pPr>
        <w:jc w:val="both"/>
        <w:ind w:left="440" w:hanging="432"/>
        <w:spacing w:after="0" w:line="237" w:lineRule="auto"/>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39" w:lineRule="exact"/>
        <w:rPr>
          <w:rFonts w:ascii="Times New Roman" w:cs="Times New Roman" w:eastAsia="Times New Roman" w:hAnsi="Times New Roman"/>
          <w:sz w:val="20"/>
          <w:szCs w:val="20"/>
          <w:b w:val="1"/>
          <w:bCs w:val="1"/>
          <w:color w:val="auto"/>
        </w:rPr>
      </w:pPr>
    </w:p>
    <w:p>
      <w:pPr>
        <w:jc w:val="both"/>
        <w:ind w:left="440" w:hanging="432"/>
        <w:spacing w:after="0" w:line="236" w:lineRule="auto"/>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241" w:lineRule="exact"/>
        <w:rPr>
          <w:rFonts w:ascii="Times New Roman" w:cs="Times New Roman" w:eastAsia="Times New Roman" w:hAnsi="Times New Roman"/>
          <w:sz w:val="20"/>
          <w:szCs w:val="20"/>
          <w:b w:val="1"/>
          <w:bCs w:val="1"/>
          <w:color w:val="auto"/>
        </w:rPr>
      </w:pPr>
    </w:p>
    <w:p>
      <w:pPr>
        <w:jc w:val="both"/>
        <w:ind w:left="440" w:right="20" w:hanging="432"/>
        <w:spacing w:after="0" w:line="236" w:lineRule="auto"/>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dollar value of proposed assessments from MSHA under the Mine Act. These are the amounts of proposed assessments issued by MSHA with each citaton or order for the tme period covered by the reports.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241" w:lineRule="exact"/>
        <w:rPr>
          <w:rFonts w:ascii="Times New Roman" w:cs="Times New Roman" w:eastAsia="Times New Roman" w:hAnsi="Times New Roman"/>
          <w:sz w:val="20"/>
          <w:szCs w:val="20"/>
          <w:b w:val="1"/>
          <w:bCs w:val="1"/>
          <w:color w:val="auto"/>
        </w:rPr>
      </w:pPr>
    </w:p>
    <w:p>
      <w:pPr>
        <w:jc w:val="both"/>
        <w:ind w:left="440" w:hanging="432"/>
        <w:spacing w:after="0" w:line="236" w:lineRule="auto"/>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241" w:lineRule="exact"/>
        <w:rPr>
          <w:rFonts w:ascii="Times New Roman" w:cs="Times New Roman" w:eastAsia="Times New Roman" w:hAnsi="Times New Roman"/>
          <w:sz w:val="20"/>
          <w:szCs w:val="20"/>
          <w:b w:val="1"/>
          <w:bCs w:val="1"/>
          <w:color w:val="auto"/>
        </w:rPr>
      </w:pPr>
    </w:p>
    <w:p>
      <w:pPr>
        <w:jc w:val="both"/>
        <w:ind w:left="440" w:hanging="432"/>
        <w:spacing w:after="0" w:line="236" w:lineRule="auto"/>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MSHA determines that a mine has a “patern” of these types of violatons, or the potental to have such a patern, MSHA is required to notfy the mine operator of the existence of such a thing.</w:t>
      </w:r>
    </w:p>
    <w:p>
      <w:pPr>
        <w:spacing w:after="0" w:line="231"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pending as of the last day of period.</w:t>
      </w:r>
    </w:p>
    <w:p>
      <w:pPr>
        <w:spacing w:after="0" w:line="228"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initated during period.</w:t>
      </w:r>
    </w:p>
    <w:p>
      <w:pPr>
        <w:spacing w:after="0" w:line="228"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resolved during period.</w:t>
      </w:r>
    </w:p>
    <w:p>
      <w:pPr>
        <w:spacing w:after="0" w:line="23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9" w:name="page50"/>
    <w:bookmarkEnd w:id="49"/>
    <w:p>
      <w:pPr>
        <w:jc w:val="both"/>
        <w:spacing w:after="0" w:line="237" w:lineRule="auto"/>
        <w:rPr>
          <w:sz w:val="20"/>
          <w:szCs w:val="20"/>
          <w:color w:val="auto"/>
        </w:rPr>
      </w:pPr>
      <w:r>
        <w:rPr>
          <w:rFonts w:ascii="Calibri" w:cs="Calibri" w:eastAsia="Calibri" w:hAnsi="Calibri"/>
          <w:sz w:val="20"/>
          <w:szCs w:val="20"/>
          <w:color w:val="auto"/>
        </w:rPr>
        <w:t>penaltes they have received from MSHA, or complaints of discriminaton by miners under Secton 105 of the Mine Act. Appendix 1 shows, for each of the Company’s quarries and mines identfed, as of March 31, 2022, the number of legal actons pending before the Commission, along with the number of legal actons initated before the Commission during the quarter as well as resolved during the quarter. In additon, Appendix 1 includes a footnote to the column for legal actons before the Commission pending as of the last day of the period, which footnote breaks down that total number of legal actons pending by categories according to the type of proceeding in accordance with various categories established by the Procedural Rules of the Commission.</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color w:val="auto"/>
        </w:rPr>
        <w:t>Appendix 1 atached.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0" w:name="page51"/>
    <w:bookmarkEnd w:id="5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gridSpan w:val="2"/>
          </w:tcPr>
          <w:p>
            <w:pPr>
              <w:ind w:left="680"/>
              <w:spacing w:after="0"/>
              <w:rPr>
                <w:sz w:val="20"/>
                <w:szCs w:val="20"/>
                <w:color w:val="auto"/>
              </w:rPr>
            </w:pPr>
            <w:r>
              <w:rPr>
                <w:rFonts w:ascii="Calibri" w:cs="Calibri" w:eastAsia="Calibri" w:hAnsi="Calibri"/>
                <w:sz w:val="20"/>
                <w:szCs w:val="20"/>
                <w:color w:val="auto"/>
              </w:rPr>
              <w:t>Appendix 1</w:t>
            </w:r>
          </w:p>
        </w:tc>
      </w:tr>
      <w:tr>
        <w:trPr>
          <w:trHeight w:val="702"/>
        </w:trPr>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Calibri" w:cs="Calibri" w:eastAsia="Calibri" w:hAnsi="Calibri"/>
                <w:sz w:val="20"/>
                <w:szCs w:val="20"/>
                <w:b w:val="1"/>
                <w:bCs w:val="1"/>
                <w:color w:val="auto"/>
              </w:rPr>
              <w:t>Received Received</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Notce ofNotce of</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Legal</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Total</w:t>
            </w:r>
          </w:p>
        </w:tc>
        <w:tc>
          <w:tcPr>
            <w:tcW w:w="2260" w:type="dxa"/>
            <w:vAlign w:val="bottom"/>
            <w:gridSpan w:val="3"/>
          </w:tcPr>
          <w:p>
            <w:pPr>
              <w:jc w:val="center"/>
              <w:spacing w:after="0" w:line="243" w:lineRule="exact"/>
              <w:rPr>
                <w:sz w:val="20"/>
                <w:szCs w:val="20"/>
                <w:color w:val="auto"/>
              </w:rPr>
            </w:pPr>
            <w:r>
              <w:rPr>
                <w:rFonts w:ascii="Calibri" w:cs="Calibri" w:eastAsia="Calibri" w:hAnsi="Calibri"/>
                <w:sz w:val="20"/>
                <w:szCs w:val="20"/>
                <w:b w:val="1"/>
                <w:bCs w:val="1"/>
                <w:color w:val="auto"/>
              </w:rPr>
              <w:t>Patern Potental Actons</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Number</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3"/>
              </w:rPr>
              <w:t>of</w:t>
            </w:r>
          </w:p>
        </w:tc>
        <w:tc>
          <w:tcPr>
            <w:tcW w:w="1480" w:type="dxa"/>
            <w:vAlign w:val="bottom"/>
            <w:gridSpan w:val="2"/>
          </w:tcPr>
          <w:p>
            <w:pPr>
              <w:ind w:left="80"/>
              <w:spacing w:after="0" w:line="243" w:lineRule="exact"/>
              <w:rPr>
                <w:sz w:val="20"/>
                <w:szCs w:val="20"/>
                <w:color w:val="auto"/>
              </w:rPr>
            </w:pPr>
            <w:r>
              <w:rPr>
                <w:rFonts w:ascii="Calibri" w:cs="Calibri" w:eastAsia="Calibri" w:hAnsi="Calibri"/>
                <w:sz w:val="20"/>
                <w:szCs w:val="20"/>
                <w:b w:val="1"/>
                <w:bCs w:val="1"/>
                <w:color w:val="auto"/>
              </w:rPr>
              <w:t>to have Pending</w:t>
            </w:r>
          </w:p>
        </w:tc>
        <w:tc>
          <w:tcPr>
            <w:tcW w:w="840" w:type="dxa"/>
            <w:vAlign w:val="bottom"/>
          </w:tcPr>
          <w:p>
            <w:pPr>
              <w:spacing w:after="0"/>
              <w:rPr>
                <w:sz w:val="21"/>
                <w:szCs w:val="21"/>
                <w:color w:val="auto"/>
              </w:rPr>
            </w:pP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Legal</w:t>
            </w:r>
          </w:p>
        </w:tc>
      </w:tr>
      <w:tr>
        <w:trPr>
          <w:trHeight w:val="243"/>
        </w:trPr>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104(d)</w:t>
            </w: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w w:val="98"/>
              </w:rPr>
              <w:t>Total Dollar</w:t>
            </w: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of</w:t>
            </w:r>
          </w:p>
        </w:tc>
        <w:tc>
          <w:tcPr>
            <w:tcW w:w="160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Violaton Patern</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as of</w:t>
            </w:r>
          </w:p>
        </w:tc>
        <w:tc>
          <w:tcPr>
            <w:tcW w:w="8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Legal</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Actons</w:t>
            </w:r>
          </w:p>
        </w:tc>
      </w:tr>
      <w:tr>
        <w:trPr>
          <w:trHeight w:val="243"/>
        </w:trPr>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60" w:type="dxa"/>
            <w:vAlign w:val="bottom"/>
            <w:gridSpan w:val="3"/>
          </w:tcPr>
          <w:p>
            <w:pPr>
              <w:ind w:left="80"/>
              <w:spacing w:after="0" w:line="243" w:lineRule="exact"/>
              <w:rPr>
                <w:sz w:val="20"/>
                <w:szCs w:val="20"/>
                <w:color w:val="auto"/>
              </w:rPr>
            </w:pPr>
            <w:r>
              <w:rPr>
                <w:rFonts w:ascii="Calibri" w:cs="Calibri" w:eastAsia="Calibri" w:hAnsi="Calibri"/>
                <w:sz w:val="20"/>
                <w:szCs w:val="20"/>
                <w:b w:val="1"/>
                <w:bCs w:val="1"/>
                <w:color w:val="auto"/>
              </w:rPr>
              <w:t>Secton SectonCitatons</w:t>
            </w:r>
          </w:p>
        </w:tc>
        <w:tc>
          <w:tcPr>
            <w:tcW w:w="800" w:type="dxa"/>
            <w:vAlign w:val="bottom"/>
          </w:tcPr>
          <w:p>
            <w:pPr>
              <w:ind w:left="120"/>
              <w:spacing w:after="0" w:line="243" w:lineRule="exact"/>
              <w:rPr>
                <w:sz w:val="20"/>
                <w:szCs w:val="20"/>
                <w:color w:val="auto"/>
              </w:rPr>
            </w:pPr>
            <w:r>
              <w:rPr>
                <w:rFonts w:ascii="Calibri" w:cs="Calibri" w:eastAsia="Calibri" w:hAnsi="Calibri"/>
                <w:sz w:val="20"/>
                <w:szCs w:val="20"/>
                <w:b w:val="1"/>
                <w:bCs w:val="1"/>
                <w:color w:val="auto"/>
              </w:rPr>
              <w:t>Secton</w:t>
            </w:r>
          </w:p>
        </w:tc>
        <w:tc>
          <w:tcPr>
            <w:tcW w:w="70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Secton</w:t>
            </w:r>
          </w:p>
        </w:tc>
        <w:tc>
          <w:tcPr>
            <w:tcW w:w="180" w:type="dxa"/>
            <w:vAlign w:val="bottom"/>
          </w:tcPr>
          <w:p>
            <w:pPr>
              <w:spacing w:after="0"/>
              <w:rPr>
                <w:sz w:val="21"/>
                <w:szCs w:val="21"/>
                <w:color w:val="auto"/>
              </w:rPr>
            </w:pPr>
          </w:p>
        </w:tc>
        <w:tc>
          <w:tcPr>
            <w:tcW w:w="940" w:type="dxa"/>
            <w:vAlign w:val="bottom"/>
          </w:tcPr>
          <w:p>
            <w:pPr>
              <w:jc w:val="center"/>
              <w:ind w:right="121"/>
              <w:spacing w:after="0" w:line="243" w:lineRule="exact"/>
              <w:rPr>
                <w:sz w:val="20"/>
                <w:szCs w:val="20"/>
                <w:color w:val="auto"/>
              </w:rPr>
            </w:pPr>
            <w:r>
              <w:rPr>
                <w:rFonts w:ascii="Calibri" w:cs="Calibri" w:eastAsia="Calibri" w:hAnsi="Calibri"/>
                <w:sz w:val="20"/>
                <w:szCs w:val="20"/>
                <w:b w:val="1"/>
                <w:bCs w:val="1"/>
                <w:color w:val="auto"/>
                <w:w w:val="98"/>
              </w:rPr>
              <w:t>Value of</w:t>
            </w: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Mining</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Under</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under</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Last</w:t>
            </w:r>
          </w:p>
        </w:tc>
        <w:tc>
          <w:tcPr>
            <w:tcW w:w="8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Actons</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8"/>
              </w:rPr>
              <w:t>Resolved</w:t>
            </w:r>
          </w:p>
        </w:tc>
      </w:tr>
      <w:tr>
        <w:trPr>
          <w:trHeight w:val="243"/>
        </w:trPr>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rPr>
              <w:t>104 S&amp;S 104(b)</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and</w:t>
            </w:r>
          </w:p>
        </w:tc>
        <w:tc>
          <w:tcPr>
            <w:tcW w:w="15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110(b)(2) 107(a)</w:t>
            </w:r>
          </w:p>
        </w:tc>
        <w:tc>
          <w:tcPr>
            <w:tcW w:w="180" w:type="dxa"/>
            <w:vAlign w:val="bottom"/>
          </w:tcPr>
          <w:p>
            <w:pPr>
              <w:spacing w:after="0"/>
              <w:rPr>
                <w:sz w:val="21"/>
                <w:szCs w:val="21"/>
                <w:color w:val="auto"/>
              </w:rPr>
            </w:pPr>
          </w:p>
        </w:tc>
        <w:tc>
          <w:tcPr>
            <w:tcW w:w="940" w:type="dxa"/>
            <w:vAlign w:val="bottom"/>
          </w:tcPr>
          <w:p>
            <w:pPr>
              <w:jc w:val="center"/>
              <w:ind w:right="121"/>
              <w:spacing w:after="0" w:line="243" w:lineRule="exact"/>
              <w:rPr>
                <w:sz w:val="20"/>
                <w:szCs w:val="20"/>
                <w:color w:val="auto"/>
              </w:rPr>
            </w:pPr>
            <w:r>
              <w:rPr>
                <w:rFonts w:ascii="Calibri" w:cs="Calibri" w:eastAsia="Calibri" w:hAnsi="Calibri"/>
                <w:sz w:val="20"/>
                <w:szCs w:val="20"/>
                <w:b w:val="1"/>
                <w:bCs w:val="1"/>
                <w:color w:val="auto"/>
              </w:rPr>
              <w:t>MSHA</w:t>
            </w: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Related</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Secton</w:t>
            </w:r>
          </w:p>
        </w:tc>
        <w:tc>
          <w:tcPr>
            <w:tcW w:w="15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Day of Insttuted</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During</w:t>
            </w:r>
          </w:p>
        </w:tc>
      </w:tr>
      <w:tr>
        <w:trPr>
          <w:trHeight w:val="243"/>
        </w:trPr>
        <w:tc>
          <w:tcPr>
            <w:tcW w:w="106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MSHA</w:t>
            </w:r>
          </w:p>
        </w:tc>
        <w:tc>
          <w:tcPr>
            <w:tcW w:w="1420" w:type="dxa"/>
            <w:vAlign w:val="bottom"/>
            <w:gridSpan w:val="2"/>
          </w:tcPr>
          <w:p>
            <w:pPr>
              <w:jc w:val="center"/>
              <w:spacing w:after="0" w:line="243" w:lineRule="exact"/>
              <w:rPr>
                <w:sz w:val="20"/>
                <w:szCs w:val="20"/>
                <w:color w:val="auto"/>
              </w:rPr>
            </w:pPr>
            <w:r>
              <w:rPr>
                <w:rFonts w:ascii="Calibri" w:cs="Calibri" w:eastAsia="Calibri" w:hAnsi="Calibri"/>
                <w:sz w:val="20"/>
                <w:szCs w:val="20"/>
                <w:b w:val="1"/>
                <w:bCs w:val="1"/>
                <w:color w:val="auto"/>
              </w:rPr>
              <w:t>Citatons Orders</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Orders</w:t>
            </w:r>
          </w:p>
        </w:tc>
        <w:tc>
          <w:tcPr>
            <w:tcW w:w="3420" w:type="dxa"/>
            <w:vAlign w:val="bottom"/>
            <w:gridSpan w:val="5"/>
          </w:tcPr>
          <w:p>
            <w:pPr>
              <w:spacing w:after="0" w:line="243" w:lineRule="exact"/>
              <w:rPr>
                <w:sz w:val="20"/>
                <w:szCs w:val="20"/>
                <w:color w:val="auto"/>
              </w:rPr>
            </w:pPr>
            <w:r>
              <w:rPr>
                <w:rFonts w:ascii="Calibri" w:cs="Calibri" w:eastAsia="Calibri" w:hAnsi="Calibri"/>
                <w:sz w:val="20"/>
                <w:szCs w:val="20"/>
                <w:b w:val="1"/>
                <w:bCs w:val="1"/>
                <w:color w:val="auto"/>
              </w:rPr>
              <w:t>Violatons Orders Assessment/ Fatalites</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104(e)</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104(e)</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c>
          <w:tcPr>
            <w:tcW w:w="8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During</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9"/>
              </w:rPr>
              <w:t>Period</w:t>
            </w:r>
          </w:p>
        </w:tc>
      </w:tr>
      <w:tr>
        <w:trPr>
          <w:trHeight w:val="243"/>
        </w:trPr>
        <w:tc>
          <w:tcPr>
            <w:tcW w:w="1060" w:type="dxa"/>
            <w:vAlign w:val="bottom"/>
          </w:tcPr>
          <w:p>
            <w:pPr>
              <w:ind w:left="180"/>
              <w:spacing w:after="0" w:line="243" w:lineRule="exact"/>
              <w:rPr>
                <w:sz w:val="20"/>
                <w:szCs w:val="20"/>
                <w:color w:val="auto"/>
              </w:rPr>
            </w:pPr>
            <w:r>
              <w:rPr>
                <w:rFonts w:ascii="Calibri" w:cs="Calibri" w:eastAsia="Calibri" w:hAnsi="Calibri"/>
                <w:sz w:val="20"/>
                <w:szCs w:val="20"/>
                <w:b w:val="1"/>
                <w:bCs w:val="1"/>
                <w:color w:val="auto"/>
              </w:rPr>
              <w:t>Locaton</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ID</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1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ind w:right="41"/>
              <w:spacing w:after="0" w:line="243" w:lineRule="exact"/>
              <w:rPr>
                <w:sz w:val="20"/>
                <w:szCs w:val="20"/>
                <w:color w:val="auto"/>
              </w:rPr>
            </w:pPr>
            <w:r>
              <w:rPr>
                <w:rFonts w:ascii="Calibri" w:cs="Calibri" w:eastAsia="Calibri" w:hAnsi="Calibri"/>
                <w:sz w:val="20"/>
                <w:szCs w:val="20"/>
                <w:b w:val="1"/>
                <w:bCs w:val="1"/>
                <w:color w:val="auto"/>
                <w:w w:val="98"/>
              </w:rPr>
              <w:t>Proposed</w:t>
            </w: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c>
          <w:tcPr>
            <w:tcW w:w="16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(yes/no) (yes/no)</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w:t>
            </w:r>
          </w:p>
        </w:tc>
        <w:tc>
          <w:tcPr>
            <w:tcW w:w="84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rPr>
              <w:t>Period (#)</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b w:val="1"/>
                <w:bCs w:val="1"/>
                <w:color w:val="auto"/>
                <w:w w:val="97"/>
              </w:rPr>
              <w:t>(#)</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Alexander</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3101636</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American</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Stone</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3100189</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266</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Anderson</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34"/>
        </w:trPr>
        <w:tc>
          <w:tcPr>
            <w:tcW w:w="1060" w:type="dxa"/>
            <w:vAlign w:val="bottom"/>
            <w:shd w:val="clear" w:color="auto" w:fill="CFF0FC"/>
          </w:tcPr>
          <w:p>
            <w:pPr>
              <w:spacing w:after="0" w:line="234" w:lineRule="exact"/>
              <w:rPr>
                <w:sz w:val="20"/>
                <w:szCs w:val="20"/>
                <w:color w:val="auto"/>
              </w:rPr>
            </w:pPr>
            <w:r>
              <w:rPr>
                <w:rFonts w:ascii="Calibri" w:cs="Calibri" w:eastAsia="Calibri" w:hAnsi="Calibri"/>
                <w:sz w:val="20"/>
                <w:szCs w:val="20"/>
                <w:color w:val="auto"/>
              </w:rPr>
              <w:t>Creek</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56"/>
        </w:trPr>
        <w:tc>
          <w:tcPr>
            <w:tcW w:w="1060" w:type="dxa"/>
            <w:vAlign w:val="bottom"/>
            <w:tcBorders>
              <w:bottom w:val="single" w:sz="8" w:color="CFF0FC"/>
            </w:tcBorders>
            <w:shd w:val="clear" w:color="auto" w:fill="CFF0FC"/>
          </w:tcPr>
          <w:p>
            <w:pPr>
              <w:spacing w:after="0" w:line="243"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rPr>
              <w:t>4402963</w:t>
            </w:r>
          </w:p>
        </w:tc>
        <w:tc>
          <w:tcPr>
            <w:tcW w:w="74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43"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43"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Appling</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0901083</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Arrowood</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3100059</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Asheboro</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3100066</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Auburn Al</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0100006</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Auburn GA</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0900436</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Augusta GA</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0900065</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133</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Bakers</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3100071</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Ball Ground</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0900955</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Belgrade</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3100064</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Benson</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3101979</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348</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Berkeley</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3800072</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1</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Bessemer</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City 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3101105</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Bonds</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3101963</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Boonesboro</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1800024</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Burlington</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3100042</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Caldwell</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3101869</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Calhoun</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4003395</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Calhoun</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Sand</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3800716</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Castle</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Hayne</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1060" w:type="dxa"/>
            <w:vAlign w:val="bottom"/>
          </w:tcPr>
          <w:p>
            <w:pPr>
              <w:spacing w:after="0" w:line="243"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color w:val="auto"/>
              </w:rPr>
              <w:t>3100063</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43"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43"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43"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43"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Cayce</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3800016</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Central Rock</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3100050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2"/>
        </w:trPr>
        <w:tc>
          <w:tcPr>
            <w:tcW w:w="1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Charlote</w:t>
            </w:r>
          </w:p>
        </w:tc>
        <w:tc>
          <w:tcPr>
            <w:tcW w:w="7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r>
      <w:tr>
        <w:trPr>
          <w:trHeight w:val="247"/>
        </w:trPr>
        <w:tc>
          <w:tcPr>
            <w:tcW w:w="1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3100057</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215</w:t>
            </w:r>
          </w:p>
        </w:tc>
        <w:tc>
          <w:tcPr>
            <w:tcW w:w="80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32"/>
        </w:trPr>
        <w:tc>
          <w:tcPr>
            <w:tcW w:w="1060" w:type="dxa"/>
            <w:vAlign w:val="bottom"/>
          </w:tcPr>
          <w:p>
            <w:pPr>
              <w:spacing w:after="0" w:line="232" w:lineRule="exact"/>
              <w:rPr>
                <w:sz w:val="20"/>
                <w:szCs w:val="20"/>
                <w:color w:val="auto"/>
              </w:rPr>
            </w:pPr>
            <w:r>
              <w:rPr>
                <w:rFonts w:ascii="Calibri" w:cs="Calibri" w:eastAsia="Calibri" w:hAnsi="Calibri"/>
                <w:sz w:val="20"/>
                <w:szCs w:val="20"/>
                <w:color w:val="auto"/>
              </w:rPr>
              <w:t>Chatanooga</w:t>
            </w: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1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rPr>
              <w:t>4003159</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33"/>
        </w:trPr>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4"/>
        </w:trPr>
        <w:tc>
          <w:tcPr>
            <w:tcW w:w="1060" w:type="dxa"/>
            <w:vAlign w:val="bottom"/>
            <w:shd w:val="clear" w:color="auto" w:fill="CFF0FC"/>
          </w:tcPr>
          <w:p>
            <w:pPr>
              <w:spacing w:after="0" w:line="234" w:lineRule="exact"/>
              <w:rPr>
                <w:sz w:val="20"/>
                <w:szCs w:val="20"/>
                <w:color w:val="auto"/>
              </w:rPr>
            </w:pPr>
            <w:r>
              <w:rPr>
                <w:rFonts w:ascii="Calibri" w:cs="Calibri" w:eastAsia="Calibri" w:hAnsi="Calibri"/>
                <w:sz w:val="20"/>
                <w:szCs w:val="20"/>
                <w:color w:val="auto"/>
              </w:rPr>
              <w:t>Churchville</w:t>
            </w:r>
          </w:p>
        </w:tc>
        <w:tc>
          <w:tcPr>
            <w:tcW w:w="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1800012</w:t>
            </w:r>
          </w:p>
        </w:tc>
        <w:tc>
          <w:tcPr>
            <w:tcW w:w="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4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80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4"/>
              </w:rPr>
              <w:t>no</w:t>
            </w:r>
          </w:p>
        </w:tc>
        <w:tc>
          <w:tcPr>
            <w:tcW w:w="82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rPr>
              <w:t>no</w:t>
            </w:r>
          </w:p>
        </w:tc>
        <w:tc>
          <w:tcPr>
            <w:tcW w:w="66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84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780" w:type="dxa"/>
            <w:vAlign w:val="bottom"/>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r>
      <w:tr>
        <w:trPr>
          <w:trHeight w:val="207"/>
        </w:trPr>
        <w:tc>
          <w:tcPr>
            <w:tcW w:w="10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bl>
    <w:p>
      <w:pPr>
        <w:sectPr>
          <w:pgSz w:w="11900" w:h="16900" w:orient="portrait"/>
          <w:cols w:equalWidth="0" w:num="1">
            <w:col w:w="11260"/>
          </w:cols>
          <w:pgMar w:left="320" w:top="105" w:right="319" w:bottom="0" w:gutter="0" w:footer="0" w:header="0"/>
        </w:sectPr>
      </w:pPr>
    </w:p>
    <w:bookmarkStart w:id="51" w:name="page52"/>
    <w:bookmarkEnd w:id="51"/>
    <w:p>
      <w:pPr>
        <w:spacing w:after="0"/>
        <w:rPr>
          <w:sz w:val="20"/>
          <w:szCs w:val="20"/>
          <w:color w:val="auto"/>
        </w:rPr>
      </w:pPr>
      <w:r>
        <w:rPr>
          <w:rFonts w:ascii="Calibri" w:cs="Calibri" w:eastAsia="Calibri" w:hAnsi="Calibri"/>
          <w:sz w:val="20"/>
          <w:szCs w:val="20"/>
          <w:color w:val="auto"/>
        </w:rPr>
        <w:t>Quarry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4946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351155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05"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4"/>
        </w:trPr>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c>
          <w:tcPr>
            <w:tcW w:w="20" w:type="dxa"/>
            <w:vAlign w:val="bottom"/>
          </w:tcPr>
          <w:p>
            <w:pPr>
              <w:spacing w:after="0"/>
              <w:rPr>
                <w:sz w:val="21"/>
                <w:szCs w:val="21"/>
                <w:color w:val="auto"/>
              </w:rPr>
            </w:pPr>
          </w:p>
        </w:tc>
      </w:tr>
      <w:tr>
        <w:trPr>
          <w:trHeight w:val="486"/>
        </w:trPr>
        <w:tc>
          <w:tcPr>
            <w:tcW w:w="2100" w:type="dxa"/>
            <w:vAlign w:val="bottom"/>
          </w:tcPr>
          <w:p>
            <w:pPr>
              <w:spacing w:after="0"/>
              <w:rPr>
                <w:sz w:val="20"/>
                <w:szCs w:val="20"/>
                <w:color w:val="auto"/>
              </w:rPr>
            </w:pPr>
            <w:r>
              <w:rPr>
                <w:rFonts w:ascii="Calibri" w:cs="Calibri" w:eastAsia="Calibri" w:hAnsi="Calibri"/>
                <w:sz w:val="20"/>
                <w:szCs w:val="20"/>
                <w:color w:val="auto"/>
              </w:rPr>
              <w:t>Clarks Quarry</w:t>
            </w:r>
          </w:p>
        </w:tc>
        <w:tc>
          <w:tcPr>
            <w:tcW w:w="940" w:type="dxa"/>
            <w:vAlign w:val="bottom"/>
          </w:tcPr>
          <w:p>
            <w:pPr>
              <w:jc w:val="right"/>
              <w:ind w:right="61"/>
              <w:spacing w:after="0"/>
              <w:rPr>
                <w:sz w:val="20"/>
                <w:szCs w:val="20"/>
                <w:color w:val="auto"/>
              </w:rPr>
            </w:pPr>
            <w:r>
              <w:rPr>
                <w:rFonts w:ascii="Calibri" w:cs="Calibri" w:eastAsia="Calibri" w:hAnsi="Calibri"/>
                <w:sz w:val="20"/>
                <w:szCs w:val="20"/>
                <w:color w:val="auto"/>
              </w:rPr>
              <w:t>3102009</w:t>
            </w:r>
          </w:p>
        </w:tc>
        <w:tc>
          <w:tcPr>
            <w:tcW w:w="54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4"/>
                <w:szCs w:val="24"/>
                <w:color w:val="auto"/>
              </w:rPr>
            </w:pPr>
          </w:p>
        </w:tc>
      </w:tr>
      <w:tr>
        <w:trPr>
          <w:trHeight w:val="33"/>
        </w:trPr>
        <w:tc>
          <w:tcPr>
            <w:tcW w:w="2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Cumberland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3102237</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Cumming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0900460</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348</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Denver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3101971</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Doswell Quarry VA</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4400045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133</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Douglasville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0900024</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East Alamance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3102021</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Edgefeld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3800738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316</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Edmund Sand</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3800662</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Fountain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3100065</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Franklin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3102130</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Frederick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1800013</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Fuquay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3102055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Garner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3100072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348</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Georgetown II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3800525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Greensboro Portable Plt</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3102336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3040" w:type="dxa"/>
            <w:vAlign w:val="bottom"/>
            <w:gridSpan w:val="2"/>
          </w:tcPr>
          <w:p>
            <w:pPr>
              <w:spacing w:after="0" w:line="234" w:lineRule="exact"/>
              <w:rPr>
                <w:sz w:val="20"/>
                <w:szCs w:val="20"/>
                <w:color w:val="auto"/>
              </w:rPr>
            </w:pPr>
            <w:r>
              <w:rPr>
                <w:rFonts w:ascii="Calibri" w:cs="Calibri" w:eastAsia="Calibri" w:hAnsi="Calibri"/>
                <w:sz w:val="20"/>
                <w:szCs w:val="20"/>
                <w:color w:val="auto"/>
              </w:rPr>
              <w:t>Greensboro Portable Plt II 3102335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Hickory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3100043</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331</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Homer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0900958</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Jamestown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3100051</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183</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Jeferson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0901106</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Juncton City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0901029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Kannapolis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3100070</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Kent Sand &amp; Gravel</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1800745</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Kings Mountain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3100047</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Lemon Springs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3101104</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133</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Lithonia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0900023</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Loamy Sand Gravel</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3800721</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Maiden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3102125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Mallard Creek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3102006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407</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Mathews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3102084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Maylene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0100634</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Medford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1800035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Midlothian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4403767</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Misc Greensboro District</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B8611</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569"/>
        </w:trPr>
        <w:tc>
          <w:tcPr>
            <w:tcW w:w="2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4"/>
        </w:trPr>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c>
          <w:tcPr>
            <w:tcW w:w="20" w:type="dxa"/>
            <w:vAlign w:val="bottom"/>
          </w:tcPr>
          <w:p>
            <w:pPr>
              <w:spacing w:after="0"/>
              <w:rPr>
                <w:sz w:val="21"/>
                <w:szCs w:val="21"/>
                <w:color w:val="auto"/>
              </w:rPr>
            </w:pPr>
          </w:p>
        </w:tc>
      </w:tr>
      <w:tr>
        <w:trPr>
          <w:trHeight w:val="263"/>
        </w:trPr>
        <w:tc>
          <w:tcPr>
            <w:tcW w:w="2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Morgan County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0901126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Newton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0900899</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North Columbia</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3800146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North East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1800417</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Old Charleston Sand</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3800702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389</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O'Neal Plant  Co 19</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0103076</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Onslow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3102120</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Paulding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0901107</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Perry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0801083</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Pinesburg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1800021</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Pomona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3100052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Raleigh Durham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3101941</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Red Hill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4400072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Red Oak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0900069</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198</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Reidsville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3100068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Rock Hill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3800026</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Rocky Point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3101956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Ruby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0900074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Salem Stone</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3102038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Six Mile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0901144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St. Marys Sand Company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0901199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Statesville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3100055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Texas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1800009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215</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Thomasville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3101475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Tyrone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0900306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Vance Quarry  Co 19</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0103022</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Warfordsburg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3600168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Warrenton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0900580</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Woodleaf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3100069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133</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2"/>
        </w:trPr>
        <w:tc>
          <w:tcPr>
            <w:tcW w:w="2100" w:type="dxa"/>
            <w:vAlign w:val="bottom"/>
          </w:tcPr>
          <w:p>
            <w:pPr>
              <w:spacing w:after="0" w:line="232" w:lineRule="exact"/>
              <w:rPr>
                <w:sz w:val="20"/>
                <w:szCs w:val="20"/>
                <w:color w:val="auto"/>
              </w:rPr>
            </w:pPr>
            <w:r>
              <w:rPr>
                <w:rFonts w:ascii="Calibri" w:cs="Calibri" w:eastAsia="Calibri" w:hAnsi="Calibri"/>
                <w:sz w:val="20"/>
                <w:szCs w:val="20"/>
                <w:color w:val="auto"/>
              </w:rPr>
              <w:t>(45) North Indianapolis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SURFACE</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1200002</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33"/>
        </w:trPr>
        <w:tc>
          <w:tcPr>
            <w:tcW w:w="2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Alden Portable Plant #2</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1302033</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Alden Portable Sand</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1302037</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Alden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1300228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Ames Mine</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1300014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569"/>
        </w:trPr>
        <w:tc>
          <w:tcPr>
            <w:tcW w:w="2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c>
          <w:tcPr>
            <w:tcW w:w="20" w:type="dxa"/>
            <w:vAlign w:val="bottom"/>
          </w:tcPr>
          <w:p>
            <w:pPr>
              <w:spacing w:after="0"/>
              <w:rPr>
                <w:sz w:val="21"/>
                <w:szCs w:val="21"/>
                <w:color w:val="auto"/>
              </w:rPr>
            </w:pPr>
          </w:p>
        </w:tc>
      </w:tr>
      <w:tr>
        <w:trPr>
          <w:trHeight w:val="263"/>
        </w:trPr>
        <w:tc>
          <w:tcPr>
            <w:tcW w:w="2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Apple Grove S G</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3301676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Belmont Sand</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1201911</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Bowling Green North</w:t>
            </w: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Quarry</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1500065</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1"/>
                <w:szCs w:val="21"/>
                <w:color w:val="auto"/>
              </w:rPr>
            </w:pPr>
          </w:p>
        </w:tc>
      </w:tr>
      <w:tr>
        <w:trPr>
          <w:trHeight w:val="232"/>
        </w:trPr>
        <w:tc>
          <w:tcPr>
            <w:tcW w:w="2060" w:type="dxa"/>
            <w:vAlign w:val="bottom"/>
          </w:tcPr>
          <w:p>
            <w:pPr>
              <w:spacing w:after="0" w:line="232" w:lineRule="exact"/>
              <w:rPr>
                <w:sz w:val="20"/>
                <w:szCs w:val="20"/>
                <w:color w:val="auto"/>
              </w:rPr>
            </w:pPr>
            <w:r>
              <w:rPr>
                <w:rFonts w:ascii="Calibri" w:cs="Calibri" w:eastAsia="Calibri" w:hAnsi="Calibri"/>
                <w:sz w:val="20"/>
                <w:szCs w:val="20"/>
                <w:color w:val="auto"/>
              </w:rPr>
              <w:t>Bowling Green South</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1500025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33"/>
        </w:trPr>
        <w:tc>
          <w:tcPr>
            <w:tcW w:w="2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Burning Springs Mine</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4608862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Carmel Sand</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1202124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Cedar Rapids Quarry</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1300122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Cedarville Quarry</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3304072</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Cloverdale Quarry</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1201744</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Cumberland Quarry</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1500037</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Des Moines Portable</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1300150</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Des Moines Portable #2</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1300932</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Dubois Quarry</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2501046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682</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Durham Mine</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1301225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133</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E Town Sand Gravel</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3304279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Earlham Quarry</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1302123</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198</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Elk River Wash Plant</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2101218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Fairfeld Quarry</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3301396</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Ferguson Quarry</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1300124</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Fort Calhoun Quarry</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2501300</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3,534</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Fort Dodge Mine</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1300032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3040" w:type="dxa"/>
            <w:vAlign w:val="bottom"/>
            <w:gridSpan w:val="2"/>
          </w:tcPr>
          <w:p>
            <w:pPr>
              <w:spacing w:after="0" w:line="234" w:lineRule="exact"/>
              <w:rPr>
                <w:sz w:val="20"/>
                <w:szCs w:val="20"/>
                <w:color w:val="auto"/>
              </w:rPr>
            </w:pPr>
            <w:r>
              <w:rPr>
                <w:rFonts w:ascii="Calibri" w:cs="Calibri" w:eastAsia="Calibri" w:hAnsi="Calibri"/>
                <w:sz w:val="20"/>
                <w:szCs w:val="20"/>
                <w:color w:val="auto"/>
              </w:rPr>
              <w:t>Greenwood Quarry  New 2300141</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Harlan Quarry</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1500071</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Hartord Quarry</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1500095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Inactve Iowa Grading</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1302126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Iowa Grading</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1302316</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0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Johnson County Sand &amp;</w:t>
            </w: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Gravel</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1202506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1"/>
                <w:szCs w:val="21"/>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Kentucky Ave Mine</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1201762</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1,290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Kokomo Mine</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1202105</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Kokomo Sand</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1202203</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Kokomo Stone</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1200142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Linn County Sand</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1302208</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Malcom Mine</w:t>
            </w:r>
          </w:p>
        </w:tc>
        <w:tc>
          <w:tcPr>
            <w:tcW w:w="98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1300112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3,056</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060" w:type="dxa"/>
            <w:vAlign w:val="bottom"/>
          </w:tcPr>
          <w:p>
            <w:pPr>
              <w:spacing w:after="0" w:line="234" w:lineRule="exact"/>
              <w:rPr>
                <w:sz w:val="20"/>
                <w:szCs w:val="20"/>
                <w:color w:val="auto"/>
              </w:rPr>
            </w:pPr>
            <w:r>
              <w:rPr>
                <w:rFonts w:ascii="Calibri" w:cs="Calibri" w:eastAsia="Calibri" w:hAnsi="Calibri"/>
                <w:sz w:val="20"/>
                <w:szCs w:val="20"/>
                <w:color w:val="auto"/>
              </w:rPr>
              <w:t>Marshalltown Sand</w:t>
            </w:r>
          </w:p>
        </w:tc>
        <w:tc>
          <w:tcPr>
            <w:tcW w:w="98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1300718</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569"/>
        </w:trPr>
        <w:tc>
          <w:tcPr>
            <w:tcW w:w="2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44"/>
        </w:trPr>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c>
          <w:tcPr>
            <w:tcW w:w="20" w:type="dxa"/>
            <w:vAlign w:val="bottom"/>
          </w:tcPr>
          <w:p>
            <w:pPr>
              <w:spacing w:after="0"/>
              <w:rPr>
                <w:sz w:val="21"/>
                <w:szCs w:val="21"/>
                <w:color w:val="auto"/>
              </w:rPr>
            </w:pPr>
          </w:p>
        </w:tc>
      </w:tr>
      <w:tr>
        <w:trPr>
          <w:trHeight w:val="263"/>
        </w:trPr>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Midwest Division OH</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A2354</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MN Portable # 1</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2101112</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MN Portable # 2</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2101593</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MN Portable # 3</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2103147</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MN Portable # 4</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2103287</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MN Portable # 5</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2101110</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MN Portable # 6</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2103120</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MN Portable # 7</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2103355</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MN Portable # 8</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2101843</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MN Reclamaton</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2103690</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Moore Quarry</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1302188</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New Harvey Sand</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1301778</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New Marshall Sand</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1302504</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Noblesville Sand</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1201994</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Noblesville Stone</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1202176</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4</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2,281</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20" w:type="dxa"/>
            <w:vAlign w:val="bottom"/>
          </w:tcPr>
          <w:p>
            <w:pPr>
              <w:spacing w:after="0"/>
              <w:rPr>
                <w:sz w:val="20"/>
                <w:szCs w:val="20"/>
                <w:color w:val="auto"/>
              </w:rPr>
            </w:pPr>
          </w:p>
        </w:tc>
      </w:tr>
      <w:tr>
        <w:trPr>
          <w:trHeight w:val="232"/>
        </w:trPr>
        <w:tc>
          <w:tcPr>
            <w:tcW w:w="2100" w:type="dxa"/>
            <w:vAlign w:val="bottom"/>
          </w:tcPr>
          <w:p>
            <w:pPr>
              <w:spacing w:after="0" w:line="232" w:lineRule="exact"/>
              <w:rPr>
                <w:sz w:val="20"/>
                <w:szCs w:val="20"/>
                <w:color w:val="auto"/>
              </w:rPr>
            </w:pPr>
            <w:r>
              <w:rPr>
                <w:rFonts w:ascii="Calibri" w:cs="Calibri" w:eastAsia="Calibri" w:hAnsi="Calibri"/>
                <w:sz w:val="20"/>
                <w:szCs w:val="20"/>
                <w:color w:val="auto"/>
              </w:rPr>
              <w:t>North Indianapolis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Quarry</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1201993</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1,106</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33"/>
        </w:trPr>
        <w:tc>
          <w:tcPr>
            <w:tcW w:w="2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North Valley Sand</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2501271</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Otawa Quarry  New</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1401590</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682</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Pedersen Quarry</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1302192</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Petersburg Ky Gravel</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1516895</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Phillipsburg Quarry</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3300006</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Portland Quarry</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1302122</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Putnam Quarry Divest</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1202242</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Raccoon River Sand</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1302315</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Randolph Mine</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2302308</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464</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Reasnor Sand</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1300814</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Saylorville Sand</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1302290</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Shamrock SG</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3304011</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Spring Valley Cook Rd SG</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3304534</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St Cloud Quarry</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2100081</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Stamper Mine</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2302232</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640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5</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Sully Mine</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1300063</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Sunfower Qy  Co 61</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1401556</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Troy Gravel</w:t>
            </w:r>
          </w:p>
        </w:tc>
        <w:tc>
          <w:tcPr>
            <w:tcW w:w="9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3301678</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Waverly Sand</w:t>
            </w:r>
          </w:p>
        </w:tc>
        <w:tc>
          <w:tcPr>
            <w:tcW w:w="9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1202038</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547"/>
        </w:trPr>
        <w:tc>
          <w:tcPr>
            <w:tcW w:w="2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44"/>
        </w:trPr>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c>
          <w:tcPr>
            <w:tcW w:w="20" w:type="dxa"/>
            <w:vAlign w:val="bottom"/>
          </w:tcPr>
          <w:p>
            <w:pPr>
              <w:spacing w:after="0"/>
              <w:rPr>
                <w:sz w:val="21"/>
                <w:szCs w:val="21"/>
                <w:color w:val="auto"/>
              </w:rPr>
            </w:pPr>
          </w:p>
        </w:tc>
      </w:tr>
      <w:tr>
        <w:trPr>
          <w:trHeight w:val="486"/>
        </w:trPr>
        <w:tc>
          <w:tcPr>
            <w:tcW w:w="2100" w:type="dxa"/>
            <w:vAlign w:val="bottom"/>
          </w:tcPr>
          <w:p>
            <w:pPr>
              <w:spacing w:after="0"/>
              <w:rPr>
                <w:sz w:val="20"/>
                <w:szCs w:val="20"/>
                <w:color w:val="auto"/>
              </w:rPr>
            </w:pPr>
            <w:r>
              <w:rPr>
                <w:rFonts w:ascii="Calibri" w:cs="Calibri" w:eastAsia="Calibri" w:hAnsi="Calibri"/>
                <w:sz w:val="20"/>
                <w:szCs w:val="20"/>
                <w:color w:val="auto"/>
              </w:rPr>
              <w:t>Weeping Water Mine</w:t>
            </w:r>
          </w:p>
        </w:tc>
        <w:tc>
          <w:tcPr>
            <w:tcW w:w="940" w:type="dxa"/>
            <w:vAlign w:val="bottom"/>
          </w:tcPr>
          <w:p>
            <w:pPr>
              <w:jc w:val="right"/>
              <w:ind w:right="61"/>
              <w:spacing w:after="0"/>
              <w:rPr>
                <w:sz w:val="20"/>
                <w:szCs w:val="20"/>
                <w:color w:val="auto"/>
              </w:rPr>
            </w:pPr>
            <w:r>
              <w:rPr>
                <w:rFonts w:ascii="Calibri" w:cs="Calibri" w:eastAsia="Calibri" w:hAnsi="Calibri"/>
                <w:sz w:val="20"/>
                <w:szCs w:val="20"/>
                <w:color w:val="auto"/>
              </w:rPr>
              <w:t>2500998</w:t>
            </w:r>
          </w:p>
        </w:tc>
        <w:tc>
          <w:tcPr>
            <w:tcW w:w="54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rPr>
                <w:sz w:val="20"/>
                <w:szCs w:val="20"/>
                <w:color w:val="auto"/>
              </w:rPr>
            </w:pPr>
            <w:r>
              <w:rPr>
                <w:rFonts w:ascii="Calibri" w:cs="Calibri" w:eastAsia="Calibri" w:hAnsi="Calibri"/>
                <w:sz w:val="20"/>
                <w:szCs w:val="20"/>
                <w:color w:val="auto"/>
              </w:rPr>
              <w:t>288</w:t>
            </w:r>
          </w:p>
        </w:tc>
        <w:tc>
          <w:tcPr>
            <w:tcW w:w="500" w:type="dxa"/>
            <w:vAlign w:val="bottom"/>
          </w:tcPr>
          <w:p>
            <w:pPr>
              <w:jc w:val="right"/>
              <w:ind w:right="141"/>
              <w:spacing w:after="0"/>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4"/>
                <w:szCs w:val="24"/>
                <w:color w:val="auto"/>
              </w:rPr>
            </w:pPr>
          </w:p>
        </w:tc>
      </w:tr>
      <w:tr>
        <w:trPr>
          <w:trHeight w:val="33"/>
        </w:trPr>
        <w:tc>
          <w:tcPr>
            <w:tcW w:w="2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West Center Sand</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2501231</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198</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Xenia Gravel</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3301393</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Yellow Medicine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2100033</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Clarkdale Sand &amp; Gravel</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0202524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Clayton</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0400159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Coolidge Plant 65</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0203173</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Eagle Valley Plant</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0404758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Granite Canyon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4800018</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3</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Greeley 35th Ready Mix</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0504382</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3040" w:type="dxa"/>
            <w:vAlign w:val="bottom"/>
            <w:gridSpan w:val="2"/>
          </w:tcPr>
          <w:p>
            <w:pPr>
              <w:spacing w:after="0" w:line="234" w:lineRule="exact"/>
              <w:rPr>
                <w:sz w:val="20"/>
                <w:szCs w:val="20"/>
                <w:color w:val="auto"/>
              </w:rPr>
            </w:pPr>
            <w:r>
              <w:rPr>
                <w:rFonts w:ascii="Calibri" w:cs="Calibri" w:eastAsia="Calibri" w:hAnsi="Calibri"/>
                <w:sz w:val="20"/>
                <w:szCs w:val="20"/>
                <w:color w:val="auto"/>
              </w:rPr>
              <w:t>Greeley 35th Sand Gravel 0504613</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Guernsey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4800004</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4,207</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Hassayampa</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0202679</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Hughson AGG &amp; HMA</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0401769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Irwindale Plant</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0401838</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2</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2,913</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Lakeside Vigilante Plant</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0402685</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Merced AGG &amp; HMA</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0402841</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Miramar Plant</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0402911</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Milford Quarry  Utah</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4202177</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Pacifc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4500844</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1,505</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Parkdale Quarry</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0504635</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481</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Parsons Sand Gravel</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0503215</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Penrose Sand and Gravel</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0504509</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Plate Sand &amp; Gravel</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0504418</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Portable Crushing</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0503984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Portable Plant 1</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0504359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Portable Plant 21</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0504520</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Red Canyon Quarry</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0504136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Redding Cement</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400034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Rich Sand &amp; Gravel</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0504186</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River Ranch AGG</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202646</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Riverbend Sand Gravel</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0504841</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Santee Plant</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0405564</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San Andreas AGG</w:t>
            </w:r>
          </w:p>
        </w:tc>
        <w:tc>
          <w:tcPr>
            <w:tcW w:w="9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0400539</w:t>
            </w:r>
          </w:p>
        </w:tc>
        <w:tc>
          <w:tcPr>
            <w:tcW w:w="5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849</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2100" w:type="dxa"/>
            <w:vAlign w:val="bottom"/>
          </w:tcPr>
          <w:p>
            <w:pPr>
              <w:spacing w:after="0" w:line="234" w:lineRule="exact"/>
              <w:rPr>
                <w:sz w:val="20"/>
                <w:szCs w:val="20"/>
                <w:color w:val="auto"/>
              </w:rPr>
            </w:pPr>
            <w:r>
              <w:rPr>
                <w:rFonts w:ascii="Calibri" w:cs="Calibri" w:eastAsia="Calibri" w:hAnsi="Calibri"/>
                <w:sz w:val="20"/>
                <w:szCs w:val="20"/>
                <w:color w:val="auto"/>
              </w:rPr>
              <w:t>Sanger AGG</w:t>
            </w:r>
          </w:p>
        </w:tc>
        <w:tc>
          <w:tcPr>
            <w:tcW w:w="9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0405799</w:t>
            </w:r>
          </w:p>
        </w:tc>
        <w:tc>
          <w:tcPr>
            <w:tcW w:w="5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569"/>
        </w:trPr>
        <w:tc>
          <w:tcPr>
            <w:tcW w:w="2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4"/>
        </w:trPr>
        <w:tc>
          <w:tcPr>
            <w:tcW w:w="1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c>
          <w:tcPr>
            <w:tcW w:w="20" w:type="dxa"/>
            <w:vAlign w:val="bottom"/>
          </w:tcPr>
          <w:p>
            <w:pPr>
              <w:spacing w:after="0"/>
              <w:rPr>
                <w:sz w:val="21"/>
                <w:szCs w:val="21"/>
                <w:color w:val="auto"/>
              </w:rPr>
            </w:pPr>
          </w:p>
        </w:tc>
      </w:tr>
      <w:tr>
        <w:trPr>
          <w:trHeight w:val="263"/>
        </w:trPr>
        <w:tc>
          <w:tcPr>
            <w:tcW w:w="19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2"/>
        </w:trPr>
        <w:tc>
          <w:tcPr>
            <w:tcW w:w="19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Santa Margarita</w:t>
            </w:r>
          </w:p>
        </w:tc>
        <w:tc>
          <w:tcPr>
            <w:tcW w:w="10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AGG/HMA</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0401616</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3</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7,685</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1"/>
                <w:szCs w:val="21"/>
                <w:color w:val="auto"/>
              </w:rPr>
            </w:pPr>
          </w:p>
        </w:tc>
      </w:tr>
      <w:tr>
        <w:trPr>
          <w:trHeight w:val="232"/>
        </w:trPr>
        <w:tc>
          <w:tcPr>
            <w:tcW w:w="1960" w:type="dxa"/>
            <w:vAlign w:val="bottom"/>
          </w:tcPr>
          <w:p>
            <w:pPr>
              <w:spacing w:after="0" w:line="232" w:lineRule="exact"/>
              <w:rPr>
                <w:sz w:val="20"/>
                <w:szCs w:val="20"/>
                <w:color w:val="auto"/>
              </w:rPr>
            </w:pPr>
            <w:r>
              <w:rPr>
                <w:rFonts w:ascii="Calibri" w:cs="Calibri" w:eastAsia="Calibri" w:hAnsi="Calibri"/>
                <w:sz w:val="20"/>
                <w:szCs w:val="20"/>
                <w:color w:val="auto"/>
              </w:rPr>
              <w:t>San Francisco Marine</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Plant</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0405261</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33"/>
        </w:trPr>
        <w:tc>
          <w:tcPr>
            <w:tcW w:w="1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Sisquoc AGG/HMA</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0401959</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Spec Agg Quarry</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0500860</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Sunol Plant</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0401859</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Taf Sand Gravel</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0504526</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Taf Wash Plant</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0504735</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Tehachapi Cement</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0400196</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5</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3,439</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960" w:type="dxa"/>
            <w:vAlign w:val="bottom"/>
            <w:shd w:val="clear" w:color="auto" w:fill="CFF0FC"/>
          </w:tcPr>
          <w:p>
            <w:pPr>
              <w:spacing w:after="0" w:line="232" w:lineRule="exact"/>
              <w:rPr>
                <w:sz w:val="20"/>
                <w:szCs w:val="20"/>
                <w:color w:val="auto"/>
              </w:rPr>
            </w:pPr>
            <w:r>
              <w:rPr>
                <w:rFonts w:ascii="Calibri" w:cs="Calibri" w:eastAsia="Calibri" w:hAnsi="Calibri"/>
                <w:sz w:val="20"/>
                <w:szCs w:val="20"/>
                <w:color w:val="auto"/>
              </w:rPr>
              <w:t>Tidewater Oakland</w:t>
            </w:r>
          </w:p>
        </w:tc>
        <w:tc>
          <w:tcPr>
            <w:tcW w:w="10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Marine Agg</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0403002</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1"/>
                <w:szCs w:val="21"/>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Yavapai AGG</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0201222</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51 Sand &amp; Gravel</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4105381</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Beckmann Quarry</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4101335</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Bedrock Sand Gravel</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4103283</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Bells Savoy SG</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4104019</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Black Rock Quarry</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0300011</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Black Spur Quarry</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4104159</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198</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Bridgeport Stone</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4100007</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1</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Broken Bow SG</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3400460</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Chico Quarry</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4103360</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Davis Quarry</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3401299</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Garfeld SG</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4103909</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Garwood Gravel</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4102886</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GMS</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C335</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Gulf Coast Port #2</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4104204</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133</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Haton Quarry</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0301614</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Helotes</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4103137</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Highway 211 Quarry</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4103829</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Hondo</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4104708</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Hugo Quarry</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3400061</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Hunter Cement</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4102820</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Hunter Stone</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4105230</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Idabel Quarry</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3400507</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2"/>
        </w:trPr>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96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Jones Mill Quarry</w:t>
            </w:r>
          </w:p>
        </w:tc>
        <w:tc>
          <w:tcPr>
            <w:tcW w:w="10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0301586</w:t>
            </w:r>
          </w:p>
        </w:tc>
        <w:tc>
          <w:tcPr>
            <w:tcW w:w="5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Borders>
              <w:bottom w:val="single" w:sz="8" w:color="CFF0FC"/>
            </w:tcBorders>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234"/>
        </w:trPr>
        <w:tc>
          <w:tcPr>
            <w:tcW w:w="1960" w:type="dxa"/>
            <w:vAlign w:val="bottom"/>
          </w:tcPr>
          <w:p>
            <w:pPr>
              <w:spacing w:after="0" w:line="234" w:lineRule="exact"/>
              <w:rPr>
                <w:sz w:val="20"/>
                <w:szCs w:val="20"/>
                <w:color w:val="auto"/>
              </w:rPr>
            </w:pPr>
            <w:r>
              <w:rPr>
                <w:rFonts w:ascii="Calibri" w:cs="Calibri" w:eastAsia="Calibri" w:hAnsi="Calibri"/>
                <w:sz w:val="20"/>
                <w:szCs w:val="20"/>
                <w:color w:val="auto"/>
              </w:rPr>
              <w:t>Koontz McCombs Pit</w:t>
            </w:r>
          </w:p>
        </w:tc>
        <w:tc>
          <w:tcPr>
            <w:tcW w:w="10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4105048</w:t>
            </w:r>
          </w:p>
        </w:tc>
        <w:tc>
          <w:tcPr>
            <w:tcW w:w="5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0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6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82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20" w:type="dxa"/>
            <w:vAlign w:val="bottom"/>
          </w:tcPr>
          <w:p>
            <w:pPr>
              <w:spacing w:after="0"/>
              <w:rPr>
                <w:sz w:val="20"/>
                <w:szCs w:val="20"/>
                <w:color w:val="auto"/>
              </w:rPr>
            </w:pPr>
          </w:p>
        </w:tc>
      </w:tr>
      <w:tr>
        <w:trPr>
          <w:trHeight w:val="569"/>
        </w:trPr>
        <w:tc>
          <w:tcPr>
            <w:tcW w:w="19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4"/>
        </w:trPr>
        <w:tc>
          <w:tcPr>
            <w:tcW w:w="2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Appendix 1</w:t>
            </w:r>
          </w:p>
        </w:tc>
      </w:tr>
      <w:tr>
        <w:trPr>
          <w:trHeight w:val="263"/>
        </w:trPr>
        <w:tc>
          <w:tcPr>
            <w:tcW w:w="2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Liberty Ranch Sand</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4105268</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1</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Medina Rock Rail</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4105170</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399</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Midlothian Cement</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4100071</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3</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Mill Creek Limestone</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3401859</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133</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Mill Creek Quarry</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3401285</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North Austn Quarry</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4104380</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266</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Perryville Aggregates</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1601417</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Poteet Sand</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4101342</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133</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Rio Medina</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4103594</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San Pedro Quarry</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4101337</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Sawyer Quarry</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3401634</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Smithson Valley Quarry</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4104108</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Snyder Quarry</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3401651</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Tin Top SG</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4102852</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Washita Quarry</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3402049</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Webberville</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4104363</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Woodworth Aggregates</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1601070</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Salisbury Shop</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B9338</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2"/>
        </w:trPr>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2080" w:type="dxa"/>
            <w:vAlign w:val="bottom"/>
            <w:tcBorders>
              <w:bottom w:val="single" w:sz="8" w:color="CFF0FC"/>
            </w:tcBorders>
            <w:shd w:val="clear" w:color="auto" w:fill="CFF0FC"/>
          </w:tcPr>
          <w:p>
            <w:pPr>
              <w:spacing w:after="0" w:line="234" w:lineRule="exact"/>
              <w:rPr>
                <w:sz w:val="20"/>
                <w:szCs w:val="20"/>
                <w:color w:val="auto"/>
              </w:rPr>
            </w:pPr>
            <w:r>
              <w:rPr>
                <w:rFonts w:ascii="Calibri" w:cs="Calibri" w:eastAsia="Calibri" w:hAnsi="Calibri"/>
                <w:sz w:val="20"/>
                <w:szCs w:val="20"/>
                <w:color w:val="auto"/>
              </w:rPr>
              <w:t>Geology and Exploraton</w:t>
            </w:r>
          </w:p>
        </w:tc>
        <w:tc>
          <w:tcPr>
            <w:tcW w:w="900" w:type="dxa"/>
            <w:vAlign w:val="bottom"/>
            <w:tcBorders>
              <w:bottom w:val="single" w:sz="8" w:color="CFF0FC"/>
            </w:tcBorders>
            <w:shd w:val="clear" w:color="auto" w:fill="CFF0FC"/>
          </w:tcPr>
          <w:p>
            <w:pPr>
              <w:jc w:val="right"/>
              <w:ind w:right="21"/>
              <w:spacing w:after="0" w:line="234" w:lineRule="exact"/>
              <w:rPr>
                <w:sz w:val="20"/>
                <w:szCs w:val="20"/>
                <w:color w:val="auto"/>
              </w:rPr>
            </w:pPr>
            <w:r>
              <w:rPr>
                <w:rFonts w:ascii="Calibri" w:cs="Calibri" w:eastAsia="Calibri" w:hAnsi="Calibri"/>
                <w:sz w:val="20"/>
                <w:szCs w:val="20"/>
                <w:color w:val="auto"/>
              </w:rPr>
              <w:t>B7137</w:t>
            </w:r>
          </w:p>
        </w:tc>
        <w:tc>
          <w:tcPr>
            <w:tcW w:w="600" w:type="dxa"/>
            <w:vAlign w:val="bottom"/>
            <w:tcBorders>
              <w:bottom w:val="single" w:sz="8" w:color="CFF0FC"/>
            </w:tcBorders>
            <w:shd w:val="clear" w:color="auto" w:fill="CFF0FC"/>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Borders>
              <w:bottom w:val="single" w:sz="8" w:color="CFF0FC"/>
            </w:tcBorders>
            <w:shd w:val="clear" w:color="auto" w:fill="CFF0FC"/>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Borders>
              <w:bottom w:val="single" w:sz="8" w:color="CFF0FC"/>
            </w:tcBorders>
            <w:shd w:val="clear" w:color="auto" w:fill="CFF0FC"/>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Borders>
              <w:bottom w:val="single" w:sz="8" w:color="CFF0FC"/>
            </w:tcBorders>
            <w:shd w:val="clear" w:color="auto" w:fill="CFF0FC"/>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Borders>
              <w:bottom w:val="single" w:sz="8" w:color="CFF0FC"/>
            </w:tcBorders>
            <w:shd w:val="clear" w:color="auto" w:fill="CFF0FC"/>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Borders>
              <w:bottom w:val="single" w:sz="8" w:color="CFF0FC"/>
            </w:tcBorders>
            <w:shd w:val="clear" w:color="auto" w:fill="CFF0FC"/>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Borders>
              <w:bottom w:val="single" w:sz="8" w:color="CFF0FC"/>
            </w:tcBorders>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Borders>
              <w:bottom w:val="single" w:sz="8" w:color="CFF0FC"/>
            </w:tcBorders>
            <w:shd w:val="clear" w:color="auto" w:fill="CFF0FC"/>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spacing w:after="0" w:line="234" w:lineRule="exact"/>
              <w:rPr>
                <w:sz w:val="20"/>
                <w:szCs w:val="20"/>
                <w:color w:val="auto"/>
              </w:rPr>
            </w:pPr>
            <w:r>
              <w:rPr>
                <w:rFonts w:ascii="Calibri" w:cs="Calibri" w:eastAsia="Calibri" w:hAnsi="Calibri"/>
                <w:sz w:val="20"/>
                <w:szCs w:val="20"/>
                <w:color w:val="auto"/>
              </w:rPr>
              <w:t>Woodville Stone</w:t>
            </w:r>
          </w:p>
        </w:tc>
        <w:tc>
          <w:tcPr>
            <w:tcW w:w="90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3300156</w:t>
            </w:r>
          </w:p>
        </w:tc>
        <w:tc>
          <w:tcPr>
            <w:tcW w:w="60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72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52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4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6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0</w:t>
            </w:r>
          </w:p>
        </w:tc>
        <w:tc>
          <w:tcPr>
            <w:tcW w:w="36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r>
        <w:trPr>
          <w:trHeight w:val="246"/>
        </w:trPr>
        <w:tc>
          <w:tcPr>
            <w:tcW w:w="2080" w:type="dxa"/>
            <w:vAlign w:val="bottom"/>
          </w:tcPr>
          <w:p>
            <w:pPr>
              <w:spacing w:after="0"/>
              <w:rPr>
                <w:sz w:val="20"/>
                <w:szCs w:val="20"/>
                <w:color w:val="auto"/>
              </w:rPr>
            </w:pPr>
            <w:r>
              <w:rPr>
                <w:rFonts w:ascii="Calibri" w:cs="Calibri" w:eastAsia="Calibri" w:hAnsi="Calibri"/>
                <w:sz w:val="20"/>
                <w:szCs w:val="20"/>
                <w:b w:val="1"/>
                <w:bCs w:val="1"/>
                <w:color w:val="auto"/>
              </w:rPr>
              <w:t>TOTAL</w:t>
            </w:r>
          </w:p>
        </w:tc>
        <w:tc>
          <w:tcPr>
            <w:tcW w:w="900" w:type="dxa"/>
            <w:vAlign w:val="bottom"/>
          </w:tcPr>
          <w:p>
            <w:pPr>
              <w:spacing w:after="0"/>
              <w:rPr>
                <w:sz w:val="21"/>
                <w:szCs w:val="21"/>
                <w:color w:val="auto"/>
              </w:rPr>
            </w:pPr>
          </w:p>
        </w:tc>
        <w:tc>
          <w:tcPr>
            <w:tcW w:w="600" w:type="dxa"/>
            <w:vAlign w:val="bottom"/>
          </w:tcPr>
          <w:p>
            <w:pPr>
              <w:jc w:val="center"/>
              <w:ind w:right="61"/>
              <w:spacing w:after="0"/>
              <w:rPr>
                <w:sz w:val="20"/>
                <w:szCs w:val="20"/>
                <w:color w:val="auto"/>
              </w:rPr>
            </w:pPr>
            <w:r>
              <w:rPr>
                <w:rFonts w:ascii="Calibri" w:cs="Calibri" w:eastAsia="Calibri" w:hAnsi="Calibri"/>
                <w:sz w:val="20"/>
                <w:szCs w:val="20"/>
                <w:b w:val="1"/>
                <w:bCs w:val="1"/>
                <w:color w:val="auto"/>
                <w:w w:val="98"/>
              </w:rPr>
              <w:t>35</w:t>
            </w:r>
          </w:p>
        </w:tc>
        <w:tc>
          <w:tcPr>
            <w:tcW w:w="660" w:type="dxa"/>
            <w:vAlign w:val="bottom"/>
          </w:tcPr>
          <w:p>
            <w:pPr>
              <w:jc w:val="right"/>
              <w:ind w:right="181"/>
              <w:spacing w:after="0"/>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b w:val="1"/>
                <w:bCs w:val="1"/>
                <w:color w:val="auto"/>
              </w:rPr>
              <w:t>0</w:t>
            </w:r>
          </w:p>
        </w:tc>
        <w:tc>
          <w:tcPr>
            <w:tcW w:w="660" w:type="dxa"/>
            <w:vAlign w:val="bottom"/>
          </w:tcPr>
          <w:p>
            <w:pPr>
              <w:jc w:val="right"/>
              <w:ind w:right="181"/>
              <w:spacing w:after="0"/>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b w:val="1"/>
                <w:bCs w:val="1"/>
                <w:color w:val="auto"/>
              </w:rPr>
              <w:t>0</w:t>
            </w:r>
          </w:p>
        </w:tc>
        <w:tc>
          <w:tcPr>
            <w:tcW w:w="2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20" w:type="dxa"/>
            <w:vAlign w:val="bottom"/>
          </w:tcPr>
          <w:p>
            <w:pPr>
              <w:jc w:val="right"/>
              <w:ind w:right="61"/>
              <w:spacing w:after="0"/>
              <w:rPr>
                <w:sz w:val="20"/>
                <w:szCs w:val="20"/>
                <w:color w:val="auto"/>
              </w:rPr>
            </w:pPr>
            <w:r>
              <w:rPr>
                <w:rFonts w:ascii="Calibri" w:cs="Calibri" w:eastAsia="Calibri" w:hAnsi="Calibri"/>
                <w:sz w:val="20"/>
                <w:szCs w:val="20"/>
                <w:b w:val="1"/>
                <w:bCs w:val="1"/>
                <w:color w:val="auto"/>
                <w:w w:val="96"/>
              </w:rPr>
              <w:t>43,117</w:t>
            </w:r>
          </w:p>
        </w:tc>
        <w:tc>
          <w:tcPr>
            <w:tcW w:w="520" w:type="dxa"/>
            <w:vAlign w:val="bottom"/>
          </w:tcPr>
          <w:p>
            <w:pPr>
              <w:jc w:val="right"/>
              <w:ind w:right="141"/>
              <w:spacing w:after="0"/>
              <w:rPr>
                <w:sz w:val="20"/>
                <w:szCs w:val="20"/>
                <w:color w:val="auto"/>
              </w:rPr>
            </w:pPr>
            <w:r>
              <w:rPr>
                <w:rFonts w:ascii="Calibri" w:cs="Calibri" w:eastAsia="Calibri" w:hAnsi="Calibri"/>
                <w:sz w:val="20"/>
                <w:szCs w:val="20"/>
                <w:b w:val="1"/>
                <w:bCs w:val="1"/>
                <w:color w:val="auto"/>
              </w:rPr>
              <w:t>0</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11</w:t>
            </w:r>
          </w:p>
        </w:tc>
        <w:tc>
          <w:tcPr>
            <w:tcW w:w="360" w:type="dxa"/>
            <w:vAlign w:val="bottom"/>
          </w:tcPr>
          <w:p>
            <w:pPr>
              <w:jc w:val="right"/>
              <w:spacing w:after="0"/>
              <w:rPr>
                <w:sz w:val="20"/>
                <w:szCs w:val="20"/>
                <w:color w:val="auto"/>
              </w:rPr>
            </w:pPr>
            <w:r>
              <w:rPr>
                <w:rFonts w:ascii="Calibri" w:cs="Calibri" w:eastAsia="Calibri" w:hAnsi="Calibri"/>
                <w:sz w:val="20"/>
                <w:szCs w:val="20"/>
                <w:b w:val="1"/>
                <w:bCs w:val="1"/>
                <w:color w:val="auto"/>
              </w:rPr>
              <w:t>5</w:t>
            </w:r>
          </w:p>
        </w:tc>
        <w:tc>
          <w:tcPr>
            <w:tcW w:w="940" w:type="dxa"/>
            <w:vAlign w:val="bottom"/>
          </w:tcPr>
          <w:p>
            <w:pPr>
              <w:jc w:val="right"/>
              <w:ind w:right="181"/>
              <w:spacing w:after="0"/>
              <w:rPr>
                <w:sz w:val="20"/>
                <w:szCs w:val="20"/>
                <w:color w:val="auto"/>
              </w:rPr>
            </w:pPr>
            <w:r>
              <w:rPr>
                <w:rFonts w:ascii="Calibri" w:cs="Calibri" w:eastAsia="Calibri" w:hAnsi="Calibri"/>
                <w:sz w:val="20"/>
                <w:szCs w:val="20"/>
                <w:b w:val="1"/>
                <w:bCs w:val="1"/>
                <w:color w:val="auto"/>
              </w:rPr>
              <w:t>8</w:t>
            </w:r>
          </w:p>
        </w:tc>
      </w:tr>
    </w:tbl>
    <w:p>
      <w:pPr>
        <w:spacing w:after="0" w:line="238" w:lineRule="exact"/>
        <w:rPr>
          <w:sz w:val="20"/>
          <w:szCs w:val="20"/>
          <w:color w:val="auto"/>
        </w:rPr>
      </w:pPr>
    </w:p>
    <w:p>
      <w:pPr>
        <w:jc w:val="both"/>
        <w:ind w:firstLine="8"/>
        <w:spacing w:after="0" w:line="237" w:lineRule="auto"/>
        <w:tabs>
          <w:tab w:leader="none" w:pos="155"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Of the 11 legal actons pending on March 31, 2022, fve were contests of citatons or orders referenced in Subpart B of CFR Part 2700, which includes contests of citatons and orders issued under Secton 104 of the Mine Act and contests of imminent danger orders under Secton 107 of the Mine Act and three were contests of proposed penaltes referenced in Subpart C of 29 CFR Part 2700, which are administratve proceedings before the Commission challenging a civil penalty that MSHA has proposed for the violaton contained in a citaton or order, and three were a contest of an order issued under secton 103 (K) of the Mine Act.</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decimal"/>
      <w:start w:val="14"/>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95"/>
    </w:lvl>
  </w:abstractNum>
  <w:abstractNum w:abstractNumId="16">
    <w:nsid w:val="333AB105"/>
    <w:multiLevelType w:val="hybridMultilevel"/>
    <w:lvl w:ilvl="0">
      <w:lvlJc w:val="left"/>
      <w:lvlText w:val="%1"/>
      <w:numFmt w:val="decimal"/>
      <w:start w:val="104"/>
    </w:lvl>
  </w:abstractNum>
  <w:abstractNum w:abstractNumId="17">
    <w:nsid w:val="721DA317"/>
    <w:multiLevelType w:val="hybridMultilevel"/>
    <w:lvl w:ilvl="0">
      <w:lvlJc w:val="left"/>
      <w:lvlText w:val="%1."/>
      <w:numFmt w:val="decimal"/>
      <w:start w:val="1"/>
    </w:lvl>
    <w:lvl w:ilvl="1">
      <w:lvlJc w:val="left"/>
      <w:lvlText w:val="%2."/>
      <w:numFmt w:val="lowerLetter"/>
      <w:start w:val="1"/>
    </w:lvl>
  </w:abstractNum>
  <w:abstractNum w:abstractNumId="18">
    <w:nsid w:val="2443A858"/>
    <w:multiLevelType w:val="hybridMultilevel"/>
    <w:lvl w:ilvl="0">
      <w:lvlJc w:val="left"/>
      <w:lvlText w:val="%1."/>
      <w:numFmt w:val="decimal"/>
      <w:start w:val="5"/>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5"/>
    </w:lvl>
    <w:lvl w:ilvl="1">
      <w:lvlJc w:val="left"/>
      <w:lvlText w:val="%2."/>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2022-05-03T14:56:49Z</dcterms:created>
  <dcterms:modified xsi:type="dcterms:W3CDTF">2022-05-03T14:56:49Z</dcterms:modified>
</cp:coreProperties>
</file>